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7499E" w14:textId="65AF27FF" w:rsidR="0095656A" w:rsidRPr="00207DC2" w:rsidRDefault="00E54303" w:rsidP="00353FF0">
      <w:pPr>
        <w:tabs>
          <w:tab w:val="right" w:pos="8879"/>
        </w:tabs>
        <w:rPr>
          <w:lang w:val="en-AU"/>
        </w:rPr>
      </w:pPr>
      <w:r w:rsidRPr="00207DC2">
        <w:rPr>
          <w:noProof/>
          <w:lang w:val="en-AU" w:eastAsia="en-AU"/>
        </w:rPr>
        <w:drawing>
          <wp:anchor distT="0" distB="0" distL="114300" distR="114300" simplePos="0" relativeHeight="251656192" behindDoc="1" locked="0" layoutInCell="1" allowOverlap="1" wp14:anchorId="3FC331C7" wp14:editId="303460E4">
            <wp:simplePos x="0" y="0"/>
            <wp:positionH relativeFrom="column">
              <wp:posOffset>-1332865</wp:posOffset>
            </wp:positionH>
            <wp:positionV relativeFrom="paragraph">
              <wp:posOffset>-855345</wp:posOffset>
            </wp:positionV>
            <wp:extent cx="9746334" cy="8923655"/>
            <wp:effectExtent l="0" t="0" r="7620" b="0"/>
            <wp:wrapNone/>
            <wp:docPr id="4" name="Picture 4" title="Cover pag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paper title page 4.jpg"/>
                    <pic:cNvPicPr/>
                  </pic:nvPicPr>
                  <pic:blipFill rotWithShape="1">
                    <a:blip r:embed="rId13" cstate="print">
                      <a:extLst>
                        <a:ext uri="{28A0092B-C50C-407E-A947-70E740481C1C}">
                          <a14:useLocalDpi xmlns:a14="http://schemas.microsoft.com/office/drawing/2010/main" val="0"/>
                        </a:ext>
                      </a:extLst>
                    </a:blip>
                    <a:srcRect t="18297" b="40554"/>
                    <a:stretch/>
                  </pic:blipFill>
                  <pic:spPr bwMode="auto">
                    <a:xfrm>
                      <a:off x="0" y="0"/>
                      <a:ext cx="9749875" cy="8926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6CB" w:rsidRPr="00207DC2">
        <w:rPr>
          <w:noProof/>
          <w:lang w:val="en-AU" w:eastAsia="en-AU"/>
        </w:rPr>
        <w:drawing>
          <wp:anchor distT="0" distB="0" distL="114300" distR="114300" simplePos="0" relativeHeight="251660288" behindDoc="0" locked="0" layoutInCell="1" allowOverlap="1" wp14:anchorId="0AA85218" wp14:editId="66D39CC7">
            <wp:simplePos x="0" y="0"/>
            <wp:positionH relativeFrom="column">
              <wp:posOffset>-615769</wp:posOffset>
            </wp:positionH>
            <wp:positionV relativeFrom="paragraph">
              <wp:posOffset>-645160</wp:posOffset>
            </wp:positionV>
            <wp:extent cx="2644140" cy="737235"/>
            <wp:effectExtent l="0" t="0" r="3810" b="5715"/>
            <wp:wrapNone/>
            <wp:docPr id="6" name="Picture 6" descr="Australian Government Department of the Prime Minister and Cabinet" title="Australian Government Department of the Prime Minist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mp;C_inline white (EP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4140" cy="737235"/>
                    </a:xfrm>
                    <a:prstGeom prst="rect">
                      <a:avLst/>
                    </a:prstGeom>
                  </pic:spPr>
                </pic:pic>
              </a:graphicData>
            </a:graphic>
            <wp14:sizeRelH relativeFrom="page">
              <wp14:pctWidth>0</wp14:pctWidth>
            </wp14:sizeRelH>
            <wp14:sizeRelV relativeFrom="page">
              <wp14:pctHeight>0</wp14:pctHeight>
            </wp14:sizeRelV>
          </wp:anchor>
        </w:drawing>
      </w:r>
    </w:p>
    <w:p w14:paraId="20BFE1D5" w14:textId="6941534A" w:rsidR="00502667" w:rsidRPr="00207DC2" w:rsidRDefault="00C31F4F" w:rsidP="001F06CB">
      <w:pPr>
        <w:rPr>
          <w:lang w:val="en-AU"/>
        </w:rPr>
        <w:sectPr w:rsidR="00502667" w:rsidRPr="00207DC2" w:rsidSect="00581320">
          <w:type w:val="continuous"/>
          <w:pgSz w:w="11907" w:h="16839" w:code="9"/>
          <w:pgMar w:top="2517" w:right="1514" w:bottom="1797" w:left="1514" w:header="1077" w:footer="720" w:gutter="0"/>
          <w:pgNumType w:start="0"/>
          <w:cols w:space="720"/>
          <w:titlePg/>
          <w:docGrid w:linePitch="360"/>
        </w:sectPr>
      </w:pPr>
      <w:r w:rsidRPr="00207DC2">
        <w:rPr>
          <w:noProof/>
          <w:lang w:val="en-AU" w:eastAsia="en-AU"/>
        </w:rPr>
        <mc:AlternateContent>
          <mc:Choice Requires="wps">
            <w:drawing>
              <wp:anchor distT="45720" distB="45720" distL="114300" distR="114300" simplePos="0" relativeHeight="251662336" behindDoc="0" locked="0" layoutInCell="1" allowOverlap="1" wp14:anchorId="0A343421" wp14:editId="290BA338">
                <wp:simplePos x="0" y="0"/>
                <wp:positionH relativeFrom="column">
                  <wp:posOffset>-718366</wp:posOffset>
                </wp:positionH>
                <wp:positionV relativeFrom="paragraph">
                  <wp:posOffset>4406265</wp:posOffset>
                </wp:positionV>
                <wp:extent cx="6316980" cy="2293620"/>
                <wp:effectExtent l="0" t="0" r="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2293620"/>
                        </a:xfrm>
                        <a:prstGeom prst="rect">
                          <a:avLst/>
                        </a:prstGeom>
                        <a:noFill/>
                        <a:ln w="9525">
                          <a:noFill/>
                          <a:miter lim="800000"/>
                          <a:headEnd/>
                          <a:tailEnd/>
                        </a:ln>
                      </wps:spPr>
                      <wps:txbx>
                        <w:txbxContent>
                          <w:p w14:paraId="7F8A4671" w14:textId="77777777" w:rsidR="0036435C" w:rsidRPr="00CE5846" w:rsidRDefault="0036435C" w:rsidP="00163269">
                            <w:pPr>
                              <w:pStyle w:val="Title"/>
                              <w:rPr>
                                <w:color w:val="FFFFFF"/>
                                <w:sz w:val="48"/>
                                <w:szCs w:val="48"/>
                              </w:rPr>
                            </w:pPr>
                            <w:r w:rsidRPr="00CE5846">
                              <w:rPr>
                                <w:color w:val="FFFFFF"/>
                                <w:sz w:val="72"/>
                                <w:szCs w:val="72"/>
                              </w:rPr>
                              <w:t>The COMMUNITY DEVELOPMENT PROGRAMME</w:t>
                            </w:r>
                          </w:p>
                          <w:p w14:paraId="76BD5B74" w14:textId="77777777" w:rsidR="0036435C" w:rsidRPr="00CE5846" w:rsidRDefault="0036435C" w:rsidP="00163269">
                            <w:pPr>
                              <w:pStyle w:val="Title2"/>
                              <w:rPr>
                                <w:b/>
                                <w:color w:val="FFFFFF"/>
                              </w:rPr>
                            </w:pPr>
                            <w:r w:rsidRPr="00CE5846">
                              <w:rPr>
                                <w:b/>
                                <w:color w:val="FFFFFF"/>
                              </w:rPr>
                              <w:t>EVALUATION OF PARTICIPATION AND EMPLOYMENT OUTCOMES</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43421" id="_x0000_t202" coordsize="21600,21600" o:spt="202" path="m,l,21600r21600,l21600,xe">
                <v:stroke joinstyle="miter"/>
                <v:path gradientshapeok="t" o:connecttype="rect"/>
              </v:shapetype>
              <v:shape id="Text Box 2" o:spid="_x0000_s1026" type="#_x0000_t202" style="position:absolute;margin-left:-56.55pt;margin-top:346.95pt;width:497.4pt;height:18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" filled="f" stroked="f">
                <v:textbox inset=",0,,0">
                  <w:txbxContent>
                    <w:p w14:paraId="7F8A4671" w14:textId="77777777" w:rsidR="0036435C" w:rsidRPr="00CE5846" w:rsidRDefault="0036435C" w:rsidP="00163269">
                      <w:pPr>
                        <w:pStyle w:val="Title"/>
                        <w:rPr>
                          <w:color w:val="FFFFFF"/>
                          <w:sz w:val="48"/>
                          <w:szCs w:val="48"/>
                        </w:rPr>
                      </w:pPr>
                      <w:r w:rsidRPr="00CE5846">
                        <w:rPr>
                          <w:color w:val="FFFFFF"/>
                          <w:sz w:val="72"/>
                          <w:szCs w:val="72"/>
                        </w:rPr>
                        <w:t>The COMMUNITY DEVELOPMENT PROGRAMME</w:t>
                      </w:r>
                    </w:p>
                    <w:p w14:paraId="76BD5B74" w14:textId="77777777" w:rsidR="0036435C" w:rsidRPr="00CE5846" w:rsidRDefault="0036435C" w:rsidP="00163269">
                      <w:pPr>
                        <w:pStyle w:val="Title2"/>
                        <w:rPr>
                          <w:b/>
                          <w:color w:val="FFFFFF"/>
                        </w:rPr>
                      </w:pPr>
                      <w:r w:rsidRPr="00CE5846">
                        <w:rPr>
                          <w:b/>
                          <w:color w:val="FFFFFF"/>
                        </w:rPr>
                        <w:t>EVALUATION OF PARTICIPATION AND EMPLOYMENT OUTCOMES</w:t>
                      </w:r>
                    </w:p>
                  </w:txbxContent>
                </v:textbox>
                <w10:wrap type="square"/>
              </v:shape>
            </w:pict>
          </mc:Fallback>
        </mc:AlternateContent>
      </w:r>
    </w:p>
    <w:p w14:paraId="7C475B07" w14:textId="5225F518" w:rsidR="009540C2" w:rsidRPr="00207DC2" w:rsidRDefault="002B69D8" w:rsidP="001C5031">
      <w:pPr>
        <w:spacing w:after="160"/>
        <w:outlineLvl w:val="0"/>
        <w:rPr>
          <w:rFonts w:ascii="Montserrat Light" w:eastAsiaTheme="majorEastAsia" w:hAnsi="Montserrat Light" w:cstheme="majorBidi"/>
          <w:i/>
          <w:color w:val="4A4848" w:themeColor="text2"/>
          <w:spacing w:val="22"/>
          <w:lang w:val="en-AU"/>
        </w:rPr>
      </w:pPr>
      <w:bookmarkStart w:id="0" w:name="_Toc535935027"/>
      <w:r w:rsidRPr="00207DC2">
        <w:rPr>
          <w:rFonts w:ascii="Montserrat Light" w:eastAsiaTheme="majorEastAsia" w:hAnsi="Montserrat Light" w:cstheme="majorBidi"/>
          <w:i/>
          <w:color w:val="4A4848" w:themeColor="text2"/>
          <w:spacing w:val="22"/>
          <w:lang w:val="en-AU"/>
        </w:rPr>
        <w:lastRenderedPageBreak/>
        <w:t>The Community Development Programme: Evaluation of Participation and Employment Outcomes</w:t>
      </w:r>
      <w:bookmarkEnd w:id="0"/>
    </w:p>
    <w:p w14:paraId="587C13A7" w14:textId="7B517CC0" w:rsidR="009540C2" w:rsidRPr="00207DC2" w:rsidRDefault="009540C2" w:rsidP="002B69D8">
      <w:pPr>
        <w:jc w:val="both"/>
        <w:rPr>
          <w:rFonts w:ascii="Montserrat Light" w:hAnsi="Montserrat Light"/>
          <w:sz w:val="18"/>
          <w:szCs w:val="18"/>
          <w:lang w:val="en-AU"/>
        </w:rPr>
      </w:pPr>
      <w:r w:rsidRPr="00207DC2">
        <w:rPr>
          <w:rFonts w:ascii="Montserrat Light" w:hAnsi="Montserrat Light"/>
          <w:sz w:val="18"/>
          <w:szCs w:val="18"/>
          <w:lang w:val="en-AU"/>
        </w:rPr>
        <w:t>© Commonwealth of Australia 201</w:t>
      </w:r>
      <w:r w:rsidR="00EE7549" w:rsidRPr="00207DC2">
        <w:rPr>
          <w:rFonts w:ascii="Montserrat Light" w:hAnsi="Montserrat Light"/>
          <w:sz w:val="18"/>
          <w:szCs w:val="18"/>
          <w:lang w:val="en-AU"/>
        </w:rPr>
        <w:t>8</w:t>
      </w:r>
    </w:p>
    <w:p w14:paraId="002BBB67" w14:textId="371F70BA" w:rsidR="00334C69" w:rsidRPr="00207DC2" w:rsidRDefault="00334C69" w:rsidP="00334C69">
      <w:pPr>
        <w:spacing w:before="0" w:after="0" w:line="240" w:lineRule="auto"/>
        <w:jc w:val="both"/>
        <w:rPr>
          <w:color w:val="000000"/>
          <w:lang w:val="en-AU" w:eastAsia="en-AU"/>
        </w:rPr>
      </w:pPr>
      <w:r w:rsidRPr="00207DC2">
        <w:rPr>
          <w:color w:val="000000"/>
          <w:lang w:val="en-AU" w:eastAsia="en-AU"/>
        </w:rPr>
        <w:t>ISBN 978-1-925363-68-5 The Community Development Programme: Evaluation of Partici</w:t>
      </w:r>
      <w:r w:rsidR="00461AF9">
        <w:rPr>
          <w:color w:val="000000"/>
          <w:lang w:val="en-AU" w:eastAsia="en-AU"/>
        </w:rPr>
        <w:t>pation and Employment Outcomes </w:t>
      </w:r>
      <w:r w:rsidRPr="00207DC2">
        <w:rPr>
          <w:color w:val="000000"/>
          <w:lang w:val="en-AU" w:eastAsia="en-AU"/>
        </w:rPr>
        <w:t>(PDF)</w:t>
      </w:r>
    </w:p>
    <w:p w14:paraId="4964CE35" w14:textId="77777777" w:rsidR="00334C69" w:rsidRPr="00207DC2" w:rsidRDefault="00334C69" w:rsidP="00334C69">
      <w:pPr>
        <w:spacing w:before="0" w:after="0" w:line="240" w:lineRule="auto"/>
        <w:jc w:val="both"/>
        <w:rPr>
          <w:color w:val="000000"/>
          <w:lang w:val="en-AU" w:eastAsia="en-AU"/>
        </w:rPr>
      </w:pPr>
    </w:p>
    <w:p w14:paraId="646F0DF9" w14:textId="55F28033" w:rsidR="00334C69" w:rsidRPr="00207DC2" w:rsidRDefault="00334C69" w:rsidP="00334C69">
      <w:pPr>
        <w:spacing w:before="0" w:after="0" w:line="240" w:lineRule="auto"/>
        <w:jc w:val="both"/>
        <w:rPr>
          <w:rFonts w:ascii="Montserrat Light" w:hAnsi="Montserrat Light"/>
          <w:sz w:val="18"/>
          <w:szCs w:val="18"/>
          <w:lang w:val="en-AU"/>
        </w:rPr>
      </w:pPr>
      <w:r w:rsidRPr="00207DC2">
        <w:rPr>
          <w:color w:val="000000"/>
          <w:lang w:val="en-AU" w:eastAsia="en-AU"/>
        </w:rPr>
        <w:t xml:space="preserve">ISBN 978-1-925363-69-2 </w:t>
      </w:r>
      <w:r w:rsidRPr="00207DC2">
        <w:rPr>
          <w:lang w:val="en-AU" w:eastAsia="en-AU"/>
        </w:rPr>
        <w:t>The Community Dev</w:t>
      </w:r>
      <w:bookmarkStart w:id="1" w:name="_GoBack"/>
      <w:bookmarkEnd w:id="1"/>
      <w:r w:rsidRPr="00207DC2">
        <w:rPr>
          <w:lang w:val="en-AU" w:eastAsia="en-AU"/>
        </w:rPr>
        <w:t>elopment Programme: Evaluation of Participation and Employment Outcomes</w:t>
      </w:r>
      <w:r w:rsidR="00656F48" w:rsidRPr="00207DC2">
        <w:rPr>
          <w:color w:val="000000"/>
          <w:lang w:val="en-AU" w:eastAsia="en-AU"/>
        </w:rPr>
        <w:t> </w:t>
      </w:r>
      <w:r w:rsidRPr="00207DC2">
        <w:rPr>
          <w:lang w:val="en-AU" w:eastAsia="en-AU"/>
        </w:rPr>
        <w:t>(DOCX)</w:t>
      </w:r>
    </w:p>
    <w:p w14:paraId="6148FA87" w14:textId="77777777" w:rsidR="00334C69" w:rsidRPr="00207DC2" w:rsidRDefault="00334C69" w:rsidP="002B69D8">
      <w:pPr>
        <w:pStyle w:val="introheader"/>
        <w:jc w:val="both"/>
        <w:rPr>
          <w:lang w:val="en-AU"/>
        </w:rPr>
      </w:pPr>
    </w:p>
    <w:p w14:paraId="58918C84" w14:textId="65BEBC41" w:rsidR="009540C2" w:rsidRPr="00207DC2" w:rsidRDefault="009540C2" w:rsidP="002B69D8">
      <w:pPr>
        <w:pStyle w:val="introheader"/>
        <w:jc w:val="both"/>
        <w:rPr>
          <w:lang w:val="en-AU"/>
        </w:rPr>
      </w:pPr>
      <w:r w:rsidRPr="00207DC2">
        <w:rPr>
          <w:lang w:val="en-AU"/>
        </w:rPr>
        <w:t>Copyright Notice</w:t>
      </w:r>
    </w:p>
    <w:p w14:paraId="62C89252" w14:textId="37E4F758" w:rsidR="009540C2" w:rsidRPr="00207DC2" w:rsidRDefault="009540C2" w:rsidP="002B69D8">
      <w:pPr>
        <w:jc w:val="both"/>
        <w:rPr>
          <w:lang w:val="en-AU"/>
        </w:rPr>
      </w:pPr>
      <w:r w:rsidRPr="00207DC2">
        <w:rPr>
          <w:lang w:val="en-AU"/>
        </w:rPr>
        <w:t>With the exception of the Commonwealth Coat of Arms, this work is licensed under a Creative Commons Attribution 4.0 International licence (CC BY 4.0) (</w:t>
      </w:r>
      <w:hyperlink r:id="rId15" w:history="1">
        <w:r w:rsidR="00E54303">
          <w:rPr>
            <w:rStyle w:val="Hyperlink"/>
            <w:rFonts w:ascii="Montserrat Light" w:hAnsi="Montserrat Light"/>
            <w:sz w:val="18"/>
            <w:szCs w:val="18"/>
            <w:lang w:val="en-AU"/>
          </w:rPr>
          <w:t>Creative Commons website</w:t>
        </w:r>
      </w:hyperlink>
      <w:r w:rsidRPr="00207DC2">
        <w:rPr>
          <w:lang w:val="en-AU"/>
        </w:rPr>
        <w:t>).</w:t>
      </w:r>
    </w:p>
    <w:p w14:paraId="43A242FC" w14:textId="77777777" w:rsidR="009540C2" w:rsidRPr="00207DC2" w:rsidRDefault="009540C2" w:rsidP="002B69D8">
      <w:pPr>
        <w:jc w:val="both"/>
        <w:rPr>
          <w:rFonts w:ascii="Montserrat Light" w:hAnsi="Montserrat Light"/>
          <w:sz w:val="18"/>
          <w:szCs w:val="18"/>
          <w:lang w:val="en-AU"/>
        </w:rPr>
      </w:pPr>
      <w:r w:rsidRPr="00207DC2">
        <w:rPr>
          <w:rFonts w:ascii="Montserrat Light" w:hAnsi="Montserrat Light"/>
          <w:noProof/>
          <w:sz w:val="18"/>
          <w:szCs w:val="18"/>
          <w:lang w:val="en-AU" w:eastAsia="en-AU"/>
        </w:rPr>
        <w:drawing>
          <wp:inline distT="0" distB="0" distL="0" distR="0" wp14:anchorId="1235150A" wp14:editId="55F414FA">
            <wp:extent cx="1162050" cy="451059"/>
            <wp:effectExtent l="0" t="0" r="0" b="6350"/>
            <wp:docPr id="16" name="Picture 16" title="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2050" cy="451059"/>
                    </a:xfrm>
                    <a:prstGeom prst="rect">
                      <a:avLst/>
                    </a:prstGeom>
                  </pic:spPr>
                </pic:pic>
              </a:graphicData>
            </a:graphic>
          </wp:inline>
        </w:drawing>
      </w:r>
    </w:p>
    <w:p w14:paraId="42F0864D" w14:textId="77777777" w:rsidR="009540C2" w:rsidRPr="00207DC2" w:rsidRDefault="009540C2" w:rsidP="002B69D8">
      <w:pPr>
        <w:pStyle w:val="introheader"/>
        <w:jc w:val="both"/>
        <w:rPr>
          <w:lang w:val="en-AU"/>
        </w:rPr>
      </w:pPr>
      <w:r w:rsidRPr="00207DC2">
        <w:rPr>
          <w:lang w:val="en-AU"/>
        </w:rPr>
        <w:t>Third party copyright</w:t>
      </w:r>
    </w:p>
    <w:p w14:paraId="205D2020" w14:textId="77777777" w:rsidR="009540C2" w:rsidRPr="00207DC2" w:rsidRDefault="009540C2" w:rsidP="002B69D8">
      <w:pPr>
        <w:jc w:val="both"/>
        <w:rPr>
          <w:lang w:val="en-AU"/>
        </w:rPr>
      </w:pPr>
      <w:r w:rsidRPr="00207DC2">
        <w:rPr>
          <w:lang w:val="en-AU"/>
        </w:rPr>
        <w:t>Wherever a third party holds copyright in this material, the copy</w:t>
      </w:r>
      <w:r w:rsidR="00C036E1" w:rsidRPr="00207DC2">
        <w:rPr>
          <w:lang w:val="en-AU"/>
        </w:rPr>
        <w:t xml:space="preserve">right remains with that party. </w:t>
      </w:r>
      <w:r w:rsidRPr="00207DC2">
        <w:rPr>
          <w:lang w:val="en-AU"/>
        </w:rPr>
        <w:t>Their permission may be required to use the material. Please contact them directly.</w:t>
      </w:r>
    </w:p>
    <w:p w14:paraId="2FA63189" w14:textId="77777777" w:rsidR="009540C2" w:rsidRPr="00207DC2" w:rsidRDefault="009540C2" w:rsidP="002B69D8">
      <w:pPr>
        <w:pStyle w:val="introheader"/>
        <w:jc w:val="both"/>
        <w:rPr>
          <w:lang w:val="en-AU"/>
        </w:rPr>
      </w:pPr>
      <w:r w:rsidRPr="00207DC2">
        <w:rPr>
          <w:lang w:val="en-AU"/>
        </w:rPr>
        <w:t>Attribution</w:t>
      </w:r>
    </w:p>
    <w:p w14:paraId="15C71A4E" w14:textId="7F118B10" w:rsidR="009540C2" w:rsidRPr="00207DC2" w:rsidRDefault="009540C2" w:rsidP="002B69D8">
      <w:pPr>
        <w:jc w:val="both"/>
        <w:rPr>
          <w:lang w:val="en-AU"/>
        </w:rPr>
      </w:pPr>
      <w:r w:rsidRPr="00207DC2">
        <w:rPr>
          <w:lang w:val="en-AU"/>
        </w:rPr>
        <w:t xml:space="preserve">This publication should be attributed as follows: </w:t>
      </w:r>
      <w:r w:rsidR="002B69D8" w:rsidRPr="00207DC2">
        <w:rPr>
          <w:lang w:val="en-AU"/>
        </w:rPr>
        <w:t>Commonwealth of Australia</w:t>
      </w:r>
      <w:r w:rsidRPr="00207DC2">
        <w:rPr>
          <w:lang w:val="en-AU"/>
        </w:rPr>
        <w:t xml:space="preserve">, Department of the Prime Minister and Cabinet, </w:t>
      </w:r>
      <w:r w:rsidR="007A0000" w:rsidRPr="00207DC2">
        <w:rPr>
          <w:iCs/>
          <w:lang w:val="en-AU"/>
        </w:rPr>
        <w:t xml:space="preserve">Community Development Programme: </w:t>
      </w:r>
      <w:r w:rsidR="00A37BBC">
        <w:rPr>
          <w:iCs/>
          <w:lang w:val="en-AU"/>
        </w:rPr>
        <w:t>E</w:t>
      </w:r>
      <w:r w:rsidR="007A0000" w:rsidRPr="00207DC2">
        <w:rPr>
          <w:iCs/>
          <w:lang w:val="en-AU"/>
        </w:rPr>
        <w:t>valuation of participation and employment outcomes</w:t>
      </w:r>
      <w:r w:rsidRPr="00207DC2">
        <w:rPr>
          <w:lang w:val="en-AU"/>
        </w:rPr>
        <w:t>.</w:t>
      </w:r>
    </w:p>
    <w:p w14:paraId="1248EB65" w14:textId="77777777" w:rsidR="009540C2" w:rsidRPr="00207DC2" w:rsidRDefault="009540C2" w:rsidP="002B69D8">
      <w:pPr>
        <w:pStyle w:val="introheader"/>
        <w:jc w:val="both"/>
        <w:rPr>
          <w:lang w:val="en-AU"/>
        </w:rPr>
      </w:pPr>
      <w:r w:rsidRPr="00207DC2">
        <w:rPr>
          <w:lang w:val="en-AU"/>
        </w:rPr>
        <w:t>Use of the Coat of Arms</w:t>
      </w:r>
    </w:p>
    <w:p w14:paraId="127B38FE" w14:textId="0276D2AE" w:rsidR="002B69D8" w:rsidRPr="00207DC2" w:rsidRDefault="009540C2" w:rsidP="002B69D8">
      <w:pPr>
        <w:jc w:val="both"/>
        <w:rPr>
          <w:lang w:val="en-AU"/>
        </w:rPr>
      </w:pPr>
      <w:r w:rsidRPr="00207DC2">
        <w:rPr>
          <w:lang w:val="en-AU"/>
        </w:rPr>
        <w:t xml:space="preserve">The terms under which the Coat of Arms can be used are detailed on the following website: </w:t>
      </w:r>
      <w:hyperlink r:id="rId17" w:history="1">
        <w:r w:rsidR="00E54303">
          <w:rPr>
            <w:rStyle w:val="Hyperlink"/>
            <w:rFonts w:ascii="Montserrat Light" w:hAnsi="Montserrat Light"/>
            <w:sz w:val="18"/>
            <w:szCs w:val="18"/>
            <w:lang w:val="en-AU"/>
          </w:rPr>
          <w:t>Its an honour sebsite</w:t>
        </w:r>
      </w:hyperlink>
      <w:r w:rsidRPr="00207DC2">
        <w:rPr>
          <w:lang w:val="en-AU"/>
        </w:rPr>
        <w:t>.</w:t>
      </w:r>
    </w:p>
    <w:p w14:paraId="1C461DB3" w14:textId="77777777" w:rsidR="00F86696" w:rsidRPr="00207DC2" w:rsidRDefault="009540C2" w:rsidP="002B69D8">
      <w:pPr>
        <w:pStyle w:val="introheader"/>
        <w:jc w:val="both"/>
        <w:rPr>
          <w:lang w:val="en-AU"/>
        </w:rPr>
      </w:pPr>
      <w:r w:rsidRPr="00207DC2">
        <w:rPr>
          <w:lang w:val="en-AU"/>
        </w:rPr>
        <w:t>Other uses</w:t>
      </w:r>
    </w:p>
    <w:p w14:paraId="48EE230F" w14:textId="77777777" w:rsidR="00F86696" w:rsidRPr="00207DC2" w:rsidRDefault="00F86696" w:rsidP="002B69D8">
      <w:pPr>
        <w:jc w:val="both"/>
        <w:rPr>
          <w:lang w:val="en-AU"/>
        </w:rPr>
      </w:pPr>
      <w:r w:rsidRPr="00207DC2">
        <w:rPr>
          <w:lang w:val="en-AU"/>
        </w:rPr>
        <w:t>Enquiries regarding this licence and any other use of this document are welcome at:</w:t>
      </w:r>
      <w:r w:rsidR="002B69D8" w:rsidRPr="00207DC2">
        <w:rPr>
          <w:lang w:val="en-AU"/>
        </w:rPr>
        <w:t xml:space="preserve"> </w:t>
      </w:r>
      <w:r w:rsidR="007A0000" w:rsidRPr="00207DC2">
        <w:rPr>
          <w:lang w:val="en-AU"/>
        </w:rPr>
        <w:t>IndigenousEvaluation</w:t>
      </w:r>
      <w:r w:rsidRPr="00207DC2">
        <w:rPr>
          <w:lang w:val="en-AU"/>
        </w:rPr>
        <w:t>@pmc.gov.au</w:t>
      </w:r>
    </w:p>
    <w:p w14:paraId="72C3D7C7" w14:textId="77777777" w:rsidR="002B69D8" w:rsidRPr="00207DC2" w:rsidRDefault="002B69D8">
      <w:pPr>
        <w:spacing w:after="160"/>
        <w:rPr>
          <w:rFonts w:ascii="Montserrat Light" w:eastAsiaTheme="majorEastAsia" w:hAnsi="Montserrat Light" w:cstheme="majorBidi"/>
          <w:i/>
          <w:color w:val="4A4848" w:themeColor="text2"/>
          <w:spacing w:val="22"/>
          <w:lang w:val="en-AU"/>
        </w:rPr>
      </w:pPr>
      <w:r w:rsidRPr="00207DC2">
        <w:rPr>
          <w:lang w:val="en-AU"/>
        </w:rPr>
        <w:br w:type="page"/>
      </w:r>
    </w:p>
    <w:p w14:paraId="5E39EB9F" w14:textId="77777777" w:rsidR="002B69D8" w:rsidRPr="00207DC2" w:rsidRDefault="002B69D8" w:rsidP="002B69D8">
      <w:pPr>
        <w:pStyle w:val="introheader"/>
        <w:jc w:val="both"/>
        <w:rPr>
          <w:lang w:val="en-AU"/>
        </w:rPr>
      </w:pPr>
      <w:r w:rsidRPr="00207DC2">
        <w:rPr>
          <w:lang w:val="en-AU"/>
        </w:rPr>
        <w:t>Acknowledgement of Country</w:t>
      </w:r>
    </w:p>
    <w:p w14:paraId="6F111630" w14:textId="77777777" w:rsidR="002B69D8" w:rsidRPr="00207DC2" w:rsidRDefault="00E529E2" w:rsidP="002B69D8">
      <w:pPr>
        <w:jc w:val="both"/>
        <w:rPr>
          <w:lang w:val="en-AU"/>
        </w:rPr>
      </w:pPr>
      <w:r w:rsidRPr="00207DC2">
        <w:rPr>
          <w:lang w:val="en-AU"/>
        </w:rPr>
        <w:t>T</w:t>
      </w:r>
      <w:r w:rsidR="002B69D8" w:rsidRPr="00207DC2">
        <w:rPr>
          <w:lang w:val="en-AU"/>
        </w:rPr>
        <w:t>he authors acknowledge and pay respect to the traditional custodians of this country, the Aboriginal and Torres Strait Islander people</w:t>
      </w:r>
      <w:r w:rsidRPr="00207DC2">
        <w:rPr>
          <w:lang w:val="en-AU"/>
        </w:rPr>
        <w:t>s</w:t>
      </w:r>
      <w:r w:rsidR="002B69D8" w:rsidRPr="00207DC2">
        <w:rPr>
          <w:lang w:val="en-AU"/>
        </w:rPr>
        <w:t xml:space="preserve"> of Australia</w:t>
      </w:r>
      <w:r w:rsidRPr="00207DC2">
        <w:rPr>
          <w:lang w:val="en-AU"/>
        </w:rPr>
        <w:t>.</w:t>
      </w:r>
    </w:p>
    <w:p w14:paraId="7D8D310F" w14:textId="77777777" w:rsidR="00F86696" w:rsidRPr="00207DC2" w:rsidRDefault="002B69D8" w:rsidP="002B69D8">
      <w:pPr>
        <w:pStyle w:val="introheader"/>
        <w:jc w:val="both"/>
        <w:rPr>
          <w:lang w:val="en-AU"/>
        </w:rPr>
      </w:pPr>
      <w:r w:rsidRPr="00207DC2">
        <w:rPr>
          <w:lang w:val="en-AU"/>
        </w:rPr>
        <w:t>Other a</w:t>
      </w:r>
      <w:r w:rsidR="00F86696" w:rsidRPr="00207DC2">
        <w:rPr>
          <w:lang w:val="en-AU"/>
        </w:rPr>
        <w:t>cknowledgments</w:t>
      </w:r>
    </w:p>
    <w:p w14:paraId="2CA015F2" w14:textId="77777777" w:rsidR="0018292A" w:rsidRPr="00207DC2" w:rsidRDefault="0018292A" w:rsidP="003B574C">
      <w:pPr>
        <w:jc w:val="both"/>
        <w:rPr>
          <w:lang w:val="en-AU"/>
        </w:rPr>
      </w:pPr>
      <w:r w:rsidRPr="00207DC2">
        <w:rPr>
          <w:lang w:val="en-AU"/>
        </w:rPr>
        <w:t>This evaluation report has benefited from</w:t>
      </w:r>
      <w:r w:rsidR="003B574C" w:rsidRPr="00207DC2">
        <w:rPr>
          <w:lang w:val="en-AU"/>
        </w:rPr>
        <w:t xml:space="preserve"> the</w:t>
      </w:r>
      <w:r w:rsidRPr="00207DC2">
        <w:rPr>
          <w:lang w:val="en-AU"/>
        </w:rPr>
        <w:t xml:space="preserve"> review and advice </w:t>
      </w:r>
      <w:r w:rsidR="003B574C" w:rsidRPr="00207DC2">
        <w:rPr>
          <w:lang w:val="en-AU"/>
        </w:rPr>
        <w:t xml:space="preserve">of </w:t>
      </w:r>
      <w:r w:rsidRPr="00207DC2">
        <w:rPr>
          <w:lang w:val="en-AU"/>
        </w:rPr>
        <w:t xml:space="preserve">a number of researchers and academics, as well as from representatives from the Department of Jobs and Small Business, the Department of Social Services and the Department of Human Services. </w:t>
      </w:r>
    </w:p>
    <w:p w14:paraId="162531F9" w14:textId="77777777" w:rsidR="001F06CB" w:rsidRDefault="0018292A" w:rsidP="001F06CB">
      <w:pPr>
        <w:jc w:val="both"/>
        <w:rPr>
          <w:lang w:val="en-AU"/>
        </w:rPr>
      </w:pPr>
      <w:r w:rsidRPr="00207DC2">
        <w:rPr>
          <w:lang w:val="en-AU"/>
        </w:rPr>
        <w:t xml:space="preserve">Thank you to Professor Robert Breunig for his contribution to developing the methodology for this evaluation, particularly for the analysis of employment outcomes. Thank you also to </w:t>
      </w:r>
      <w:r w:rsidR="0031262D" w:rsidRPr="00207DC2">
        <w:rPr>
          <w:lang w:val="en-AU"/>
        </w:rPr>
        <w:t>Associate Professor</w:t>
      </w:r>
      <w:r w:rsidRPr="00207DC2">
        <w:rPr>
          <w:lang w:val="en-AU"/>
        </w:rPr>
        <w:t xml:space="preserve"> Nicholas Biddle and Dr Danielle Venn for reviewing early analysis and for their helpful suggestions on improving the modelling of attendance and penalties. Finally, special thanks to Professor Roger Wilkins for </w:t>
      </w:r>
      <w:r w:rsidR="003B574C" w:rsidRPr="00207DC2">
        <w:rPr>
          <w:lang w:val="en-AU"/>
        </w:rPr>
        <w:t xml:space="preserve">his </w:t>
      </w:r>
      <w:r w:rsidRPr="00207DC2">
        <w:rPr>
          <w:lang w:val="en-AU"/>
        </w:rPr>
        <w:t>valuable feedback provided through the peer-review process</w:t>
      </w:r>
      <w:r w:rsidR="001F06CB">
        <w:rPr>
          <w:lang w:val="en-AU"/>
        </w:rPr>
        <w:t>.</w:t>
      </w:r>
    </w:p>
    <w:p w14:paraId="244EF4E9" w14:textId="1584D319" w:rsidR="007A0000" w:rsidRPr="00207DC2" w:rsidRDefault="007A0000">
      <w:pPr>
        <w:rPr>
          <w:lang w:val="en-AU"/>
        </w:rPr>
      </w:pPr>
    </w:p>
    <w:p w14:paraId="1978A51C" w14:textId="675C9F90" w:rsidR="003B4052" w:rsidRDefault="003B4052" w:rsidP="00E23702">
      <w:pPr>
        <w:pStyle w:val="Heading1"/>
        <w:numPr>
          <w:ilvl w:val="0"/>
          <w:numId w:val="0"/>
        </w:numPr>
        <w:rPr>
          <w:lang w:val="en-AU"/>
        </w:rPr>
        <w:sectPr w:rsidR="003B4052" w:rsidSect="003B4052">
          <w:footerReference w:type="default" r:id="rId18"/>
          <w:type w:val="oddPage"/>
          <w:pgSz w:w="11907" w:h="16839" w:code="9"/>
          <w:pgMar w:top="1560" w:right="1512" w:bottom="1560" w:left="1512" w:header="624" w:footer="283" w:gutter="0"/>
          <w:pgNumType w:fmt="lowerRoman"/>
          <w:cols w:space="720"/>
          <w:docGrid w:linePitch="360"/>
        </w:sectPr>
      </w:pPr>
      <w:bookmarkStart w:id="2" w:name="_Toc509311696"/>
      <w:bookmarkStart w:id="3" w:name="_Toc509412963"/>
      <w:bookmarkStart w:id="4" w:name="_Toc509587030"/>
      <w:bookmarkStart w:id="5" w:name="_Toc509588056"/>
      <w:bookmarkStart w:id="6" w:name="_Toc509588319"/>
      <w:bookmarkStart w:id="7" w:name="_Toc509589467"/>
      <w:bookmarkStart w:id="8" w:name="_Toc509926885"/>
      <w:bookmarkStart w:id="9" w:name="_Toc511661233"/>
      <w:bookmarkStart w:id="10" w:name="_Toc511826284"/>
      <w:bookmarkStart w:id="11" w:name="_Toc511940601"/>
      <w:bookmarkStart w:id="12" w:name="_Toc515185446"/>
      <w:bookmarkStart w:id="13" w:name="_Toc516219820"/>
      <w:bookmarkStart w:id="14" w:name="_Toc516220461"/>
      <w:bookmarkStart w:id="15" w:name="_Toc516223281"/>
      <w:bookmarkStart w:id="16" w:name="_Toc516225189"/>
      <w:bookmarkStart w:id="17" w:name="_Toc516228965"/>
      <w:bookmarkStart w:id="18" w:name="_Toc518468045"/>
      <w:bookmarkStart w:id="19" w:name="_Toc518487825"/>
      <w:bookmarkStart w:id="20" w:name="_Toc518558789"/>
      <w:bookmarkStart w:id="21" w:name="_Toc518565312"/>
      <w:bookmarkStart w:id="22" w:name="_Toc518565556"/>
      <w:bookmarkStart w:id="23" w:name="_Toc519504727"/>
      <w:bookmarkStart w:id="24" w:name="_Toc519505951"/>
      <w:bookmarkStart w:id="25" w:name="_Toc519844057"/>
      <w:bookmarkStart w:id="26" w:name="_Toc521068559"/>
      <w:bookmarkStart w:id="27" w:name="_Toc521391073"/>
      <w:bookmarkStart w:id="28" w:name="_Toc522013242"/>
    </w:p>
    <w:bookmarkStart w:id="29" w:name="_Toc534965148" w:displacedByCustomXml="next"/>
    <w:sdt>
      <w:sdtPr>
        <w:id w:val="514205065"/>
        <w:docPartObj>
          <w:docPartGallery w:val="Table of Contents"/>
          <w:docPartUnique/>
        </w:docPartObj>
      </w:sdtPr>
      <w:sdtEndPr>
        <w:rPr>
          <w:b/>
          <w:bCs/>
          <w:noProof/>
        </w:rPr>
      </w:sdtEndPr>
      <w:sdtContent>
        <w:p w14:paraId="4D2EA4A3" w14:textId="40741892" w:rsidR="003D339F" w:rsidRPr="003D339F" w:rsidRDefault="003D339F" w:rsidP="003D339F">
          <w:pPr>
            <w:spacing w:after="160"/>
            <w:rPr>
              <w:rStyle w:val="Hyperlink"/>
              <w:noProof/>
              <w:sz w:val="22"/>
            </w:rPr>
          </w:pPr>
          <w:r w:rsidRPr="003D339F">
            <w:rPr>
              <w:sz w:val="36"/>
            </w:rPr>
            <w:t>Contents</w:t>
          </w:r>
          <w:r>
            <w:rPr>
              <w:b/>
              <w:bCs/>
              <w:noProof/>
            </w:rPr>
            <w:fldChar w:fldCharType="begin"/>
          </w:r>
          <w:r>
            <w:rPr>
              <w:b/>
              <w:bCs/>
              <w:noProof/>
            </w:rPr>
            <w:instrText xml:space="preserve"> TOC \o "1-3" \h \z \u </w:instrText>
          </w:r>
          <w:r>
            <w:rPr>
              <w:b/>
              <w:bCs/>
              <w:noProof/>
            </w:rPr>
            <w:fldChar w:fldCharType="separate"/>
          </w:r>
        </w:p>
        <w:p w14:paraId="116EEAA4" w14:textId="1613A0CA" w:rsidR="003D339F" w:rsidRPr="003D339F" w:rsidRDefault="00B225BF">
          <w:pPr>
            <w:pStyle w:val="TOC2"/>
            <w:tabs>
              <w:tab w:val="right" w:leader="dot" w:pos="8873"/>
            </w:tabs>
            <w:rPr>
              <w:rStyle w:val="Hyperlink"/>
              <w:noProof/>
              <w:sz w:val="22"/>
            </w:rPr>
          </w:pPr>
          <w:hyperlink w:anchor="_Toc535935028" w:history="1">
            <w:r w:rsidR="003D339F" w:rsidRPr="003D339F">
              <w:rPr>
                <w:rStyle w:val="Hyperlink"/>
                <w:noProof/>
                <w:sz w:val="22"/>
              </w:rPr>
              <w:t>Executive summary</w:t>
            </w:r>
            <w:r w:rsidR="003D339F" w:rsidRPr="003D339F">
              <w:rPr>
                <w:rStyle w:val="Hyperlink"/>
                <w:noProof/>
                <w:webHidden/>
                <w:sz w:val="22"/>
              </w:rPr>
              <w:tab/>
            </w:r>
            <w:r w:rsidR="003D339F" w:rsidRPr="003D339F">
              <w:rPr>
                <w:rStyle w:val="Hyperlink"/>
                <w:noProof/>
                <w:webHidden/>
                <w:sz w:val="22"/>
              </w:rPr>
              <w:fldChar w:fldCharType="begin"/>
            </w:r>
            <w:r w:rsidR="003D339F" w:rsidRPr="003D339F">
              <w:rPr>
                <w:rStyle w:val="Hyperlink"/>
                <w:noProof/>
                <w:webHidden/>
                <w:sz w:val="22"/>
              </w:rPr>
              <w:instrText xml:space="preserve"> PAGEREF _Toc535935028 \h </w:instrText>
            </w:r>
            <w:r w:rsidR="003D339F" w:rsidRPr="003D339F">
              <w:rPr>
                <w:rStyle w:val="Hyperlink"/>
                <w:noProof/>
                <w:webHidden/>
                <w:sz w:val="22"/>
              </w:rPr>
            </w:r>
            <w:r w:rsidR="003D339F" w:rsidRPr="003D339F">
              <w:rPr>
                <w:rStyle w:val="Hyperlink"/>
                <w:noProof/>
                <w:webHidden/>
                <w:sz w:val="22"/>
              </w:rPr>
              <w:fldChar w:fldCharType="separate"/>
            </w:r>
            <w:r w:rsidR="0010545D">
              <w:rPr>
                <w:rStyle w:val="Hyperlink"/>
                <w:noProof/>
                <w:webHidden/>
                <w:sz w:val="22"/>
              </w:rPr>
              <w:t>iv</w:t>
            </w:r>
            <w:r w:rsidR="003D339F" w:rsidRPr="003D339F">
              <w:rPr>
                <w:rStyle w:val="Hyperlink"/>
                <w:noProof/>
                <w:webHidden/>
                <w:sz w:val="22"/>
              </w:rPr>
              <w:fldChar w:fldCharType="end"/>
            </w:r>
          </w:hyperlink>
        </w:p>
        <w:p w14:paraId="2E756582" w14:textId="686042D2" w:rsidR="003D339F" w:rsidRPr="003D339F" w:rsidRDefault="00B225BF">
          <w:pPr>
            <w:pStyle w:val="TOC2"/>
            <w:tabs>
              <w:tab w:val="left" w:pos="660"/>
              <w:tab w:val="right" w:leader="dot" w:pos="8873"/>
            </w:tabs>
            <w:rPr>
              <w:rStyle w:val="Hyperlink"/>
              <w:noProof/>
              <w:sz w:val="22"/>
            </w:rPr>
          </w:pPr>
          <w:hyperlink w:anchor="_Toc535935033" w:history="1">
            <w:r w:rsidR="003D339F" w:rsidRPr="003D339F">
              <w:rPr>
                <w:rStyle w:val="Hyperlink"/>
                <w:noProof/>
                <w:sz w:val="22"/>
              </w:rPr>
              <w:t>1.</w:t>
            </w:r>
            <w:r w:rsidR="003D339F" w:rsidRPr="003D339F">
              <w:rPr>
                <w:rStyle w:val="Hyperlink"/>
                <w:noProof/>
                <w:sz w:val="22"/>
              </w:rPr>
              <w:tab/>
              <w:t>An overview of the Community Development Programme</w:t>
            </w:r>
            <w:r w:rsidR="003D339F" w:rsidRPr="003D339F">
              <w:rPr>
                <w:rStyle w:val="Hyperlink"/>
                <w:noProof/>
                <w:webHidden/>
                <w:sz w:val="22"/>
              </w:rPr>
              <w:tab/>
            </w:r>
            <w:r w:rsidR="003D339F" w:rsidRPr="003D339F">
              <w:rPr>
                <w:rStyle w:val="Hyperlink"/>
                <w:noProof/>
                <w:webHidden/>
                <w:sz w:val="22"/>
              </w:rPr>
              <w:fldChar w:fldCharType="begin"/>
            </w:r>
            <w:r w:rsidR="003D339F" w:rsidRPr="003D339F">
              <w:rPr>
                <w:rStyle w:val="Hyperlink"/>
                <w:noProof/>
                <w:webHidden/>
                <w:sz w:val="22"/>
              </w:rPr>
              <w:instrText xml:space="preserve"> PAGEREF _Toc535935033 \h </w:instrText>
            </w:r>
            <w:r w:rsidR="003D339F" w:rsidRPr="003D339F">
              <w:rPr>
                <w:rStyle w:val="Hyperlink"/>
                <w:noProof/>
                <w:webHidden/>
                <w:sz w:val="22"/>
              </w:rPr>
            </w:r>
            <w:r w:rsidR="003D339F" w:rsidRPr="003D339F">
              <w:rPr>
                <w:rStyle w:val="Hyperlink"/>
                <w:noProof/>
                <w:webHidden/>
                <w:sz w:val="22"/>
              </w:rPr>
              <w:fldChar w:fldCharType="separate"/>
            </w:r>
            <w:r w:rsidR="0010545D">
              <w:rPr>
                <w:rStyle w:val="Hyperlink"/>
                <w:noProof/>
                <w:webHidden/>
                <w:sz w:val="22"/>
              </w:rPr>
              <w:t>1</w:t>
            </w:r>
            <w:r w:rsidR="003D339F" w:rsidRPr="003D339F">
              <w:rPr>
                <w:rStyle w:val="Hyperlink"/>
                <w:noProof/>
                <w:webHidden/>
                <w:sz w:val="22"/>
              </w:rPr>
              <w:fldChar w:fldCharType="end"/>
            </w:r>
          </w:hyperlink>
        </w:p>
        <w:p w14:paraId="68C3ECBD" w14:textId="52C1C759" w:rsidR="003D339F" w:rsidRPr="003D339F" w:rsidRDefault="00B225BF">
          <w:pPr>
            <w:pStyle w:val="TOC3"/>
            <w:tabs>
              <w:tab w:val="left" w:pos="1100"/>
              <w:tab w:val="right" w:leader="dot" w:pos="8873"/>
            </w:tabs>
            <w:rPr>
              <w:rStyle w:val="Hyperlink"/>
              <w:noProof/>
              <w:sz w:val="22"/>
            </w:rPr>
          </w:pPr>
          <w:hyperlink w:anchor="_Toc535935034" w:history="1">
            <w:r w:rsidR="003D339F" w:rsidRPr="003D339F">
              <w:rPr>
                <w:rStyle w:val="Hyperlink"/>
                <w:noProof/>
                <w:sz w:val="22"/>
              </w:rPr>
              <w:t>1.1</w:t>
            </w:r>
            <w:r w:rsidR="003D339F" w:rsidRPr="003D339F">
              <w:rPr>
                <w:rStyle w:val="Hyperlink"/>
                <w:noProof/>
                <w:sz w:val="22"/>
              </w:rPr>
              <w:tab/>
              <w:t>How CDP changed the delivery of remote employment services</w:t>
            </w:r>
            <w:r w:rsidR="003D339F" w:rsidRPr="003D339F">
              <w:rPr>
                <w:rStyle w:val="Hyperlink"/>
                <w:noProof/>
                <w:webHidden/>
                <w:sz w:val="22"/>
              </w:rPr>
              <w:tab/>
            </w:r>
            <w:r w:rsidR="003D339F" w:rsidRPr="003D339F">
              <w:rPr>
                <w:rStyle w:val="Hyperlink"/>
                <w:noProof/>
                <w:webHidden/>
                <w:sz w:val="22"/>
              </w:rPr>
              <w:fldChar w:fldCharType="begin"/>
            </w:r>
            <w:r w:rsidR="003D339F" w:rsidRPr="003D339F">
              <w:rPr>
                <w:rStyle w:val="Hyperlink"/>
                <w:noProof/>
                <w:webHidden/>
                <w:sz w:val="22"/>
              </w:rPr>
              <w:instrText xml:space="preserve"> PAGEREF _Toc535935034 \h </w:instrText>
            </w:r>
            <w:r w:rsidR="003D339F" w:rsidRPr="003D339F">
              <w:rPr>
                <w:rStyle w:val="Hyperlink"/>
                <w:noProof/>
                <w:webHidden/>
                <w:sz w:val="22"/>
              </w:rPr>
            </w:r>
            <w:r w:rsidR="003D339F" w:rsidRPr="003D339F">
              <w:rPr>
                <w:rStyle w:val="Hyperlink"/>
                <w:noProof/>
                <w:webHidden/>
                <w:sz w:val="22"/>
              </w:rPr>
              <w:fldChar w:fldCharType="separate"/>
            </w:r>
            <w:r w:rsidR="0010545D">
              <w:rPr>
                <w:rStyle w:val="Hyperlink"/>
                <w:noProof/>
                <w:webHidden/>
                <w:sz w:val="22"/>
              </w:rPr>
              <w:t>3</w:t>
            </w:r>
            <w:r w:rsidR="003D339F" w:rsidRPr="003D339F">
              <w:rPr>
                <w:rStyle w:val="Hyperlink"/>
                <w:noProof/>
                <w:webHidden/>
                <w:sz w:val="22"/>
              </w:rPr>
              <w:fldChar w:fldCharType="end"/>
            </w:r>
          </w:hyperlink>
        </w:p>
        <w:p w14:paraId="28D3B871" w14:textId="5896665D" w:rsidR="003D339F" w:rsidRPr="003D339F" w:rsidRDefault="00B225BF" w:rsidP="003D339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38" w:history="1">
            <w:r w:rsidR="003D339F" w:rsidRPr="003D339F">
              <w:rPr>
                <w:rStyle w:val="Hyperlink"/>
                <w:noProof/>
                <w:sz w:val="22"/>
              </w:rPr>
              <w:t>1.2</w:t>
            </w:r>
            <w:r w:rsidR="003D339F" w:rsidRPr="003D339F">
              <w:rPr>
                <w:rStyle w:val="Hyperlink"/>
                <w:noProof/>
                <w:sz w:val="22"/>
              </w:rPr>
              <w:tab/>
              <w:t>Evaluation questions and data</w:t>
            </w:r>
            <w:r w:rsidR="003D339F" w:rsidRPr="003D339F">
              <w:rPr>
                <w:rStyle w:val="Hyperlink"/>
                <w:noProof/>
                <w:webHidden/>
                <w:sz w:val="22"/>
              </w:rPr>
              <w:tab/>
            </w:r>
            <w:r w:rsidR="003D339F" w:rsidRPr="003D339F">
              <w:rPr>
                <w:rStyle w:val="Hyperlink"/>
                <w:noProof/>
                <w:webHidden/>
                <w:sz w:val="22"/>
              </w:rPr>
              <w:fldChar w:fldCharType="begin"/>
            </w:r>
            <w:r w:rsidR="003D339F" w:rsidRPr="003D339F">
              <w:rPr>
                <w:rStyle w:val="Hyperlink"/>
                <w:noProof/>
                <w:webHidden/>
                <w:sz w:val="22"/>
              </w:rPr>
              <w:instrText xml:space="preserve"> PAGEREF _Toc535935038 \h </w:instrText>
            </w:r>
            <w:r w:rsidR="003D339F" w:rsidRPr="003D339F">
              <w:rPr>
                <w:rStyle w:val="Hyperlink"/>
                <w:noProof/>
                <w:webHidden/>
                <w:sz w:val="22"/>
              </w:rPr>
            </w:r>
            <w:r w:rsidR="003D339F" w:rsidRPr="003D339F">
              <w:rPr>
                <w:rStyle w:val="Hyperlink"/>
                <w:noProof/>
                <w:webHidden/>
                <w:sz w:val="22"/>
              </w:rPr>
              <w:fldChar w:fldCharType="separate"/>
            </w:r>
            <w:r w:rsidR="0010545D">
              <w:rPr>
                <w:rStyle w:val="Hyperlink"/>
                <w:noProof/>
                <w:webHidden/>
                <w:sz w:val="22"/>
              </w:rPr>
              <w:t>9</w:t>
            </w:r>
            <w:r w:rsidR="003D339F" w:rsidRPr="003D339F">
              <w:rPr>
                <w:rStyle w:val="Hyperlink"/>
                <w:noProof/>
                <w:webHidden/>
                <w:sz w:val="22"/>
              </w:rPr>
              <w:fldChar w:fldCharType="end"/>
            </w:r>
          </w:hyperlink>
        </w:p>
        <w:p w14:paraId="5D579B92" w14:textId="2141CDF8" w:rsidR="003D339F" w:rsidRPr="003D339F" w:rsidRDefault="00B225BF">
          <w:pPr>
            <w:pStyle w:val="TOC2"/>
            <w:tabs>
              <w:tab w:val="left" w:pos="660"/>
              <w:tab w:val="right" w:leader="dot" w:pos="8873"/>
            </w:tabs>
            <w:rPr>
              <w:rFonts w:asciiTheme="minorHAnsi" w:eastAsiaTheme="minorEastAsia" w:hAnsiTheme="minorHAnsi"/>
              <w:noProof/>
              <w:color w:val="auto"/>
              <w:spacing w:val="0"/>
              <w:sz w:val="24"/>
              <w:szCs w:val="22"/>
              <w:lang w:val="en-AU" w:eastAsia="en-AU"/>
            </w:rPr>
          </w:pPr>
          <w:hyperlink w:anchor="_Toc535935040" w:history="1">
            <w:r w:rsidR="003D339F" w:rsidRPr="003D339F">
              <w:rPr>
                <w:rStyle w:val="Hyperlink"/>
                <w:noProof/>
                <w:sz w:val="22"/>
              </w:rPr>
              <w:t>2.</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Participation and attendance</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_Toc535935040 \h </w:instrText>
            </w:r>
            <w:r w:rsidR="003D339F" w:rsidRPr="003D339F">
              <w:rPr>
                <w:noProof/>
                <w:webHidden/>
                <w:sz w:val="22"/>
              </w:rPr>
            </w:r>
            <w:r w:rsidR="003D339F" w:rsidRPr="003D339F">
              <w:rPr>
                <w:noProof/>
                <w:webHidden/>
                <w:sz w:val="22"/>
              </w:rPr>
              <w:fldChar w:fldCharType="separate"/>
            </w:r>
            <w:r w:rsidR="0010545D">
              <w:rPr>
                <w:noProof/>
                <w:webHidden/>
                <w:sz w:val="22"/>
              </w:rPr>
              <w:t>11</w:t>
            </w:r>
            <w:r w:rsidR="003D339F" w:rsidRPr="003D339F">
              <w:rPr>
                <w:noProof/>
                <w:webHidden/>
                <w:sz w:val="22"/>
              </w:rPr>
              <w:fldChar w:fldCharType="end"/>
            </w:r>
          </w:hyperlink>
        </w:p>
        <w:p w14:paraId="04F805B0" w14:textId="092798A9"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41" w:history="1">
            <w:r w:rsidR="003D339F" w:rsidRPr="003D339F">
              <w:rPr>
                <w:rStyle w:val="Hyperlink"/>
                <w:noProof/>
                <w:sz w:val="22"/>
              </w:rPr>
              <w:t>2.1</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CDP participants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_Toc535935041 \h </w:instrText>
            </w:r>
            <w:r w:rsidR="003D339F" w:rsidRPr="003D339F">
              <w:rPr>
                <w:noProof/>
                <w:webHidden/>
                <w:sz w:val="22"/>
              </w:rPr>
            </w:r>
            <w:r w:rsidR="003D339F" w:rsidRPr="003D339F">
              <w:rPr>
                <w:noProof/>
                <w:webHidden/>
                <w:sz w:val="22"/>
              </w:rPr>
              <w:fldChar w:fldCharType="separate"/>
            </w:r>
            <w:r w:rsidR="0010545D">
              <w:rPr>
                <w:noProof/>
                <w:webHidden/>
                <w:sz w:val="22"/>
              </w:rPr>
              <w:t>12</w:t>
            </w:r>
            <w:r w:rsidR="003D339F" w:rsidRPr="003D339F">
              <w:rPr>
                <w:noProof/>
                <w:webHidden/>
                <w:sz w:val="22"/>
              </w:rPr>
              <w:fldChar w:fldCharType="end"/>
            </w:r>
          </w:hyperlink>
        </w:p>
        <w:p w14:paraId="2E7EA9A4" w14:textId="703C422A"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44" w:history="1">
            <w:r w:rsidR="003D339F" w:rsidRPr="003D339F">
              <w:rPr>
                <w:rStyle w:val="Hyperlink"/>
                <w:noProof/>
                <w:sz w:val="22"/>
              </w:rPr>
              <w:t>2.2</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Enrolment in activities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_Toc535935044 \h </w:instrText>
            </w:r>
            <w:r w:rsidR="003D339F" w:rsidRPr="003D339F">
              <w:rPr>
                <w:noProof/>
                <w:webHidden/>
                <w:sz w:val="22"/>
              </w:rPr>
            </w:r>
            <w:r w:rsidR="003D339F" w:rsidRPr="003D339F">
              <w:rPr>
                <w:noProof/>
                <w:webHidden/>
                <w:sz w:val="22"/>
              </w:rPr>
              <w:fldChar w:fldCharType="separate"/>
            </w:r>
            <w:r w:rsidR="0010545D">
              <w:rPr>
                <w:noProof/>
                <w:webHidden/>
                <w:sz w:val="22"/>
              </w:rPr>
              <w:t>17</w:t>
            </w:r>
            <w:r w:rsidR="003D339F" w:rsidRPr="003D339F">
              <w:rPr>
                <w:noProof/>
                <w:webHidden/>
                <w:sz w:val="22"/>
              </w:rPr>
              <w:fldChar w:fldCharType="end"/>
            </w:r>
          </w:hyperlink>
        </w:p>
        <w:p w14:paraId="4C3EC9BA" w14:textId="25C2EED8"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45" w:history="1">
            <w:r w:rsidR="003D339F" w:rsidRPr="003D339F">
              <w:rPr>
                <w:rStyle w:val="Hyperlink"/>
                <w:noProof/>
                <w:sz w:val="22"/>
              </w:rPr>
              <w:t>2.3</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Attendance at Work for the Dole</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_Toc535935045 \h </w:instrText>
            </w:r>
            <w:r w:rsidR="003D339F" w:rsidRPr="003D339F">
              <w:rPr>
                <w:noProof/>
                <w:webHidden/>
                <w:sz w:val="22"/>
              </w:rPr>
            </w:r>
            <w:r w:rsidR="003D339F" w:rsidRPr="003D339F">
              <w:rPr>
                <w:noProof/>
                <w:webHidden/>
                <w:sz w:val="22"/>
              </w:rPr>
              <w:fldChar w:fldCharType="separate"/>
            </w:r>
            <w:r w:rsidR="0010545D">
              <w:rPr>
                <w:noProof/>
                <w:webHidden/>
                <w:sz w:val="22"/>
              </w:rPr>
              <w:t>19</w:t>
            </w:r>
            <w:r w:rsidR="003D339F" w:rsidRPr="003D339F">
              <w:rPr>
                <w:noProof/>
                <w:webHidden/>
                <w:sz w:val="22"/>
              </w:rPr>
              <w:fldChar w:fldCharType="end"/>
            </w:r>
          </w:hyperlink>
        </w:p>
        <w:p w14:paraId="1037032E" w14:textId="4F6B62F8"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48" w:history="1">
            <w:r w:rsidR="003D339F" w:rsidRPr="003D339F">
              <w:rPr>
                <w:rStyle w:val="Hyperlink"/>
                <w:noProof/>
                <w:sz w:val="22"/>
              </w:rPr>
              <w:t>2.4</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Participation in activities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_Toc535935048 \h </w:instrText>
            </w:r>
            <w:r w:rsidR="003D339F" w:rsidRPr="003D339F">
              <w:rPr>
                <w:noProof/>
                <w:webHidden/>
                <w:sz w:val="22"/>
              </w:rPr>
            </w:r>
            <w:r w:rsidR="003D339F" w:rsidRPr="003D339F">
              <w:rPr>
                <w:noProof/>
                <w:webHidden/>
                <w:sz w:val="22"/>
              </w:rPr>
              <w:fldChar w:fldCharType="separate"/>
            </w:r>
            <w:r w:rsidR="0010545D">
              <w:rPr>
                <w:noProof/>
                <w:webHidden/>
                <w:sz w:val="22"/>
              </w:rPr>
              <w:t>27</w:t>
            </w:r>
            <w:r w:rsidR="003D339F" w:rsidRPr="003D339F">
              <w:rPr>
                <w:noProof/>
                <w:webHidden/>
                <w:sz w:val="22"/>
              </w:rPr>
              <w:fldChar w:fldCharType="end"/>
            </w:r>
          </w:hyperlink>
        </w:p>
        <w:p w14:paraId="2981B52F" w14:textId="2BB3B1C3" w:rsidR="003D339F" w:rsidRPr="003D339F" w:rsidRDefault="00B225BF">
          <w:pPr>
            <w:pStyle w:val="TOC2"/>
            <w:tabs>
              <w:tab w:val="left" w:pos="660"/>
              <w:tab w:val="right" w:leader="dot" w:pos="8873"/>
            </w:tabs>
            <w:rPr>
              <w:rFonts w:asciiTheme="minorHAnsi" w:eastAsiaTheme="minorEastAsia" w:hAnsiTheme="minorHAnsi"/>
              <w:noProof/>
              <w:color w:val="auto"/>
              <w:spacing w:val="0"/>
              <w:sz w:val="24"/>
              <w:szCs w:val="22"/>
              <w:lang w:val="en-AU" w:eastAsia="en-AU"/>
            </w:rPr>
          </w:pPr>
          <w:hyperlink w:anchor="_Toc535935049" w:history="1">
            <w:r w:rsidR="003D339F" w:rsidRPr="003D339F">
              <w:rPr>
                <w:rStyle w:val="Hyperlink"/>
                <w:noProof/>
                <w:sz w:val="22"/>
              </w:rPr>
              <w:t>3.</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Suspensions and penalties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_Toc535935049 \h </w:instrText>
            </w:r>
            <w:r w:rsidR="003D339F" w:rsidRPr="003D339F">
              <w:rPr>
                <w:noProof/>
                <w:webHidden/>
                <w:sz w:val="22"/>
              </w:rPr>
            </w:r>
            <w:r w:rsidR="003D339F" w:rsidRPr="003D339F">
              <w:rPr>
                <w:noProof/>
                <w:webHidden/>
                <w:sz w:val="22"/>
              </w:rPr>
              <w:fldChar w:fldCharType="separate"/>
            </w:r>
            <w:r w:rsidR="0010545D">
              <w:rPr>
                <w:noProof/>
                <w:webHidden/>
                <w:sz w:val="22"/>
              </w:rPr>
              <w:t>29</w:t>
            </w:r>
            <w:r w:rsidR="003D339F" w:rsidRPr="003D339F">
              <w:rPr>
                <w:noProof/>
                <w:webHidden/>
                <w:sz w:val="22"/>
              </w:rPr>
              <w:fldChar w:fldCharType="end"/>
            </w:r>
          </w:hyperlink>
        </w:p>
        <w:p w14:paraId="70108BC3" w14:textId="3EA2619E"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0" w:history="1">
            <w:r w:rsidR="003D339F" w:rsidRPr="003D339F">
              <w:rPr>
                <w:rStyle w:val="Hyperlink"/>
                <w:noProof/>
                <w:sz w:val="22"/>
              </w:rPr>
              <w:t>3.1</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Trends in suspensions and penalties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_Toc535935050 \h </w:instrText>
            </w:r>
            <w:r w:rsidR="003D339F" w:rsidRPr="003D339F">
              <w:rPr>
                <w:noProof/>
                <w:webHidden/>
                <w:sz w:val="22"/>
              </w:rPr>
            </w:r>
            <w:r w:rsidR="003D339F" w:rsidRPr="003D339F">
              <w:rPr>
                <w:noProof/>
                <w:webHidden/>
                <w:sz w:val="22"/>
              </w:rPr>
              <w:fldChar w:fldCharType="separate"/>
            </w:r>
            <w:r w:rsidR="0010545D">
              <w:rPr>
                <w:noProof/>
                <w:webHidden/>
                <w:sz w:val="22"/>
              </w:rPr>
              <w:t>31</w:t>
            </w:r>
            <w:r w:rsidR="003D339F" w:rsidRPr="003D339F">
              <w:rPr>
                <w:noProof/>
                <w:webHidden/>
                <w:sz w:val="22"/>
              </w:rPr>
              <w:fldChar w:fldCharType="end"/>
            </w:r>
          </w:hyperlink>
        </w:p>
        <w:p w14:paraId="45CEA0D0" w14:textId="5399B1A6"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1" w:history="1">
            <w:r w:rsidR="003D339F" w:rsidRPr="003D339F">
              <w:rPr>
                <w:rStyle w:val="Hyperlink"/>
                <w:noProof/>
                <w:sz w:val="22"/>
              </w:rPr>
              <w:t>3.2</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Payments lost to penalties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_Toc535935051 \h </w:instrText>
            </w:r>
            <w:r w:rsidR="003D339F" w:rsidRPr="003D339F">
              <w:rPr>
                <w:noProof/>
                <w:webHidden/>
                <w:sz w:val="22"/>
              </w:rPr>
            </w:r>
            <w:r w:rsidR="003D339F" w:rsidRPr="003D339F">
              <w:rPr>
                <w:noProof/>
                <w:webHidden/>
                <w:sz w:val="22"/>
              </w:rPr>
              <w:fldChar w:fldCharType="separate"/>
            </w:r>
            <w:r w:rsidR="0010545D">
              <w:rPr>
                <w:noProof/>
                <w:webHidden/>
                <w:sz w:val="22"/>
              </w:rPr>
              <w:t>36</w:t>
            </w:r>
            <w:r w:rsidR="003D339F" w:rsidRPr="003D339F">
              <w:rPr>
                <w:noProof/>
                <w:webHidden/>
                <w:sz w:val="22"/>
              </w:rPr>
              <w:fldChar w:fldCharType="end"/>
            </w:r>
          </w:hyperlink>
        </w:p>
        <w:p w14:paraId="40F6D247" w14:textId="3B2C2E95"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3" w:history="1">
            <w:r w:rsidR="003D339F" w:rsidRPr="003D339F">
              <w:rPr>
                <w:rStyle w:val="Hyperlink"/>
                <w:noProof/>
                <w:sz w:val="22"/>
              </w:rPr>
              <w:t>3.3</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Financial penalties and attendance</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_Toc535935053 \h </w:instrText>
            </w:r>
            <w:r w:rsidR="003D339F" w:rsidRPr="003D339F">
              <w:rPr>
                <w:noProof/>
                <w:webHidden/>
                <w:sz w:val="22"/>
              </w:rPr>
            </w:r>
            <w:r w:rsidR="003D339F" w:rsidRPr="003D339F">
              <w:rPr>
                <w:noProof/>
                <w:webHidden/>
                <w:sz w:val="22"/>
              </w:rPr>
              <w:fldChar w:fldCharType="separate"/>
            </w:r>
            <w:r w:rsidR="0010545D">
              <w:rPr>
                <w:noProof/>
                <w:webHidden/>
                <w:sz w:val="22"/>
              </w:rPr>
              <w:t>42</w:t>
            </w:r>
            <w:r w:rsidR="003D339F" w:rsidRPr="003D339F">
              <w:rPr>
                <w:noProof/>
                <w:webHidden/>
                <w:sz w:val="22"/>
              </w:rPr>
              <w:fldChar w:fldCharType="end"/>
            </w:r>
          </w:hyperlink>
        </w:p>
        <w:p w14:paraId="0A2A3D90" w14:textId="119E9D30"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6" w:history="1">
            <w:r w:rsidR="003D339F" w:rsidRPr="003D339F">
              <w:rPr>
                <w:rStyle w:val="Hyperlink"/>
                <w:noProof/>
                <w:sz w:val="22"/>
              </w:rPr>
              <w:t>3.4</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Better understanding the effect of penalties in CDP regions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_Toc535935056 \h </w:instrText>
            </w:r>
            <w:r w:rsidR="003D339F" w:rsidRPr="003D339F">
              <w:rPr>
                <w:noProof/>
                <w:webHidden/>
                <w:sz w:val="22"/>
              </w:rPr>
            </w:r>
            <w:r w:rsidR="003D339F" w:rsidRPr="003D339F">
              <w:rPr>
                <w:noProof/>
                <w:webHidden/>
                <w:sz w:val="22"/>
              </w:rPr>
              <w:fldChar w:fldCharType="separate"/>
            </w:r>
            <w:r w:rsidR="0010545D">
              <w:rPr>
                <w:noProof/>
                <w:webHidden/>
                <w:sz w:val="22"/>
              </w:rPr>
              <w:t>48</w:t>
            </w:r>
            <w:r w:rsidR="003D339F" w:rsidRPr="003D339F">
              <w:rPr>
                <w:noProof/>
                <w:webHidden/>
                <w:sz w:val="22"/>
              </w:rPr>
              <w:fldChar w:fldCharType="end"/>
            </w:r>
          </w:hyperlink>
        </w:p>
        <w:p w14:paraId="11888459" w14:textId="78FBACEF" w:rsidR="003D339F" w:rsidRPr="003D339F" w:rsidRDefault="00B225BF">
          <w:pPr>
            <w:pStyle w:val="TOC2"/>
            <w:tabs>
              <w:tab w:val="left" w:pos="660"/>
              <w:tab w:val="right" w:leader="dot" w:pos="8873"/>
            </w:tabs>
            <w:rPr>
              <w:rFonts w:asciiTheme="minorHAnsi" w:eastAsiaTheme="minorEastAsia" w:hAnsiTheme="minorHAnsi"/>
              <w:noProof/>
              <w:color w:val="auto"/>
              <w:spacing w:val="0"/>
              <w:sz w:val="24"/>
              <w:szCs w:val="22"/>
              <w:lang w:val="en-AU" w:eastAsia="en-AU"/>
            </w:rPr>
          </w:pPr>
          <w:hyperlink w:anchor="_Toc535935057" w:history="1">
            <w:r w:rsidR="003D339F" w:rsidRPr="003D339F">
              <w:rPr>
                <w:rStyle w:val="Hyperlink"/>
                <w:noProof/>
                <w:sz w:val="22"/>
              </w:rPr>
              <w:t>4.</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Employment outcomes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_Toc535935057 \h </w:instrText>
            </w:r>
            <w:r w:rsidR="003D339F" w:rsidRPr="003D339F">
              <w:rPr>
                <w:noProof/>
                <w:webHidden/>
                <w:sz w:val="22"/>
              </w:rPr>
            </w:r>
            <w:r w:rsidR="003D339F" w:rsidRPr="003D339F">
              <w:rPr>
                <w:noProof/>
                <w:webHidden/>
                <w:sz w:val="22"/>
              </w:rPr>
              <w:fldChar w:fldCharType="separate"/>
            </w:r>
            <w:r w:rsidR="0010545D">
              <w:rPr>
                <w:noProof/>
                <w:webHidden/>
                <w:sz w:val="22"/>
              </w:rPr>
              <w:t>49</w:t>
            </w:r>
            <w:r w:rsidR="003D339F" w:rsidRPr="003D339F">
              <w:rPr>
                <w:noProof/>
                <w:webHidden/>
                <w:sz w:val="22"/>
              </w:rPr>
              <w:fldChar w:fldCharType="end"/>
            </w:r>
          </w:hyperlink>
        </w:p>
        <w:p w14:paraId="3D4A054D" w14:textId="58EA685C"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8" w:history="1">
            <w:r w:rsidR="003D339F" w:rsidRPr="003D339F">
              <w:rPr>
                <w:rStyle w:val="Hyperlink"/>
                <w:noProof/>
                <w:sz w:val="22"/>
              </w:rPr>
              <w:t>4.1</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Employment outcomes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_Toc535935058 \h </w:instrText>
            </w:r>
            <w:r w:rsidR="003D339F" w:rsidRPr="003D339F">
              <w:rPr>
                <w:noProof/>
                <w:webHidden/>
                <w:sz w:val="22"/>
              </w:rPr>
            </w:r>
            <w:r w:rsidR="003D339F" w:rsidRPr="003D339F">
              <w:rPr>
                <w:noProof/>
                <w:webHidden/>
                <w:sz w:val="22"/>
              </w:rPr>
              <w:fldChar w:fldCharType="separate"/>
            </w:r>
            <w:r w:rsidR="0010545D">
              <w:rPr>
                <w:noProof/>
                <w:webHidden/>
                <w:sz w:val="22"/>
              </w:rPr>
              <w:t>50</w:t>
            </w:r>
            <w:r w:rsidR="003D339F" w:rsidRPr="003D339F">
              <w:rPr>
                <w:noProof/>
                <w:webHidden/>
                <w:sz w:val="22"/>
              </w:rPr>
              <w:fldChar w:fldCharType="end"/>
            </w:r>
          </w:hyperlink>
        </w:p>
        <w:p w14:paraId="5BBA32F0" w14:textId="60CC43DC" w:rsidR="003D339F" w:rsidRPr="003D339F" w:rsidRDefault="00B225BF">
          <w:pPr>
            <w:pStyle w:val="TOC3"/>
            <w:tabs>
              <w:tab w:val="left" w:pos="1100"/>
              <w:tab w:val="right" w:leader="dot" w:pos="8873"/>
            </w:tabs>
            <w:rPr>
              <w:rFonts w:asciiTheme="minorHAnsi" w:eastAsiaTheme="minorEastAsia" w:hAnsiTheme="minorHAnsi"/>
              <w:noProof/>
              <w:color w:val="auto"/>
              <w:spacing w:val="0"/>
              <w:sz w:val="24"/>
              <w:szCs w:val="22"/>
              <w:lang w:val="en-AU" w:eastAsia="en-AU"/>
            </w:rPr>
          </w:pPr>
          <w:hyperlink w:anchor="_Toc535935059" w:history="1">
            <w:r w:rsidR="003D339F" w:rsidRPr="003D339F">
              <w:rPr>
                <w:rStyle w:val="Hyperlink"/>
                <w:noProof/>
                <w:sz w:val="22"/>
              </w:rPr>
              <w:t>4.2</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Estimating the employment effect</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_Toc535935059 \h </w:instrText>
            </w:r>
            <w:r w:rsidR="003D339F" w:rsidRPr="003D339F">
              <w:rPr>
                <w:noProof/>
                <w:webHidden/>
                <w:sz w:val="22"/>
              </w:rPr>
            </w:r>
            <w:r w:rsidR="003D339F" w:rsidRPr="003D339F">
              <w:rPr>
                <w:noProof/>
                <w:webHidden/>
                <w:sz w:val="22"/>
              </w:rPr>
              <w:fldChar w:fldCharType="separate"/>
            </w:r>
            <w:r w:rsidR="0010545D">
              <w:rPr>
                <w:noProof/>
                <w:webHidden/>
                <w:sz w:val="22"/>
              </w:rPr>
              <w:t>53</w:t>
            </w:r>
            <w:r w:rsidR="003D339F" w:rsidRPr="003D339F">
              <w:rPr>
                <w:noProof/>
                <w:webHidden/>
                <w:sz w:val="22"/>
              </w:rPr>
              <w:fldChar w:fldCharType="end"/>
            </w:r>
          </w:hyperlink>
        </w:p>
        <w:p w14:paraId="16F46CB3" w14:textId="170AC035" w:rsidR="003D339F" w:rsidRPr="003D339F" w:rsidRDefault="00B225BF">
          <w:pPr>
            <w:pStyle w:val="TOC2"/>
            <w:tabs>
              <w:tab w:val="left" w:pos="660"/>
              <w:tab w:val="right" w:leader="dot" w:pos="8873"/>
            </w:tabs>
            <w:rPr>
              <w:rFonts w:asciiTheme="minorHAnsi" w:eastAsiaTheme="minorEastAsia" w:hAnsiTheme="minorHAnsi"/>
              <w:noProof/>
              <w:color w:val="auto"/>
              <w:spacing w:val="0"/>
              <w:sz w:val="24"/>
              <w:szCs w:val="22"/>
              <w:lang w:val="en-AU" w:eastAsia="en-AU"/>
            </w:rPr>
          </w:pPr>
          <w:hyperlink w:anchor="_Toc535935065" w:history="1">
            <w:r w:rsidR="003D339F" w:rsidRPr="003D339F">
              <w:rPr>
                <w:rStyle w:val="Hyperlink"/>
                <w:noProof/>
                <w:sz w:val="22"/>
              </w:rPr>
              <w:t>5.</w:t>
            </w:r>
            <w:r w:rsidR="003D339F" w:rsidRPr="003D339F">
              <w:rPr>
                <w:rFonts w:asciiTheme="minorHAnsi" w:eastAsiaTheme="minorEastAsia" w:hAnsiTheme="minorHAnsi"/>
                <w:noProof/>
                <w:color w:val="auto"/>
                <w:spacing w:val="0"/>
                <w:sz w:val="24"/>
                <w:szCs w:val="22"/>
                <w:lang w:val="en-AU" w:eastAsia="en-AU"/>
              </w:rPr>
              <w:tab/>
            </w:r>
            <w:r w:rsidR="003D339F" w:rsidRPr="003D339F">
              <w:rPr>
                <w:rStyle w:val="Hyperlink"/>
                <w:noProof/>
                <w:sz w:val="22"/>
              </w:rPr>
              <w:t>Discussion of findings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_Toc535935065 \h </w:instrText>
            </w:r>
            <w:r w:rsidR="003D339F" w:rsidRPr="003D339F">
              <w:rPr>
                <w:noProof/>
                <w:webHidden/>
                <w:sz w:val="22"/>
              </w:rPr>
            </w:r>
            <w:r w:rsidR="003D339F" w:rsidRPr="003D339F">
              <w:rPr>
                <w:noProof/>
                <w:webHidden/>
                <w:sz w:val="22"/>
              </w:rPr>
              <w:fldChar w:fldCharType="separate"/>
            </w:r>
            <w:r w:rsidR="0010545D">
              <w:rPr>
                <w:noProof/>
                <w:webHidden/>
                <w:sz w:val="22"/>
              </w:rPr>
              <w:t>63</w:t>
            </w:r>
            <w:r w:rsidR="003D339F" w:rsidRPr="003D339F">
              <w:rPr>
                <w:noProof/>
                <w:webHidden/>
                <w:sz w:val="22"/>
              </w:rPr>
              <w:fldChar w:fldCharType="end"/>
            </w:r>
          </w:hyperlink>
        </w:p>
        <w:p w14:paraId="76FFB47A" w14:textId="4A593E49" w:rsidR="003D339F" w:rsidRPr="003D339F" w:rsidRDefault="00B225BF">
          <w:pPr>
            <w:pStyle w:val="TOC2"/>
            <w:tabs>
              <w:tab w:val="right" w:leader="dot" w:pos="8873"/>
            </w:tabs>
            <w:rPr>
              <w:rFonts w:asciiTheme="minorHAnsi" w:eastAsiaTheme="minorEastAsia" w:hAnsiTheme="minorHAnsi"/>
              <w:noProof/>
              <w:color w:val="auto"/>
              <w:spacing w:val="0"/>
              <w:sz w:val="24"/>
              <w:szCs w:val="22"/>
              <w:lang w:val="en-AU" w:eastAsia="en-AU"/>
            </w:rPr>
          </w:pPr>
          <w:hyperlink w:anchor="_Toc535935070" w:history="1">
            <w:r w:rsidR="003D339F" w:rsidRPr="003D339F">
              <w:rPr>
                <w:rStyle w:val="Hyperlink"/>
                <w:noProof/>
                <w:sz w:val="22"/>
                <w:lang w:val="en-AU"/>
              </w:rPr>
              <w:t>Glossary</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_Toc535935070 \h </w:instrText>
            </w:r>
            <w:r w:rsidR="003D339F" w:rsidRPr="003D339F">
              <w:rPr>
                <w:noProof/>
                <w:webHidden/>
                <w:sz w:val="22"/>
              </w:rPr>
            </w:r>
            <w:r w:rsidR="003D339F" w:rsidRPr="003D339F">
              <w:rPr>
                <w:noProof/>
                <w:webHidden/>
                <w:sz w:val="22"/>
              </w:rPr>
              <w:fldChar w:fldCharType="separate"/>
            </w:r>
            <w:r w:rsidR="0010545D">
              <w:rPr>
                <w:noProof/>
                <w:webHidden/>
                <w:sz w:val="22"/>
              </w:rPr>
              <w:t>71</w:t>
            </w:r>
            <w:r w:rsidR="003D339F" w:rsidRPr="003D339F">
              <w:rPr>
                <w:noProof/>
                <w:webHidden/>
                <w:sz w:val="22"/>
              </w:rPr>
              <w:fldChar w:fldCharType="end"/>
            </w:r>
          </w:hyperlink>
        </w:p>
        <w:p w14:paraId="4ABBB66A" w14:textId="7F229022" w:rsidR="003D339F" w:rsidRPr="003D339F" w:rsidRDefault="00B225BF">
          <w:pPr>
            <w:pStyle w:val="TOC2"/>
            <w:tabs>
              <w:tab w:val="right" w:leader="dot" w:pos="8873"/>
            </w:tabs>
            <w:rPr>
              <w:rFonts w:asciiTheme="minorHAnsi" w:eastAsiaTheme="minorEastAsia" w:hAnsiTheme="minorHAnsi"/>
              <w:noProof/>
              <w:color w:val="auto"/>
              <w:spacing w:val="0"/>
              <w:sz w:val="24"/>
              <w:szCs w:val="22"/>
              <w:lang w:val="en-AU" w:eastAsia="en-AU"/>
            </w:rPr>
          </w:pPr>
          <w:hyperlink w:anchor="_Toc535935071" w:history="1">
            <w:r w:rsidR="003D339F" w:rsidRPr="003D339F">
              <w:rPr>
                <w:rStyle w:val="Hyperlink"/>
                <w:noProof/>
                <w:sz w:val="22"/>
                <w:lang w:val="en-AU"/>
              </w:rPr>
              <w:t>References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_Toc535935071 \h </w:instrText>
            </w:r>
            <w:r w:rsidR="003D339F" w:rsidRPr="003D339F">
              <w:rPr>
                <w:noProof/>
                <w:webHidden/>
                <w:sz w:val="22"/>
              </w:rPr>
            </w:r>
            <w:r w:rsidR="003D339F" w:rsidRPr="003D339F">
              <w:rPr>
                <w:noProof/>
                <w:webHidden/>
                <w:sz w:val="22"/>
              </w:rPr>
              <w:fldChar w:fldCharType="separate"/>
            </w:r>
            <w:r w:rsidR="0010545D">
              <w:rPr>
                <w:noProof/>
                <w:webHidden/>
                <w:sz w:val="22"/>
              </w:rPr>
              <w:t>75</w:t>
            </w:r>
            <w:r w:rsidR="003D339F" w:rsidRPr="003D339F">
              <w:rPr>
                <w:noProof/>
                <w:webHidden/>
                <w:sz w:val="22"/>
              </w:rPr>
              <w:fldChar w:fldCharType="end"/>
            </w:r>
          </w:hyperlink>
        </w:p>
        <w:p w14:paraId="1E51D15C" w14:textId="11F0CFE5" w:rsidR="003D339F" w:rsidRPr="003D339F" w:rsidRDefault="00B225BF">
          <w:pPr>
            <w:pStyle w:val="TOC2"/>
            <w:tabs>
              <w:tab w:val="right" w:leader="dot" w:pos="8873"/>
            </w:tabs>
            <w:rPr>
              <w:rFonts w:asciiTheme="minorHAnsi" w:eastAsiaTheme="minorEastAsia" w:hAnsiTheme="minorHAnsi"/>
              <w:noProof/>
              <w:color w:val="auto"/>
              <w:spacing w:val="0"/>
              <w:sz w:val="24"/>
              <w:szCs w:val="22"/>
              <w:lang w:val="en-AU" w:eastAsia="en-AU"/>
            </w:rPr>
          </w:pPr>
          <w:hyperlink w:anchor="_Toc535935072" w:history="1">
            <w:r w:rsidR="003D339F" w:rsidRPr="003D339F">
              <w:rPr>
                <w:rStyle w:val="Hyperlink"/>
                <w:noProof/>
                <w:sz w:val="22"/>
                <w:lang w:val="en-AU"/>
              </w:rPr>
              <w:t>Appendix A: Additional descriptive tables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_Toc535935072 \h </w:instrText>
            </w:r>
            <w:r w:rsidR="003D339F" w:rsidRPr="003D339F">
              <w:rPr>
                <w:noProof/>
                <w:webHidden/>
                <w:sz w:val="22"/>
              </w:rPr>
            </w:r>
            <w:r w:rsidR="003D339F" w:rsidRPr="003D339F">
              <w:rPr>
                <w:noProof/>
                <w:webHidden/>
                <w:sz w:val="22"/>
              </w:rPr>
              <w:fldChar w:fldCharType="separate"/>
            </w:r>
            <w:r w:rsidR="0010545D">
              <w:rPr>
                <w:noProof/>
                <w:webHidden/>
                <w:sz w:val="22"/>
              </w:rPr>
              <w:t>78</w:t>
            </w:r>
            <w:r w:rsidR="003D339F" w:rsidRPr="003D339F">
              <w:rPr>
                <w:noProof/>
                <w:webHidden/>
                <w:sz w:val="22"/>
              </w:rPr>
              <w:fldChar w:fldCharType="end"/>
            </w:r>
          </w:hyperlink>
        </w:p>
        <w:p w14:paraId="43D96986" w14:textId="485ECE46" w:rsidR="003D339F" w:rsidRPr="003D339F" w:rsidRDefault="00B225BF">
          <w:pPr>
            <w:pStyle w:val="TOC2"/>
            <w:tabs>
              <w:tab w:val="right" w:leader="dot" w:pos="8873"/>
            </w:tabs>
            <w:rPr>
              <w:rFonts w:asciiTheme="minorHAnsi" w:eastAsiaTheme="minorEastAsia" w:hAnsiTheme="minorHAnsi"/>
              <w:noProof/>
              <w:color w:val="auto"/>
              <w:spacing w:val="0"/>
              <w:sz w:val="24"/>
              <w:szCs w:val="22"/>
              <w:lang w:val="en-AU" w:eastAsia="en-AU"/>
            </w:rPr>
          </w:pPr>
          <w:hyperlink w:anchor="_Toc535935073" w:history="1">
            <w:r w:rsidR="003D339F" w:rsidRPr="003D339F">
              <w:rPr>
                <w:rStyle w:val="Hyperlink"/>
                <w:noProof/>
                <w:sz w:val="22"/>
                <w:lang w:val="en-AU"/>
              </w:rPr>
              <w:t>Appendix B: Analysis of attendance and penalties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_Toc535935073 \h </w:instrText>
            </w:r>
            <w:r w:rsidR="003D339F" w:rsidRPr="003D339F">
              <w:rPr>
                <w:noProof/>
                <w:webHidden/>
                <w:sz w:val="22"/>
              </w:rPr>
            </w:r>
            <w:r w:rsidR="003D339F" w:rsidRPr="003D339F">
              <w:rPr>
                <w:noProof/>
                <w:webHidden/>
                <w:sz w:val="22"/>
              </w:rPr>
              <w:fldChar w:fldCharType="separate"/>
            </w:r>
            <w:r w:rsidR="0010545D">
              <w:rPr>
                <w:noProof/>
                <w:webHidden/>
                <w:sz w:val="22"/>
              </w:rPr>
              <w:t>83</w:t>
            </w:r>
            <w:r w:rsidR="003D339F" w:rsidRPr="003D339F">
              <w:rPr>
                <w:noProof/>
                <w:webHidden/>
                <w:sz w:val="22"/>
              </w:rPr>
              <w:fldChar w:fldCharType="end"/>
            </w:r>
          </w:hyperlink>
        </w:p>
        <w:p w14:paraId="1D0B18B4" w14:textId="69EAD9CA" w:rsidR="003D339F" w:rsidRDefault="00B225BF">
          <w:pPr>
            <w:pStyle w:val="TOC2"/>
            <w:tabs>
              <w:tab w:val="right" w:leader="dot" w:pos="8873"/>
            </w:tabs>
            <w:rPr>
              <w:rFonts w:asciiTheme="minorHAnsi" w:eastAsiaTheme="minorEastAsia" w:hAnsiTheme="minorHAnsi"/>
              <w:noProof/>
              <w:color w:val="auto"/>
              <w:spacing w:val="0"/>
              <w:sz w:val="22"/>
              <w:szCs w:val="22"/>
              <w:lang w:val="en-AU" w:eastAsia="en-AU"/>
            </w:rPr>
          </w:pPr>
          <w:hyperlink w:anchor="_Toc535935077" w:history="1">
            <w:r w:rsidR="003D339F" w:rsidRPr="003D339F">
              <w:rPr>
                <w:rStyle w:val="Hyperlink"/>
                <w:noProof/>
                <w:sz w:val="22"/>
                <w:lang w:val="en-AU"/>
              </w:rPr>
              <w:t>Appendix C: Analysis of employment outcomes</w:t>
            </w:r>
            <w:r w:rsidR="003D339F" w:rsidRPr="003D339F">
              <w:rPr>
                <w:noProof/>
                <w:webHidden/>
                <w:sz w:val="22"/>
              </w:rPr>
              <w:tab/>
            </w:r>
            <w:r w:rsidR="003D339F" w:rsidRPr="003D339F">
              <w:rPr>
                <w:noProof/>
                <w:webHidden/>
                <w:sz w:val="22"/>
              </w:rPr>
              <w:fldChar w:fldCharType="begin"/>
            </w:r>
            <w:r w:rsidR="003D339F" w:rsidRPr="003D339F">
              <w:rPr>
                <w:noProof/>
                <w:webHidden/>
                <w:sz w:val="22"/>
              </w:rPr>
              <w:instrText xml:space="preserve"> PAGEREF _Toc535935077 \h </w:instrText>
            </w:r>
            <w:r w:rsidR="003D339F" w:rsidRPr="003D339F">
              <w:rPr>
                <w:noProof/>
                <w:webHidden/>
                <w:sz w:val="22"/>
              </w:rPr>
            </w:r>
            <w:r w:rsidR="003D339F" w:rsidRPr="003D339F">
              <w:rPr>
                <w:noProof/>
                <w:webHidden/>
                <w:sz w:val="22"/>
              </w:rPr>
              <w:fldChar w:fldCharType="separate"/>
            </w:r>
            <w:r w:rsidR="0010545D">
              <w:rPr>
                <w:noProof/>
                <w:webHidden/>
                <w:sz w:val="22"/>
              </w:rPr>
              <w:t>91</w:t>
            </w:r>
            <w:r w:rsidR="003D339F" w:rsidRPr="003D339F">
              <w:rPr>
                <w:noProof/>
                <w:webHidden/>
                <w:sz w:val="22"/>
              </w:rPr>
              <w:fldChar w:fldCharType="end"/>
            </w:r>
          </w:hyperlink>
        </w:p>
        <w:p w14:paraId="42E6C874" w14:textId="1F8782F6" w:rsidR="003D339F" w:rsidRDefault="003D339F">
          <w:pPr>
            <w:pStyle w:val="TOC3"/>
            <w:tabs>
              <w:tab w:val="right" w:leader="dot" w:pos="8873"/>
            </w:tabs>
            <w:rPr>
              <w:rFonts w:asciiTheme="minorHAnsi" w:eastAsiaTheme="minorEastAsia" w:hAnsiTheme="minorHAnsi"/>
              <w:noProof/>
              <w:color w:val="auto"/>
              <w:spacing w:val="0"/>
              <w:sz w:val="22"/>
              <w:szCs w:val="22"/>
              <w:lang w:val="en-AU" w:eastAsia="en-AU"/>
            </w:rPr>
          </w:pPr>
        </w:p>
        <w:p w14:paraId="3FBF88B7" w14:textId="46FEE24B" w:rsidR="003D339F" w:rsidRDefault="003D339F">
          <w:r>
            <w:rPr>
              <w:b/>
              <w:bCs/>
              <w:noProof/>
            </w:rPr>
            <w:fldChar w:fldCharType="end"/>
          </w:r>
        </w:p>
      </w:sdtContent>
    </w:sdt>
    <w:p w14:paraId="1F4D1FAC" w14:textId="2562106D" w:rsidR="003D339F" w:rsidRDefault="003D339F">
      <w:pPr>
        <w:spacing w:after="160"/>
        <w:rPr>
          <w:rFonts w:ascii="Montserrat" w:hAnsi="Montserrat"/>
          <w:b/>
          <w:caps/>
          <w:color w:val="1C2B39" w:themeColor="accent1"/>
          <w:sz w:val="40"/>
          <w:lang w:val="en-AU"/>
        </w:rPr>
      </w:pPr>
      <w:r>
        <w:br w:type="page"/>
      </w:r>
    </w:p>
    <w:p w14:paraId="04166364" w14:textId="3C9FB8F8" w:rsidR="00BE0DAE" w:rsidRPr="00207DC2" w:rsidRDefault="00CB6E7D" w:rsidP="001C5031">
      <w:pPr>
        <w:pStyle w:val="ZED1"/>
        <w:outlineLvl w:val="1"/>
      </w:pPr>
      <w:bookmarkStart w:id="30" w:name="_Toc535935028"/>
      <w:r w:rsidRPr="00207DC2">
        <w:t>E</w:t>
      </w:r>
      <w:r w:rsidR="00BD26BB" w:rsidRPr="00207DC2">
        <w:t>xecutive</w:t>
      </w:r>
      <w:r w:rsidRPr="00207DC2">
        <w:t xml:space="preserve"> </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6118B" w:rsidRPr="00207DC2">
        <w:t>s</w:t>
      </w:r>
      <w:r w:rsidR="00BD26BB" w:rsidRPr="00207DC2">
        <w:t>ummary</w:t>
      </w:r>
      <w:bookmarkEnd w:id="25"/>
      <w:bookmarkEnd w:id="26"/>
      <w:bookmarkEnd w:id="27"/>
      <w:bookmarkEnd w:id="28"/>
      <w:bookmarkEnd w:id="30"/>
      <w:bookmarkEnd w:id="29"/>
    </w:p>
    <w:p w14:paraId="69EFB783" w14:textId="77777777" w:rsidR="003B591C" w:rsidRPr="00207DC2" w:rsidRDefault="005210E6" w:rsidP="005E3D8D">
      <w:pPr>
        <w:jc w:val="both"/>
        <w:rPr>
          <w:lang w:val="en-AU"/>
        </w:rPr>
      </w:pPr>
      <w:r w:rsidRPr="00207DC2">
        <w:rPr>
          <w:lang w:val="en-AU"/>
        </w:rPr>
        <w:t>The Community Development Programme (CDP) is an Australian Government employment and community development program</w:t>
      </w:r>
      <w:r w:rsidR="005E7EFC" w:rsidRPr="00207DC2">
        <w:rPr>
          <w:lang w:val="en-AU"/>
        </w:rPr>
        <w:t xml:space="preserve"> serv</w:t>
      </w:r>
      <w:r w:rsidR="00402DE0" w:rsidRPr="00207DC2">
        <w:rPr>
          <w:lang w:val="en-AU"/>
        </w:rPr>
        <w:t>ing</w:t>
      </w:r>
      <w:r w:rsidR="005E7EFC" w:rsidRPr="00207DC2">
        <w:rPr>
          <w:lang w:val="en-AU"/>
        </w:rPr>
        <w:t xml:space="preserve"> </w:t>
      </w:r>
      <w:r w:rsidR="000738A1" w:rsidRPr="00207DC2">
        <w:rPr>
          <w:lang w:val="en-AU"/>
        </w:rPr>
        <w:t>more than 1</w:t>
      </w:r>
      <w:r w:rsidR="003520E9" w:rsidRPr="00207DC2">
        <w:rPr>
          <w:lang w:val="en-AU"/>
        </w:rPr>
        <w:t>,</w:t>
      </w:r>
      <w:r w:rsidR="000738A1" w:rsidRPr="00207DC2">
        <w:rPr>
          <w:lang w:val="en-AU"/>
        </w:rPr>
        <w:t>000 remote communities across</w:t>
      </w:r>
      <w:r w:rsidR="005E7EFC" w:rsidRPr="00207DC2">
        <w:rPr>
          <w:lang w:val="en-AU"/>
        </w:rPr>
        <w:t xml:space="preserve"> Australia. </w:t>
      </w:r>
      <w:r w:rsidR="00AA6C7A" w:rsidRPr="00207DC2">
        <w:rPr>
          <w:lang w:val="en-AU"/>
        </w:rPr>
        <w:t xml:space="preserve">These are </w:t>
      </w:r>
      <w:r w:rsidR="00E96E00" w:rsidRPr="00207DC2">
        <w:rPr>
          <w:lang w:val="en-AU"/>
        </w:rPr>
        <w:t xml:space="preserve">typically small communities </w:t>
      </w:r>
      <w:r w:rsidR="000738A1" w:rsidRPr="00207DC2">
        <w:rPr>
          <w:lang w:val="en-AU"/>
        </w:rPr>
        <w:t>(more than three</w:t>
      </w:r>
      <w:r w:rsidR="0078001A" w:rsidRPr="00207DC2">
        <w:rPr>
          <w:lang w:val="en-AU"/>
        </w:rPr>
        <w:noBreakHyphen/>
      </w:r>
      <w:r w:rsidR="000738A1" w:rsidRPr="00207DC2">
        <w:rPr>
          <w:lang w:val="en-AU"/>
        </w:rPr>
        <w:t>quarters</w:t>
      </w:r>
      <w:r w:rsidR="00071AD1" w:rsidRPr="00207DC2">
        <w:rPr>
          <w:lang w:val="en-AU"/>
        </w:rPr>
        <w:t xml:space="preserve"> of which</w:t>
      </w:r>
      <w:r w:rsidR="000738A1" w:rsidRPr="00207DC2">
        <w:rPr>
          <w:lang w:val="en-AU"/>
        </w:rPr>
        <w:t xml:space="preserve"> h</w:t>
      </w:r>
      <w:r w:rsidR="00071AD1" w:rsidRPr="00207DC2">
        <w:rPr>
          <w:lang w:val="en-AU"/>
        </w:rPr>
        <w:t>ad a population of less than 50 </w:t>
      </w:r>
      <w:r w:rsidR="000738A1" w:rsidRPr="00207DC2">
        <w:rPr>
          <w:lang w:val="en-AU"/>
        </w:rPr>
        <w:t>people in 2011</w:t>
      </w:r>
      <w:r w:rsidR="005E11CF" w:rsidRPr="00207DC2">
        <w:rPr>
          <w:lang w:val="en-AU"/>
        </w:rPr>
        <w:t xml:space="preserve"> (PC 2017a)</w:t>
      </w:r>
      <w:r w:rsidR="000738A1" w:rsidRPr="00207DC2">
        <w:rPr>
          <w:lang w:val="en-AU"/>
        </w:rPr>
        <w:t xml:space="preserve">) </w:t>
      </w:r>
      <w:r w:rsidR="0078001A" w:rsidRPr="00207DC2">
        <w:rPr>
          <w:lang w:val="en-AU"/>
        </w:rPr>
        <w:t xml:space="preserve">and </w:t>
      </w:r>
      <w:r w:rsidR="00AA6C7A" w:rsidRPr="00207DC2">
        <w:rPr>
          <w:lang w:val="en-AU"/>
        </w:rPr>
        <w:t>are often characterised by limited labour market opportunities and limited access to services.</w:t>
      </w:r>
      <w:r w:rsidR="000738A1" w:rsidRPr="00207DC2">
        <w:rPr>
          <w:lang w:val="en-AU"/>
        </w:rPr>
        <w:t xml:space="preserve"> </w:t>
      </w:r>
    </w:p>
    <w:p w14:paraId="2C6001AB" w14:textId="1E4579A5" w:rsidR="00E40F87" w:rsidRPr="00207DC2" w:rsidRDefault="005E3D8D" w:rsidP="005E3D8D">
      <w:pPr>
        <w:jc w:val="both"/>
        <w:rPr>
          <w:lang w:val="en-AU"/>
        </w:rPr>
      </w:pPr>
      <w:r w:rsidRPr="00207DC2">
        <w:rPr>
          <w:lang w:val="en-AU"/>
        </w:rPr>
        <w:t xml:space="preserve">Many CDP participants face significant barriers to </w:t>
      </w:r>
      <w:r w:rsidR="006422A1">
        <w:rPr>
          <w:lang w:val="en-AU"/>
        </w:rPr>
        <w:t>employment</w:t>
      </w:r>
      <w:r w:rsidRPr="00207DC2">
        <w:rPr>
          <w:lang w:val="en-AU"/>
        </w:rPr>
        <w:t xml:space="preserve">. </w:t>
      </w:r>
      <w:r w:rsidR="0078001A" w:rsidRPr="00207DC2">
        <w:rPr>
          <w:lang w:val="en-AU"/>
        </w:rPr>
        <w:t>In March 2016, c</w:t>
      </w:r>
      <w:r w:rsidRPr="00207DC2">
        <w:rPr>
          <w:lang w:val="en-AU"/>
        </w:rPr>
        <w:t>lose to three in four participants were classifie</w:t>
      </w:r>
      <w:r w:rsidR="00FF7EDC" w:rsidRPr="00207DC2">
        <w:rPr>
          <w:lang w:val="en-AU"/>
        </w:rPr>
        <w:t xml:space="preserve">d as having </w:t>
      </w:r>
      <w:r w:rsidR="00FF7EDC" w:rsidRPr="00207DC2">
        <w:rPr>
          <w:i/>
          <w:lang w:val="en-AU"/>
        </w:rPr>
        <w:t>moderate to extreme</w:t>
      </w:r>
      <w:r w:rsidRPr="00207DC2">
        <w:rPr>
          <w:i/>
          <w:lang w:val="en-AU"/>
        </w:rPr>
        <w:t xml:space="preserve"> barriers</w:t>
      </w:r>
      <w:r w:rsidRPr="00207DC2">
        <w:rPr>
          <w:lang w:val="en-AU"/>
        </w:rPr>
        <w:t xml:space="preserve"> to employment based on the Job Seeker Classification Instrument. </w:t>
      </w:r>
      <w:r w:rsidR="007D6FE2" w:rsidRPr="00207DC2">
        <w:rPr>
          <w:lang w:val="en-AU"/>
        </w:rPr>
        <w:t xml:space="preserve">In part this reflects </w:t>
      </w:r>
      <w:r w:rsidR="00C54C3D" w:rsidRPr="00207DC2">
        <w:rPr>
          <w:lang w:val="en-AU"/>
        </w:rPr>
        <w:t>the high share of CDP participants living in very remote areas with limited labour market opportunities</w:t>
      </w:r>
      <w:r w:rsidR="00AA6C7A" w:rsidRPr="00207DC2">
        <w:rPr>
          <w:lang w:val="en-AU"/>
        </w:rPr>
        <w:t xml:space="preserve">. </w:t>
      </w:r>
      <w:r w:rsidR="00D623CD" w:rsidRPr="00207DC2">
        <w:rPr>
          <w:lang w:val="en-AU"/>
        </w:rPr>
        <w:t xml:space="preserve">Nearly </w:t>
      </w:r>
      <w:r w:rsidRPr="00207DC2">
        <w:rPr>
          <w:lang w:val="en-AU"/>
        </w:rPr>
        <w:t xml:space="preserve">70 per cent of participants live in very remote </w:t>
      </w:r>
      <w:r w:rsidR="006D75CD" w:rsidRPr="00207DC2">
        <w:rPr>
          <w:lang w:val="en-AU"/>
        </w:rPr>
        <w:t>Australia.</w:t>
      </w:r>
      <w:r w:rsidRPr="00207DC2">
        <w:rPr>
          <w:lang w:val="en-AU"/>
        </w:rPr>
        <w:t xml:space="preserve"> </w:t>
      </w:r>
      <w:r w:rsidR="006D75CD" w:rsidRPr="00207DC2">
        <w:rPr>
          <w:lang w:val="en-AU"/>
        </w:rPr>
        <w:t>O</w:t>
      </w:r>
      <w:r w:rsidRPr="00207DC2" w:rsidDel="00EF44C7">
        <w:rPr>
          <w:lang w:val="en-AU"/>
        </w:rPr>
        <w:t xml:space="preserve">f </w:t>
      </w:r>
      <w:r w:rsidR="006D75CD" w:rsidRPr="00207DC2">
        <w:rPr>
          <w:lang w:val="en-AU"/>
        </w:rPr>
        <w:t xml:space="preserve">those living in very remote locations, </w:t>
      </w:r>
      <w:r w:rsidR="00765847" w:rsidRPr="00207DC2">
        <w:rPr>
          <w:lang w:val="en-AU"/>
        </w:rPr>
        <w:t xml:space="preserve">over </w:t>
      </w:r>
      <w:r w:rsidRPr="00207DC2">
        <w:rPr>
          <w:lang w:val="en-AU"/>
        </w:rPr>
        <w:t>90</w:t>
      </w:r>
      <w:r w:rsidR="009D45A1" w:rsidRPr="00207DC2">
        <w:rPr>
          <w:lang w:val="en-AU"/>
        </w:rPr>
        <w:t> </w:t>
      </w:r>
      <w:r w:rsidRPr="00207DC2">
        <w:rPr>
          <w:lang w:val="en-AU"/>
        </w:rPr>
        <w:t>per</w:t>
      </w:r>
      <w:r w:rsidR="009D45A1" w:rsidRPr="00207DC2">
        <w:rPr>
          <w:lang w:val="en-AU"/>
        </w:rPr>
        <w:t> </w:t>
      </w:r>
      <w:r w:rsidRPr="00207DC2">
        <w:rPr>
          <w:lang w:val="en-AU"/>
        </w:rPr>
        <w:t xml:space="preserve">cent identified as </w:t>
      </w:r>
      <w:r w:rsidR="00C150CB" w:rsidRPr="00207DC2">
        <w:rPr>
          <w:lang w:val="en-AU"/>
        </w:rPr>
        <w:t>Aboriginal or Torres Strait Islander</w:t>
      </w:r>
      <w:r w:rsidRPr="00207DC2">
        <w:rPr>
          <w:lang w:val="en-AU"/>
        </w:rPr>
        <w:t>.</w:t>
      </w:r>
      <w:r w:rsidR="00704D96" w:rsidRPr="00207DC2">
        <w:rPr>
          <w:lang w:val="en-AU"/>
        </w:rPr>
        <w:t xml:space="preserve"> </w:t>
      </w:r>
    </w:p>
    <w:p w14:paraId="7A2CD83B" w14:textId="688AE050" w:rsidR="006D7BB4" w:rsidRPr="00207DC2" w:rsidRDefault="005E7EFC" w:rsidP="00163632">
      <w:pPr>
        <w:tabs>
          <w:tab w:val="left" w:pos="4678"/>
          <w:tab w:val="left" w:pos="5812"/>
          <w:tab w:val="left" w:pos="5954"/>
          <w:tab w:val="left" w:pos="6096"/>
        </w:tabs>
        <w:jc w:val="both"/>
        <w:rPr>
          <w:lang w:val="en-AU"/>
        </w:rPr>
      </w:pPr>
      <w:r w:rsidRPr="00207DC2">
        <w:rPr>
          <w:lang w:val="en-AU"/>
        </w:rPr>
        <w:t>Commencing</w:t>
      </w:r>
      <w:r w:rsidR="005210E6" w:rsidRPr="00207DC2">
        <w:rPr>
          <w:lang w:val="en-AU"/>
        </w:rPr>
        <w:t xml:space="preserve"> on 1 July 2015, </w:t>
      </w:r>
      <w:r w:rsidR="00FF7EDC" w:rsidRPr="00207DC2">
        <w:rPr>
          <w:lang w:val="en-AU"/>
        </w:rPr>
        <w:t>t</w:t>
      </w:r>
      <w:r w:rsidR="005210E6" w:rsidRPr="00207DC2">
        <w:rPr>
          <w:lang w:val="en-AU"/>
        </w:rPr>
        <w:t xml:space="preserve">he CDP was designed </w:t>
      </w:r>
      <w:r w:rsidR="00163632" w:rsidRPr="00207DC2">
        <w:rPr>
          <w:lang w:val="en-AU"/>
        </w:rPr>
        <w:t>to improve employment outcomes in remote communities by increasing partic</w:t>
      </w:r>
      <w:r w:rsidR="007A46B8" w:rsidRPr="00207DC2">
        <w:rPr>
          <w:lang w:val="en-AU"/>
        </w:rPr>
        <w:t>ipation in work-like activities,</w:t>
      </w:r>
      <w:r w:rsidR="00163632" w:rsidRPr="00207DC2">
        <w:rPr>
          <w:lang w:val="en-AU"/>
        </w:rPr>
        <w:t xml:space="preserve"> improving employability </w:t>
      </w:r>
      <w:r w:rsidR="00CE602C" w:rsidRPr="00207DC2">
        <w:rPr>
          <w:lang w:val="en-AU"/>
        </w:rPr>
        <w:t xml:space="preserve">and </w:t>
      </w:r>
      <w:r w:rsidR="007A46B8" w:rsidRPr="00207DC2">
        <w:rPr>
          <w:lang w:val="en-AU"/>
        </w:rPr>
        <w:t xml:space="preserve">increasing </w:t>
      </w:r>
      <w:r w:rsidR="005210E6" w:rsidRPr="00207DC2">
        <w:rPr>
          <w:lang w:val="en-AU"/>
        </w:rPr>
        <w:t>sustainable work transitions</w:t>
      </w:r>
      <w:r w:rsidR="00163632" w:rsidRPr="00207DC2">
        <w:rPr>
          <w:lang w:val="en-AU"/>
        </w:rPr>
        <w:t xml:space="preserve"> among program participants</w:t>
      </w:r>
      <w:r w:rsidR="005210E6" w:rsidRPr="00207DC2">
        <w:rPr>
          <w:lang w:val="en-AU"/>
        </w:rPr>
        <w:t>.</w:t>
      </w:r>
      <w:r w:rsidR="00CF75FA" w:rsidRPr="00207DC2">
        <w:rPr>
          <w:lang w:val="en-AU"/>
        </w:rPr>
        <w:t xml:space="preserve"> </w:t>
      </w:r>
      <w:r w:rsidR="006D7BB4" w:rsidRPr="00207DC2">
        <w:rPr>
          <w:szCs w:val="20"/>
          <w:lang w:val="en-AU"/>
        </w:rPr>
        <w:t>This report draws on administrative data to assess the effectiveness of the CDP in increasing partic</w:t>
      </w:r>
      <w:r w:rsidR="00163632" w:rsidRPr="00207DC2">
        <w:rPr>
          <w:szCs w:val="20"/>
          <w:lang w:val="en-AU"/>
        </w:rPr>
        <w:t>ipation in work-like activities</w:t>
      </w:r>
      <w:r w:rsidR="006D7BB4" w:rsidRPr="00207DC2">
        <w:rPr>
          <w:szCs w:val="20"/>
          <w:lang w:val="en-AU"/>
        </w:rPr>
        <w:t xml:space="preserve"> and improving employment outcomes over i</w:t>
      </w:r>
      <w:r w:rsidR="001839FC" w:rsidRPr="00207DC2">
        <w:rPr>
          <w:szCs w:val="20"/>
          <w:lang w:val="en-AU"/>
        </w:rPr>
        <w:t xml:space="preserve">ts first two years of operation. </w:t>
      </w:r>
      <w:r w:rsidR="006D7BB4" w:rsidRPr="00207DC2">
        <w:rPr>
          <w:lang w:val="en-AU"/>
        </w:rPr>
        <w:t xml:space="preserve">To better understand the broader </w:t>
      </w:r>
      <w:r w:rsidR="00146BDA" w:rsidRPr="00207DC2">
        <w:rPr>
          <w:lang w:val="en-AU"/>
        </w:rPr>
        <w:t xml:space="preserve">views </w:t>
      </w:r>
      <w:r w:rsidR="006D7BB4" w:rsidRPr="00207DC2">
        <w:rPr>
          <w:lang w:val="en-AU"/>
        </w:rPr>
        <w:t xml:space="preserve">and </w:t>
      </w:r>
      <w:r w:rsidR="00146BDA" w:rsidRPr="00207DC2">
        <w:rPr>
          <w:lang w:val="en-AU"/>
        </w:rPr>
        <w:t xml:space="preserve">possible </w:t>
      </w:r>
      <w:r w:rsidR="006D7BB4" w:rsidRPr="00207DC2">
        <w:rPr>
          <w:lang w:val="en-AU"/>
        </w:rPr>
        <w:t>contributing circumstances, fieldwork was also undertaken in eight remote communities. The</w:t>
      </w:r>
      <w:r w:rsidR="00C534B3" w:rsidRPr="00207DC2">
        <w:rPr>
          <w:lang w:val="en-AU"/>
        </w:rPr>
        <w:t xml:space="preserve"> </w:t>
      </w:r>
      <w:r w:rsidR="006D7BB4" w:rsidRPr="00207DC2">
        <w:rPr>
          <w:lang w:val="en-AU"/>
        </w:rPr>
        <w:t xml:space="preserve">fieldwork was undertaken by </w:t>
      </w:r>
      <w:r w:rsidR="00697B49" w:rsidRPr="00207DC2">
        <w:rPr>
          <w:lang w:val="en-AU"/>
        </w:rPr>
        <w:t>Winangali</w:t>
      </w:r>
      <w:r w:rsidR="006D7BB4" w:rsidRPr="00207DC2">
        <w:rPr>
          <w:lang w:val="en-AU"/>
        </w:rPr>
        <w:t xml:space="preserve"> in partnership with Ipsos</w:t>
      </w:r>
      <w:r w:rsidR="002D02CD" w:rsidRPr="00207DC2">
        <w:rPr>
          <w:lang w:val="en-AU"/>
        </w:rPr>
        <w:t xml:space="preserve"> (2018)</w:t>
      </w:r>
      <w:r w:rsidR="008C38D6" w:rsidRPr="00207DC2">
        <w:rPr>
          <w:lang w:val="en-AU"/>
        </w:rPr>
        <w:t xml:space="preserve">. </w:t>
      </w:r>
    </w:p>
    <w:p w14:paraId="25704AD8" w14:textId="509EA5B3" w:rsidR="006D7BB4" w:rsidRPr="008050A9" w:rsidRDefault="00775584" w:rsidP="001C5031">
      <w:pPr>
        <w:pStyle w:val="ZED3"/>
        <w:outlineLvl w:val="2"/>
        <w:rPr>
          <w:caps/>
        </w:rPr>
      </w:pPr>
      <w:bookmarkStart w:id="31" w:name="_Toc534965149"/>
      <w:bookmarkStart w:id="32" w:name="_Toc535935029"/>
      <w:r w:rsidRPr="008050A9">
        <w:t>Enrolment</w:t>
      </w:r>
      <w:r w:rsidR="00215E2E" w:rsidRPr="008050A9">
        <w:t xml:space="preserve"> and </w:t>
      </w:r>
      <w:r w:rsidR="00E46C60" w:rsidRPr="008050A9">
        <w:t>attendance</w:t>
      </w:r>
      <w:r w:rsidR="00215E2E" w:rsidRPr="008050A9">
        <w:t xml:space="preserve"> </w:t>
      </w:r>
      <w:r w:rsidR="007F0104" w:rsidRPr="008050A9">
        <w:t xml:space="preserve">in </w:t>
      </w:r>
      <w:r w:rsidR="00150F26" w:rsidRPr="008050A9">
        <w:t>activities</w:t>
      </w:r>
      <w:bookmarkEnd w:id="31"/>
      <w:bookmarkEnd w:id="32"/>
      <w:r w:rsidR="00150F26" w:rsidRPr="008050A9">
        <w:t xml:space="preserve"> </w:t>
      </w:r>
    </w:p>
    <w:p w14:paraId="5FF3FA3D" w14:textId="5F9E284C" w:rsidR="008415E4" w:rsidRPr="00207DC2" w:rsidRDefault="008415E4" w:rsidP="008C38D6">
      <w:pPr>
        <w:tabs>
          <w:tab w:val="left" w:pos="5245"/>
        </w:tabs>
        <w:jc w:val="both"/>
        <w:rPr>
          <w:lang w:val="en-AU"/>
        </w:rPr>
      </w:pPr>
      <w:r w:rsidRPr="00207DC2">
        <w:rPr>
          <w:lang w:val="en-AU"/>
        </w:rPr>
        <w:t>The introduction of</w:t>
      </w:r>
      <w:r w:rsidR="0049237F" w:rsidRPr="00207DC2">
        <w:rPr>
          <w:lang w:val="en-AU"/>
        </w:rPr>
        <w:t xml:space="preserve"> the</w:t>
      </w:r>
      <w:r w:rsidRPr="00207DC2">
        <w:rPr>
          <w:lang w:val="en-AU"/>
        </w:rPr>
        <w:t xml:space="preserve"> CDP in mid-2015 brought a range of changes to remote community and employment services. </w:t>
      </w:r>
      <w:r w:rsidR="00E210AB" w:rsidRPr="00207DC2">
        <w:rPr>
          <w:lang w:val="en-AU"/>
        </w:rPr>
        <w:t>T</w:t>
      </w:r>
      <w:r w:rsidR="001839FC" w:rsidRPr="00207DC2">
        <w:rPr>
          <w:lang w:val="en-AU"/>
        </w:rPr>
        <w:t>his included</w:t>
      </w:r>
      <w:r w:rsidRPr="00207DC2">
        <w:rPr>
          <w:lang w:val="en-AU"/>
        </w:rPr>
        <w:t xml:space="preserve"> </w:t>
      </w:r>
      <w:r w:rsidR="001839FC" w:rsidRPr="00207DC2">
        <w:rPr>
          <w:lang w:val="en-AU"/>
        </w:rPr>
        <w:t>an increased</w:t>
      </w:r>
      <w:r w:rsidRPr="00207DC2">
        <w:rPr>
          <w:lang w:val="en-AU"/>
        </w:rPr>
        <w:t xml:space="preserve"> focus on ensuring that participants are engaged in</w:t>
      </w:r>
      <w:r w:rsidR="00907353" w:rsidRPr="00207DC2">
        <w:rPr>
          <w:lang w:val="en-AU"/>
        </w:rPr>
        <w:t xml:space="preserve"> a routine of </w:t>
      </w:r>
      <w:r w:rsidR="008C38D6" w:rsidRPr="00207DC2">
        <w:rPr>
          <w:lang w:val="en-AU"/>
        </w:rPr>
        <w:t xml:space="preserve">work-like </w:t>
      </w:r>
      <w:r w:rsidRPr="00207DC2">
        <w:rPr>
          <w:lang w:val="en-AU"/>
        </w:rPr>
        <w:t>activit</w:t>
      </w:r>
      <w:r w:rsidR="008C38D6" w:rsidRPr="00207DC2">
        <w:rPr>
          <w:lang w:val="en-AU"/>
        </w:rPr>
        <w:t>y</w:t>
      </w:r>
      <w:r w:rsidR="00993729" w:rsidRPr="00207DC2">
        <w:rPr>
          <w:lang w:val="en-AU"/>
        </w:rPr>
        <w:t xml:space="preserve"> </w:t>
      </w:r>
      <w:r w:rsidR="0025287E" w:rsidRPr="00207DC2">
        <w:rPr>
          <w:lang w:val="en-AU"/>
        </w:rPr>
        <w:t>for</w:t>
      </w:r>
      <w:r w:rsidR="00E210AB" w:rsidRPr="00207DC2">
        <w:rPr>
          <w:lang w:val="en-AU"/>
        </w:rPr>
        <w:t xml:space="preserve"> up to 25 hours a week, across a five day week, year round</w:t>
      </w:r>
      <w:r w:rsidR="00E210AB" w:rsidRPr="00207DC2">
        <w:rPr>
          <w:rFonts w:eastAsiaTheme="minorEastAsia"/>
          <w:lang w:val="en-AU"/>
        </w:rPr>
        <w:t>.</w:t>
      </w:r>
      <w:r w:rsidR="00E210AB" w:rsidRPr="00207DC2">
        <w:rPr>
          <w:lang w:val="en-AU"/>
        </w:rPr>
        <w:t xml:space="preserve"> </w:t>
      </w:r>
      <w:r w:rsidRPr="00207DC2">
        <w:rPr>
          <w:lang w:val="en-AU"/>
        </w:rPr>
        <w:t xml:space="preserve">At the same time, broader changes to the compliance framework enabled providers to </w:t>
      </w:r>
      <w:r w:rsidR="00FF7EDC" w:rsidRPr="00207DC2">
        <w:rPr>
          <w:lang w:val="en-AU"/>
        </w:rPr>
        <w:t xml:space="preserve">make greater </w:t>
      </w:r>
      <w:r w:rsidRPr="00207DC2">
        <w:rPr>
          <w:lang w:val="en-AU"/>
        </w:rPr>
        <w:t>use</w:t>
      </w:r>
      <w:r w:rsidR="00FF7EDC" w:rsidRPr="00207DC2">
        <w:rPr>
          <w:lang w:val="en-AU"/>
        </w:rPr>
        <w:t xml:space="preserve"> of</w:t>
      </w:r>
      <w:r w:rsidRPr="00207DC2">
        <w:rPr>
          <w:lang w:val="en-AU"/>
        </w:rPr>
        <w:t xml:space="preserve"> </w:t>
      </w:r>
      <w:r w:rsidR="0022699F" w:rsidRPr="00207DC2">
        <w:rPr>
          <w:lang w:val="en-AU"/>
        </w:rPr>
        <w:t xml:space="preserve">payment </w:t>
      </w:r>
      <w:r w:rsidRPr="00207DC2">
        <w:rPr>
          <w:lang w:val="en-AU"/>
        </w:rPr>
        <w:t xml:space="preserve">suspensions and financial penalties to </w:t>
      </w:r>
      <w:r w:rsidR="00AA48B6" w:rsidRPr="00207DC2">
        <w:rPr>
          <w:lang w:val="en-AU"/>
        </w:rPr>
        <w:t xml:space="preserve">increase </w:t>
      </w:r>
      <w:r w:rsidR="007D1B73" w:rsidRPr="00207DC2">
        <w:rPr>
          <w:lang w:val="en-AU"/>
        </w:rPr>
        <w:t>attendance</w:t>
      </w:r>
      <w:r w:rsidR="00C15456" w:rsidRPr="00207DC2">
        <w:rPr>
          <w:lang w:val="en-AU"/>
        </w:rPr>
        <w:t>.</w:t>
      </w:r>
      <w:r w:rsidR="009A797B" w:rsidRPr="00207DC2">
        <w:rPr>
          <w:rStyle w:val="FootnoteReference"/>
          <w:lang w:val="en-AU"/>
        </w:rPr>
        <w:footnoteReference w:id="2"/>
      </w:r>
      <w:r w:rsidRPr="00207DC2">
        <w:rPr>
          <w:lang w:val="en-AU"/>
        </w:rPr>
        <w:t xml:space="preserve"> </w:t>
      </w:r>
    </w:p>
    <w:p w14:paraId="03577A4D" w14:textId="435D9E13" w:rsidR="00B01806" w:rsidRPr="00207DC2" w:rsidRDefault="00907353" w:rsidP="00F90009">
      <w:pPr>
        <w:tabs>
          <w:tab w:val="left" w:pos="4395"/>
        </w:tabs>
        <w:jc w:val="both"/>
        <w:rPr>
          <w:lang w:val="en-AU"/>
        </w:rPr>
      </w:pPr>
      <w:r w:rsidRPr="00207DC2">
        <w:rPr>
          <w:lang w:val="en-AU"/>
        </w:rPr>
        <w:t xml:space="preserve">The proportion of remote income support recipients enrolled </w:t>
      </w:r>
      <w:r w:rsidR="003E7169" w:rsidRPr="00207DC2">
        <w:rPr>
          <w:lang w:val="en-AU"/>
        </w:rPr>
        <w:t>in</w:t>
      </w:r>
      <w:r w:rsidRPr="00207DC2">
        <w:rPr>
          <w:lang w:val="en-AU"/>
        </w:rPr>
        <w:t xml:space="preserve"> </w:t>
      </w:r>
      <w:r w:rsidR="00CF75FA" w:rsidRPr="00207DC2">
        <w:rPr>
          <w:lang w:val="en-AU"/>
        </w:rPr>
        <w:t>Work for Dole and other activities</w:t>
      </w:r>
      <w:r w:rsidRPr="00207DC2">
        <w:rPr>
          <w:lang w:val="en-AU"/>
        </w:rPr>
        <w:t xml:space="preserve"> </w:t>
      </w:r>
      <w:r w:rsidR="00381F11" w:rsidRPr="00207DC2">
        <w:rPr>
          <w:lang w:val="en-AU"/>
        </w:rPr>
        <w:t xml:space="preserve">steadily increased under </w:t>
      </w:r>
      <w:r w:rsidR="0049237F" w:rsidRPr="00207DC2">
        <w:rPr>
          <w:lang w:val="en-AU"/>
        </w:rPr>
        <w:t>the Remote Jobs and Communities Program (</w:t>
      </w:r>
      <w:r w:rsidR="00381F11" w:rsidRPr="00207DC2">
        <w:rPr>
          <w:lang w:val="en-AU"/>
        </w:rPr>
        <w:t>RJCP</w:t>
      </w:r>
      <w:r w:rsidR="0049237F" w:rsidRPr="00207DC2">
        <w:rPr>
          <w:lang w:val="en-AU"/>
        </w:rPr>
        <w:t>)</w:t>
      </w:r>
      <w:r w:rsidR="00381F11" w:rsidRPr="00207DC2">
        <w:rPr>
          <w:lang w:val="en-AU"/>
        </w:rPr>
        <w:t xml:space="preserve"> and </w:t>
      </w:r>
      <w:r w:rsidRPr="00207DC2">
        <w:rPr>
          <w:lang w:val="en-AU"/>
        </w:rPr>
        <w:t xml:space="preserve">has </w:t>
      </w:r>
      <w:r w:rsidR="00381F11" w:rsidRPr="00207DC2">
        <w:rPr>
          <w:lang w:val="en-AU"/>
        </w:rPr>
        <w:t xml:space="preserve">further </w:t>
      </w:r>
      <w:r w:rsidRPr="00207DC2">
        <w:rPr>
          <w:lang w:val="en-AU"/>
        </w:rPr>
        <w:t xml:space="preserve">increased </w:t>
      </w:r>
      <w:r w:rsidR="00D4524F" w:rsidRPr="00207DC2">
        <w:rPr>
          <w:lang w:val="en-AU"/>
        </w:rPr>
        <w:t xml:space="preserve">under </w:t>
      </w:r>
      <w:r w:rsidR="0049237F" w:rsidRPr="00207DC2">
        <w:rPr>
          <w:lang w:val="en-AU"/>
        </w:rPr>
        <w:t>the</w:t>
      </w:r>
      <w:r w:rsidRPr="00207DC2">
        <w:rPr>
          <w:lang w:val="en-AU"/>
        </w:rPr>
        <w:t xml:space="preserve"> CDP</w:t>
      </w:r>
      <w:r w:rsidR="00CF75FA" w:rsidRPr="00207DC2">
        <w:rPr>
          <w:lang w:val="en-AU"/>
        </w:rPr>
        <w:t xml:space="preserve">. Among those enrolled, the majority </w:t>
      </w:r>
      <w:r w:rsidR="00781A4C" w:rsidRPr="00207DC2">
        <w:rPr>
          <w:lang w:val="en-AU"/>
        </w:rPr>
        <w:t>(</w:t>
      </w:r>
      <w:r w:rsidR="00CF75FA" w:rsidRPr="00207DC2">
        <w:rPr>
          <w:lang w:val="en-AU"/>
        </w:rPr>
        <w:t>between 70 and 80 per cent</w:t>
      </w:r>
      <w:r w:rsidR="00781A4C" w:rsidRPr="00207DC2">
        <w:rPr>
          <w:lang w:val="en-AU"/>
        </w:rPr>
        <w:t>)</w:t>
      </w:r>
      <w:r w:rsidR="00CF75FA" w:rsidRPr="00207DC2">
        <w:rPr>
          <w:lang w:val="en-AU"/>
        </w:rPr>
        <w:t xml:space="preserve"> attend or provide a valid reason for not attending on any given day. </w:t>
      </w:r>
      <w:r w:rsidR="008C38D6" w:rsidRPr="00207DC2">
        <w:rPr>
          <w:lang w:val="en-AU"/>
        </w:rPr>
        <w:t>The</w:t>
      </w:r>
      <w:r w:rsidR="009348B0" w:rsidRPr="00207DC2">
        <w:rPr>
          <w:lang w:val="en-AU"/>
        </w:rPr>
        <w:t xml:space="preserve"> remaining 20 to 30 per cent do not attend and do not provide a valid reason for not attending</w:t>
      </w:r>
      <w:r w:rsidR="0097166B" w:rsidRPr="00207DC2">
        <w:rPr>
          <w:lang w:val="en-AU"/>
        </w:rPr>
        <w:t xml:space="preserve"> (invalid non</w:t>
      </w:r>
      <w:r w:rsidR="0097166B" w:rsidRPr="00207DC2">
        <w:rPr>
          <w:lang w:val="en-AU"/>
        </w:rPr>
        <w:noBreakHyphen/>
        <w:t>attendance)</w:t>
      </w:r>
      <w:r w:rsidR="009348B0" w:rsidRPr="00207DC2">
        <w:rPr>
          <w:lang w:val="en-AU"/>
        </w:rPr>
        <w:t xml:space="preserve">. </w:t>
      </w:r>
      <w:r w:rsidR="0097166B" w:rsidRPr="00207DC2">
        <w:rPr>
          <w:lang w:val="en-AU"/>
        </w:rPr>
        <w:t>Y</w:t>
      </w:r>
      <w:r w:rsidR="00CF75FA" w:rsidRPr="00207DC2">
        <w:rPr>
          <w:lang w:val="en-AU"/>
        </w:rPr>
        <w:t>ounger participant</w:t>
      </w:r>
      <w:r w:rsidR="0044774D" w:rsidRPr="00207DC2">
        <w:rPr>
          <w:lang w:val="en-AU"/>
        </w:rPr>
        <w:t>s</w:t>
      </w:r>
      <w:r w:rsidR="00CF75FA" w:rsidRPr="00207DC2">
        <w:rPr>
          <w:lang w:val="en-AU"/>
        </w:rPr>
        <w:t xml:space="preserve"> and some subgroups facing</w:t>
      </w:r>
      <w:r w:rsidR="00412059" w:rsidRPr="00207DC2">
        <w:rPr>
          <w:lang w:val="en-AU"/>
        </w:rPr>
        <w:t xml:space="preserve"> </w:t>
      </w:r>
      <w:r w:rsidR="00CF75FA" w:rsidRPr="00207DC2">
        <w:rPr>
          <w:lang w:val="en-AU"/>
        </w:rPr>
        <w:t>barrier</w:t>
      </w:r>
      <w:r w:rsidR="00AA2169" w:rsidRPr="00207DC2">
        <w:rPr>
          <w:lang w:val="en-AU"/>
        </w:rPr>
        <w:t>s</w:t>
      </w:r>
      <w:r w:rsidR="00CF75FA" w:rsidRPr="00207DC2">
        <w:rPr>
          <w:lang w:val="en-AU"/>
        </w:rPr>
        <w:t xml:space="preserve"> to </w:t>
      </w:r>
      <w:r w:rsidR="00412059" w:rsidRPr="00207DC2">
        <w:rPr>
          <w:lang w:val="en-AU"/>
        </w:rPr>
        <w:t xml:space="preserve">employment and </w:t>
      </w:r>
      <w:r w:rsidR="00CF75FA" w:rsidRPr="00207DC2">
        <w:rPr>
          <w:lang w:val="en-AU"/>
        </w:rPr>
        <w:t>participation</w:t>
      </w:r>
      <w:r w:rsidRPr="00207DC2">
        <w:rPr>
          <w:lang w:val="en-AU"/>
        </w:rPr>
        <w:t xml:space="preserve"> – including those </w:t>
      </w:r>
      <w:r w:rsidR="003D5B27" w:rsidRPr="00207DC2">
        <w:rPr>
          <w:lang w:val="en-AU"/>
        </w:rPr>
        <w:t>with no post</w:t>
      </w:r>
      <w:r w:rsidR="003E6F0A" w:rsidRPr="00207DC2">
        <w:rPr>
          <w:lang w:val="en-AU"/>
        </w:rPr>
        <w:t>-</w:t>
      </w:r>
      <w:r w:rsidR="003D5B27" w:rsidRPr="00207DC2">
        <w:rPr>
          <w:lang w:val="en-AU"/>
        </w:rPr>
        <w:t xml:space="preserve">school education, </w:t>
      </w:r>
      <w:r w:rsidR="00D10B7D" w:rsidRPr="00207DC2">
        <w:rPr>
          <w:lang w:val="en-AU"/>
        </w:rPr>
        <w:t xml:space="preserve">those with a criminal conviction, </w:t>
      </w:r>
      <w:r w:rsidR="003D5B27" w:rsidRPr="00207DC2">
        <w:rPr>
          <w:lang w:val="en-AU"/>
        </w:rPr>
        <w:t>those with no private transport,</w:t>
      </w:r>
      <w:r w:rsidR="0044774D" w:rsidRPr="00207DC2">
        <w:rPr>
          <w:lang w:val="en-AU"/>
        </w:rPr>
        <w:t xml:space="preserve"> and</w:t>
      </w:r>
      <w:r w:rsidR="003D5B27" w:rsidRPr="00207DC2">
        <w:rPr>
          <w:lang w:val="en-AU"/>
        </w:rPr>
        <w:t xml:space="preserve"> those</w:t>
      </w:r>
      <w:r w:rsidRPr="00207DC2">
        <w:rPr>
          <w:lang w:val="en-AU"/>
        </w:rPr>
        <w:t xml:space="preserve"> </w:t>
      </w:r>
      <w:r w:rsidR="002125BD" w:rsidRPr="00207DC2">
        <w:rPr>
          <w:lang w:val="en-AU"/>
        </w:rPr>
        <w:t xml:space="preserve">who </w:t>
      </w:r>
      <w:r w:rsidRPr="00207DC2">
        <w:rPr>
          <w:lang w:val="en-AU"/>
        </w:rPr>
        <w:t>are not contactable by phone</w:t>
      </w:r>
      <w:r w:rsidR="002125BD" w:rsidRPr="00207DC2">
        <w:rPr>
          <w:lang w:val="en-AU"/>
        </w:rPr>
        <w:t xml:space="preserve"> – </w:t>
      </w:r>
      <w:r w:rsidR="00CF75FA" w:rsidRPr="00207DC2">
        <w:rPr>
          <w:lang w:val="en-AU"/>
        </w:rPr>
        <w:t xml:space="preserve">are </w:t>
      </w:r>
      <w:r w:rsidR="009F26F6" w:rsidRPr="00207DC2">
        <w:rPr>
          <w:lang w:val="en-AU"/>
        </w:rPr>
        <w:t xml:space="preserve">more likely to not attend without a valid reason. </w:t>
      </w:r>
    </w:p>
    <w:p w14:paraId="068F8F47" w14:textId="3E386AB8" w:rsidR="00BB26FA" w:rsidRPr="00207DC2" w:rsidRDefault="00BC3B05" w:rsidP="00F90009">
      <w:pPr>
        <w:tabs>
          <w:tab w:val="left" w:pos="4395"/>
        </w:tabs>
        <w:jc w:val="both"/>
        <w:rPr>
          <w:lang w:val="en-AU"/>
        </w:rPr>
      </w:pPr>
      <w:r w:rsidRPr="00207DC2">
        <w:rPr>
          <w:lang w:val="en-AU"/>
        </w:rPr>
        <w:t>Communicat</w:t>
      </w:r>
      <w:r w:rsidR="00D12D91" w:rsidRPr="00207DC2">
        <w:rPr>
          <w:lang w:val="en-AU"/>
        </w:rPr>
        <w:t>i</w:t>
      </w:r>
      <w:r w:rsidRPr="00207DC2">
        <w:rPr>
          <w:lang w:val="en-AU"/>
        </w:rPr>
        <w:t>on and h</w:t>
      </w:r>
      <w:r w:rsidR="00396C53" w:rsidRPr="00207DC2">
        <w:rPr>
          <w:lang w:val="en-AU"/>
        </w:rPr>
        <w:t xml:space="preserve">ealth issues may play </w:t>
      </w:r>
      <w:r w:rsidR="009318DA" w:rsidRPr="00207DC2">
        <w:rPr>
          <w:lang w:val="en-AU"/>
        </w:rPr>
        <w:t>a</w:t>
      </w:r>
      <w:r w:rsidR="00396C53" w:rsidRPr="00207DC2">
        <w:rPr>
          <w:lang w:val="en-AU"/>
        </w:rPr>
        <w:t xml:space="preserve"> role in explaining</w:t>
      </w:r>
      <w:r w:rsidR="008D6CED" w:rsidRPr="00207DC2">
        <w:rPr>
          <w:lang w:val="en-AU"/>
        </w:rPr>
        <w:t xml:space="preserve"> high rates of</w:t>
      </w:r>
      <w:r w:rsidR="00396C53" w:rsidRPr="00207DC2">
        <w:rPr>
          <w:lang w:val="en-AU"/>
        </w:rPr>
        <w:t xml:space="preserve"> </w:t>
      </w:r>
      <w:r w:rsidRPr="00207DC2">
        <w:rPr>
          <w:i/>
          <w:lang w:val="en-AU"/>
        </w:rPr>
        <w:t>invalid non</w:t>
      </w:r>
      <w:r w:rsidRPr="00207DC2">
        <w:rPr>
          <w:i/>
          <w:lang w:val="en-AU"/>
        </w:rPr>
        <w:noBreakHyphen/>
      </w:r>
      <w:r w:rsidR="00396C53" w:rsidRPr="00207DC2">
        <w:rPr>
          <w:i/>
          <w:lang w:val="en-AU"/>
        </w:rPr>
        <w:t>attendance</w:t>
      </w:r>
      <w:r w:rsidR="00396C53" w:rsidRPr="00207DC2">
        <w:rPr>
          <w:lang w:val="en-AU"/>
        </w:rPr>
        <w:t xml:space="preserve"> among some</w:t>
      </w:r>
      <w:r w:rsidR="00690303" w:rsidRPr="00207DC2">
        <w:rPr>
          <w:lang w:val="en-AU"/>
        </w:rPr>
        <w:t xml:space="preserve">, </w:t>
      </w:r>
      <w:r w:rsidR="00E12191" w:rsidRPr="00207DC2">
        <w:rPr>
          <w:lang w:val="en-AU"/>
        </w:rPr>
        <w:t>particularly</w:t>
      </w:r>
      <w:r w:rsidR="00690303" w:rsidRPr="00207DC2">
        <w:rPr>
          <w:lang w:val="en-AU"/>
        </w:rPr>
        <w:t xml:space="preserve"> Indigenous,</w:t>
      </w:r>
      <w:r w:rsidR="00396C53" w:rsidRPr="00207DC2">
        <w:rPr>
          <w:lang w:val="en-AU"/>
        </w:rPr>
        <w:t xml:space="preserve"> CDP participants.</w:t>
      </w:r>
      <w:r w:rsidR="00422BC8" w:rsidRPr="00207DC2">
        <w:rPr>
          <w:lang w:val="en-AU"/>
        </w:rPr>
        <w:t xml:space="preserve"> </w:t>
      </w:r>
    </w:p>
    <w:p w14:paraId="6E64D044" w14:textId="0A8F2164" w:rsidR="002C12C8" w:rsidRPr="00207DC2" w:rsidRDefault="00B01806" w:rsidP="00324FDC">
      <w:pPr>
        <w:tabs>
          <w:tab w:val="left" w:pos="4395"/>
        </w:tabs>
        <w:jc w:val="both"/>
        <w:rPr>
          <w:lang w:val="en-AU"/>
        </w:rPr>
      </w:pPr>
      <w:r w:rsidRPr="00207DC2">
        <w:rPr>
          <w:lang w:val="en-AU"/>
        </w:rPr>
        <w:t>In the fieldwork</w:t>
      </w:r>
      <w:r w:rsidR="00F90009" w:rsidRPr="00207DC2">
        <w:rPr>
          <w:lang w:val="en-AU"/>
        </w:rPr>
        <w:t xml:space="preserve">, stakeholders reported that some participants had undetected health barriers due to lack of adequate assessments (Winangali and Ipsos 2018). Further, while people identifying as Indigenous and those living in remote locations have a higher burden of disease (AIHW 2016), </w:t>
      </w:r>
      <w:r w:rsidR="00724801" w:rsidRPr="00207DC2">
        <w:rPr>
          <w:lang w:val="en-AU"/>
        </w:rPr>
        <w:t xml:space="preserve">those living in CDP regions </w:t>
      </w:r>
      <w:r w:rsidR="00F90009" w:rsidRPr="00207DC2">
        <w:rPr>
          <w:lang w:val="en-AU"/>
        </w:rPr>
        <w:t>ha</w:t>
      </w:r>
      <w:r w:rsidR="00724801" w:rsidRPr="00207DC2">
        <w:rPr>
          <w:lang w:val="en-AU"/>
        </w:rPr>
        <w:t>ve</w:t>
      </w:r>
      <w:r w:rsidR="00F90009" w:rsidRPr="00207DC2">
        <w:rPr>
          <w:lang w:val="en-AU"/>
        </w:rPr>
        <w:t xml:space="preserve"> a </w:t>
      </w:r>
      <w:r w:rsidR="00037A9C" w:rsidRPr="00207DC2">
        <w:rPr>
          <w:lang w:val="en-AU"/>
        </w:rPr>
        <w:t>relatively</w:t>
      </w:r>
      <w:r w:rsidR="00F90009" w:rsidRPr="00207DC2">
        <w:rPr>
          <w:lang w:val="en-AU"/>
        </w:rPr>
        <w:t xml:space="preserve"> low rate of medical exemption from their mutual obligation requirements. I</w:t>
      </w:r>
      <w:r w:rsidR="002125BD" w:rsidRPr="00207DC2">
        <w:rPr>
          <w:lang w:val="en-AU"/>
        </w:rPr>
        <w:t xml:space="preserve">n June 2017, </w:t>
      </w:r>
      <w:r w:rsidR="0024170E" w:rsidRPr="00207DC2">
        <w:rPr>
          <w:lang w:val="en-AU"/>
        </w:rPr>
        <w:t xml:space="preserve">only </w:t>
      </w:r>
      <w:r w:rsidR="00E0035C" w:rsidRPr="00207DC2">
        <w:rPr>
          <w:lang w:val="en-AU"/>
        </w:rPr>
        <w:t>five</w:t>
      </w:r>
      <w:r w:rsidR="00396C53" w:rsidRPr="00207DC2">
        <w:rPr>
          <w:lang w:val="en-AU"/>
        </w:rPr>
        <w:t xml:space="preserve"> per cent of </w:t>
      </w:r>
      <w:r w:rsidR="00903A7A">
        <w:rPr>
          <w:lang w:val="en-AU"/>
        </w:rPr>
        <w:t>activity-tested</w:t>
      </w:r>
      <w:r w:rsidR="00876171" w:rsidRPr="00207DC2">
        <w:rPr>
          <w:lang w:val="en-AU"/>
        </w:rPr>
        <w:t xml:space="preserve"> </w:t>
      </w:r>
      <w:r w:rsidR="00396C53" w:rsidRPr="00207DC2">
        <w:rPr>
          <w:lang w:val="en-AU"/>
        </w:rPr>
        <w:t xml:space="preserve">income support recipients living in </w:t>
      </w:r>
      <w:r w:rsidR="00876171" w:rsidRPr="00207DC2">
        <w:rPr>
          <w:lang w:val="en-AU"/>
        </w:rPr>
        <w:t>CDP regions had a medical exemption</w:t>
      </w:r>
      <w:r w:rsidR="00F90009" w:rsidRPr="00207DC2">
        <w:rPr>
          <w:lang w:val="en-AU"/>
        </w:rPr>
        <w:t>,</w:t>
      </w:r>
      <w:r w:rsidR="00422BC8" w:rsidRPr="00207DC2">
        <w:rPr>
          <w:lang w:val="en-AU"/>
        </w:rPr>
        <w:t xml:space="preserve"> </w:t>
      </w:r>
      <w:r w:rsidR="00396C53" w:rsidRPr="00207DC2">
        <w:rPr>
          <w:lang w:val="en-AU"/>
        </w:rPr>
        <w:t xml:space="preserve">compared </w:t>
      </w:r>
      <w:r w:rsidR="00E0035C" w:rsidRPr="00207DC2">
        <w:rPr>
          <w:lang w:val="en-AU"/>
        </w:rPr>
        <w:t xml:space="preserve">with </w:t>
      </w:r>
      <w:r w:rsidR="00F90009" w:rsidRPr="00207DC2">
        <w:rPr>
          <w:lang w:val="en-AU"/>
        </w:rPr>
        <w:t>ten</w:t>
      </w:r>
      <w:r w:rsidR="00876171" w:rsidRPr="00207DC2">
        <w:rPr>
          <w:lang w:val="en-AU"/>
        </w:rPr>
        <w:t xml:space="preserve"> per cent of </w:t>
      </w:r>
      <w:r w:rsidR="00396C53" w:rsidRPr="00207DC2">
        <w:rPr>
          <w:lang w:val="en-AU"/>
        </w:rPr>
        <w:t>those living in non</w:t>
      </w:r>
      <w:r w:rsidR="00CD5616" w:rsidRPr="00207DC2">
        <w:rPr>
          <w:lang w:val="en-AU"/>
        </w:rPr>
        <w:noBreakHyphen/>
      </w:r>
      <w:r w:rsidR="00396C53" w:rsidRPr="00207DC2">
        <w:rPr>
          <w:lang w:val="en-AU"/>
        </w:rPr>
        <w:t>CDP regions.</w:t>
      </w:r>
      <w:r w:rsidR="00A0507B" w:rsidRPr="00207DC2">
        <w:rPr>
          <w:lang w:val="en-AU"/>
        </w:rPr>
        <w:t xml:space="preserve"> </w:t>
      </w:r>
      <w:r w:rsidR="00FC0892" w:rsidRPr="00207DC2">
        <w:rPr>
          <w:lang w:val="en-AU"/>
        </w:rPr>
        <w:t xml:space="preserve">For those living in CDP </w:t>
      </w:r>
      <w:r w:rsidR="00663B11">
        <w:rPr>
          <w:lang w:val="en-AU"/>
        </w:rPr>
        <w:t>regions</w:t>
      </w:r>
      <w:r w:rsidR="00FC0892" w:rsidRPr="00207DC2">
        <w:rPr>
          <w:lang w:val="en-AU"/>
        </w:rPr>
        <w:t xml:space="preserve"> who identify as Indigenous, t</w:t>
      </w:r>
      <w:r w:rsidR="00A0507B" w:rsidRPr="00207DC2">
        <w:rPr>
          <w:lang w:val="en-AU"/>
        </w:rPr>
        <w:t>h</w:t>
      </w:r>
      <w:r w:rsidR="00FF7EDC" w:rsidRPr="00207DC2">
        <w:rPr>
          <w:lang w:val="en-AU"/>
        </w:rPr>
        <w:t xml:space="preserve">e rate of medical exemptions was only </w:t>
      </w:r>
      <w:r w:rsidR="00A0507B" w:rsidRPr="00207DC2">
        <w:rPr>
          <w:lang w:val="en-AU"/>
        </w:rPr>
        <w:t>three per cent.</w:t>
      </w:r>
      <w:r w:rsidR="0037318A" w:rsidRPr="00207DC2">
        <w:rPr>
          <w:lang w:val="en-AU"/>
        </w:rPr>
        <w:t xml:space="preserve"> </w:t>
      </w:r>
    </w:p>
    <w:p w14:paraId="32217EB3" w14:textId="28C80119" w:rsidR="00761733" w:rsidRPr="00207DC2" w:rsidRDefault="00876171" w:rsidP="00F90009">
      <w:pPr>
        <w:tabs>
          <w:tab w:val="left" w:pos="4395"/>
        </w:tabs>
        <w:jc w:val="both"/>
        <w:rPr>
          <w:lang w:val="en-AU"/>
        </w:rPr>
      </w:pPr>
      <w:r w:rsidRPr="00207DC2">
        <w:rPr>
          <w:lang w:val="en-AU"/>
        </w:rPr>
        <w:t xml:space="preserve">Better </w:t>
      </w:r>
      <w:r w:rsidR="00CF75FA" w:rsidRPr="00207DC2">
        <w:rPr>
          <w:lang w:val="en-AU"/>
        </w:rPr>
        <w:t xml:space="preserve">assessments of CDP participants </w:t>
      </w:r>
      <w:r w:rsidRPr="00207DC2">
        <w:rPr>
          <w:lang w:val="en-AU"/>
        </w:rPr>
        <w:t>in remote areas</w:t>
      </w:r>
      <w:r w:rsidR="00396552">
        <w:rPr>
          <w:lang w:val="en-AU"/>
        </w:rPr>
        <w:t xml:space="preserve"> – </w:t>
      </w:r>
      <w:r w:rsidR="00555125" w:rsidRPr="00207DC2">
        <w:rPr>
          <w:lang w:val="en-AU"/>
        </w:rPr>
        <w:t>including</w:t>
      </w:r>
      <w:r w:rsidR="00F90009" w:rsidRPr="00207DC2">
        <w:rPr>
          <w:lang w:val="en-AU"/>
        </w:rPr>
        <w:t xml:space="preserve"> increased access to medical assessments</w:t>
      </w:r>
      <w:r w:rsidR="00396552">
        <w:rPr>
          <w:lang w:val="en-AU"/>
        </w:rPr>
        <w:t xml:space="preserve"> – </w:t>
      </w:r>
      <w:r w:rsidR="00CF75FA" w:rsidRPr="00207DC2">
        <w:rPr>
          <w:lang w:val="en-AU"/>
        </w:rPr>
        <w:t xml:space="preserve">could </w:t>
      </w:r>
      <w:r w:rsidR="00130971" w:rsidRPr="00207DC2">
        <w:rPr>
          <w:lang w:val="en-AU"/>
        </w:rPr>
        <w:t xml:space="preserve">help to </w:t>
      </w:r>
      <w:r w:rsidR="00CF75FA" w:rsidRPr="00207DC2">
        <w:rPr>
          <w:lang w:val="en-AU"/>
        </w:rPr>
        <w:t>ensure th</w:t>
      </w:r>
      <w:r w:rsidR="003E7169" w:rsidRPr="00207DC2">
        <w:rPr>
          <w:lang w:val="en-AU"/>
        </w:rPr>
        <w:t>at</w:t>
      </w:r>
      <w:r w:rsidR="00CF75FA" w:rsidRPr="00207DC2">
        <w:rPr>
          <w:lang w:val="en-AU"/>
        </w:rPr>
        <w:t xml:space="preserve"> </w:t>
      </w:r>
      <w:r w:rsidR="003E7169" w:rsidRPr="00207DC2">
        <w:rPr>
          <w:lang w:val="en-AU"/>
        </w:rPr>
        <w:t>participants’</w:t>
      </w:r>
      <w:r w:rsidR="00CF75FA" w:rsidRPr="00207DC2">
        <w:rPr>
          <w:lang w:val="en-AU"/>
        </w:rPr>
        <w:t xml:space="preserve"> attendance requirements match their abilities, and that potential barriers to participation are identified. </w:t>
      </w:r>
    </w:p>
    <w:p w14:paraId="21C4AA8A" w14:textId="58A45DAC" w:rsidR="004A15FE" w:rsidRPr="00207DC2" w:rsidRDefault="009E2641" w:rsidP="00042856">
      <w:pPr>
        <w:jc w:val="both"/>
        <w:rPr>
          <w:lang w:val="en-AU"/>
        </w:rPr>
      </w:pPr>
      <w:r w:rsidRPr="00207DC2">
        <w:rPr>
          <w:lang w:val="en-AU"/>
        </w:rPr>
        <w:t xml:space="preserve">Since January 2016, in any one quarter, approximately 60 per cent of CDP participants </w:t>
      </w:r>
      <w:r w:rsidR="00F117A3" w:rsidRPr="00207DC2">
        <w:rPr>
          <w:lang w:val="en-AU"/>
        </w:rPr>
        <w:t>r</w:t>
      </w:r>
      <w:r w:rsidR="00994451" w:rsidRPr="00207DC2">
        <w:rPr>
          <w:lang w:val="en-AU"/>
        </w:rPr>
        <w:t xml:space="preserve">eceived </w:t>
      </w:r>
      <w:r w:rsidRPr="00207DC2">
        <w:rPr>
          <w:lang w:val="en-AU"/>
        </w:rPr>
        <w:t xml:space="preserve">at least one suspension, and </w:t>
      </w:r>
      <w:r w:rsidR="00FF7EDC" w:rsidRPr="00207DC2">
        <w:rPr>
          <w:lang w:val="en-AU"/>
        </w:rPr>
        <w:t xml:space="preserve">a third of participants received </w:t>
      </w:r>
      <w:r w:rsidRPr="00207DC2">
        <w:rPr>
          <w:lang w:val="en-AU"/>
        </w:rPr>
        <w:t>one o</w:t>
      </w:r>
      <w:r w:rsidR="00FF7EDC" w:rsidRPr="00207DC2">
        <w:rPr>
          <w:lang w:val="en-AU"/>
        </w:rPr>
        <w:t xml:space="preserve">r more </w:t>
      </w:r>
      <w:r w:rsidR="00FA1A25" w:rsidRPr="00207DC2">
        <w:rPr>
          <w:lang w:val="en-AU"/>
        </w:rPr>
        <w:t xml:space="preserve">financial </w:t>
      </w:r>
      <w:r w:rsidR="00FF7EDC" w:rsidRPr="00207DC2">
        <w:rPr>
          <w:lang w:val="en-AU"/>
        </w:rPr>
        <w:t>penalties</w:t>
      </w:r>
      <w:r w:rsidRPr="00207DC2">
        <w:rPr>
          <w:lang w:val="en-AU"/>
        </w:rPr>
        <w:t xml:space="preserve">. </w:t>
      </w:r>
      <w:r w:rsidR="00E40A60" w:rsidRPr="00207DC2">
        <w:rPr>
          <w:rFonts w:cstheme="minorHAnsi"/>
          <w:lang w:val="en-AU"/>
        </w:rPr>
        <w:t>Among</w:t>
      </w:r>
      <w:r w:rsidR="00A759AF" w:rsidRPr="00207DC2">
        <w:rPr>
          <w:rFonts w:cstheme="minorHAnsi"/>
          <w:lang w:val="en-AU"/>
        </w:rPr>
        <w:t xml:space="preserve"> those penalised, </w:t>
      </w:r>
      <w:r w:rsidR="000E4875" w:rsidRPr="00207DC2">
        <w:rPr>
          <w:lang w:val="en-AU"/>
        </w:rPr>
        <w:t xml:space="preserve">there is considerable variation in the </w:t>
      </w:r>
      <w:r w:rsidR="005B6558" w:rsidRPr="00207DC2">
        <w:rPr>
          <w:lang w:val="en-AU"/>
        </w:rPr>
        <w:t xml:space="preserve">proportion </w:t>
      </w:r>
      <w:r w:rsidR="000E4875" w:rsidRPr="00207DC2">
        <w:rPr>
          <w:lang w:val="en-AU"/>
        </w:rPr>
        <w:t xml:space="preserve">of </w:t>
      </w:r>
      <w:r w:rsidR="00B712F2" w:rsidRPr="00207DC2">
        <w:rPr>
          <w:lang w:val="en-AU"/>
        </w:rPr>
        <w:t xml:space="preserve">Australian Government </w:t>
      </w:r>
      <w:r w:rsidR="00C35BEF" w:rsidRPr="00207DC2">
        <w:rPr>
          <w:lang w:val="en-AU"/>
        </w:rPr>
        <w:t xml:space="preserve">payments </w:t>
      </w:r>
      <w:r w:rsidR="000E4875" w:rsidRPr="00207DC2">
        <w:rPr>
          <w:lang w:val="en-AU"/>
        </w:rPr>
        <w:t xml:space="preserve">lost to penalties. </w:t>
      </w:r>
      <w:r w:rsidR="00DD6F3B" w:rsidRPr="00207DC2">
        <w:rPr>
          <w:lang w:val="en-AU"/>
        </w:rPr>
        <w:t>Since mid-2016, i</w:t>
      </w:r>
      <w:r w:rsidR="009C4E81" w:rsidRPr="00207DC2">
        <w:rPr>
          <w:lang w:val="en-AU"/>
        </w:rPr>
        <w:t>n any one quarter, a</w:t>
      </w:r>
      <w:r w:rsidR="00E40A60" w:rsidRPr="00207DC2">
        <w:rPr>
          <w:lang w:val="en-AU"/>
        </w:rPr>
        <w:t>round half of those penalised lost less than five</w:t>
      </w:r>
      <w:r w:rsidR="00DD6F3B" w:rsidRPr="00207DC2">
        <w:rPr>
          <w:lang w:val="en-AU"/>
        </w:rPr>
        <w:t> </w:t>
      </w:r>
      <w:r w:rsidR="00E40A60" w:rsidRPr="00207DC2">
        <w:rPr>
          <w:lang w:val="en-AU"/>
        </w:rPr>
        <w:t>per</w:t>
      </w:r>
      <w:r w:rsidR="00DD6F3B" w:rsidRPr="00207DC2">
        <w:rPr>
          <w:lang w:val="en-AU"/>
        </w:rPr>
        <w:t> </w:t>
      </w:r>
      <w:r w:rsidR="00E40A60" w:rsidRPr="00207DC2">
        <w:rPr>
          <w:lang w:val="en-AU"/>
        </w:rPr>
        <w:t>cent of their Australian Government payments. However</w:t>
      </w:r>
      <w:r w:rsidR="00E40A60" w:rsidRPr="00207DC2" w:rsidDel="00DD6F3B">
        <w:rPr>
          <w:lang w:val="en-AU"/>
        </w:rPr>
        <w:t xml:space="preserve">, </w:t>
      </w:r>
      <w:r w:rsidR="004A15FE" w:rsidRPr="00207DC2">
        <w:rPr>
          <w:lang w:val="en-AU"/>
        </w:rPr>
        <w:t xml:space="preserve">just under </w:t>
      </w:r>
      <w:r w:rsidR="000E4875" w:rsidRPr="00207DC2">
        <w:rPr>
          <w:lang w:val="en-AU"/>
        </w:rPr>
        <w:t>one in ten penalised participants lost twenty</w:t>
      </w:r>
      <w:r w:rsidR="00E40A60" w:rsidRPr="00207DC2">
        <w:rPr>
          <w:lang w:val="en-AU"/>
        </w:rPr>
        <w:t> </w:t>
      </w:r>
      <w:r w:rsidR="000E4875" w:rsidRPr="00207DC2">
        <w:rPr>
          <w:lang w:val="en-AU"/>
        </w:rPr>
        <w:t>per</w:t>
      </w:r>
      <w:r w:rsidR="00E40A60" w:rsidRPr="00207DC2">
        <w:rPr>
          <w:lang w:val="en-AU"/>
        </w:rPr>
        <w:t> </w:t>
      </w:r>
      <w:r w:rsidR="000E4875" w:rsidRPr="00207DC2">
        <w:rPr>
          <w:lang w:val="en-AU"/>
        </w:rPr>
        <w:t>cent or more of their payments</w:t>
      </w:r>
      <w:r w:rsidR="000E4875" w:rsidRPr="00207DC2" w:rsidDel="00BB26FA">
        <w:rPr>
          <w:lang w:val="en-AU"/>
        </w:rPr>
        <w:t xml:space="preserve"> </w:t>
      </w:r>
      <w:r w:rsidR="000E4875" w:rsidRPr="00207DC2">
        <w:rPr>
          <w:lang w:val="en-AU"/>
        </w:rPr>
        <w:t xml:space="preserve">– this equates to </w:t>
      </w:r>
      <w:r w:rsidR="004A15FE" w:rsidRPr="00207DC2">
        <w:rPr>
          <w:lang w:val="en-AU"/>
        </w:rPr>
        <w:t>between two and three </w:t>
      </w:r>
      <w:r w:rsidR="000E4875" w:rsidRPr="00207DC2">
        <w:rPr>
          <w:lang w:val="en-AU"/>
        </w:rPr>
        <w:t>per</w:t>
      </w:r>
      <w:r w:rsidR="004A15FE" w:rsidRPr="00207DC2">
        <w:rPr>
          <w:lang w:val="en-AU"/>
        </w:rPr>
        <w:t> </w:t>
      </w:r>
      <w:r w:rsidR="000E4875" w:rsidRPr="00207DC2">
        <w:rPr>
          <w:lang w:val="en-AU"/>
        </w:rPr>
        <w:t>cent of all CDP participants per quarter</w:t>
      </w:r>
      <w:r w:rsidR="00E40A60" w:rsidRPr="00207DC2">
        <w:rPr>
          <w:lang w:val="en-AU"/>
        </w:rPr>
        <w:t xml:space="preserve">. </w:t>
      </w:r>
    </w:p>
    <w:p w14:paraId="1FAC31F5" w14:textId="0277A1E0" w:rsidR="005053A1" w:rsidRPr="00207DC2" w:rsidRDefault="00663B11" w:rsidP="003B61AA">
      <w:pPr>
        <w:tabs>
          <w:tab w:val="left" w:pos="6804"/>
        </w:tabs>
        <w:jc w:val="both"/>
        <w:rPr>
          <w:lang w:val="en-AU"/>
        </w:rPr>
      </w:pPr>
      <w:r>
        <w:rPr>
          <w:lang w:val="en-AU"/>
        </w:rPr>
        <w:t>Y</w:t>
      </w:r>
      <w:r w:rsidR="004E156F" w:rsidRPr="00207DC2">
        <w:rPr>
          <w:lang w:val="en-AU"/>
        </w:rPr>
        <w:t>ounger participants</w:t>
      </w:r>
      <w:r w:rsidR="00022F38" w:rsidRPr="00207DC2">
        <w:rPr>
          <w:lang w:val="en-AU"/>
        </w:rPr>
        <w:t>, men</w:t>
      </w:r>
      <w:r w:rsidR="004E156F" w:rsidRPr="00207DC2">
        <w:rPr>
          <w:lang w:val="en-AU"/>
        </w:rPr>
        <w:t xml:space="preserve"> and </w:t>
      </w:r>
      <w:r w:rsidR="00BD38C8" w:rsidRPr="00207DC2">
        <w:rPr>
          <w:lang w:val="en-AU"/>
        </w:rPr>
        <w:t xml:space="preserve">some sub-groups </w:t>
      </w:r>
      <w:r w:rsidR="000877AD" w:rsidRPr="00207DC2">
        <w:rPr>
          <w:lang w:val="en-AU"/>
        </w:rPr>
        <w:t>with</w:t>
      </w:r>
      <w:r w:rsidR="004E156F" w:rsidRPr="00207DC2">
        <w:rPr>
          <w:lang w:val="en-AU"/>
        </w:rPr>
        <w:t xml:space="preserve"> a range of</w:t>
      </w:r>
      <w:r w:rsidR="000877AD" w:rsidRPr="00207DC2">
        <w:rPr>
          <w:lang w:val="en-AU"/>
        </w:rPr>
        <w:t xml:space="preserve"> </w:t>
      </w:r>
      <w:r w:rsidR="007C69CE" w:rsidRPr="00207DC2">
        <w:rPr>
          <w:lang w:val="en-AU"/>
        </w:rPr>
        <w:t xml:space="preserve">reported </w:t>
      </w:r>
      <w:r w:rsidR="00D159F9" w:rsidRPr="00207DC2">
        <w:rPr>
          <w:lang w:val="en-AU"/>
        </w:rPr>
        <w:t>participation</w:t>
      </w:r>
      <w:r w:rsidR="00D4524F" w:rsidRPr="00207DC2">
        <w:rPr>
          <w:lang w:val="en-AU"/>
        </w:rPr>
        <w:t xml:space="preserve"> </w:t>
      </w:r>
      <w:r w:rsidR="0037318A" w:rsidRPr="00207DC2">
        <w:rPr>
          <w:lang w:val="en-AU"/>
        </w:rPr>
        <w:t>barriers</w:t>
      </w:r>
      <w:r w:rsidR="00D159F9" w:rsidRPr="00207DC2">
        <w:rPr>
          <w:lang w:val="en-AU"/>
        </w:rPr>
        <w:t xml:space="preserve">, </w:t>
      </w:r>
      <w:r w:rsidR="007228CB" w:rsidRPr="00207DC2">
        <w:rPr>
          <w:lang w:val="en-AU"/>
        </w:rPr>
        <w:t xml:space="preserve">were more </w:t>
      </w:r>
      <w:r w:rsidR="00E46C60" w:rsidRPr="00207DC2">
        <w:rPr>
          <w:lang w:val="en-AU"/>
        </w:rPr>
        <w:t>likely</w:t>
      </w:r>
      <w:r w:rsidR="007228CB" w:rsidRPr="00207DC2">
        <w:rPr>
          <w:lang w:val="en-AU"/>
        </w:rPr>
        <w:t xml:space="preserve"> to be penalised</w:t>
      </w:r>
      <w:r w:rsidR="00BD38C8" w:rsidRPr="00207DC2">
        <w:rPr>
          <w:lang w:val="en-AU"/>
        </w:rPr>
        <w:t xml:space="preserve">. </w:t>
      </w:r>
      <w:r w:rsidR="000877AD" w:rsidRPr="00207DC2">
        <w:rPr>
          <w:lang w:val="en-AU"/>
        </w:rPr>
        <w:t xml:space="preserve">These groups </w:t>
      </w:r>
      <w:r w:rsidR="00FC0892" w:rsidRPr="00207DC2">
        <w:rPr>
          <w:lang w:val="en-AU"/>
        </w:rPr>
        <w:t>were more like</w:t>
      </w:r>
      <w:r w:rsidR="00CD41B4" w:rsidRPr="00207DC2">
        <w:rPr>
          <w:lang w:val="en-AU"/>
        </w:rPr>
        <w:t>l</w:t>
      </w:r>
      <w:r w:rsidR="00FC0892" w:rsidRPr="00207DC2">
        <w:rPr>
          <w:lang w:val="en-AU"/>
        </w:rPr>
        <w:t xml:space="preserve">y </w:t>
      </w:r>
      <w:r w:rsidR="00ED6A95" w:rsidRPr="00207DC2">
        <w:rPr>
          <w:lang w:val="en-AU"/>
        </w:rPr>
        <w:t xml:space="preserve">to </w:t>
      </w:r>
      <w:r w:rsidR="00ED6A95" w:rsidRPr="00207DC2" w:rsidDel="00BD38C8">
        <w:rPr>
          <w:lang w:val="en-AU"/>
        </w:rPr>
        <w:t>be</w:t>
      </w:r>
      <w:r w:rsidR="00CD41B4" w:rsidRPr="00207DC2" w:rsidDel="00BD38C8">
        <w:rPr>
          <w:lang w:val="en-AU"/>
        </w:rPr>
        <w:t xml:space="preserve"> </w:t>
      </w:r>
      <w:r w:rsidR="00FC0892" w:rsidRPr="00207DC2" w:rsidDel="00BD38C8">
        <w:rPr>
          <w:lang w:val="en-AU"/>
        </w:rPr>
        <w:t xml:space="preserve">impacted by </w:t>
      </w:r>
      <w:r w:rsidR="00832C65" w:rsidRPr="00207DC2" w:rsidDel="00BD38C8">
        <w:rPr>
          <w:lang w:val="en-AU"/>
        </w:rPr>
        <w:t xml:space="preserve">penalties in terms of </w:t>
      </w:r>
      <w:r w:rsidR="000877AD" w:rsidRPr="00207DC2" w:rsidDel="00BD38C8">
        <w:rPr>
          <w:lang w:val="en-AU"/>
        </w:rPr>
        <w:t xml:space="preserve">both </w:t>
      </w:r>
      <w:r w:rsidR="00832C65" w:rsidRPr="00207DC2" w:rsidDel="00BD38C8">
        <w:rPr>
          <w:lang w:val="en-AU"/>
        </w:rPr>
        <w:t>frequency and the total</w:t>
      </w:r>
      <w:r w:rsidR="00F75852">
        <w:rPr>
          <w:lang w:val="en-AU"/>
        </w:rPr>
        <w:t xml:space="preserve"> amount</w:t>
      </w:r>
      <w:r w:rsidR="00832C65" w:rsidRPr="00207DC2" w:rsidDel="00BD38C8">
        <w:rPr>
          <w:lang w:val="en-AU"/>
        </w:rPr>
        <w:t xml:space="preserve"> lost to penalties</w:t>
      </w:r>
      <w:r w:rsidR="00E87008" w:rsidRPr="00207DC2" w:rsidDel="00BD38C8">
        <w:rPr>
          <w:lang w:val="en-AU"/>
        </w:rPr>
        <w:t>.</w:t>
      </w:r>
      <w:r w:rsidR="00A378E7" w:rsidRPr="00207DC2" w:rsidDel="00BD38C8">
        <w:rPr>
          <w:lang w:val="en-AU"/>
        </w:rPr>
        <w:t xml:space="preserve"> </w:t>
      </w:r>
    </w:p>
    <w:p w14:paraId="3997F615" w14:textId="739D854B" w:rsidR="007A24B1" w:rsidRPr="00207DC2" w:rsidRDefault="005053A1" w:rsidP="0031293B">
      <w:pPr>
        <w:jc w:val="both"/>
        <w:rPr>
          <w:lang w:val="en-AU"/>
        </w:rPr>
      </w:pPr>
      <w:r w:rsidRPr="00207DC2">
        <w:rPr>
          <w:lang w:val="en-AU"/>
        </w:rPr>
        <w:t xml:space="preserve">The fieldwork </w:t>
      </w:r>
      <w:r w:rsidR="005D3315" w:rsidRPr="00207DC2">
        <w:rPr>
          <w:lang w:val="en-AU"/>
        </w:rPr>
        <w:t>suggest</w:t>
      </w:r>
      <w:r w:rsidR="008E7C32" w:rsidRPr="00207DC2">
        <w:rPr>
          <w:lang w:val="en-AU"/>
        </w:rPr>
        <w:t>s</w:t>
      </w:r>
      <w:r w:rsidR="005D3315" w:rsidRPr="00207DC2">
        <w:rPr>
          <w:lang w:val="en-AU"/>
        </w:rPr>
        <w:t xml:space="preserve"> </w:t>
      </w:r>
      <w:r w:rsidRPr="00207DC2">
        <w:rPr>
          <w:lang w:val="en-AU"/>
        </w:rPr>
        <w:t xml:space="preserve">that part of the reason for high rates of penalties among participants with barriers to participation is that many </w:t>
      </w:r>
      <w:r w:rsidR="00CA3090" w:rsidRPr="00207DC2">
        <w:rPr>
          <w:lang w:val="en-AU"/>
        </w:rPr>
        <w:t xml:space="preserve">do not </w:t>
      </w:r>
      <w:r w:rsidR="009C62D0" w:rsidRPr="00207DC2">
        <w:rPr>
          <w:lang w:val="en-AU"/>
        </w:rPr>
        <w:t xml:space="preserve">fully </w:t>
      </w:r>
      <w:r w:rsidRPr="00207DC2">
        <w:rPr>
          <w:lang w:val="en-AU"/>
        </w:rPr>
        <w:t>understand the compliance system</w:t>
      </w:r>
      <w:r w:rsidR="00CA3090" w:rsidRPr="00207DC2">
        <w:rPr>
          <w:lang w:val="en-AU"/>
        </w:rPr>
        <w:t>,</w:t>
      </w:r>
      <w:r w:rsidRPr="00207DC2">
        <w:rPr>
          <w:lang w:val="en-AU"/>
        </w:rPr>
        <w:t xml:space="preserve"> and </w:t>
      </w:r>
      <w:r w:rsidR="00CA3090" w:rsidRPr="00207DC2">
        <w:rPr>
          <w:lang w:val="en-AU"/>
        </w:rPr>
        <w:t xml:space="preserve">have </w:t>
      </w:r>
      <w:r w:rsidRPr="00207DC2">
        <w:rPr>
          <w:lang w:val="en-AU"/>
        </w:rPr>
        <w:t xml:space="preserve">difficulty communicating with </w:t>
      </w:r>
      <w:r w:rsidR="005D3315" w:rsidRPr="00207DC2">
        <w:rPr>
          <w:lang w:val="en-AU"/>
        </w:rPr>
        <w:t>the Department of Human Services</w:t>
      </w:r>
      <w:r w:rsidRPr="00207DC2">
        <w:rPr>
          <w:lang w:val="en-AU"/>
        </w:rPr>
        <w:t xml:space="preserve"> or their provider when they have a valid reason for not attending (Winangali and Ipsos 2018). There is, therefore, a potential role for CDP providers to focus on preventing and managing non-compliance through improved communication and co</w:t>
      </w:r>
      <w:r w:rsidRPr="00207DC2">
        <w:rPr>
          <w:lang w:val="en-AU"/>
        </w:rPr>
        <w:noBreakHyphen/>
        <w:t>ordination of contact between the Department of Human Services and participants.</w:t>
      </w:r>
    </w:p>
    <w:p w14:paraId="7EB1DA2D" w14:textId="77777777" w:rsidR="007131C9" w:rsidRPr="008050A9" w:rsidRDefault="000B116D" w:rsidP="001C5031">
      <w:pPr>
        <w:pStyle w:val="ZED3"/>
        <w:outlineLvl w:val="2"/>
        <w:rPr>
          <w:caps/>
        </w:rPr>
      </w:pPr>
      <w:bookmarkStart w:id="33" w:name="_Toc534965150"/>
      <w:bookmarkStart w:id="34" w:name="_Toc535935030"/>
      <w:r w:rsidRPr="008050A9">
        <w:t xml:space="preserve">Participation </w:t>
      </w:r>
      <w:r w:rsidR="007131C9" w:rsidRPr="008050A9">
        <w:t>in the program</w:t>
      </w:r>
      <w:bookmarkEnd w:id="33"/>
      <w:bookmarkEnd w:id="34"/>
    </w:p>
    <w:p w14:paraId="080BF25A" w14:textId="77777777" w:rsidR="007131C9" w:rsidRPr="00207DC2" w:rsidRDefault="00D45D2C" w:rsidP="001D2355">
      <w:pPr>
        <w:spacing w:before="120" w:after="120"/>
        <w:jc w:val="both"/>
        <w:rPr>
          <w:lang w:val="en-AU"/>
        </w:rPr>
      </w:pPr>
      <w:r w:rsidRPr="00207DC2">
        <w:rPr>
          <w:lang w:val="en-AU"/>
        </w:rPr>
        <w:t>To the extent that</w:t>
      </w:r>
      <w:r w:rsidR="008A73E0" w:rsidRPr="00207DC2">
        <w:rPr>
          <w:lang w:val="en-AU"/>
        </w:rPr>
        <w:t xml:space="preserve"> p</w:t>
      </w:r>
      <w:r w:rsidR="00C3793A" w:rsidRPr="00207DC2">
        <w:rPr>
          <w:lang w:val="en-AU"/>
        </w:rPr>
        <w:t xml:space="preserve">enalties </w:t>
      </w:r>
      <w:r w:rsidR="00A82892" w:rsidRPr="00207DC2">
        <w:rPr>
          <w:lang w:val="en-AU"/>
        </w:rPr>
        <w:t>encourag</w:t>
      </w:r>
      <w:r w:rsidR="008A73E0" w:rsidRPr="00207DC2">
        <w:rPr>
          <w:lang w:val="en-AU"/>
        </w:rPr>
        <w:t>e</w:t>
      </w:r>
      <w:r w:rsidR="00A82892" w:rsidRPr="00207DC2">
        <w:rPr>
          <w:lang w:val="en-AU"/>
        </w:rPr>
        <w:t xml:space="preserve"> participation in </w:t>
      </w:r>
      <w:r w:rsidR="00A82892" w:rsidRPr="00207DC2">
        <w:rPr>
          <w:rFonts w:cstheme="minorHAnsi"/>
          <w:lang w:val="en-AU"/>
        </w:rPr>
        <w:t xml:space="preserve">Work for the Dole </w:t>
      </w:r>
      <w:r w:rsidR="00FF7EDC" w:rsidRPr="00207DC2">
        <w:rPr>
          <w:rFonts w:cstheme="minorHAnsi"/>
          <w:lang w:val="en-AU"/>
        </w:rPr>
        <w:t xml:space="preserve">and other program </w:t>
      </w:r>
      <w:r w:rsidR="00A82892" w:rsidRPr="00207DC2">
        <w:rPr>
          <w:rFonts w:cstheme="minorHAnsi"/>
          <w:lang w:val="en-AU"/>
        </w:rPr>
        <w:t>activities</w:t>
      </w:r>
      <w:r w:rsidR="00A82892" w:rsidRPr="00207DC2">
        <w:rPr>
          <w:lang w:val="en-AU"/>
        </w:rPr>
        <w:t xml:space="preserve">, </w:t>
      </w:r>
      <w:r w:rsidRPr="00207DC2">
        <w:rPr>
          <w:lang w:val="en-AU"/>
        </w:rPr>
        <w:t>penalties</w:t>
      </w:r>
      <w:r w:rsidR="00694386" w:rsidRPr="00207DC2">
        <w:rPr>
          <w:lang w:val="en-AU"/>
        </w:rPr>
        <w:t xml:space="preserve"> </w:t>
      </w:r>
      <w:r w:rsidR="00A82892" w:rsidRPr="00207DC2">
        <w:rPr>
          <w:lang w:val="en-AU"/>
        </w:rPr>
        <w:t>have the potential to support the development of skills and confidence for jobseekers and improve employment outcomes.</w:t>
      </w:r>
      <w:r w:rsidR="004D75D3" w:rsidRPr="00207DC2">
        <w:rPr>
          <w:lang w:val="en-AU"/>
        </w:rPr>
        <w:t xml:space="preserve"> </w:t>
      </w:r>
    </w:p>
    <w:p w14:paraId="089C51D5" w14:textId="43A7648B" w:rsidR="001D2355" w:rsidRPr="00207DC2" w:rsidRDefault="00605C50" w:rsidP="001D2355">
      <w:pPr>
        <w:spacing w:before="120" w:after="120"/>
        <w:jc w:val="both"/>
        <w:rPr>
          <w:lang w:val="en-AU"/>
        </w:rPr>
      </w:pPr>
      <w:r w:rsidRPr="00207DC2">
        <w:rPr>
          <w:lang w:val="en-AU"/>
        </w:rPr>
        <w:t>D</w:t>
      </w:r>
      <w:r w:rsidR="008433CC" w:rsidRPr="00207DC2">
        <w:rPr>
          <w:lang w:val="en-AU"/>
        </w:rPr>
        <w:t>a</w:t>
      </w:r>
      <w:r w:rsidR="001839FC" w:rsidRPr="00207DC2">
        <w:rPr>
          <w:lang w:val="en-AU"/>
        </w:rPr>
        <w:t xml:space="preserve">ta </w:t>
      </w:r>
      <w:r w:rsidR="00AB4267" w:rsidRPr="00207DC2">
        <w:rPr>
          <w:lang w:val="en-AU"/>
        </w:rPr>
        <w:t xml:space="preserve">were </w:t>
      </w:r>
      <w:r w:rsidR="001839FC" w:rsidRPr="00207DC2">
        <w:rPr>
          <w:lang w:val="en-AU"/>
        </w:rPr>
        <w:t xml:space="preserve">not available to </w:t>
      </w:r>
      <w:r w:rsidR="00820EF0" w:rsidRPr="00207DC2">
        <w:rPr>
          <w:lang w:val="en-AU"/>
        </w:rPr>
        <w:t xml:space="preserve">assess </w:t>
      </w:r>
      <w:r w:rsidR="009348B0" w:rsidRPr="00207DC2">
        <w:rPr>
          <w:lang w:val="en-AU"/>
        </w:rPr>
        <w:t>the extent to which</w:t>
      </w:r>
      <w:r w:rsidR="00820EF0" w:rsidRPr="00207DC2">
        <w:rPr>
          <w:lang w:val="en-AU"/>
        </w:rPr>
        <w:t xml:space="preserve"> </w:t>
      </w:r>
      <w:r w:rsidR="0042278B" w:rsidRPr="00207DC2">
        <w:rPr>
          <w:lang w:val="en-AU"/>
        </w:rPr>
        <w:t>CDP participants</w:t>
      </w:r>
      <w:r w:rsidR="00820EF0" w:rsidRPr="00207DC2">
        <w:rPr>
          <w:lang w:val="en-AU"/>
        </w:rPr>
        <w:t>’</w:t>
      </w:r>
      <w:r w:rsidR="0042278B" w:rsidRPr="00207DC2">
        <w:rPr>
          <w:lang w:val="en-AU"/>
        </w:rPr>
        <w:t xml:space="preserve"> </w:t>
      </w:r>
      <w:r w:rsidR="00820EF0" w:rsidRPr="00207DC2">
        <w:rPr>
          <w:lang w:val="en-AU"/>
        </w:rPr>
        <w:t xml:space="preserve">attendance is affected by the </w:t>
      </w:r>
      <w:r w:rsidR="00323E4D" w:rsidRPr="00207DC2">
        <w:rPr>
          <w:lang w:val="en-AU"/>
        </w:rPr>
        <w:t>possibility</w:t>
      </w:r>
      <w:r w:rsidR="00820EF0" w:rsidRPr="00207DC2">
        <w:rPr>
          <w:lang w:val="en-AU"/>
        </w:rPr>
        <w:t xml:space="preserve"> of a penalty</w:t>
      </w:r>
      <w:r w:rsidR="003B7CF5" w:rsidRPr="00207DC2">
        <w:rPr>
          <w:lang w:val="en-AU"/>
        </w:rPr>
        <w:t xml:space="preserve"> (</w:t>
      </w:r>
      <w:r w:rsidR="005D3315" w:rsidRPr="00207DC2">
        <w:rPr>
          <w:lang w:val="en-AU"/>
        </w:rPr>
        <w:t>that is</w:t>
      </w:r>
      <w:r w:rsidR="003B7CF5" w:rsidRPr="00207DC2">
        <w:rPr>
          <w:lang w:val="en-AU"/>
        </w:rPr>
        <w:t>,</w:t>
      </w:r>
      <w:r w:rsidR="00820EF0" w:rsidRPr="00207DC2">
        <w:rPr>
          <w:lang w:val="en-AU"/>
        </w:rPr>
        <w:t xml:space="preserve"> </w:t>
      </w:r>
      <w:r w:rsidR="009348B0" w:rsidRPr="00207DC2">
        <w:rPr>
          <w:lang w:val="en-AU"/>
        </w:rPr>
        <w:t>whether</w:t>
      </w:r>
      <w:r w:rsidR="00820EF0" w:rsidRPr="00207DC2">
        <w:rPr>
          <w:lang w:val="en-AU"/>
        </w:rPr>
        <w:t xml:space="preserve"> they attend to avoid </w:t>
      </w:r>
      <w:r w:rsidR="005D3315" w:rsidRPr="00207DC2">
        <w:rPr>
          <w:lang w:val="en-AU"/>
        </w:rPr>
        <w:t>a possibl</w:t>
      </w:r>
      <w:r w:rsidR="008E7C32" w:rsidRPr="00207DC2">
        <w:rPr>
          <w:lang w:val="en-AU"/>
        </w:rPr>
        <w:t>e</w:t>
      </w:r>
      <w:r w:rsidR="005D3315" w:rsidRPr="00207DC2">
        <w:rPr>
          <w:lang w:val="en-AU"/>
        </w:rPr>
        <w:t xml:space="preserve"> penalty</w:t>
      </w:r>
      <w:r w:rsidR="003B7CF5" w:rsidRPr="00207DC2">
        <w:rPr>
          <w:lang w:val="en-AU"/>
        </w:rPr>
        <w:t>)</w:t>
      </w:r>
      <w:r w:rsidRPr="00207DC2">
        <w:rPr>
          <w:lang w:val="en-AU"/>
        </w:rPr>
        <w:t xml:space="preserve">. </w:t>
      </w:r>
      <w:r w:rsidR="005308FE" w:rsidRPr="00207DC2">
        <w:rPr>
          <w:lang w:val="en-AU"/>
        </w:rPr>
        <w:t xml:space="preserve">However, </w:t>
      </w:r>
      <w:r w:rsidR="00820EF0" w:rsidRPr="00207DC2">
        <w:rPr>
          <w:lang w:val="en-AU"/>
        </w:rPr>
        <w:t>analysis of</w:t>
      </w:r>
      <w:r w:rsidR="005308FE" w:rsidRPr="00207DC2">
        <w:rPr>
          <w:lang w:val="en-AU"/>
        </w:rPr>
        <w:t xml:space="preserve"> the administrative data suggests that the </w:t>
      </w:r>
      <w:r w:rsidR="005308FE" w:rsidRPr="00207DC2">
        <w:rPr>
          <w:i/>
          <w:lang w:val="en-AU"/>
        </w:rPr>
        <w:t xml:space="preserve">application of </w:t>
      </w:r>
      <w:r w:rsidR="005308FE" w:rsidRPr="00207DC2">
        <w:rPr>
          <w:lang w:val="en-AU"/>
        </w:rPr>
        <w:t>a penalty may</w:t>
      </w:r>
      <w:r w:rsidR="00075ADA" w:rsidRPr="00207DC2">
        <w:rPr>
          <w:lang w:val="en-AU"/>
        </w:rPr>
        <w:t>, to some extent,</w:t>
      </w:r>
      <w:r w:rsidR="00166621" w:rsidRPr="00207DC2">
        <w:rPr>
          <w:lang w:val="en-AU"/>
        </w:rPr>
        <w:t xml:space="preserve"> </w:t>
      </w:r>
      <w:r w:rsidR="005308FE" w:rsidRPr="00207DC2">
        <w:rPr>
          <w:lang w:val="en-AU"/>
        </w:rPr>
        <w:t xml:space="preserve">improve subsequent attendance </w:t>
      </w:r>
      <w:r w:rsidR="00166621" w:rsidRPr="00207DC2">
        <w:rPr>
          <w:lang w:val="en-AU"/>
        </w:rPr>
        <w:t>among</w:t>
      </w:r>
      <w:r w:rsidR="005308FE" w:rsidRPr="00207DC2">
        <w:rPr>
          <w:lang w:val="en-AU"/>
        </w:rPr>
        <w:t xml:space="preserve"> some CDP participants.</w:t>
      </w:r>
      <w:r w:rsidR="00103D49" w:rsidRPr="00207DC2">
        <w:rPr>
          <w:lang w:val="en-AU"/>
        </w:rPr>
        <w:t xml:space="preserve"> </w:t>
      </w:r>
      <w:r w:rsidR="00166621" w:rsidRPr="00207DC2">
        <w:rPr>
          <w:lang w:val="en-AU"/>
        </w:rPr>
        <w:t>T</w:t>
      </w:r>
      <w:r w:rsidR="00103D49" w:rsidRPr="00207DC2">
        <w:rPr>
          <w:lang w:val="en-AU"/>
        </w:rPr>
        <w:t xml:space="preserve">he </w:t>
      </w:r>
      <w:r w:rsidR="007131C9" w:rsidRPr="00207DC2">
        <w:rPr>
          <w:lang w:val="en-AU"/>
        </w:rPr>
        <w:t>most</w:t>
      </w:r>
      <w:r w:rsidR="00A82892" w:rsidRPr="00207DC2">
        <w:rPr>
          <w:lang w:val="en-AU"/>
        </w:rPr>
        <w:t xml:space="preserve"> highly penalised CDP participants</w:t>
      </w:r>
      <w:r w:rsidR="007131C9" w:rsidRPr="00207DC2">
        <w:rPr>
          <w:lang w:val="en-AU"/>
        </w:rPr>
        <w:t xml:space="preserve"> i</w:t>
      </w:r>
      <w:r w:rsidR="00103D49" w:rsidRPr="00207DC2">
        <w:rPr>
          <w:lang w:val="en-AU"/>
        </w:rPr>
        <w:t xml:space="preserve">n the first quarter of 2016 increased </w:t>
      </w:r>
      <w:r w:rsidR="005308FE" w:rsidRPr="00207DC2">
        <w:rPr>
          <w:lang w:val="en-AU"/>
        </w:rPr>
        <w:t xml:space="preserve">their subsequent attendance rates </w:t>
      </w:r>
      <w:r w:rsidR="00103D49" w:rsidRPr="00207DC2">
        <w:rPr>
          <w:lang w:val="en-AU"/>
        </w:rPr>
        <w:t>over the year</w:t>
      </w:r>
      <w:r w:rsidR="00E342B7" w:rsidRPr="00207DC2">
        <w:rPr>
          <w:lang w:val="en-AU"/>
        </w:rPr>
        <w:t>;</w:t>
      </w:r>
      <w:r w:rsidR="00103D49" w:rsidRPr="00207DC2">
        <w:rPr>
          <w:lang w:val="en-AU"/>
        </w:rPr>
        <w:t xml:space="preserve"> </w:t>
      </w:r>
      <w:r w:rsidR="00166621" w:rsidRPr="00207DC2">
        <w:rPr>
          <w:lang w:val="en-AU"/>
        </w:rPr>
        <w:t>however</w:t>
      </w:r>
      <w:r w:rsidR="00103D49" w:rsidRPr="00207DC2">
        <w:rPr>
          <w:lang w:val="en-AU"/>
        </w:rPr>
        <w:t xml:space="preserve"> attendance rates </w:t>
      </w:r>
      <w:r w:rsidR="00166621" w:rsidRPr="00207DC2">
        <w:rPr>
          <w:lang w:val="en-AU"/>
        </w:rPr>
        <w:t xml:space="preserve">for this group </w:t>
      </w:r>
      <w:r w:rsidR="005308FE" w:rsidRPr="00207DC2">
        <w:rPr>
          <w:lang w:val="en-AU"/>
        </w:rPr>
        <w:t xml:space="preserve">were still </w:t>
      </w:r>
      <w:r w:rsidR="00A802F2" w:rsidRPr="00207DC2">
        <w:rPr>
          <w:lang w:val="en-AU"/>
        </w:rPr>
        <w:t>well</w:t>
      </w:r>
      <w:r w:rsidR="005308FE" w:rsidRPr="00207DC2">
        <w:rPr>
          <w:lang w:val="en-AU"/>
        </w:rPr>
        <w:t xml:space="preserve"> below </w:t>
      </w:r>
      <w:r w:rsidR="00166621" w:rsidRPr="00207DC2">
        <w:rPr>
          <w:lang w:val="en-AU"/>
        </w:rPr>
        <w:t>average</w:t>
      </w:r>
      <w:r w:rsidR="005308FE" w:rsidRPr="00207DC2">
        <w:rPr>
          <w:lang w:val="en-AU"/>
        </w:rPr>
        <w:t xml:space="preserve">. Over the year, this group was </w:t>
      </w:r>
      <w:r w:rsidR="007131C9" w:rsidRPr="00207DC2">
        <w:rPr>
          <w:lang w:val="en-AU"/>
        </w:rPr>
        <w:t>p</w:t>
      </w:r>
      <w:r w:rsidR="005308FE" w:rsidRPr="00207DC2">
        <w:rPr>
          <w:lang w:val="en-AU"/>
        </w:rPr>
        <w:t xml:space="preserve">enalised </w:t>
      </w:r>
      <w:r w:rsidR="00166621" w:rsidRPr="00207DC2">
        <w:rPr>
          <w:lang w:val="en-AU"/>
        </w:rPr>
        <w:t xml:space="preserve">an average of </w:t>
      </w:r>
      <w:r w:rsidR="00E53DB1">
        <w:rPr>
          <w:lang w:val="en-AU"/>
        </w:rPr>
        <w:t>ten</w:t>
      </w:r>
      <w:r w:rsidR="005308FE" w:rsidRPr="00207DC2">
        <w:rPr>
          <w:lang w:val="en-AU"/>
        </w:rPr>
        <w:t> per </w:t>
      </w:r>
      <w:r w:rsidR="007131C9" w:rsidRPr="00207DC2">
        <w:rPr>
          <w:lang w:val="en-AU"/>
        </w:rPr>
        <w:t xml:space="preserve">cent of their </w:t>
      </w:r>
      <w:r w:rsidR="005308FE" w:rsidRPr="00207DC2">
        <w:rPr>
          <w:lang w:val="en-AU"/>
        </w:rPr>
        <w:t xml:space="preserve">annual </w:t>
      </w:r>
      <w:r w:rsidR="00103D49" w:rsidRPr="00207DC2">
        <w:rPr>
          <w:lang w:val="en-AU"/>
        </w:rPr>
        <w:t xml:space="preserve">income support </w:t>
      </w:r>
      <w:r w:rsidR="007131C9" w:rsidRPr="00207DC2">
        <w:rPr>
          <w:lang w:val="en-AU"/>
        </w:rPr>
        <w:t>payments</w:t>
      </w:r>
      <w:r w:rsidR="005308FE" w:rsidRPr="00207DC2">
        <w:rPr>
          <w:lang w:val="en-AU"/>
        </w:rPr>
        <w:t xml:space="preserve">, double the </w:t>
      </w:r>
      <w:r w:rsidR="001D1659" w:rsidRPr="00207DC2">
        <w:rPr>
          <w:lang w:val="en-AU"/>
        </w:rPr>
        <w:t>average rate</w:t>
      </w:r>
      <w:r w:rsidR="005308FE" w:rsidRPr="00207DC2">
        <w:rPr>
          <w:lang w:val="en-AU"/>
        </w:rPr>
        <w:t>.</w:t>
      </w:r>
    </w:p>
    <w:p w14:paraId="40F4A683" w14:textId="51BBD311" w:rsidR="00075ADA" w:rsidRPr="00207DC2" w:rsidRDefault="00CF75FA" w:rsidP="00E2256E">
      <w:pPr>
        <w:jc w:val="both"/>
        <w:rPr>
          <w:lang w:val="en-AU"/>
        </w:rPr>
      </w:pPr>
      <w:r w:rsidRPr="00207DC2">
        <w:rPr>
          <w:lang w:val="en-AU"/>
        </w:rPr>
        <w:t xml:space="preserve">Of those CDP participants penalised in the first quarter of 2016, </w:t>
      </w:r>
      <w:r w:rsidR="00930622" w:rsidRPr="00207DC2">
        <w:rPr>
          <w:lang w:val="en-AU"/>
        </w:rPr>
        <w:t xml:space="preserve">an estimated </w:t>
      </w:r>
      <w:r w:rsidR="00091A71" w:rsidRPr="00207DC2">
        <w:rPr>
          <w:lang w:val="en-AU"/>
        </w:rPr>
        <w:t>six</w:t>
      </w:r>
      <w:r w:rsidR="007110CF" w:rsidRPr="00207DC2">
        <w:rPr>
          <w:lang w:val="en-AU"/>
        </w:rPr>
        <w:t> </w:t>
      </w:r>
      <w:r w:rsidR="00091A71" w:rsidRPr="00207DC2">
        <w:rPr>
          <w:lang w:val="en-AU"/>
        </w:rPr>
        <w:t>per</w:t>
      </w:r>
      <w:r w:rsidR="007110CF" w:rsidRPr="00207DC2">
        <w:rPr>
          <w:lang w:val="en-AU"/>
        </w:rPr>
        <w:t> </w:t>
      </w:r>
      <w:r w:rsidR="00091A71" w:rsidRPr="00207DC2">
        <w:rPr>
          <w:lang w:val="en-AU"/>
        </w:rPr>
        <w:t xml:space="preserve">cent </w:t>
      </w:r>
      <w:r w:rsidRPr="00207DC2">
        <w:rPr>
          <w:i/>
          <w:lang w:val="en-AU"/>
        </w:rPr>
        <w:t>disengaged</w:t>
      </w:r>
      <w:r w:rsidRPr="00207DC2">
        <w:rPr>
          <w:lang w:val="en-AU"/>
        </w:rPr>
        <w:t xml:space="preserve"> from the income support system over the year (to December 2016) without</w:t>
      </w:r>
      <w:r w:rsidR="00091A71" w:rsidRPr="00207DC2">
        <w:rPr>
          <w:lang w:val="en-AU"/>
        </w:rPr>
        <w:t xml:space="preserve"> record of</w:t>
      </w:r>
      <w:r w:rsidRPr="00207DC2">
        <w:rPr>
          <w:lang w:val="en-AU"/>
        </w:rPr>
        <w:t xml:space="preserve"> a pri</w:t>
      </w:r>
      <w:r w:rsidR="00034A34" w:rsidRPr="00207DC2">
        <w:rPr>
          <w:lang w:val="en-AU"/>
        </w:rPr>
        <w:t xml:space="preserve">or employment outcome. Two </w:t>
      </w:r>
      <w:r w:rsidR="00A802F2" w:rsidRPr="00207DC2">
        <w:rPr>
          <w:lang w:val="en-AU"/>
        </w:rPr>
        <w:t>in</w:t>
      </w:r>
      <w:r w:rsidR="00034A34" w:rsidRPr="00207DC2">
        <w:rPr>
          <w:lang w:val="en-AU"/>
        </w:rPr>
        <w:t xml:space="preserve"> five </w:t>
      </w:r>
      <w:r w:rsidR="00D8358A" w:rsidRPr="00207DC2">
        <w:rPr>
          <w:lang w:val="en-AU"/>
        </w:rPr>
        <w:t xml:space="preserve">of these </w:t>
      </w:r>
      <w:r w:rsidR="00034A34" w:rsidRPr="00207DC2">
        <w:rPr>
          <w:i/>
          <w:lang w:val="en-AU"/>
        </w:rPr>
        <w:t>disengaged</w:t>
      </w:r>
      <w:r w:rsidR="00034A34" w:rsidRPr="00207DC2">
        <w:rPr>
          <w:lang w:val="en-AU"/>
        </w:rPr>
        <w:t xml:space="preserve"> participant</w:t>
      </w:r>
      <w:r w:rsidR="000877AD" w:rsidRPr="00207DC2">
        <w:rPr>
          <w:lang w:val="en-AU"/>
        </w:rPr>
        <w:t>s</w:t>
      </w:r>
      <w:r w:rsidR="00034A34" w:rsidRPr="00207DC2">
        <w:rPr>
          <w:lang w:val="en-AU"/>
        </w:rPr>
        <w:t xml:space="preserve"> were </w:t>
      </w:r>
      <w:r w:rsidRPr="00207DC2">
        <w:rPr>
          <w:lang w:val="en-AU"/>
        </w:rPr>
        <w:t>men</w:t>
      </w:r>
      <w:r w:rsidR="00034A34" w:rsidRPr="00207DC2">
        <w:rPr>
          <w:lang w:val="en-AU"/>
        </w:rPr>
        <w:t xml:space="preserve"> under 30 years old</w:t>
      </w:r>
      <w:r w:rsidRPr="00207DC2">
        <w:rPr>
          <w:lang w:val="en-AU"/>
        </w:rPr>
        <w:t xml:space="preserve">. </w:t>
      </w:r>
    </w:p>
    <w:p w14:paraId="35CBE42E" w14:textId="604B1166" w:rsidR="00940FC9" w:rsidRPr="00207DC2" w:rsidRDefault="00A82892" w:rsidP="00940FC9">
      <w:pPr>
        <w:jc w:val="both"/>
        <w:rPr>
          <w:lang w:val="en-AU"/>
        </w:rPr>
      </w:pPr>
      <w:r w:rsidRPr="00207DC2">
        <w:rPr>
          <w:lang w:val="en-AU"/>
        </w:rPr>
        <w:t xml:space="preserve">It is not clear if </w:t>
      </w:r>
      <w:r w:rsidR="008D14D4" w:rsidRPr="00207DC2">
        <w:rPr>
          <w:lang w:val="en-AU"/>
        </w:rPr>
        <w:t>participants</w:t>
      </w:r>
      <w:r w:rsidRPr="00207DC2">
        <w:rPr>
          <w:lang w:val="en-AU"/>
        </w:rPr>
        <w:t xml:space="preserve"> </w:t>
      </w:r>
      <w:r w:rsidRPr="00207DC2">
        <w:rPr>
          <w:i/>
          <w:lang w:val="en-AU"/>
        </w:rPr>
        <w:t xml:space="preserve">disengaged </w:t>
      </w:r>
      <w:r w:rsidRPr="00207DC2">
        <w:rPr>
          <w:lang w:val="en-AU"/>
        </w:rPr>
        <w:t xml:space="preserve">due to issues around the quality of activities provided, as a result of penalties and </w:t>
      </w:r>
      <w:r w:rsidR="0022699F" w:rsidRPr="00207DC2">
        <w:rPr>
          <w:lang w:val="en-AU"/>
        </w:rPr>
        <w:t xml:space="preserve">payment </w:t>
      </w:r>
      <w:r w:rsidRPr="00207DC2">
        <w:rPr>
          <w:lang w:val="en-AU"/>
        </w:rPr>
        <w:t xml:space="preserve">suspensions, or </w:t>
      </w:r>
      <w:r w:rsidR="005D3315" w:rsidRPr="00207DC2">
        <w:rPr>
          <w:lang w:val="en-AU"/>
        </w:rPr>
        <w:t>obtained employment but did not report this to their CDP provider or the Department of Human Services</w:t>
      </w:r>
      <w:r w:rsidRPr="00207DC2">
        <w:rPr>
          <w:lang w:val="en-AU"/>
        </w:rPr>
        <w:t xml:space="preserve">. </w:t>
      </w:r>
      <w:r w:rsidR="004B1105" w:rsidRPr="00207DC2">
        <w:rPr>
          <w:lang w:val="en-AU"/>
        </w:rPr>
        <w:t>F</w:t>
      </w:r>
      <w:r w:rsidR="004F6A25" w:rsidRPr="00207DC2">
        <w:rPr>
          <w:lang w:val="en-AU"/>
        </w:rPr>
        <w:t>ieldwork undertaken in eight remote communities suggests that the quality of activities</w:t>
      </w:r>
      <w:r w:rsidR="00396552">
        <w:rPr>
          <w:lang w:val="en-AU"/>
        </w:rPr>
        <w:t xml:space="preserve"> – </w:t>
      </w:r>
      <w:r w:rsidR="004F6A25" w:rsidRPr="00207DC2">
        <w:rPr>
          <w:lang w:val="en-AU"/>
        </w:rPr>
        <w:t>that is, whether surveyed participants considered activities to be suitable and useful</w:t>
      </w:r>
      <w:r w:rsidR="00396552">
        <w:rPr>
          <w:lang w:val="en-AU"/>
        </w:rPr>
        <w:t xml:space="preserve"> – </w:t>
      </w:r>
      <w:r w:rsidR="004F6A25" w:rsidRPr="00207DC2">
        <w:rPr>
          <w:lang w:val="en-AU"/>
        </w:rPr>
        <w:t>can have an effect on attendance and participation in those activities (Winangali and Ipsos 2018).</w:t>
      </w:r>
    </w:p>
    <w:p w14:paraId="325CEDDF" w14:textId="596B0FFC" w:rsidR="00171556" w:rsidRPr="00207DC2" w:rsidRDefault="00A82892" w:rsidP="009B7979">
      <w:pPr>
        <w:jc w:val="both"/>
        <w:rPr>
          <w:lang w:val="en-AU"/>
        </w:rPr>
      </w:pPr>
      <w:r w:rsidRPr="00207DC2">
        <w:rPr>
          <w:lang w:val="en-AU"/>
        </w:rPr>
        <w:t xml:space="preserve">Between the RJCP and </w:t>
      </w:r>
      <w:r w:rsidR="00610752" w:rsidRPr="00207DC2">
        <w:rPr>
          <w:lang w:val="en-AU"/>
        </w:rPr>
        <w:t xml:space="preserve">the </w:t>
      </w:r>
      <w:r w:rsidRPr="00207DC2">
        <w:rPr>
          <w:lang w:val="en-AU"/>
        </w:rPr>
        <w:t xml:space="preserve">CDP, the share of </w:t>
      </w:r>
      <w:r w:rsidR="00A802F2" w:rsidRPr="00207DC2">
        <w:rPr>
          <w:lang w:val="en-AU"/>
        </w:rPr>
        <w:t xml:space="preserve">all </w:t>
      </w:r>
      <w:r w:rsidR="001839FC" w:rsidRPr="00207DC2">
        <w:rPr>
          <w:lang w:val="en-AU"/>
        </w:rPr>
        <w:t>participants</w:t>
      </w:r>
      <w:r w:rsidRPr="00207DC2">
        <w:rPr>
          <w:lang w:val="en-AU"/>
        </w:rPr>
        <w:t xml:space="preserve"> who </w:t>
      </w:r>
      <w:r w:rsidRPr="00207DC2">
        <w:rPr>
          <w:i/>
          <w:lang w:val="en-AU"/>
        </w:rPr>
        <w:t>disengaged</w:t>
      </w:r>
      <w:r w:rsidRPr="00207DC2">
        <w:rPr>
          <w:lang w:val="en-AU"/>
        </w:rPr>
        <w:t xml:space="preserve"> from income support benefits </w:t>
      </w:r>
      <w:r w:rsidR="00AD0A20" w:rsidRPr="00207DC2">
        <w:rPr>
          <w:lang w:val="en-AU"/>
        </w:rPr>
        <w:t xml:space="preserve">in </w:t>
      </w:r>
      <w:r w:rsidR="006252AA" w:rsidRPr="00207DC2">
        <w:rPr>
          <w:lang w:val="en-AU"/>
        </w:rPr>
        <w:t>a given year</w:t>
      </w:r>
      <w:r w:rsidR="00250B36" w:rsidRPr="00207DC2">
        <w:rPr>
          <w:lang w:val="en-AU"/>
        </w:rPr>
        <w:t xml:space="preserve"> </w:t>
      </w:r>
      <w:r w:rsidR="002566A3" w:rsidRPr="00207DC2">
        <w:rPr>
          <w:lang w:val="en-AU"/>
        </w:rPr>
        <w:t>(</w:t>
      </w:r>
      <w:r w:rsidR="00250B36" w:rsidRPr="00207DC2">
        <w:rPr>
          <w:lang w:val="en-AU"/>
        </w:rPr>
        <w:t>without a recorded employment outcome</w:t>
      </w:r>
      <w:r w:rsidR="002566A3" w:rsidRPr="00207DC2">
        <w:rPr>
          <w:lang w:val="en-AU"/>
        </w:rPr>
        <w:t>)</w:t>
      </w:r>
      <w:r w:rsidR="006252AA" w:rsidRPr="00207DC2">
        <w:rPr>
          <w:lang w:val="en-AU"/>
        </w:rPr>
        <w:t xml:space="preserve"> </w:t>
      </w:r>
      <w:r w:rsidRPr="00207DC2">
        <w:rPr>
          <w:lang w:val="en-AU"/>
        </w:rPr>
        <w:t>was estimated to</w:t>
      </w:r>
      <w:r w:rsidR="00751E1D" w:rsidRPr="00207DC2">
        <w:rPr>
          <w:lang w:val="en-AU"/>
        </w:rPr>
        <w:t xml:space="preserve"> have</w:t>
      </w:r>
      <w:r w:rsidRPr="00207DC2">
        <w:rPr>
          <w:lang w:val="en-AU"/>
        </w:rPr>
        <w:t xml:space="preserve"> in</w:t>
      </w:r>
      <w:r w:rsidR="00800862" w:rsidRPr="00207DC2">
        <w:rPr>
          <w:lang w:val="en-AU"/>
        </w:rPr>
        <w:t>crease</w:t>
      </w:r>
      <w:r w:rsidR="00751E1D" w:rsidRPr="00207DC2">
        <w:rPr>
          <w:lang w:val="en-AU"/>
        </w:rPr>
        <w:t>d</w:t>
      </w:r>
      <w:r w:rsidR="00800862" w:rsidRPr="00207DC2">
        <w:rPr>
          <w:lang w:val="en-AU"/>
        </w:rPr>
        <w:t xml:space="preserve"> by one percentage point </w:t>
      </w:r>
      <w:r w:rsidRPr="00207DC2">
        <w:rPr>
          <w:lang w:val="en-AU"/>
        </w:rPr>
        <w:t>to 4.5</w:t>
      </w:r>
      <w:r w:rsidR="00171556" w:rsidRPr="00207DC2">
        <w:rPr>
          <w:lang w:val="en-AU"/>
        </w:rPr>
        <w:t> </w:t>
      </w:r>
      <w:r w:rsidRPr="00207DC2">
        <w:rPr>
          <w:lang w:val="en-AU"/>
        </w:rPr>
        <w:t>per</w:t>
      </w:r>
      <w:r w:rsidR="00171556" w:rsidRPr="00207DC2">
        <w:rPr>
          <w:lang w:val="en-AU"/>
        </w:rPr>
        <w:t> </w:t>
      </w:r>
      <w:r w:rsidRPr="00207DC2">
        <w:rPr>
          <w:lang w:val="en-AU"/>
        </w:rPr>
        <w:t xml:space="preserve">cent </w:t>
      </w:r>
      <w:r w:rsidR="008A37BE" w:rsidRPr="00207DC2">
        <w:rPr>
          <w:lang w:val="en-AU"/>
        </w:rPr>
        <w:t>of</w:t>
      </w:r>
      <w:r w:rsidRPr="00207DC2">
        <w:rPr>
          <w:lang w:val="en-AU"/>
        </w:rPr>
        <w:t xml:space="preserve"> CDP</w:t>
      </w:r>
      <w:r w:rsidR="008A37BE" w:rsidRPr="00207DC2">
        <w:rPr>
          <w:lang w:val="en-AU"/>
        </w:rPr>
        <w:t xml:space="preserve"> participants </w:t>
      </w:r>
      <w:r w:rsidR="008B1CC8" w:rsidRPr="00207DC2">
        <w:rPr>
          <w:lang w:val="en-AU"/>
        </w:rPr>
        <w:t xml:space="preserve">in </w:t>
      </w:r>
      <w:r w:rsidR="006252AA" w:rsidRPr="00207DC2">
        <w:rPr>
          <w:lang w:val="en-AU"/>
        </w:rPr>
        <w:t>the program on 1</w:t>
      </w:r>
      <w:r w:rsidR="00AD0A20" w:rsidRPr="00207DC2">
        <w:rPr>
          <w:lang w:val="en-AU"/>
        </w:rPr>
        <w:t> </w:t>
      </w:r>
      <w:r w:rsidR="006252AA" w:rsidRPr="00207DC2">
        <w:rPr>
          <w:lang w:val="en-AU"/>
        </w:rPr>
        <w:t>January</w:t>
      </w:r>
      <w:r w:rsidR="00AD0A20" w:rsidRPr="00207DC2">
        <w:rPr>
          <w:lang w:val="en-AU"/>
        </w:rPr>
        <w:t> </w:t>
      </w:r>
      <w:r w:rsidRPr="00207DC2">
        <w:rPr>
          <w:lang w:val="en-AU"/>
        </w:rPr>
        <w:t xml:space="preserve">2016. </w:t>
      </w:r>
      <w:r w:rsidR="00940FC9" w:rsidRPr="00207DC2">
        <w:rPr>
          <w:lang w:val="en-AU"/>
        </w:rPr>
        <w:t>More data are needed to better understand outcomes for these participants.</w:t>
      </w:r>
    </w:p>
    <w:p w14:paraId="6415C4B1" w14:textId="6DA5C538" w:rsidR="000A2890" w:rsidRPr="00207DC2" w:rsidRDefault="00511BB8" w:rsidP="00511BB8">
      <w:pPr>
        <w:jc w:val="both"/>
        <w:rPr>
          <w:lang w:val="en-AU"/>
        </w:rPr>
      </w:pPr>
      <w:r w:rsidRPr="00207DC2">
        <w:rPr>
          <w:lang w:val="en-AU"/>
        </w:rPr>
        <w:t>Developing and reporting on measures of the quality of activities</w:t>
      </w:r>
      <w:r w:rsidR="00396552">
        <w:rPr>
          <w:lang w:val="en-AU"/>
        </w:rPr>
        <w:t xml:space="preserve"> – </w:t>
      </w:r>
      <w:r w:rsidRPr="00207DC2">
        <w:rPr>
          <w:lang w:val="en-AU"/>
        </w:rPr>
        <w:t>including measures of skills attainment, employment outcomes, and participant perceptions of quality</w:t>
      </w:r>
      <w:r w:rsidR="00396552">
        <w:rPr>
          <w:lang w:val="en-AU"/>
        </w:rPr>
        <w:t xml:space="preserve"> – </w:t>
      </w:r>
      <w:r w:rsidRPr="00207DC2">
        <w:rPr>
          <w:lang w:val="en-AU"/>
        </w:rPr>
        <w:t xml:space="preserve">could identify the types of activities that best support participation in the program and outcomes for participants. </w:t>
      </w:r>
      <w:r w:rsidR="000A2890" w:rsidRPr="00207DC2">
        <w:rPr>
          <w:lang w:val="en-AU"/>
        </w:rPr>
        <w:t>Quality measures could also be linked to activity payments as part of an outcome-based provider payment model</w:t>
      </w:r>
      <w:r w:rsidRPr="00207DC2">
        <w:rPr>
          <w:lang w:val="en-AU"/>
        </w:rPr>
        <w:t>.</w:t>
      </w:r>
    </w:p>
    <w:p w14:paraId="4C8D92BB" w14:textId="77777777" w:rsidR="00680F58" w:rsidRPr="008050A9" w:rsidRDefault="009B4717" w:rsidP="001C5031">
      <w:pPr>
        <w:pStyle w:val="ZED3"/>
        <w:outlineLvl w:val="2"/>
        <w:rPr>
          <w:caps/>
        </w:rPr>
      </w:pPr>
      <w:bookmarkStart w:id="35" w:name="_Toc534965151"/>
      <w:bookmarkStart w:id="36" w:name="_Toc535935031"/>
      <w:r w:rsidRPr="008050A9">
        <w:t>Employment outcomes</w:t>
      </w:r>
      <w:bookmarkEnd w:id="35"/>
      <w:bookmarkEnd w:id="36"/>
    </w:p>
    <w:p w14:paraId="02DF2783" w14:textId="578D9014" w:rsidR="00C70EB7" w:rsidRPr="00207DC2" w:rsidRDefault="00C70EB7" w:rsidP="004F7606">
      <w:pPr>
        <w:tabs>
          <w:tab w:val="left" w:pos="5245"/>
        </w:tabs>
        <w:jc w:val="both"/>
        <w:rPr>
          <w:lang w:val="en-AU"/>
        </w:rPr>
      </w:pPr>
      <w:r w:rsidRPr="00207DC2">
        <w:rPr>
          <w:lang w:val="en-AU"/>
        </w:rPr>
        <w:t xml:space="preserve">As with other employment programs, CDP providers receive a payment when a participant achieves a defined employment outcome. </w:t>
      </w:r>
      <w:r w:rsidR="004F7606" w:rsidRPr="00207DC2">
        <w:rPr>
          <w:lang w:val="en-AU"/>
        </w:rPr>
        <w:t xml:space="preserve">In comparison to RJCP, the CDP payment model places greater weight on </w:t>
      </w:r>
      <w:r w:rsidR="004129D6">
        <w:rPr>
          <w:lang w:val="en-AU"/>
        </w:rPr>
        <w:t>26 consecutive-week</w:t>
      </w:r>
      <w:r w:rsidR="004F7606" w:rsidRPr="00207DC2">
        <w:rPr>
          <w:lang w:val="en-AU"/>
        </w:rPr>
        <w:t xml:space="preserve"> employment outcomes, with the aim of encouraging sustained employment.</w:t>
      </w:r>
      <w:r w:rsidR="00B14770" w:rsidRPr="00207DC2">
        <w:rPr>
          <w:lang w:val="en-AU"/>
        </w:rPr>
        <w:t xml:space="preserve"> </w:t>
      </w:r>
    </w:p>
    <w:p w14:paraId="7622DE66" w14:textId="77777777" w:rsidR="00310BCE" w:rsidRPr="00207DC2" w:rsidRDefault="00772C10" w:rsidP="00EA642C">
      <w:pPr>
        <w:tabs>
          <w:tab w:val="left" w:pos="5245"/>
        </w:tabs>
        <w:jc w:val="both"/>
        <w:rPr>
          <w:lang w:val="en-AU"/>
        </w:rPr>
      </w:pPr>
      <w:r w:rsidRPr="00207DC2">
        <w:rPr>
          <w:lang w:val="en-AU"/>
        </w:rPr>
        <w:t xml:space="preserve">Employment outcomes will reflect a range of factors, including the employment services and training participants receive from their provider, as well as the characteristics and circumstances of individuals and the prevailing labour market conditions. </w:t>
      </w:r>
    </w:p>
    <w:p w14:paraId="02F8DE28" w14:textId="7DEE866A" w:rsidR="00C62588" w:rsidRPr="00207DC2" w:rsidRDefault="00B14770" w:rsidP="00EA642C">
      <w:pPr>
        <w:tabs>
          <w:tab w:val="left" w:pos="5245"/>
        </w:tabs>
        <w:jc w:val="both"/>
        <w:rPr>
          <w:lang w:val="en-AU"/>
        </w:rPr>
      </w:pPr>
      <w:r w:rsidRPr="00207DC2">
        <w:rPr>
          <w:lang w:val="en-AU"/>
        </w:rPr>
        <w:t xml:space="preserve">After controlling for the individual characteristics of participants and labour market conditions, modelling suggests that the program has led to around a one percentage point increase </w:t>
      </w:r>
      <w:r w:rsidR="00074CB4" w:rsidRPr="00207DC2">
        <w:rPr>
          <w:lang w:val="en-AU"/>
        </w:rPr>
        <w:t xml:space="preserve">in </w:t>
      </w:r>
      <w:r w:rsidRPr="00207DC2">
        <w:rPr>
          <w:lang w:val="en-AU"/>
        </w:rPr>
        <w:t>26</w:t>
      </w:r>
      <w:r w:rsidRPr="00207DC2">
        <w:rPr>
          <w:lang w:val="en-AU"/>
        </w:rPr>
        <w:noBreakHyphen/>
        <w:t xml:space="preserve">week outcomes </w:t>
      </w:r>
      <w:r w:rsidR="00074CB4" w:rsidRPr="00207DC2">
        <w:rPr>
          <w:lang w:val="en-AU"/>
        </w:rPr>
        <w:t>under CDP,</w:t>
      </w:r>
      <w:r w:rsidRPr="00207DC2">
        <w:rPr>
          <w:lang w:val="en-AU"/>
        </w:rPr>
        <w:t xml:space="preserve"> from a base of </w:t>
      </w:r>
      <w:r w:rsidR="00C62588" w:rsidRPr="00207DC2">
        <w:rPr>
          <w:lang w:val="en-AU"/>
        </w:rPr>
        <w:t xml:space="preserve">around </w:t>
      </w:r>
      <w:r w:rsidRPr="00207DC2">
        <w:rPr>
          <w:lang w:val="en-AU"/>
        </w:rPr>
        <w:t xml:space="preserve">5.7 per cent </w:t>
      </w:r>
      <w:r w:rsidR="00074CB4" w:rsidRPr="00207DC2">
        <w:rPr>
          <w:lang w:val="en-AU"/>
        </w:rPr>
        <w:t>under the RJCP</w:t>
      </w:r>
      <w:r w:rsidRPr="00207DC2">
        <w:rPr>
          <w:lang w:val="en-AU"/>
        </w:rPr>
        <w:t xml:space="preserve">. This result is consistent with the greater weight placed on </w:t>
      </w:r>
      <w:r w:rsidR="004129D6">
        <w:rPr>
          <w:lang w:val="en-AU"/>
        </w:rPr>
        <w:t>26 consecutive-week</w:t>
      </w:r>
      <w:r w:rsidRPr="00207DC2">
        <w:rPr>
          <w:lang w:val="en-AU"/>
        </w:rPr>
        <w:t xml:space="preserve"> employment outcomes in provider </w:t>
      </w:r>
      <w:r w:rsidR="00F1500C" w:rsidRPr="00207DC2">
        <w:rPr>
          <w:lang w:val="en-AU"/>
        </w:rPr>
        <w:t>and employer</w:t>
      </w:r>
      <w:r w:rsidRPr="00207DC2">
        <w:rPr>
          <w:lang w:val="en-AU"/>
        </w:rPr>
        <w:t xml:space="preserve"> payment</w:t>
      </w:r>
      <w:r w:rsidR="00F1500C" w:rsidRPr="00207DC2">
        <w:rPr>
          <w:lang w:val="en-AU"/>
        </w:rPr>
        <w:t>s</w:t>
      </w:r>
      <w:r w:rsidR="001E3D94" w:rsidRPr="00207DC2">
        <w:rPr>
          <w:lang w:val="en-AU"/>
        </w:rPr>
        <w:t xml:space="preserve"> under the CDP</w:t>
      </w:r>
      <w:r w:rsidRPr="00207DC2">
        <w:rPr>
          <w:lang w:val="en-AU"/>
        </w:rPr>
        <w:t>.</w:t>
      </w:r>
      <w:r w:rsidR="00310BCE" w:rsidRPr="00207DC2">
        <w:rPr>
          <w:lang w:val="en-AU"/>
        </w:rPr>
        <w:t xml:space="preserve"> </w:t>
      </w:r>
    </w:p>
    <w:p w14:paraId="069F9B33" w14:textId="6E70189F" w:rsidR="00B14770" w:rsidRPr="00207DC2" w:rsidRDefault="004C48EA" w:rsidP="00E54B79">
      <w:pPr>
        <w:tabs>
          <w:tab w:val="left" w:pos="5245"/>
        </w:tabs>
        <w:jc w:val="both"/>
        <w:rPr>
          <w:szCs w:val="20"/>
          <w:lang w:val="en-AU"/>
        </w:rPr>
      </w:pPr>
      <w:r w:rsidRPr="00207DC2">
        <w:rPr>
          <w:lang w:val="en-AU"/>
        </w:rPr>
        <w:t>The CDP has only been operating for a short time, and employment effects may take a few years to be realised, particularly for participants</w:t>
      </w:r>
      <w:r w:rsidR="00341766" w:rsidRPr="00207DC2">
        <w:rPr>
          <w:lang w:val="en-AU"/>
        </w:rPr>
        <w:t xml:space="preserve"> with</w:t>
      </w:r>
      <w:r w:rsidRPr="00207DC2">
        <w:rPr>
          <w:lang w:val="en-AU"/>
        </w:rPr>
        <w:t xml:space="preserve"> </w:t>
      </w:r>
      <w:r w:rsidRPr="00207DC2">
        <w:rPr>
          <w:i/>
          <w:lang w:val="en-AU"/>
        </w:rPr>
        <w:t>extreme barriers</w:t>
      </w:r>
      <w:r w:rsidRPr="00207DC2">
        <w:rPr>
          <w:lang w:val="en-AU"/>
        </w:rPr>
        <w:t xml:space="preserve"> to employment and </w:t>
      </w:r>
      <w:r w:rsidR="00E54B79" w:rsidRPr="00207DC2">
        <w:rPr>
          <w:lang w:val="en-AU"/>
        </w:rPr>
        <w:t xml:space="preserve">in remote communities where there </w:t>
      </w:r>
      <w:r w:rsidR="006D1B2A" w:rsidRPr="00207DC2">
        <w:rPr>
          <w:lang w:val="en-AU"/>
        </w:rPr>
        <w:t xml:space="preserve">are </w:t>
      </w:r>
      <w:r w:rsidRPr="00207DC2">
        <w:rPr>
          <w:lang w:val="en-AU"/>
        </w:rPr>
        <w:t xml:space="preserve">limited job opportunities. </w:t>
      </w:r>
      <w:r w:rsidR="00B14770" w:rsidRPr="00207DC2">
        <w:rPr>
          <w:lang w:val="en-AU"/>
        </w:rPr>
        <w:t xml:space="preserve">In the first two years of the program, as may be expected, participants with </w:t>
      </w:r>
      <w:r w:rsidR="00B14770" w:rsidRPr="00207DC2">
        <w:rPr>
          <w:i/>
          <w:lang w:val="en-AU"/>
        </w:rPr>
        <w:t>low barriers</w:t>
      </w:r>
      <w:r w:rsidR="00B14770" w:rsidRPr="00207DC2">
        <w:rPr>
          <w:lang w:val="en-AU"/>
        </w:rPr>
        <w:t xml:space="preserve"> to employment had the highest estimated increase in 26</w:t>
      </w:r>
      <w:r w:rsidR="00B14770" w:rsidRPr="00207DC2">
        <w:rPr>
          <w:lang w:val="en-AU"/>
        </w:rPr>
        <w:noBreakHyphen/>
        <w:t>week outcomes under the CDP (up 3.4</w:t>
      </w:r>
      <w:r w:rsidR="00C54C3D" w:rsidRPr="00207DC2">
        <w:rPr>
          <w:lang w:val="en-AU"/>
        </w:rPr>
        <w:t> </w:t>
      </w:r>
      <w:r w:rsidR="00B14770" w:rsidRPr="00207DC2">
        <w:rPr>
          <w:lang w:val="en-AU"/>
        </w:rPr>
        <w:t>percentage points).</w:t>
      </w:r>
    </w:p>
    <w:p w14:paraId="15084D15" w14:textId="06FD6685" w:rsidR="00C51572" w:rsidRPr="00207DC2" w:rsidRDefault="008F4FB9" w:rsidP="007851D5">
      <w:pPr>
        <w:tabs>
          <w:tab w:val="left" w:pos="5245"/>
        </w:tabs>
        <w:jc w:val="both"/>
        <w:rPr>
          <w:lang w:val="en-AU"/>
        </w:rPr>
      </w:pPr>
      <w:r w:rsidRPr="00207DC2">
        <w:rPr>
          <w:lang w:val="en-AU"/>
        </w:rPr>
        <w:t>E</w:t>
      </w:r>
      <w:r w:rsidR="00CF75FA" w:rsidRPr="00207DC2">
        <w:rPr>
          <w:lang w:val="en-AU"/>
        </w:rPr>
        <w:t xml:space="preserve">mployment outcomes over the long term could </w:t>
      </w:r>
      <w:r w:rsidRPr="00207DC2">
        <w:rPr>
          <w:lang w:val="en-AU"/>
        </w:rPr>
        <w:t xml:space="preserve">be improved by </w:t>
      </w:r>
      <w:r w:rsidR="0020335C" w:rsidRPr="00207DC2">
        <w:rPr>
          <w:lang w:val="en-AU"/>
        </w:rPr>
        <w:t xml:space="preserve">modifying </w:t>
      </w:r>
      <w:r w:rsidRPr="00207DC2">
        <w:rPr>
          <w:lang w:val="en-AU"/>
        </w:rPr>
        <w:t xml:space="preserve">provider </w:t>
      </w:r>
      <w:r w:rsidR="0020335C" w:rsidRPr="00207DC2">
        <w:rPr>
          <w:lang w:val="en-AU"/>
        </w:rPr>
        <w:t>payment</w:t>
      </w:r>
      <w:r w:rsidR="00CF75FA" w:rsidRPr="00207DC2">
        <w:rPr>
          <w:lang w:val="en-AU"/>
        </w:rPr>
        <w:t xml:space="preserve">s </w:t>
      </w:r>
      <w:r w:rsidRPr="00207DC2">
        <w:rPr>
          <w:lang w:val="en-AU"/>
        </w:rPr>
        <w:t xml:space="preserve">for employment outcomes </w:t>
      </w:r>
      <w:r w:rsidR="008C3929" w:rsidRPr="00207DC2">
        <w:rPr>
          <w:lang w:val="en-AU"/>
        </w:rPr>
        <w:t>to</w:t>
      </w:r>
      <w:r w:rsidR="0020335C" w:rsidRPr="00207DC2">
        <w:rPr>
          <w:lang w:val="en-AU"/>
        </w:rPr>
        <w:t xml:space="preserve"> </w:t>
      </w:r>
      <w:r w:rsidR="00912BB1" w:rsidRPr="00207DC2">
        <w:rPr>
          <w:lang w:val="en-AU"/>
        </w:rPr>
        <w:t>better reflect</w:t>
      </w:r>
      <w:r w:rsidR="00CF75FA" w:rsidRPr="00207DC2">
        <w:rPr>
          <w:lang w:val="en-AU"/>
        </w:rPr>
        <w:t xml:space="preserve"> local </w:t>
      </w:r>
      <w:r w:rsidR="000E2AAD" w:rsidRPr="00207DC2">
        <w:rPr>
          <w:lang w:val="en-AU"/>
        </w:rPr>
        <w:t>labour</w:t>
      </w:r>
      <w:r w:rsidR="00CF75FA" w:rsidRPr="00207DC2">
        <w:rPr>
          <w:lang w:val="en-AU"/>
        </w:rPr>
        <w:t xml:space="preserve"> market conditions and opportunities (including seasonal work), and </w:t>
      </w:r>
      <w:r w:rsidR="00853AA9" w:rsidRPr="00207DC2">
        <w:rPr>
          <w:lang w:val="en-AU"/>
        </w:rPr>
        <w:t xml:space="preserve">by </w:t>
      </w:r>
      <w:r w:rsidR="00BE2885" w:rsidRPr="00207DC2">
        <w:rPr>
          <w:lang w:val="en-AU"/>
        </w:rPr>
        <w:t xml:space="preserve">increasing </w:t>
      </w:r>
      <w:r w:rsidR="00CF75FA" w:rsidRPr="00207DC2">
        <w:rPr>
          <w:lang w:val="en-AU"/>
        </w:rPr>
        <w:t>incentives for providers to place those with high barriers into employment.</w:t>
      </w:r>
    </w:p>
    <w:p w14:paraId="4FF36FAA" w14:textId="63635075" w:rsidR="00EA642C" w:rsidRPr="00207DC2" w:rsidRDefault="004E45AD" w:rsidP="007851D5">
      <w:pPr>
        <w:spacing w:before="240"/>
        <w:jc w:val="both"/>
        <w:rPr>
          <w:lang w:val="en-AU"/>
        </w:rPr>
      </w:pPr>
      <w:r w:rsidRPr="00207DC2">
        <w:rPr>
          <w:lang w:val="en-AU"/>
        </w:rPr>
        <w:t>Where the outcomes are more uncertain, there may</w:t>
      </w:r>
      <w:r w:rsidR="008252C9" w:rsidRPr="00207DC2">
        <w:rPr>
          <w:lang w:val="en-AU"/>
        </w:rPr>
        <w:t xml:space="preserve"> be </w:t>
      </w:r>
      <w:r w:rsidRPr="00207DC2">
        <w:rPr>
          <w:lang w:val="en-AU"/>
        </w:rPr>
        <w:t>benefits</w:t>
      </w:r>
      <w:r w:rsidR="008252C9" w:rsidRPr="00207DC2">
        <w:rPr>
          <w:lang w:val="en-AU"/>
        </w:rPr>
        <w:t xml:space="preserve"> </w:t>
      </w:r>
      <w:r w:rsidRPr="00207DC2">
        <w:rPr>
          <w:lang w:val="en-AU"/>
        </w:rPr>
        <w:t>from</w:t>
      </w:r>
      <w:r w:rsidR="008252C9" w:rsidRPr="00207DC2">
        <w:rPr>
          <w:lang w:val="en-AU"/>
        </w:rPr>
        <w:t xml:space="preserve"> first piloting and evaluating </w:t>
      </w:r>
      <w:r w:rsidR="00380494" w:rsidRPr="00207DC2">
        <w:rPr>
          <w:lang w:val="en-AU"/>
        </w:rPr>
        <w:t>innovative payment models and labour market programs.</w:t>
      </w:r>
      <w:r w:rsidR="00CF33B2" w:rsidRPr="00207DC2">
        <w:rPr>
          <w:lang w:val="en-AU"/>
        </w:rPr>
        <w:t xml:space="preserve"> Well-designed program pilots can provide key insights into what works, for whom, and in what circumstances</w:t>
      </w:r>
      <w:r w:rsidR="007851D5" w:rsidRPr="00207DC2">
        <w:rPr>
          <w:lang w:val="en-AU"/>
        </w:rPr>
        <w:t xml:space="preserve"> and provid</w:t>
      </w:r>
      <w:r w:rsidR="00BD233A" w:rsidRPr="00207DC2">
        <w:rPr>
          <w:lang w:val="en-AU"/>
        </w:rPr>
        <w:t>e</w:t>
      </w:r>
      <w:r w:rsidR="007851D5" w:rsidRPr="00207DC2">
        <w:rPr>
          <w:lang w:val="en-AU"/>
        </w:rPr>
        <w:t xml:space="preserve"> robust evidence to inform </w:t>
      </w:r>
      <w:r w:rsidR="0027778D" w:rsidRPr="00207DC2">
        <w:rPr>
          <w:lang w:val="en-AU"/>
        </w:rPr>
        <w:t>any potential</w:t>
      </w:r>
      <w:r w:rsidR="007851D5" w:rsidRPr="00207DC2">
        <w:rPr>
          <w:lang w:val="en-AU"/>
        </w:rPr>
        <w:t xml:space="preserve"> </w:t>
      </w:r>
      <w:r w:rsidR="00BD233A" w:rsidRPr="00207DC2">
        <w:rPr>
          <w:lang w:val="en-AU"/>
        </w:rPr>
        <w:t>roll out</w:t>
      </w:r>
      <w:r w:rsidR="00CF33B2" w:rsidRPr="00207DC2">
        <w:rPr>
          <w:lang w:val="en-AU"/>
        </w:rPr>
        <w:t xml:space="preserve">. </w:t>
      </w:r>
      <w:r w:rsidR="00C35BB5" w:rsidRPr="00207DC2">
        <w:rPr>
          <w:lang w:val="en-AU"/>
        </w:rPr>
        <w:t>H</w:t>
      </w:r>
      <w:r w:rsidR="008252C9" w:rsidRPr="00207DC2">
        <w:rPr>
          <w:lang w:val="en-AU"/>
        </w:rPr>
        <w:t xml:space="preserve">owever, </w:t>
      </w:r>
      <w:r w:rsidR="00C35BB5" w:rsidRPr="00207DC2">
        <w:rPr>
          <w:lang w:val="en-AU"/>
        </w:rPr>
        <w:t>w</w:t>
      </w:r>
      <w:r w:rsidR="008252C9" w:rsidRPr="00207DC2">
        <w:rPr>
          <w:lang w:val="en-AU"/>
        </w:rPr>
        <w:t xml:space="preserve">here pilots require extensive time to set-up, run and evaluate, the benefits of refining policy through pilot programs needs to be balanced against </w:t>
      </w:r>
      <w:r w:rsidR="008F31CF">
        <w:rPr>
          <w:lang w:val="en-AU"/>
        </w:rPr>
        <w:t xml:space="preserve">the benefits of </w:t>
      </w:r>
      <w:r w:rsidR="008252C9" w:rsidRPr="00207DC2">
        <w:rPr>
          <w:lang w:val="en-AU"/>
        </w:rPr>
        <w:t xml:space="preserve">providing </w:t>
      </w:r>
      <w:r w:rsidR="008F31CF">
        <w:rPr>
          <w:lang w:val="en-AU"/>
        </w:rPr>
        <w:t xml:space="preserve">earlier </w:t>
      </w:r>
      <w:r w:rsidR="008252C9" w:rsidRPr="00207DC2">
        <w:rPr>
          <w:lang w:val="en-AU"/>
        </w:rPr>
        <w:t>access to new policy arrangements.</w:t>
      </w:r>
    </w:p>
    <w:p w14:paraId="48FBFC71" w14:textId="470266D5" w:rsidR="00931735" w:rsidRPr="008050A9" w:rsidRDefault="00F76794" w:rsidP="001C5031">
      <w:pPr>
        <w:pStyle w:val="ZED3"/>
        <w:outlineLvl w:val="2"/>
        <w:rPr>
          <w:caps/>
        </w:rPr>
      </w:pPr>
      <w:bookmarkStart w:id="37" w:name="_Toc534965152"/>
      <w:bookmarkStart w:id="38" w:name="_Toc535935032"/>
      <w:r w:rsidRPr="008050A9">
        <w:t>Measuring, m</w:t>
      </w:r>
      <w:r w:rsidR="00931735" w:rsidRPr="008050A9">
        <w:t>onitoring and evaluating outcomes</w:t>
      </w:r>
      <w:bookmarkEnd w:id="37"/>
      <w:bookmarkEnd w:id="38"/>
    </w:p>
    <w:p w14:paraId="39242EF7" w14:textId="77777777" w:rsidR="005C46B4" w:rsidRPr="00207DC2" w:rsidRDefault="006D7BB4" w:rsidP="00767251">
      <w:pPr>
        <w:tabs>
          <w:tab w:val="left" w:pos="4536"/>
          <w:tab w:val="left" w:pos="4678"/>
          <w:tab w:val="left" w:pos="7088"/>
        </w:tabs>
        <w:jc w:val="both"/>
        <w:rPr>
          <w:lang w:val="en-AU"/>
        </w:rPr>
      </w:pPr>
      <w:r w:rsidRPr="00207DC2">
        <w:rPr>
          <w:lang w:val="en-AU"/>
        </w:rPr>
        <w:t>The evaluation and the ongoing monitoring of the efficiency and effectiveness of the program is an important part of understanding and improving outcomes for people</w:t>
      </w:r>
      <w:r w:rsidR="00E31C58" w:rsidRPr="00207DC2">
        <w:rPr>
          <w:lang w:val="en-AU"/>
        </w:rPr>
        <w:t xml:space="preserve"> living</w:t>
      </w:r>
      <w:r w:rsidRPr="00207DC2">
        <w:rPr>
          <w:lang w:val="en-AU"/>
        </w:rPr>
        <w:t xml:space="preserve"> in remote </w:t>
      </w:r>
      <w:r w:rsidR="008F685F" w:rsidRPr="00207DC2">
        <w:rPr>
          <w:lang w:val="en-AU"/>
        </w:rPr>
        <w:t>Australia</w:t>
      </w:r>
      <w:r w:rsidR="001C35BB" w:rsidRPr="00207DC2">
        <w:rPr>
          <w:lang w:val="en-AU"/>
        </w:rPr>
        <w:t xml:space="preserve">. </w:t>
      </w:r>
    </w:p>
    <w:p w14:paraId="266EC279" w14:textId="790FC518" w:rsidR="005C46B4" w:rsidRPr="00207DC2" w:rsidRDefault="00DC1DE9" w:rsidP="00767251">
      <w:pPr>
        <w:tabs>
          <w:tab w:val="left" w:pos="4536"/>
          <w:tab w:val="left" w:pos="4678"/>
          <w:tab w:val="left" w:pos="7088"/>
        </w:tabs>
        <w:jc w:val="both"/>
        <w:rPr>
          <w:lang w:val="en-AU"/>
        </w:rPr>
      </w:pPr>
      <w:r w:rsidRPr="00207DC2">
        <w:rPr>
          <w:lang w:val="en-AU"/>
        </w:rPr>
        <w:t>As highlighted above, b</w:t>
      </w:r>
      <w:r w:rsidR="0082608E" w:rsidRPr="00207DC2">
        <w:rPr>
          <w:lang w:val="en-AU"/>
        </w:rPr>
        <w:t xml:space="preserve">etter measures of the quality of activities </w:t>
      </w:r>
      <w:r w:rsidR="00662557" w:rsidRPr="00207DC2">
        <w:rPr>
          <w:lang w:val="en-AU"/>
        </w:rPr>
        <w:t>are</w:t>
      </w:r>
      <w:r w:rsidR="00F8427B" w:rsidRPr="00207DC2">
        <w:rPr>
          <w:lang w:val="en-AU"/>
        </w:rPr>
        <w:t xml:space="preserve"> key to a better understanding of the overall effect of the program</w:t>
      </w:r>
      <w:r w:rsidR="008F685F" w:rsidRPr="00207DC2">
        <w:rPr>
          <w:lang w:val="en-AU"/>
        </w:rPr>
        <w:t>,</w:t>
      </w:r>
      <w:r w:rsidR="00F8427B" w:rsidRPr="00207DC2">
        <w:rPr>
          <w:lang w:val="en-AU"/>
        </w:rPr>
        <w:t xml:space="preserve"> and </w:t>
      </w:r>
      <w:r w:rsidR="0082608E" w:rsidRPr="00207DC2">
        <w:rPr>
          <w:lang w:val="en-AU"/>
        </w:rPr>
        <w:t xml:space="preserve">to </w:t>
      </w:r>
      <w:r w:rsidR="00F8427B" w:rsidRPr="00207DC2">
        <w:rPr>
          <w:lang w:val="en-AU"/>
        </w:rPr>
        <w:t>improving</w:t>
      </w:r>
      <w:r w:rsidRPr="00207DC2">
        <w:rPr>
          <w:lang w:val="en-AU"/>
        </w:rPr>
        <w:t xml:space="preserve"> </w:t>
      </w:r>
      <w:r w:rsidR="00F8427B" w:rsidRPr="00207DC2">
        <w:rPr>
          <w:lang w:val="en-AU"/>
        </w:rPr>
        <w:t>outcomes for participants</w:t>
      </w:r>
      <w:r w:rsidR="0082608E" w:rsidRPr="00207DC2">
        <w:rPr>
          <w:lang w:val="en-AU"/>
        </w:rPr>
        <w:t xml:space="preserve">. </w:t>
      </w:r>
      <w:r w:rsidR="005C46B4" w:rsidRPr="00207DC2">
        <w:rPr>
          <w:lang w:val="en-AU"/>
        </w:rPr>
        <w:t>Measuring and reporting on what happens to people exiting the CDP could also improve understanding of longer</w:t>
      </w:r>
      <w:r w:rsidR="005C46B4" w:rsidRPr="00207DC2">
        <w:rPr>
          <w:lang w:val="en-AU"/>
        </w:rPr>
        <w:noBreakHyphen/>
        <w:t xml:space="preserve">term employment outcomes </w:t>
      </w:r>
      <w:r w:rsidR="008555B3" w:rsidRPr="00207DC2">
        <w:rPr>
          <w:lang w:val="en-AU"/>
        </w:rPr>
        <w:t xml:space="preserve">and any </w:t>
      </w:r>
      <w:r w:rsidR="008555B3" w:rsidRPr="00207DC2">
        <w:rPr>
          <w:i/>
          <w:lang w:val="en-AU"/>
        </w:rPr>
        <w:t>disengagement</w:t>
      </w:r>
      <w:r w:rsidR="008555B3" w:rsidRPr="00207DC2">
        <w:rPr>
          <w:lang w:val="en-AU"/>
        </w:rPr>
        <w:t xml:space="preserve"> from the program; </w:t>
      </w:r>
      <w:r w:rsidR="005C46B4" w:rsidRPr="00207DC2">
        <w:rPr>
          <w:lang w:val="en-AU"/>
        </w:rPr>
        <w:t xml:space="preserve">as well as </w:t>
      </w:r>
      <w:r w:rsidR="008555B3" w:rsidRPr="00207DC2">
        <w:rPr>
          <w:lang w:val="en-AU"/>
        </w:rPr>
        <w:t>the impact of penalties and</w:t>
      </w:r>
      <w:r w:rsidR="005C46B4" w:rsidRPr="00207DC2">
        <w:rPr>
          <w:lang w:val="en-AU"/>
        </w:rPr>
        <w:t xml:space="preserve"> activities. This requires that outcomes are monitored across the CDP and income support administrative systems.</w:t>
      </w:r>
    </w:p>
    <w:p w14:paraId="6D8F9F1D" w14:textId="77777777" w:rsidR="001946B0" w:rsidRDefault="001946B0" w:rsidP="002E1B54">
      <w:pPr>
        <w:rPr>
          <w:lang w:val="en-AU"/>
        </w:rPr>
        <w:sectPr w:rsidR="001946B0" w:rsidSect="003B4052">
          <w:type w:val="oddPage"/>
          <w:pgSz w:w="11907" w:h="16839" w:code="9"/>
          <w:pgMar w:top="1560" w:right="1512" w:bottom="1560" w:left="1512" w:header="624" w:footer="283" w:gutter="0"/>
          <w:pgNumType w:fmt="lowerRoman"/>
          <w:cols w:space="720"/>
          <w:docGrid w:linePitch="360"/>
        </w:sectPr>
      </w:pPr>
    </w:p>
    <w:p w14:paraId="59CB0DBF" w14:textId="4DA68208" w:rsidR="00502667" w:rsidRPr="00207DC2" w:rsidRDefault="00B11F73" w:rsidP="001C5031">
      <w:pPr>
        <w:pStyle w:val="ZED11"/>
        <w:ind w:left="357" w:hanging="357"/>
        <w:outlineLvl w:val="1"/>
      </w:pPr>
      <w:bookmarkStart w:id="39" w:name="_Toc509311697"/>
      <w:bookmarkStart w:id="40" w:name="_Toc509412964"/>
      <w:bookmarkStart w:id="41" w:name="_Toc509587031"/>
      <w:bookmarkStart w:id="42" w:name="_Toc509588057"/>
      <w:bookmarkStart w:id="43" w:name="_Toc509588320"/>
      <w:bookmarkStart w:id="44" w:name="_Toc509589468"/>
      <w:bookmarkStart w:id="45" w:name="_Toc509926886"/>
      <w:bookmarkStart w:id="46" w:name="_Toc511661234"/>
      <w:bookmarkStart w:id="47" w:name="_Toc511826285"/>
      <w:bookmarkStart w:id="48" w:name="_Toc511940602"/>
      <w:bookmarkStart w:id="49" w:name="_Toc515185447"/>
      <w:bookmarkStart w:id="50" w:name="_Toc516219821"/>
      <w:bookmarkStart w:id="51" w:name="_Toc516220462"/>
      <w:bookmarkStart w:id="52" w:name="_Toc516223282"/>
      <w:bookmarkStart w:id="53" w:name="_Toc516225190"/>
      <w:bookmarkStart w:id="54" w:name="_Toc516228966"/>
      <w:bookmarkStart w:id="55" w:name="_Toc518468046"/>
      <w:bookmarkStart w:id="56" w:name="_Toc518487826"/>
      <w:bookmarkStart w:id="57" w:name="_Toc518558790"/>
      <w:bookmarkStart w:id="58" w:name="_Toc518565313"/>
      <w:bookmarkStart w:id="59" w:name="_Toc518565557"/>
      <w:bookmarkStart w:id="60" w:name="_Toc519504728"/>
      <w:bookmarkStart w:id="61" w:name="_Toc519505952"/>
      <w:bookmarkStart w:id="62" w:name="_Toc519844058"/>
      <w:bookmarkStart w:id="63" w:name="_Toc521068560"/>
      <w:bookmarkStart w:id="64" w:name="_Toc521391074"/>
      <w:bookmarkStart w:id="65" w:name="_Toc522013243"/>
      <w:bookmarkStart w:id="66" w:name="_Toc534965153"/>
      <w:bookmarkStart w:id="67" w:name="_Toc535935033"/>
      <w:r w:rsidRPr="00207DC2">
        <w:t xml:space="preserve">An </w:t>
      </w:r>
      <w:r w:rsidR="00834A81" w:rsidRPr="00207DC2">
        <w:t>overview of the Community Development P</w:t>
      </w:r>
      <w:r w:rsidR="00CB6E7D" w:rsidRPr="00207DC2">
        <w:t>rogramme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points box"/>
      </w:tblPr>
      <w:tblGrid>
        <w:gridCol w:w="9099"/>
      </w:tblGrid>
      <w:tr w:rsidR="00B72AA7" w:rsidRPr="00207DC2" w14:paraId="10936000" w14:textId="77777777" w:rsidTr="000A3951">
        <w:trPr>
          <w:tblHeader/>
        </w:trPr>
        <w:tc>
          <w:tcPr>
            <w:tcW w:w="9099" w:type="dxa"/>
            <w:tcBorders>
              <w:top w:val="single" w:sz="4" w:space="0" w:color="auto"/>
              <w:bottom w:val="single" w:sz="4" w:space="0" w:color="auto"/>
            </w:tcBorders>
            <w:shd w:val="clear" w:color="auto" w:fill="D0D2D3" w:themeFill="background2"/>
          </w:tcPr>
          <w:p w14:paraId="5DDB506C" w14:textId="77777777" w:rsidR="00B72AA7" w:rsidRPr="003D7FEC" w:rsidRDefault="00B72AA7" w:rsidP="003D7FEC">
            <w:pPr>
              <w:rPr>
                <w:rFonts w:ascii="Montserrat" w:hAnsi="Montserrat"/>
                <w:b/>
                <w:szCs w:val="20"/>
                <w:lang w:val="en-AU"/>
              </w:rPr>
            </w:pPr>
            <w:r w:rsidRPr="003D7FEC">
              <w:rPr>
                <w:rFonts w:ascii="Montserrat" w:hAnsi="Montserrat"/>
                <w:b/>
                <w:szCs w:val="20"/>
                <w:lang w:val="en-AU"/>
              </w:rPr>
              <w:t>Key Points</w:t>
            </w:r>
          </w:p>
          <w:p w14:paraId="41A918A0" w14:textId="77777777" w:rsidR="0093584D" w:rsidRPr="008050A9" w:rsidRDefault="00B72AA7" w:rsidP="00F90446">
            <w:pPr>
              <w:pStyle w:val="ListParagraph"/>
              <w:numPr>
                <w:ilvl w:val="0"/>
                <w:numId w:val="39"/>
              </w:numPr>
              <w:spacing w:after="120"/>
              <w:ind w:left="714" w:hanging="357"/>
              <w:contextualSpacing w:val="0"/>
              <w:rPr>
                <w:lang w:val="en-AU"/>
              </w:rPr>
            </w:pPr>
            <w:r w:rsidRPr="008050A9">
              <w:rPr>
                <w:lang w:val="en-AU"/>
              </w:rPr>
              <w:t>The Community Development Program</w:t>
            </w:r>
            <w:r w:rsidR="00D72DF3" w:rsidRPr="008050A9">
              <w:rPr>
                <w:lang w:val="en-AU"/>
              </w:rPr>
              <w:t>me</w:t>
            </w:r>
            <w:r w:rsidRPr="008050A9">
              <w:rPr>
                <w:lang w:val="en-AU"/>
              </w:rPr>
              <w:t xml:space="preserve"> (CDP) </w:t>
            </w:r>
            <w:r w:rsidR="004A069A" w:rsidRPr="008050A9">
              <w:rPr>
                <w:lang w:val="en-AU"/>
              </w:rPr>
              <w:t>is an employment and community develo</w:t>
            </w:r>
            <w:r w:rsidR="002D24B6" w:rsidRPr="008050A9">
              <w:rPr>
                <w:lang w:val="en-AU"/>
              </w:rPr>
              <w:t>p</w:t>
            </w:r>
            <w:r w:rsidR="004A069A" w:rsidRPr="008050A9">
              <w:rPr>
                <w:lang w:val="en-AU"/>
              </w:rPr>
              <w:t>men</w:t>
            </w:r>
            <w:r w:rsidR="002D24B6" w:rsidRPr="008050A9">
              <w:rPr>
                <w:lang w:val="en-AU"/>
              </w:rPr>
              <w:t>t</w:t>
            </w:r>
            <w:r w:rsidR="004A069A" w:rsidRPr="008050A9">
              <w:rPr>
                <w:lang w:val="en-AU"/>
              </w:rPr>
              <w:t xml:space="preserve"> program </w:t>
            </w:r>
            <w:r w:rsidR="00355E53" w:rsidRPr="008050A9">
              <w:rPr>
                <w:lang w:val="en-AU"/>
              </w:rPr>
              <w:t>servicing</w:t>
            </w:r>
            <w:r w:rsidR="0093584D" w:rsidRPr="008050A9">
              <w:rPr>
                <w:lang w:val="en-AU"/>
              </w:rPr>
              <w:t xml:space="preserve"> 60 regions</w:t>
            </w:r>
            <w:r w:rsidR="005645A0" w:rsidRPr="008050A9">
              <w:rPr>
                <w:lang w:val="en-AU"/>
              </w:rPr>
              <w:t xml:space="preserve"> including</w:t>
            </w:r>
            <w:r w:rsidR="0093584D" w:rsidRPr="008050A9">
              <w:rPr>
                <w:lang w:val="en-AU"/>
              </w:rPr>
              <w:t xml:space="preserve"> more</w:t>
            </w:r>
            <w:r w:rsidR="00347769" w:rsidRPr="008050A9">
              <w:rPr>
                <w:lang w:val="en-AU"/>
              </w:rPr>
              <w:t xml:space="preserve"> than 1,000 remote communities.</w:t>
            </w:r>
            <w:r w:rsidR="0093584D" w:rsidRPr="008050A9">
              <w:rPr>
                <w:lang w:val="en-AU"/>
              </w:rPr>
              <w:t xml:space="preserve"> These are typically small communities and are often characterised by limited labour market opportunities and limited access to services.</w:t>
            </w:r>
            <w:r w:rsidR="00D654CD" w:rsidRPr="008050A9">
              <w:rPr>
                <w:lang w:val="en-AU"/>
              </w:rPr>
              <w:t xml:space="preserve"> </w:t>
            </w:r>
          </w:p>
          <w:p w14:paraId="0F22805A" w14:textId="1E59A977" w:rsidR="00BC4152" w:rsidRPr="008050A9" w:rsidRDefault="004D589C" w:rsidP="00F90446">
            <w:pPr>
              <w:pStyle w:val="ListParagraph"/>
              <w:numPr>
                <w:ilvl w:val="0"/>
                <w:numId w:val="39"/>
              </w:numPr>
              <w:spacing w:after="120"/>
              <w:ind w:left="714" w:hanging="357"/>
              <w:contextualSpacing w:val="0"/>
              <w:rPr>
                <w:lang w:val="en-AU"/>
              </w:rPr>
            </w:pPr>
            <w:r w:rsidRPr="008050A9">
              <w:rPr>
                <w:lang w:val="en-AU"/>
              </w:rPr>
              <w:t xml:space="preserve">The introduction of </w:t>
            </w:r>
            <w:r w:rsidR="00610752" w:rsidRPr="008050A9">
              <w:rPr>
                <w:lang w:val="en-AU"/>
              </w:rPr>
              <w:t xml:space="preserve">the </w:t>
            </w:r>
            <w:r w:rsidRPr="008050A9">
              <w:rPr>
                <w:lang w:val="en-AU"/>
              </w:rPr>
              <w:t xml:space="preserve">CDP in mid-2015 brought a range of changes designed to increase participation </w:t>
            </w:r>
            <w:r w:rsidR="00BE1B3E" w:rsidRPr="008050A9">
              <w:rPr>
                <w:lang w:val="en-AU"/>
              </w:rPr>
              <w:t>in work-like activities and</w:t>
            </w:r>
            <w:r w:rsidR="000B0458" w:rsidRPr="008050A9">
              <w:rPr>
                <w:lang w:val="en-AU"/>
              </w:rPr>
              <w:t xml:space="preserve"> </w:t>
            </w:r>
            <w:r w:rsidRPr="008050A9">
              <w:rPr>
                <w:lang w:val="en-AU"/>
              </w:rPr>
              <w:t xml:space="preserve">improve </w:t>
            </w:r>
            <w:r w:rsidR="000B0458" w:rsidRPr="008050A9">
              <w:rPr>
                <w:lang w:val="en-AU"/>
              </w:rPr>
              <w:t xml:space="preserve">employment outcomes </w:t>
            </w:r>
            <w:r w:rsidR="00BE1B3E" w:rsidRPr="008050A9">
              <w:rPr>
                <w:lang w:val="en-AU"/>
              </w:rPr>
              <w:t>in remote Australia</w:t>
            </w:r>
            <w:r w:rsidR="000E2AAD" w:rsidRPr="008050A9">
              <w:rPr>
                <w:lang w:val="en-AU"/>
              </w:rPr>
              <w:t>. This included a</w:t>
            </w:r>
            <w:r w:rsidR="008E60CD" w:rsidRPr="008050A9">
              <w:rPr>
                <w:lang w:val="en-AU"/>
              </w:rPr>
              <w:t xml:space="preserve"> requirement that all </w:t>
            </w:r>
            <w:r w:rsidR="00903A7A" w:rsidRPr="008050A9">
              <w:rPr>
                <w:lang w:val="en-AU"/>
              </w:rPr>
              <w:t>activity-tested</w:t>
            </w:r>
            <w:r w:rsidR="00CF7866" w:rsidRPr="008050A9">
              <w:rPr>
                <w:lang w:val="en-AU"/>
              </w:rPr>
              <w:t xml:space="preserve"> income support recipient</w:t>
            </w:r>
            <w:r w:rsidR="008E60CD" w:rsidRPr="008050A9">
              <w:rPr>
                <w:lang w:val="en-AU"/>
              </w:rPr>
              <w:t>s aged 18</w:t>
            </w:r>
            <w:r w:rsidR="00E87DCE" w:rsidRPr="008050A9">
              <w:rPr>
                <w:lang w:val="en-AU"/>
              </w:rPr>
              <w:t xml:space="preserve"> to </w:t>
            </w:r>
            <w:r w:rsidR="008E60CD" w:rsidRPr="008050A9">
              <w:rPr>
                <w:lang w:val="en-AU"/>
              </w:rPr>
              <w:t xml:space="preserve">49 years </w:t>
            </w:r>
            <w:r w:rsidR="00E464AC" w:rsidRPr="008050A9">
              <w:rPr>
                <w:lang w:val="en-AU"/>
              </w:rPr>
              <w:t>be</w:t>
            </w:r>
            <w:r w:rsidR="000E2AAD" w:rsidRPr="008050A9">
              <w:rPr>
                <w:lang w:val="en-AU"/>
              </w:rPr>
              <w:t xml:space="preserve"> engaged in </w:t>
            </w:r>
            <w:r w:rsidR="00BE1B3E" w:rsidRPr="008050A9">
              <w:rPr>
                <w:lang w:val="en-AU"/>
              </w:rPr>
              <w:t xml:space="preserve">a routine of </w:t>
            </w:r>
            <w:r w:rsidR="000B0458" w:rsidRPr="008050A9">
              <w:rPr>
                <w:lang w:val="en-AU"/>
              </w:rPr>
              <w:t>Work for the Dole</w:t>
            </w:r>
            <w:r w:rsidR="000E2AAD" w:rsidRPr="008050A9">
              <w:rPr>
                <w:lang w:val="en-AU"/>
              </w:rPr>
              <w:t xml:space="preserve">, </w:t>
            </w:r>
            <w:r w:rsidR="00B13B46" w:rsidRPr="008050A9">
              <w:rPr>
                <w:lang w:val="en-AU"/>
              </w:rPr>
              <w:t>five day</w:t>
            </w:r>
            <w:r w:rsidR="008E60CD" w:rsidRPr="008050A9">
              <w:rPr>
                <w:lang w:val="en-AU"/>
              </w:rPr>
              <w:t>s a</w:t>
            </w:r>
            <w:r w:rsidR="00B13B46" w:rsidRPr="008050A9">
              <w:rPr>
                <w:lang w:val="en-AU"/>
              </w:rPr>
              <w:t xml:space="preserve"> week</w:t>
            </w:r>
            <w:r w:rsidR="008E60CD" w:rsidRPr="008050A9">
              <w:rPr>
                <w:lang w:val="en-AU"/>
              </w:rPr>
              <w:t>, year round</w:t>
            </w:r>
            <w:r w:rsidR="00BC4152" w:rsidRPr="008050A9">
              <w:rPr>
                <w:lang w:val="en-AU"/>
              </w:rPr>
              <w:t>.</w:t>
            </w:r>
            <w:r w:rsidR="00E464AC" w:rsidRPr="008050A9">
              <w:rPr>
                <w:lang w:val="en-AU"/>
              </w:rPr>
              <w:t xml:space="preserve"> </w:t>
            </w:r>
          </w:p>
          <w:p w14:paraId="2ACB7F53" w14:textId="0AC852A3" w:rsidR="0083154C" w:rsidRPr="008050A9" w:rsidRDefault="00BC4152" w:rsidP="00F90446">
            <w:pPr>
              <w:pStyle w:val="ListParagraph"/>
              <w:numPr>
                <w:ilvl w:val="0"/>
                <w:numId w:val="39"/>
              </w:numPr>
              <w:spacing w:after="120"/>
              <w:ind w:left="714" w:hanging="357"/>
              <w:contextualSpacing w:val="0"/>
              <w:rPr>
                <w:lang w:val="en-AU"/>
              </w:rPr>
            </w:pPr>
            <w:r w:rsidRPr="008050A9">
              <w:rPr>
                <w:lang w:val="en-AU"/>
              </w:rPr>
              <w:t>C</w:t>
            </w:r>
            <w:r w:rsidR="00B13B46" w:rsidRPr="008050A9">
              <w:rPr>
                <w:lang w:val="en-AU"/>
              </w:rPr>
              <w:t>hange</w:t>
            </w:r>
            <w:r w:rsidR="008E60CD" w:rsidRPr="008050A9">
              <w:rPr>
                <w:lang w:val="en-AU"/>
              </w:rPr>
              <w:t>s</w:t>
            </w:r>
            <w:r w:rsidRPr="008050A9">
              <w:rPr>
                <w:lang w:val="en-AU"/>
              </w:rPr>
              <w:t xml:space="preserve"> were also made to </w:t>
            </w:r>
            <w:r w:rsidR="00A842BF" w:rsidRPr="008050A9">
              <w:rPr>
                <w:lang w:val="en-AU"/>
              </w:rPr>
              <w:t>provide</w:t>
            </w:r>
            <w:r w:rsidR="00843710" w:rsidRPr="008050A9">
              <w:rPr>
                <w:lang w:val="en-AU"/>
              </w:rPr>
              <w:t>r</w:t>
            </w:r>
            <w:r w:rsidR="00EB68BD" w:rsidRPr="008050A9">
              <w:rPr>
                <w:lang w:val="en-AU"/>
              </w:rPr>
              <w:t xml:space="preserve"> payments to place</w:t>
            </w:r>
            <w:r w:rsidRPr="008050A9">
              <w:rPr>
                <w:lang w:val="en-AU"/>
              </w:rPr>
              <w:t xml:space="preserve"> </w:t>
            </w:r>
            <w:r w:rsidR="00EB68BD" w:rsidRPr="008050A9">
              <w:rPr>
                <w:lang w:val="en-AU"/>
              </w:rPr>
              <w:t xml:space="preserve">greater weight on </w:t>
            </w:r>
            <w:r w:rsidR="004129D6" w:rsidRPr="008050A9">
              <w:rPr>
                <w:lang w:val="en-AU"/>
              </w:rPr>
              <w:t>26 consecutive-week</w:t>
            </w:r>
            <w:r w:rsidR="00EB68BD" w:rsidRPr="008050A9">
              <w:rPr>
                <w:lang w:val="en-AU"/>
              </w:rPr>
              <w:t xml:space="preserve"> employment outcomes</w:t>
            </w:r>
            <w:r w:rsidR="00B13B46" w:rsidRPr="008050A9">
              <w:rPr>
                <w:lang w:val="en-AU"/>
              </w:rPr>
              <w:t>.</w:t>
            </w:r>
            <w:r w:rsidRPr="008050A9">
              <w:rPr>
                <w:lang w:val="en-AU"/>
              </w:rPr>
              <w:t xml:space="preserve"> </w:t>
            </w:r>
            <w:r w:rsidR="00EB68BD" w:rsidRPr="008050A9">
              <w:rPr>
                <w:lang w:val="en-AU"/>
              </w:rPr>
              <w:t>A</w:t>
            </w:r>
            <w:r w:rsidRPr="008050A9">
              <w:rPr>
                <w:lang w:val="en-AU"/>
              </w:rPr>
              <w:t>ctivity payments</w:t>
            </w:r>
            <w:r w:rsidR="00EB68BD" w:rsidRPr="008050A9">
              <w:rPr>
                <w:lang w:val="en-AU"/>
              </w:rPr>
              <w:t xml:space="preserve"> were also </w:t>
            </w:r>
            <w:r w:rsidR="00FD6788" w:rsidRPr="008050A9">
              <w:rPr>
                <w:lang w:val="en-AU"/>
              </w:rPr>
              <w:t xml:space="preserve">increased for Work for the Dole participants, and </w:t>
            </w:r>
            <w:r w:rsidR="00EB68BD" w:rsidRPr="008050A9">
              <w:rPr>
                <w:lang w:val="en-AU"/>
              </w:rPr>
              <w:t>made</w:t>
            </w:r>
            <w:r w:rsidRPr="008050A9">
              <w:rPr>
                <w:lang w:val="en-AU"/>
              </w:rPr>
              <w:t xml:space="preserve"> conditional on</w:t>
            </w:r>
            <w:r w:rsidR="00FD6788" w:rsidRPr="008050A9">
              <w:rPr>
                <w:lang w:val="en-AU"/>
              </w:rPr>
              <w:t xml:space="preserve"> enrolling,</w:t>
            </w:r>
            <w:r w:rsidRPr="008050A9">
              <w:rPr>
                <w:lang w:val="en-AU"/>
              </w:rPr>
              <w:t xml:space="preserve"> recording and reporting </w:t>
            </w:r>
            <w:r w:rsidR="00D04882" w:rsidRPr="008050A9">
              <w:rPr>
                <w:lang w:val="en-AU"/>
              </w:rPr>
              <w:t>participant</w:t>
            </w:r>
            <w:r w:rsidR="00FD6788" w:rsidRPr="008050A9">
              <w:rPr>
                <w:lang w:val="en-AU"/>
              </w:rPr>
              <w:t>s</w:t>
            </w:r>
            <w:r w:rsidR="00D04882" w:rsidRPr="008050A9">
              <w:rPr>
                <w:lang w:val="en-AU"/>
              </w:rPr>
              <w:t xml:space="preserve">’ </w:t>
            </w:r>
            <w:r w:rsidRPr="008050A9">
              <w:rPr>
                <w:lang w:val="en-AU"/>
              </w:rPr>
              <w:t>attendance</w:t>
            </w:r>
            <w:r w:rsidR="003B7039" w:rsidRPr="008050A9">
              <w:rPr>
                <w:lang w:val="en-AU"/>
              </w:rPr>
              <w:t>.</w:t>
            </w:r>
            <w:r w:rsidR="0083154C" w:rsidRPr="008050A9">
              <w:rPr>
                <w:lang w:val="en-AU"/>
              </w:rPr>
              <w:t xml:space="preserve"> </w:t>
            </w:r>
            <w:r w:rsidR="002B7903" w:rsidRPr="008050A9">
              <w:rPr>
                <w:lang w:val="en-AU"/>
              </w:rPr>
              <w:t>Under the CDP, providers can be paid a higher amount for participants attending Work for the Dole activities throughout the year than for achieving a 26</w:t>
            </w:r>
            <w:r w:rsidR="00281CF6" w:rsidRPr="008050A9">
              <w:rPr>
                <w:lang w:val="en-AU"/>
              </w:rPr>
              <w:t>-</w:t>
            </w:r>
            <w:r w:rsidR="002B7903" w:rsidRPr="008050A9">
              <w:rPr>
                <w:lang w:val="en-AU"/>
              </w:rPr>
              <w:t>week employment outcome.</w:t>
            </w:r>
          </w:p>
          <w:p w14:paraId="34F0AFC1" w14:textId="77777777" w:rsidR="003D26C3" w:rsidRPr="008050A9" w:rsidRDefault="00E164D4" w:rsidP="00F90446">
            <w:pPr>
              <w:pStyle w:val="ListParagraph"/>
              <w:numPr>
                <w:ilvl w:val="0"/>
                <w:numId w:val="39"/>
              </w:numPr>
              <w:spacing w:after="120"/>
              <w:ind w:left="714" w:hanging="357"/>
              <w:contextualSpacing w:val="0"/>
              <w:rPr>
                <w:lang w:val="en-AU"/>
              </w:rPr>
            </w:pPr>
            <w:r w:rsidRPr="008050A9">
              <w:rPr>
                <w:lang w:val="en-AU"/>
              </w:rPr>
              <w:t xml:space="preserve">This report draws on administrative data to examine whether the CDP has been effective </w:t>
            </w:r>
            <w:r w:rsidR="002127D4" w:rsidRPr="008050A9">
              <w:rPr>
                <w:lang w:val="en-AU"/>
              </w:rPr>
              <w:t>at</w:t>
            </w:r>
            <w:r w:rsidRPr="008050A9">
              <w:rPr>
                <w:lang w:val="en-AU"/>
              </w:rPr>
              <w:t xml:space="preserve"> increasing participation an</w:t>
            </w:r>
            <w:r w:rsidR="001C4120" w:rsidRPr="008050A9">
              <w:rPr>
                <w:lang w:val="en-AU"/>
              </w:rPr>
              <w:t>d employment outcome</w:t>
            </w:r>
            <w:r w:rsidRPr="008050A9">
              <w:rPr>
                <w:lang w:val="en-AU"/>
              </w:rPr>
              <w:t>s</w:t>
            </w:r>
            <w:r w:rsidR="0093584D" w:rsidRPr="008050A9">
              <w:rPr>
                <w:lang w:val="en-AU"/>
              </w:rPr>
              <w:t xml:space="preserve"> over the first two years of the program</w:t>
            </w:r>
            <w:r w:rsidRPr="008050A9">
              <w:rPr>
                <w:lang w:val="en-AU"/>
              </w:rPr>
              <w:t>.</w:t>
            </w:r>
          </w:p>
        </w:tc>
      </w:tr>
    </w:tbl>
    <w:p w14:paraId="00D68E29" w14:textId="71F0C180" w:rsidR="00686925" w:rsidRPr="00207DC2" w:rsidRDefault="00686925" w:rsidP="00C157BD">
      <w:pPr>
        <w:spacing w:before="240"/>
        <w:jc w:val="both"/>
        <w:rPr>
          <w:lang w:val="en-AU"/>
        </w:rPr>
      </w:pPr>
      <w:r w:rsidRPr="00207DC2">
        <w:rPr>
          <w:lang w:val="en-AU"/>
        </w:rPr>
        <w:t xml:space="preserve">The </w:t>
      </w:r>
      <w:r w:rsidR="000D1DBD">
        <w:rPr>
          <w:lang w:val="en-AU"/>
        </w:rPr>
        <w:t>Community Development Programme (</w:t>
      </w:r>
      <w:r w:rsidRPr="00207DC2">
        <w:rPr>
          <w:lang w:val="en-AU"/>
        </w:rPr>
        <w:t>CDP</w:t>
      </w:r>
      <w:r w:rsidR="000D1DBD">
        <w:rPr>
          <w:lang w:val="en-AU"/>
        </w:rPr>
        <w:t>)</w:t>
      </w:r>
      <w:r w:rsidRPr="00207DC2">
        <w:rPr>
          <w:lang w:val="en-AU"/>
        </w:rPr>
        <w:t xml:space="preserve"> is an Australian Government employment and community development program. The CDP commenced on 1 July 2015, replacing the Remote Jobs and Communities Program (RJCP).</w:t>
      </w:r>
      <w:r w:rsidRPr="00207DC2">
        <w:rPr>
          <w:rStyle w:val="FootnoteReference"/>
          <w:lang w:val="en-AU"/>
        </w:rPr>
        <w:footnoteReference w:id="3"/>
      </w:r>
      <w:r w:rsidRPr="00207DC2">
        <w:rPr>
          <w:lang w:val="en-AU"/>
        </w:rPr>
        <w:t xml:space="preserve"> The CDP was designed to increase participation </w:t>
      </w:r>
      <w:r w:rsidR="00BE1B3E" w:rsidRPr="00207DC2">
        <w:rPr>
          <w:lang w:val="en-AU"/>
        </w:rPr>
        <w:t xml:space="preserve">in work-like activities, </w:t>
      </w:r>
      <w:r w:rsidR="003E1770" w:rsidRPr="00207DC2">
        <w:rPr>
          <w:lang w:val="en-AU"/>
        </w:rPr>
        <w:t xml:space="preserve">increase </w:t>
      </w:r>
      <w:r w:rsidRPr="00207DC2">
        <w:rPr>
          <w:lang w:val="en-AU"/>
        </w:rPr>
        <w:t>sustainable work transitions and</w:t>
      </w:r>
      <w:r w:rsidR="00D25B77" w:rsidRPr="00207DC2">
        <w:rPr>
          <w:lang w:val="en-AU"/>
        </w:rPr>
        <w:t xml:space="preserve"> </w:t>
      </w:r>
      <w:r w:rsidRPr="00207DC2">
        <w:rPr>
          <w:lang w:val="en-AU"/>
        </w:rPr>
        <w:t xml:space="preserve">the employability of </w:t>
      </w:r>
      <w:r w:rsidR="00242676" w:rsidRPr="00207DC2">
        <w:rPr>
          <w:lang w:val="en-AU"/>
        </w:rPr>
        <w:t>program participants</w:t>
      </w:r>
      <w:r w:rsidRPr="00207DC2">
        <w:rPr>
          <w:lang w:val="en-AU"/>
        </w:rPr>
        <w:t xml:space="preserve"> living in remote areas.</w:t>
      </w:r>
    </w:p>
    <w:p w14:paraId="42186A2D" w14:textId="5F0C4BCA" w:rsidR="00EF5C5F" w:rsidRPr="00207DC2" w:rsidRDefault="00686925" w:rsidP="00686925">
      <w:pPr>
        <w:jc w:val="both"/>
        <w:rPr>
          <w:lang w:val="en-AU"/>
        </w:rPr>
      </w:pPr>
      <w:r w:rsidRPr="00207DC2">
        <w:rPr>
          <w:lang w:val="en-AU"/>
        </w:rPr>
        <w:t xml:space="preserve">The CDP operates across 60 regions covering more than 1,000 </w:t>
      </w:r>
      <w:r w:rsidR="00642166" w:rsidRPr="00207DC2">
        <w:rPr>
          <w:lang w:val="en-AU"/>
        </w:rPr>
        <w:t xml:space="preserve">remote </w:t>
      </w:r>
      <w:r w:rsidRPr="00207DC2">
        <w:rPr>
          <w:lang w:val="en-AU"/>
        </w:rPr>
        <w:t>communities (</w:t>
      </w:r>
      <w:r w:rsidR="00E11F98" w:rsidRPr="00207DC2">
        <w:rPr>
          <w:lang w:val="en-AU"/>
        </w:rPr>
        <w:t>Figure</w:t>
      </w:r>
      <w:r w:rsidRPr="00207DC2">
        <w:rPr>
          <w:lang w:val="en-AU"/>
        </w:rPr>
        <w:t> 1.1).</w:t>
      </w:r>
      <w:r w:rsidRPr="00207DC2">
        <w:rPr>
          <w:vertAlign w:val="superscript"/>
          <w:lang w:val="en-AU"/>
        </w:rPr>
        <w:footnoteReference w:id="4"/>
      </w:r>
      <w:r w:rsidRPr="00207DC2">
        <w:rPr>
          <w:lang w:val="en-AU"/>
        </w:rPr>
        <w:t xml:space="preserve"> The geographical boundaries of the program </w:t>
      </w:r>
      <w:r w:rsidR="00A92448">
        <w:rPr>
          <w:lang w:val="en-AU"/>
        </w:rPr>
        <w:t>take</w:t>
      </w:r>
      <w:r w:rsidRPr="00207DC2">
        <w:rPr>
          <w:lang w:val="en-AU"/>
        </w:rPr>
        <w:t xml:space="preserve"> into consideration a number of factors</w:t>
      </w:r>
      <w:r w:rsidR="001A4DF6" w:rsidRPr="00207DC2">
        <w:rPr>
          <w:lang w:val="en-AU"/>
        </w:rPr>
        <w:t>,</w:t>
      </w:r>
      <w:r w:rsidRPr="00207DC2">
        <w:rPr>
          <w:lang w:val="en-AU"/>
        </w:rPr>
        <w:t xml:space="preserve"> including labour market characteristics, existing geographical and administrative boundaries, and cultural rela</w:t>
      </w:r>
      <w:r w:rsidR="00C036E1" w:rsidRPr="00207DC2">
        <w:rPr>
          <w:lang w:val="en-AU"/>
        </w:rPr>
        <w:t xml:space="preserve">tionships between communities. </w:t>
      </w:r>
    </w:p>
    <w:p w14:paraId="44D73337" w14:textId="698F14F0" w:rsidR="000C4179" w:rsidRPr="00207DC2" w:rsidRDefault="000C4179" w:rsidP="003D7FEC">
      <w:pPr>
        <w:pStyle w:val="Figures"/>
      </w:pPr>
      <w:r w:rsidRPr="00207DC2">
        <w:t xml:space="preserve">Figure </w:t>
      </w:r>
      <w:r w:rsidR="00905D1A">
        <w:t>1</w:t>
      </w:r>
      <w:r w:rsidR="00EF1B43" w:rsidRPr="00207DC2">
        <w:t>.</w:t>
      </w:r>
      <w:r w:rsidR="00EF1B43" w:rsidRPr="00207DC2">
        <w:fldChar w:fldCharType="begin"/>
      </w:r>
      <w:r w:rsidR="00EF1B43" w:rsidRPr="00207DC2">
        <w:instrText xml:space="preserve"> SEQ Figure \* ARABIC \s 1 </w:instrText>
      </w:r>
      <w:r w:rsidR="00EF1B43" w:rsidRPr="00207DC2">
        <w:fldChar w:fldCharType="separate"/>
      </w:r>
      <w:r w:rsidR="0010545D">
        <w:t>1</w:t>
      </w:r>
      <w:r w:rsidR="00EF1B43" w:rsidRPr="00207DC2">
        <w:fldChar w:fldCharType="end"/>
      </w:r>
      <w:r w:rsidRPr="00207DC2">
        <w:t xml:space="preserve"> Proportion of working age population who are employed in </w:t>
      </w:r>
      <w:r w:rsidR="00E96C1F" w:rsidRPr="00207DC2">
        <w:t xml:space="preserve">CDP </w:t>
      </w:r>
      <w:r w:rsidRPr="00207DC2">
        <w:t>regions, 2016</w:t>
      </w:r>
      <w:r w:rsidR="00B01360" w:rsidRPr="00207DC2">
        <w:rPr>
          <w:vertAlign w:val="superscript"/>
        </w:rPr>
        <w:t>a</w:t>
      </w:r>
      <w:r w:rsidRPr="00207DC2">
        <w:t xml:space="preserve"> </w:t>
      </w:r>
    </w:p>
    <w:p w14:paraId="39BA5D93" w14:textId="2E3F4A80" w:rsidR="00B90F41" w:rsidRPr="00207DC2" w:rsidRDefault="00B225BF" w:rsidP="009C1811">
      <w:pPr>
        <w:pStyle w:val="TableofFigures"/>
        <w:rPr>
          <w:noProof/>
          <w:lang w:val="en-AU" w:eastAsia="en-AU"/>
        </w:rPr>
      </w:pPr>
      <w:r>
        <w:rPr>
          <w:noProof/>
          <w:lang w:val="en-AU" w:eastAsia="en-AU"/>
        </w:rPr>
        <w:pict w14:anchorId="7ACE33B8">
          <v:rect id="_x0000_i1025" style="width:0;height:1.5pt" o:hralign="center" o:hrstd="t" o:hr="t" fillcolor="#a0a0a0" stroked="f"/>
        </w:pict>
      </w:r>
    </w:p>
    <w:p w14:paraId="5909547B" w14:textId="15BAC8E9" w:rsidR="009C1811" w:rsidRPr="00207DC2" w:rsidRDefault="009C1811" w:rsidP="009C1811">
      <w:pPr>
        <w:pStyle w:val="TableofFigures"/>
        <w:rPr>
          <w:lang w:val="en-AU" w:eastAsia="en-AU"/>
        </w:rPr>
      </w:pPr>
      <w:r w:rsidRPr="00207DC2">
        <w:rPr>
          <w:noProof/>
          <w:lang w:val="en-AU" w:eastAsia="en-AU"/>
        </w:rPr>
        <w:drawing>
          <wp:inline distT="0" distB="0" distL="0" distR="0" wp14:anchorId="682DB0DA" wp14:editId="06870A9E">
            <wp:extent cx="5543535" cy="3772850"/>
            <wp:effectExtent l="0" t="0" r="635" b="0"/>
            <wp:docPr id="11" name="Picture 11" descr="The map of Australia identifies the boundaries of the 60 regions in which CDP operates. &#10;&#10;The map also shows the variation in employment rates between regions in 2016. Employment rates ranged from: between 20 and 50 per cent of the working age population in some regions; to between 80 and 90 per cent in other regions. In 30 out of the 60 CDP regions, less than half of the population was employed in 2016. " title="Proportion of working age population who are employed in CDP regio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7518\AppData\Local\Microsoft\Windows\Temporary Internet Files\Content.Word\CDP Census 2016 Emp2WAPop v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78" b="2861"/>
                    <a:stretch/>
                  </pic:blipFill>
                  <pic:spPr bwMode="auto">
                    <a:xfrm>
                      <a:off x="0" y="0"/>
                      <a:ext cx="5544000" cy="3773167"/>
                    </a:xfrm>
                    <a:prstGeom prst="rect">
                      <a:avLst/>
                    </a:prstGeom>
                    <a:noFill/>
                    <a:ln>
                      <a:noFill/>
                    </a:ln>
                    <a:extLst>
                      <a:ext uri="{53640926-AAD7-44D8-BBD7-CCE9431645EC}">
                        <a14:shadowObscured xmlns:a14="http://schemas.microsoft.com/office/drawing/2010/main"/>
                      </a:ext>
                    </a:extLst>
                  </pic:spPr>
                </pic:pic>
              </a:graphicData>
            </a:graphic>
          </wp:inline>
        </w:drawing>
      </w:r>
    </w:p>
    <w:p w14:paraId="288CF2EF" w14:textId="6E711214" w:rsidR="009C1811" w:rsidRPr="00207DC2" w:rsidRDefault="00B225BF" w:rsidP="00D57D1D">
      <w:pPr>
        <w:pStyle w:val="tablenotes"/>
        <w:rPr>
          <w:i/>
        </w:rPr>
      </w:pPr>
      <w:r>
        <w:pict w14:anchorId="60350E43">
          <v:rect id="_x0000_i1026" style="width:0;height:1.5pt" o:hralign="center" o:hrstd="t" o:hr="t" fillcolor="#a0a0a0" stroked="f"/>
        </w:pict>
      </w:r>
    </w:p>
    <w:p w14:paraId="37A3E920" w14:textId="27B6BD67" w:rsidR="00E96C1F" w:rsidRPr="00207DC2" w:rsidRDefault="000C4179" w:rsidP="00D57D1D">
      <w:pPr>
        <w:pStyle w:val="tablenotes"/>
      </w:pPr>
      <w:r w:rsidRPr="00207DC2">
        <w:rPr>
          <w:i/>
        </w:rPr>
        <w:t>Source</w:t>
      </w:r>
      <w:r w:rsidR="004D1E6E" w:rsidRPr="00207DC2">
        <w:rPr>
          <w:i/>
        </w:rPr>
        <w:t>:</w:t>
      </w:r>
      <w:r w:rsidRPr="00207DC2">
        <w:t xml:space="preserve"> Census </w:t>
      </w:r>
      <w:r w:rsidR="00DF3872" w:rsidRPr="00207DC2">
        <w:t>(</w:t>
      </w:r>
      <w:r w:rsidRPr="00207DC2">
        <w:t>2016</w:t>
      </w:r>
      <w:r w:rsidR="00DF3872" w:rsidRPr="00207DC2">
        <w:t>)</w:t>
      </w:r>
      <w:r w:rsidR="005C0F62" w:rsidRPr="00207DC2">
        <w:t>.</w:t>
      </w:r>
    </w:p>
    <w:p w14:paraId="26333FAD" w14:textId="77777777" w:rsidR="005C0F62" w:rsidRPr="00207DC2" w:rsidRDefault="005C0F62" w:rsidP="00D57D1D">
      <w:pPr>
        <w:pStyle w:val="tablenotes"/>
      </w:pPr>
      <w:r w:rsidRPr="00207DC2">
        <w:rPr>
          <w:i/>
        </w:rPr>
        <w:t>Notes:</w:t>
      </w:r>
      <w:r w:rsidRPr="00207DC2">
        <w:t xml:space="preserve"> </w:t>
      </w:r>
      <w:r w:rsidR="00B01360" w:rsidRPr="00207DC2">
        <w:t xml:space="preserve">(a) </w:t>
      </w:r>
      <w:r w:rsidR="008937CE" w:rsidRPr="00207DC2">
        <w:t>Small e</w:t>
      </w:r>
      <w:r w:rsidRPr="00207DC2">
        <w:t xml:space="preserve">xcised cities and towns </w:t>
      </w:r>
      <w:r w:rsidR="008937CE" w:rsidRPr="00207DC2">
        <w:t>have been excluded from</w:t>
      </w:r>
      <w:r w:rsidRPr="00207DC2">
        <w:t xml:space="preserve"> the map.</w:t>
      </w:r>
    </w:p>
    <w:p w14:paraId="04C21B65" w14:textId="2CB1FF8C" w:rsidR="008150A6" w:rsidRPr="00207DC2" w:rsidRDefault="008150A6" w:rsidP="005A01FD">
      <w:pPr>
        <w:spacing w:before="240"/>
        <w:jc w:val="both"/>
        <w:rPr>
          <w:lang w:val="en-AU"/>
        </w:rPr>
      </w:pPr>
      <w:bookmarkStart w:id="68" w:name="_Toc511661235"/>
      <w:bookmarkStart w:id="69" w:name="_Toc511826286"/>
      <w:bookmarkStart w:id="70" w:name="_Toc511940603"/>
      <w:bookmarkStart w:id="71" w:name="_Toc515185448"/>
      <w:bookmarkStart w:id="72" w:name="_Toc516219822"/>
      <w:bookmarkStart w:id="73" w:name="_Toc516220463"/>
      <w:bookmarkStart w:id="74" w:name="_Toc516223283"/>
      <w:bookmarkStart w:id="75" w:name="_Toc516225191"/>
      <w:bookmarkStart w:id="76" w:name="_Toc516228967"/>
      <w:bookmarkStart w:id="77" w:name="_Toc518468047"/>
      <w:bookmarkStart w:id="78" w:name="_Toc518487827"/>
      <w:bookmarkStart w:id="79" w:name="_Toc518558791"/>
      <w:bookmarkStart w:id="80" w:name="_Toc518565314"/>
      <w:bookmarkStart w:id="81" w:name="_Toc518565558"/>
      <w:bookmarkStart w:id="82" w:name="_Toc519504729"/>
      <w:bookmarkStart w:id="83" w:name="_Toc519505953"/>
      <w:bookmarkStart w:id="84" w:name="_Toc519844059"/>
      <w:bookmarkStart w:id="85" w:name="_Toc521068561"/>
      <w:bookmarkStart w:id="86" w:name="_Toc521391075"/>
      <w:r w:rsidRPr="00207DC2">
        <w:rPr>
          <w:lang w:val="en-AU"/>
        </w:rPr>
        <w:t>In March 2018, 39 providers serviced the CDP, of which 26 were Indigenous owned and operated. A single provider serviced each CDP region (with the exception of the Warruwi community</w:t>
      </w:r>
      <w:r w:rsidR="00366AE1" w:rsidRPr="00207DC2">
        <w:rPr>
          <w:lang w:val="en-AU"/>
        </w:rPr>
        <w:t>,</w:t>
      </w:r>
      <w:r w:rsidRPr="00207DC2">
        <w:rPr>
          <w:lang w:val="en-AU"/>
        </w:rPr>
        <w:t xml:space="preserve"> which was serviced by a separate employment provider). </w:t>
      </w:r>
    </w:p>
    <w:p w14:paraId="25A1A8C4" w14:textId="77777777" w:rsidR="008150A6" w:rsidRPr="00207DC2" w:rsidRDefault="008150A6" w:rsidP="008150A6">
      <w:pPr>
        <w:tabs>
          <w:tab w:val="left" w:pos="6237"/>
        </w:tabs>
        <w:jc w:val="both"/>
        <w:rPr>
          <w:lang w:val="en-AU"/>
        </w:rPr>
      </w:pPr>
      <w:r w:rsidRPr="00207DC2">
        <w:rPr>
          <w:lang w:val="en-AU"/>
        </w:rPr>
        <w:t>Within each region, providers are responsible for servicing towns and communities of varying remoteness, populations, and labour market conditions. Of the more than 1,000 remote communities serviced by CDP providers, more than three-quarters had a population of less than 50 people in 2011 (PC 2017a).</w:t>
      </w:r>
    </w:p>
    <w:p w14:paraId="47552C39" w14:textId="77777777" w:rsidR="008264A2" w:rsidRPr="00207DC2" w:rsidRDefault="008264A2" w:rsidP="008264A2">
      <w:pPr>
        <w:tabs>
          <w:tab w:val="left" w:pos="6237"/>
        </w:tabs>
        <w:jc w:val="both"/>
        <w:rPr>
          <w:lang w:val="en-AU"/>
        </w:rPr>
      </w:pPr>
      <w:r w:rsidRPr="00207DC2">
        <w:rPr>
          <w:lang w:val="en-AU"/>
        </w:rPr>
        <w:t>The average unemployment rate across all CDP regions was around eight per cent in 2016, compared to seven per cent for Australia as a whole (Census 2016 unpublished data).</w:t>
      </w:r>
      <w:r w:rsidRPr="00207DC2">
        <w:rPr>
          <w:rStyle w:val="FootnoteReference"/>
          <w:lang w:val="en-AU"/>
        </w:rPr>
        <w:footnoteReference w:id="5"/>
      </w:r>
      <w:r w:rsidRPr="00207DC2">
        <w:rPr>
          <w:lang w:val="en-AU"/>
        </w:rPr>
        <w:t xml:space="preserve"> However, the level of unemployment varies significantly between CDP regions, and many regions have unemployment rates far above the national average. More than half of the CDP regions recorded unemployment rates above ten per cent and approximately a third had rates above 20 per cent in 2016. </w:t>
      </w:r>
    </w:p>
    <w:p w14:paraId="298E66FE" w14:textId="77777777" w:rsidR="008264A2" w:rsidRPr="00207DC2" w:rsidRDefault="008264A2" w:rsidP="008264A2">
      <w:pPr>
        <w:tabs>
          <w:tab w:val="left" w:pos="6237"/>
        </w:tabs>
        <w:jc w:val="both"/>
        <w:rPr>
          <w:lang w:val="en-AU"/>
        </w:rPr>
      </w:pPr>
      <w:r w:rsidRPr="00207DC2">
        <w:rPr>
          <w:lang w:val="en-AU"/>
        </w:rPr>
        <w:t xml:space="preserve">The area covered by the CDP also had a marked concentration of regions with low levels of employment. In 30 out of the 60 CDP regions, less than half of the population was employed in 2016 (Figure 1.1). </w:t>
      </w:r>
    </w:p>
    <w:p w14:paraId="171E9B87" w14:textId="351954F0" w:rsidR="007201E2" w:rsidRPr="005631B4" w:rsidRDefault="005631B4" w:rsidP="002521AA">
      <w:pPr>
        <w:pStyle w:val="ZED4"/>
        <w:outlineLvl w:val="2"/>
      </w:pPr>
      <w:bookmarkStart w:id="87" w:name="_Toc522013244"/>
      <w:bookmarkStart w:id="88" w:name="_Toc534965154"/>
      <w:bookmarkStart w:id="89" w:name="_Toc535935034"/>
      <w:r w:rsidRPr="005631B4">
        <w:t>1.1</w:t>
      </w:r>
      <w:r w:rsidRPr="005631B4">
        <w:tab/>
      </w:r>
      <w:r w:rsidR="00E30DF6" w:rsidRPr="005631B4">
        <w:t>H</w:t>
      </w:r>
      <w:r w:rsidR="00511AFE" w:rsidRPr="005631B4">
        <w:t>ow CDP changed the delivery of remote employment services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511AFE" w:rsidRPr="005631B4">
        <w:t xml:space="preserve"> </w:t>
      </w:r>
    </w:p>
    <w:p w14:paraId="0C414F0E" w14:textId="77777777" w:rsidR="00686925" w:rsidRPr="00207DC2" w:rsidRDefault="00686925" w:rsidP="00686925">
      <w:pPr>
        <w:spacing w:after="200" w:line="276" w:lineRule="auto"/>
        <w:jc w:val="both"/>
        <w:rPr>
          <w:rFonts w:eastAsiaTheme="minorEastAsia"/>
          <w:lang w:val="en-AU"/>
        </w:rPr>
      </w:pPr>
      <w:r w:rsidRPr="00207DC2">
        <w:rPr>
          <w:rFonts w:eastAsiaTheme="minorEastAsia"/>
          <w:lang w:val="en-AU"/>
        </w:rPr>
        <w:t xml:space="preserve">The introduction of the CDP saw a range of changes aimed at increasing </w:t>
      </w:r>
      <w:r w:rsidR="005D3516" w:rsidRPr="00207DC2">
        <w:rPr>
          <w:rFonts w:eastAsiaTheme="minorEastAsia"/>
          <w:lang w:val="en-AU"/>
        </w:rPr>
        <w:t xml:space="preserve">community </w:t>
      </w:r>
      <w:r w:rsidRPr="00207DC2">
        <w:rPr>
          <w:rFonts w:eastAsiaTheme="minorEastAsia"/>
          <w:lang w:val="en-AU"/>
        </w:rPr>
        <w:t>participation</w:t>
      </w:r>
      <w:r w:rsidR="005D3516" w:rsidRPr="00207DC2">
        <w:rPr>
          <w:rFonts w:eastAsiaTheme="minorEastAsia"/>
          <w:lang w:val="en-AU"/>
        </w:rPr>
        <w:t xml:space="preserve"> and</w:t>
      </w:r>
      <w:r w:rsidRPr="00207DC2">
        <w:rPr>
          <w:rFonts w:eastAsiaTheme="minorEastAsia"/>
          <w:lang w:val="en-AU"/>
        </w:rPr>
        <w:t xml:space="preserve"> providing pathways to </w:t>
      </w:r>
      <w:r w:rsidR="0070480B" w:rsidRPr="00207DC2">
        <w:rPr>
          <w:rFonts w:eastAsiaTheme="minorEastAsia"/>
          <w:lang w:val="en-AU"/>
        </w:rPr>
        <w:t>more stable</w:t>
      </w:r>
      <w:r w:rsidRPr="00207DC2">
        <w:rPr>
          <w:rFonts w:eastAsiaTheme="minorEastAsia"/>
          <w:lang w:val="en-AU"/>
        </w:rPr>
        <w:t xml:space="preserve"> employment. The main changes </w:t>
      </w:r>
      <w:r w:rsidR="006D23E8" w:rsidRPr="00207DC2">
        <w:rPr>
          <w:rFonts w:eastAsiaTheme="minorEastAsia"/>
          <w:lang w:val="en-AU"/>
        </w:rPr>
        <w:t>in</w:t>
      </w:r>
      <w:r w:rsidR="00B67875" w:rsidRPr="00207DC2">
        <w:rPr>
          <w:rFonts w:eastAsiaTheme="minorEastAsia"/>
          <w:lang w:val="en-AU"/>
        </w:rPr>
        <w:t>troduced under CDP in</w:t>
      </w:r>
      <w:r w:rsidR="006D23E8" w:rsidRPr="00207DC2">
        <w:rPr>
          <w:rFonts w:eastAsiaTheme="minorEastAsia"/>
          <w:lang w:val="en-AU"/>
        </w:rPr>
        <w:t>clude</w:t>
      </w:r>
      <w:r w:rsidR="00B67875" w:rsidRPr="00207DC2">
        <w:rPr>
          <w:rFonts w:eastAsiaTheme="minorEastAsia"/>
          <w:lang w:val="en-AU"/>
        </w:rPr>
        <w:t>d</w:t>
      </w:r>
      <w:r w:rsidR="00C2667B" w:rsidRPr="00207DC2">
        <w:rPr>
          <w:rFonts w:eastAsiaTheme="minorEastAsia"/>
          <w:lang w:val="en-AU"/>
        </w:rPr>
        <w:t xml:space="preserve"> </w:t>
      </w:r>
      <w:r w:rsidR="006D23E8" w:rsidRPr="00207DC2">
        <w:rPr>
          <w:rFonts w:eastAsiaTheme="minorEastAsia"/>
          <w:lang w:val="en-AU"/>
        </w:rPr>
        <w:t>an</w:t>
      </w:r>
      <w:r w:rsidRPr="00207DC2">
        <w:rPr>
          <w:rFonts w:eastAsiaTheme="minorEastAsia"/>
          <w:lang w:val="en-AU"/>
        </w:rPr>
        <w:t xml:space="preserve"> </w:t>
      </w:r>
      <w:r w:rsidR="00BB53F0" w:rsidRPr="00207DC2">
        <w:rPr>
          <w:rFonts w:eastAsiaTheme="minorEastAsia"/>
          <w:lang w:val="en-AU"/>
        </w:rPr>
        <w:t xml:space="preserve">increased focus on </w:t>
      </w:r>
      <w:r w:rsidR="00CB78C6" w:rsidRPr="00207DC2">
        <w:rPr>
          <w:rFonts w:eastAsiaTheme="minorEastAsia"/>
          <w:lang w:val="en-AU"/>
        </w:rPr>
        <w:t>W</w:t>
      </w:r>
      <w:r w:rsidR="00156A35" w:rsidRPr="00207DC2">
        <w:rPr>
          <w:rFonts w:eastAsiaTheme="minorEastAsia"/>
          <w:lang w:val="en-AU"/>
        </w:rPr>
        <w:t xml:space="preserve">ork for the </w:t>
      </w:r>
      <w:r w:rsidR="00CB78C6" w:rsidRPr="00207DC2">
        <w:rPr>
          <w:rFonts w:eastAsiaTheme="minorEastAsia"/>
          <w:lang w:val="en-AU"/>
        </w:rPr>
        <w:t>D</w:t>
      </w:r>
      <w:r w:rsidR="00156A35" w:rsidRPr="00207DC2">
        <w:rPr>
          <w:rFonts w:eastAsiaTheme="minorEastAsia"/>
          <w:lang w:val="en-AU"/>
        </w:rPr>
        <w:t xml:space="preserve">ole </w:t>
      </w:r>
      <w:r w:rsidR="00BB53F0" w:rsidRPr="00207DC2">
        <w:rPr>
          <w:rFonts w:eastAsiaTheme="minorEastAsia"/>
          <w:lang w:val="en-AU"/>
        </w:rPr>
        <w:t>to meet mutual obligation requirements</w:t>
      </w:r>
      <w:r w:rsidRPr="00207DC2">
        <w:rPr>
          <w:rFonts w:eastAsiaTheme="minorEastAsia"/>
          <w:lang w:val="en-AU"/>
        </w:rPr>
        <w:t xml:space="preserve"> and </w:t>
      </w:r>
      <w:r w:rsidR="00BB53F0" w:rsidRPr="00207DC2">
        <w:rPr>
          <w:rFonts w:eastAsiaTheme="minorEastAsia"/>
          <w:lang w:val="en-AU"/>
        </w:rPr>
        <w:t xml:space="preserve">changes </w:t>
      </w:r>
      <w:r w:rsidR="006D23E8" w:rsidRPr="00207DC2">
        <w:rPr>
          <w:rFonts w:eastAsiaTheme="minorEastAsia"/>
          <w:lang w:val="en-AU"/>
        </w:rPr>
        <w:t>to</w:t>
      </w:r>
      <w:r w:rsidR="00BB53F0" w:rsidRPr="00207DC2">
        <w:rPr>
          <w:rFonts w:eastAsiaTheme="minorEastAsia"/>
          <w:lang w:val="en-AU"/>
        </w:rPr>
        <w:t xml:space="preserve"> </w:t>
      </w:r>
      <w:r w:rsidRPr="00207DC2">
        <w:rPr>
          <w:rFonts w:eastAsiaTheme="minorEastAsia"/>
          <w:lang w:val="en-AU"/>
        </w:rPr>
        <w:t xml:space="preserve">the provider payment model. </w:t>
      </w:r>
    </w:p>
    <w:p w14:paraId="40828ABA" w14:textId="77777777" w:rsidR="00686925" w:rsidRPr="00207DC2" w:rsidRDefault="002F70FD" w:rsidP="002521AA">
      <w:pPr>
        <w:pStyle w:val="ZED5"/>
        <w:outlineLvl w:val="3"/>
      </w:pPr>
      <w:bookmarkStart w:id="90" w:name="_Toc535935035"/>
      <w:r w:rsidRPr="00207DC2">
        <w:t xml:space="preserve">Mutual obligation </w:t>
      </w:r>
      <w:r w:rsidR="00686925" w:rsidRPr="00207DC2">
        <w:t>requirements</w:t>
      </w:r>
      <w:bookmarkEnd w:id="90"/>
    </w:p>
    <w:p w14:paraId="6B10D5B6" w14:textId="1C4EF6C5" w:rsidR="00141837" w:rsidRPr="00207DC2" w:rsidRDefault="005945D1" w:rsidP="003056AD">
      <w:pPr>
        <w:spacing w:before="0" w:after="200" w:line="276" w:lineRule="auto"/>
        <w:jc w:val="both"/>
        <w:rPr>
          <w:rFonts w:eastAsiaTheme="minorEastAsia"/>
          <w:lang w:val="en-AU"/>
        </w:rPr>
      </w:pPr>
      <w:r w:rsidRPr="00207DC2">
        <w:rPr>
          <w:rFonts w:eastAsiaTheme="minorEastAsia"/>
          <w:lang w:val="en-AU"/>
        </w:rPr>
        <w:t xml:space="preserve">Mutual obligation </w:t>
      </w:r>
      <w:r w:rsidR="00803B91" w:rsidRPr="00207DC2">
        <w:rPr>
          <w:rFonts w:eastAsiaTheme="minorEastAsia"/>
          <w:lang w:val="en-AU"/>
        </w:rPr>
        <w:t>require</w:t>
      </w:r>
      <w:r w:rsidR="00B64672" w:rsidRPr="00207DC2">
        <w:rPr>
          <w:rFonts w:eastAsiaTheme="minorEastAsia"/>
          <w:lang w:val="en-AU"/>
        </w:rPr>
        <w:t>s</w:t>
      </w:r>
      <w:r w:rsidRPr="00207DC2" w:rsidDel="00C966BF">
        <w:rPr>
          <w:rFonts w:eastAsiaTheme="minorEastAsia"/>
          <w:lang w:val="en-AU"/>
        </w:rPr>
        <w:t xml:space="preserve"> </w:t>
      </w:r>
      <w:r w:rsidR="00B60D7E" w:rsidRPr="00207DC2">
        <w:rPr>
          <w:rFonts w:eastAsiaTheme="minorEastAsia"/>
          <w:lang w:val="en-AU"/>
        </w:rPr>
        <w:t xml:space="preserve">that </w:t>
      </w:r>
      <w:r w:rsidRPr="00207DC2">
        <w:rPr>
          <w:rFonts w:eastAsiaTheme="minorEastAsia"/>
          <w:lang w:val="en-AU"/>
        </w:rPr>
        <w:t xml:space="preserve">people receiving </w:t>
      </w:r>
      <w:r w:rsidR="00DE02B9" w:rsidRPr="00207DC2">
        <w:rPr>
          <w:rFonts w:eastAsiaTheme="minorEastAsia"/>
          <w:lang w:val="en-AU"/>
        </w:rPr>
        <w:t xml:space="preserve">certain </w:t>
      </w:r>
      <w:r w:rsidR="00903A7A">
        <w:rPr>
          <w:rFonts w:eastAsiaTheme="minorEastAsia"/>
          <w:lang w:val="en-AU"/>
        </w:rPr>
        <w:t>activity-tested</w:t>
      </w:r>
      <w:r w:rsidRPr="00207DC2">
        <w:rPr>
          <w:rFonts w:eastAsiaTheme="minorEastAsia"/>
          <w:lang w:val="en-AU"/>
        </w:rPr>
        <w:t xml:space="preserve"> income support payments</w:t>
      </w:r>
      <w:r w:rsidR="00BC4AD9" w:rsidRPr="00207DC2">
        <w:rPr>
          <w:vertAlign w:val="superscript"/>
          <w:lang w:val="en-AU"/>
        </w:rPr>
        <w:footnoteReference w:id="6"/>
      </w:r>
      <w:r w:rsidRPr="00207DC2">
        <w:rPr>
          <w:rFonts w:eastAsiaTheme="minorEastAsia"/>
          <w:lang w:val="en-AU"/>
        </w:rPr>
        <w:t xml:space="preserve"> </w:t>
      </w:r>
      <w:r w:rsidR="0090010A" w:rsidRPr="00207DC2">
        <w:rPr>
          <w:rFonts w:eastAsiaTheme="minorEastAsia"/>
          <w:lang w:val="en-AU"/>
        </w:rPr>
        <w:t>participate in an employment prog</w:t>
      </w:r>
      <w:r w:rsidR="00C966BF" w:rsidRPr="00207DC2">
        <w:rPr>
          <w:rFonts w:eastAsiaTheme="minorEastAsia"/>
          <w:lang w:val="en-AU"/>
        </w:rPr>
        <w:t>ram and</w:t>
      </w:r>
      <w:r w:rsidR="00252C63" w:rsidRPr="00207DC2">
        <w:rPr>
          <w:rFonts w:eastAsiaTheme="minorEastAsia"/>
          <w:lang w:val="en-AU"/>
        </w:rPr>
        <w:t>, as part of this program,</w:t>
      </w:r>
      <w:r w:rsidR="0090010A" w:rsidRPr="00207DC2">
        <w:rPr>
          <w:rFonts w:eastAsiaTheme="minorEastAsia"/>
          <w:lang w:val="en-AU"/>
        </w:rPr>
        <w:t xml:space="preserve"> </w:t>
      </w:r>
      <w:r w:rsidR="00620193" w:rsidRPr="00207DC2">
        <w:rPr>
          <w:rFonts w:eastAsiaTheme="minorEastAsia"/>
          <w:lang w:val="en-AU"/>
        </w:rPr>
        <w:t xml:space="preserve">be </w:t>
      </w:r>
      <w:r w:rsidR="00EC304C" w:rsidRPr="00207DC2">
        <w:rPr>
          <w:rFonts w:eastAsiaTheme="minorEastAsia"/>
          <w:lang w:val="en-AU"/>
        </w:rPr>
        <w:t>actively looking for work or</w:t>
      </w:r>
      <w:r w:rsidRPr="00207DC2">
        <w:rPr>
          <w:rFonts w:eastAsiaTheme="minorEastAsia"/>
          <w:lang w:val="en-AU"/>
        </w:rPr>
        <w:t xml:space="preserve"> participating in activities that will help them into employment. </w:t>
      </w:r>
      <w:r w:rsidR="00B60D7E" w:rsidRPr="00207DC2">
        <w:rPr>
          <w:rFonts w:eastAsiaTheme="minorEastAsia"/>
          <w:lang w:val="en-AU"/>
        </w:rPr>
        <w:t>Mutual obligation requirements vary by age, assessed work capacity, and caring responsibilities</w:t>
      </w:r>
      <w:r w:rsidR="00B60D7E" w:rsidRPr="00207DC2">
        <w:rPr>
          <w:lang w:val="en-AU"/>
        </w:rPr>
        <w:t>.</w:t>
      </w:r>
    </w:p>
    <w:p w14:paraId="7FE3A6A4" w14:textId="5EE187E8" w:rsidR="00350A58" w:rsidRPr="00207DC2" w:rsidRDefault="00350A58" w:rsidP="002109F0">
      <w:pPr>
        <w:tabs>
          <w:tab w:val="left" w:pos="4111"/>
        </w:tabs>
        <w:spacing w:before="0" w:after="200" w:line="276" w:lineRule="auto"/>
        <w:jc w:val="both"/>
        <w:rPr>
          <w:rFonts w:eastAsiaTheme="minorEastAsia"/>
          <w:lang w:val="en-AU"/>
        </w:rPr>
      </w:pPr>
      <w:r w:rsidRPr="00207DC2">
        <w:rPr>
          <w:rFonts w:eastAsiaTheme="minorEastAsia"/>
          <w:lang w:val="en-AU"/>
        </w:rPr>
        <w:t xml:space="preserve">When </w:t>
      </w:r>
      <w:r w:rsidR="004A0505" w:rsidRPr="00207DC2">
        <w:rPr>
          <w:rFonts w:eastAsiaTheme="minorEastAsia"/>
          <w:lang w:val="en-AU"/>
        </w:rPr>
        <w:t xml:space="preserve">participants </w:t>
      </w:r>
      <w:r w:rsidRPr="00207DC2">
        <w:rPr>
          <w:rFonts w:eastAsiaTheme="minorEastAsia"/>
          <w:lang w:val="en-AU"/>
        </w:rPr>
        <w:t>fail to meet their mutual obligation requirements, under</w:t>
      </w:r>
      <w:r w:rsidR="003056AD" w:rsidRPr="00207DC2">
        <w:rPr>
          <w:lang w:val="en-AU"/>
        </w:rPr>
        <w:t xml:space="preserve"> the </w:t>
      </w:r>
      <w:r w:rsidR="00281955" w:rsidRPr="00207DC2">
        <w:rPr>
          <w:i/>
          <w:lang w:val="en-AU"/>
        </w:rPr>
        <w:t xml:space="preserve">Job Seeker Compliance </w:t>
      </w:r>
      <w:r w:rsidR="00B60D7E" w:rsidRPr="00207DC2">
        <w:rPr>
          <w:i/>
          <w:lang w:val="en-AU"/>
        </w:rPr>
        <w:t>F</w:t>
      </w:r>
      <w:r w:rsidR="005945D1" w:rsidRPr="00207DC2" w:rsidDel="00350A58">
        <w:rPr>
          <w:i/>
          <w:lang w:val="en-AU"/>
        </w:rPr>
        <w:t>ramework</w:t>
      </w:r>
      <w:r w:rsidRPr="00207DC2">
        <w:rPr>
          <w:lang w:val="en-AU"/>
        </w:rPr>
        <w:t>, they</w:t>
      </w:r>
      <w:r w:rsidR="005945D1" w:rsidRPr="00207DC2" w:rsidDel="00350A58">
        <w:rPr>
          <w:lang w:val="en-AU"/>
        </w:rPr>
        <w:t xml:space="preserve"> </w:t>
      </w:r>
      <w:r w:rsidR="002947C4" w:rsidRPr="00207DC2">
        <w:rPr>
          <w:rFonts w:eastAsiaTheme="minorEastAsia"/>
          <w:lang w:val="en-AU"/>
        </w:rPr>
        <w:t>can have their income support payments temporarily withheld (</w:t>
      </w:r>
      <w:r w:rsidR="002947C4" w:rsidRPr="00207DC2">
        <w:rPr>
          <w:rFonts w:eastAsiaTheme="minorEastAsia"/>
          <w:i/>
          <w:lang w:val="en-AU"/>
        </w:rPr>
        <w:t>suspended</w:t>
      </w:r>
      <w:r w:rsidR="002947C4" w:rsidRPr="00207DC2">
        <w:rPr>
          <w:rFonts w:eastAsiaTheme="minorEastAsia"/>
          <w:lang w:val="en-AU"/>
        </w:rPr>
        <w:t>) and/or can lose a proportion of the income support payment (</w:t>
      </w:r>
      <w:r w:rsidR="00B67875" w:rsidRPr="00207DC2">
        <w:rPr>
          <w:rFonts w:eastAsiaTheme="minorEastAsia"/>
          <w:lang w:val="en-AU"/>
        </w:rPr>
        <w:t xml:space="preserve">i.e. be </w:t>
      </w:r>
      <w:r w:rsidR="002947C4" w:rsidRPr="00207DC2">
        <w:rPr>
          <w:rFonts w:eastAsiaTheme="minorEastAsia"/>
          <w:i/>
          <w:lang w:val="en-AU"/>
        </w:rPr>
        <w:t>pena</w:t>
      </w:r>
      <w:r w:rsidR="00B67875" w:rsidRPr="00207DC2">
        <w:rPr>
          <w:rFonts w:eastAsiaTheme="minorEastAsia"/>
          <w:i/>
          <w:lang w:val="en-AU"/>
        </w:rPr>
        <w:t>lised</w:t>
      </w:r>
      <w:r w:rsidR="002947C4" w:rsidRPr="00207DC2">
        <w:rPr>
          <w:rFonts w:eastAsiaTheme="minorEastAsia"/>
          <w:lang w:val="en-AU"/>
        </w:rPr>
        <w:t xml:space="preserve">) </w:t>
      </w:r>
      <w:r w:rsidR="005945D1" w:rsidRPr="00207DC2">
        <w:rPr>
          <w:rFonts w:eastAsiaTheme="minorEastAsia"/>
          <w:lang w:val="en-AU"/>
        </w:rPr>
        <w:t>(</w:t>
      </w:r>
      <w:r w:rsidR="00FD0290" w:rsidRPr="00207DC2">
        <w:rPr>
          <w:rFonts w:eastAsiaTheme="minorEastAsia"/>
          <w:lang w:val="en-AU"/>
        </w:rPr>
        <w:t>DSS</w:t>
      </w:r>
      <w:r w:rsidR="005248B9" w:rsidRPr="00207DC2">
        <w:rPr>
          <w:rFonts w:eastAsiaTheme="minorEastAsia"/>
          <w:lang w:val="en-AU"/>
        </w:rPr>
        <w:t xml:space="preserve"> </w:t>
      </w:r>
      <w:r w:rsidR="00FD0290" w:rsidRPr="00207DC2">
        <w:rPr>
          <w:rFonts w:eastAsiaTheme="minorEastAsia"/>
          <w:lang w:val="en-AU"/>
        </w:rPr>
        <w:t>2018</w:t>
      </w:r>
      <w:r w:rsidR="007A7763" w:rsidRPr="00207DC2">
        <w:rPr>
          <w:rFonts w:eastAsiaTheme="minorEastAsia"/>
          <w:lang w:val="en-AU"/>
        </w:rPr>
        <w:t>a</w:t>
      </w:r>
      <w:r w:rsidR="00FD0290" w:rsidRPr="00207DC2">
        <w:rPr>
          <w:rFonts w:eastAsiaTheme="minorEastAsia"/>
          <w:lang w:val="en-AU"/>
        </w:rPr>
        <w:t xml:space="preserve">, </w:t>
      </w:r>
      <w:r w:rsidR="008C29B6" w:rsidRPr="00207DC2">
        <w:rPr>
          <w:rFonts w:eastAsiaTheme="minorEastAsia"/>
          <w:lang w:val="en-AU"/>
        </w:rPr>
        <w:t>s</w:t>
      </w:r>
      <w:r w:rsidR="003608B4" w:rsidRPr="00207DC2">
        <w:rPr>
          <w:rFonts w:eastAsiaTheme="minorEastAsia"/>
          <w:lang w:val="en-AU"/>
        </w:rPr>
        <w:t>ec</w:t>
      </w:r>
      <w:r w:rsidR="00EB1997" w:rsidRPr="00207DC2">
        <w:rPr>
          <w:rFonts w:eastAsiaTheme="minorEastAsia"/>
          <w:lang w:val="en-AU"/>
        </w:rPr>
        <w:t>.</w:t>
      </w:r>
      <w:r w:rsidR="003608B4" w:rsidRPr="00207DC2">
        <w:rPr>
          <w:rFonts w:eastAsiaTheme="minorEastAsia"/>
          <w:lang w:val="en-AU"/>
        </w:rPr>
        <w:t xml:space="preserve"> 3.1.13</w:t>
      </w:r>
      <w:r w:rsidR="005945D1" w:rsidRPr="00207DC2">
        <w:rPr>
          <w:rFonts w:eastAsiaTheme="minorEastAsia"/>
          <w:lang w:val="en-AU"/>
        </w:rPr>
        <w:t>).</w:t>
      </w:r>
      <w:r w:rsidRPr="00207DC2">
        <w:rPr>
          <w:rFonts w:eastAsiaTheme="minorEastAsia"/>
          <w:lang w:val="en-AU"/>
        </w:rPr>
        <w:t xml:space="preserve"> The compliance framework applies to all</w:t>
      </w:r>
      <w:r w:rsidR="00BF0975" w:rsidRPr="00207DC2">
        <w:rPr>
          <w:rFonts w:eastAsiaTheme="minorEastAsia"/>
          <w:lang w:val="en-AU"/>
        </w:rPr>
        <w:t xml:space="preserve"> income support </w:t>
      </w:r>
      <w:r w:rsidR="0053697B" w:rsidRPr="00207DC2">
        <w:rPr>
          <w:rFonts w:eastAsiaTheme="minorEastAsia"/>
          <w:lang w:val="en-AU"/>
        </w:rPr>
        <w:t>recipients</w:t>
      </w:r>
      <w:r w:rsidR="00BF0975" w:rsidRPr="00207DC2">
        <w:rPr>
          <w:rFonts w:eastAsiaTheme="minorEastAsia"/>
          <w:lang w:val="en-AU"/>
        </w:rPr>
        <w:t xml:space="preserve"> with mutual obligation requirements and i</w:t>
      </w:r>
      <w:r w:rsidR="006D23E8" w:rsidRPr="00207DC2">
        <w:rPr>
          <w:rFonts w:eastAsiaTheme="minorEastAsia"/>
          <w:lang w:val="en-AU"/>
        </w:rPr>
        <w:t>s</w:t>
      </w:r>
      <w:r w:rsidR="004A0505" w:rsidRPr="00207DC2">
        <w:rPr>
          <w:rFonts w:eastAsiaTheme="minorEastAsia"/>
          <w:lang w:val="en-AU"/>
        </w:rPr>
        <w:t xml:space="preserve"> </w:t>
      </w:r>
      <w:r w:rsidRPr="00207DC2">
        <w:rPr>
          <w:lang w:val="en-AU"/>
        </w:rPr>
        <w:t>administered by the Department of Human Services.</w:t>
      </w:r>
    </w:p>
    <w:p w14:paraId="5B7CE7C6" w14:textId="77777777" w:rsidR="00B87EE5" w:rsidRPr="00207DC2" w:rsidRDefault="00350A58" w:rsidP="00E61D94">
      <w:pPr>
        <w:spacing w:before="0" w:after="200" w:line="276" w:lineRule="auto"/>
        <w:jc w:val="both"/>
        <w:rPr>
          <w:rFonts w:eastAsiaTheme="minorEastAsia"/>
          <w:lang w:val="en-AU"/>
        </w:rPr>
      </w:pPr>
      <w:r w:rsidRPr="00207DC2">
        <w:rPr>
          <w:lang w:val="en-AU"/>
        </w:rPr>
        <w:t xml:space="preserve">While </w:t>
      </w:r>
      <w:r w:rsidR="004A0505" w:rsidRPr="00207DC2">
        <w:rPr>
          <w:lang w:val="en-AU"/>
        </w:rPr>
        <w:t>a common</w:t>
      </w:r>
      <w:r w:rsidRPr="00207DC2">
        <w:rPr>
          <w:rFonts w:eastAsiaTheme="minorEastAsia"/>
          <w:lang w:val="en-AU"/>
        </w:rPr>
        <w:t xml:space="preserve"> c</w:t>
      </w:r>
      <w:r w:rsidR="000B5C91" w:rsidRPr="00207DC2">
        <w:rPr>
          <w:rFonts w:eastAsiaTheme="minorEastAsia"/>
          <w:lang w:val="en-AU"/>
        </w:rPr>
        <w:t>ompliance framework</w:t>
      </w:r>
      <w:r w:rsidR="0090010A" w:rsidRPr="00207DC2">
        <w:rPr>
          <w:rFonts w:eastAsiaTheme="minorEastAsia"/>
          <w:lang w:val="en-AU"/>
        </w:rPr>
        <w:t xml:space="preserve"> </w:t>
      </w:r>
      <w:r w:rsidR="002D1B4F" w:rsidRPr="00207DC2">
        <w:rPr>
          <w:rFonts w:eastAsiaTheme="minorEastAsia"/>
          <w:lang w:val="en-AU"/>
        </w:rPr>
        <w:t xml:space="preserve">is applied </w:t>
      </w:r>
      <w:r w:rsidR="0090010A" w:rsidRPr="00207DC2">
        <w:rPr>
          <w:rFonts w:eastAsiaTheme="minorEastAsia"/>
          <w:lang w:val="en-AU"/>
        </w:rPr>
        <w:t>across mainstream and remote employment programs</w:t>
      </w:r>
      <w:r w:rsidR="00CC57F5" w:rsidRPr="00207DC2">
        <w:rPr>
          <w:rFonts w:eastAsiaTheme="minorEastAsia"/>
          <w:lang w:val="en-AU"/>
        </w:rPr>
        <w:t xml:space="preserve">, </w:t>
      </w:r>
      <w:r w:rsidR="00520289" w:rsidRPr="00207DC2">
        <w:rPr>
          <w:rFonts w:eastAsiaTheme="minorEastAsia"/>
          <w:lang w:val="en-AU"/>
        </w:rPr>
        <w:t xml:space="preserve">the type of activities that participants must undertake to fulfil their </w:t>
      </w:r>
      <w:r w:rsidR="00E61D94" w:rsidRPr="00207DC2">
        <w:rPr>
          <w:rFonts w:eastAsiaTheme="minorEastAsia"/>
          <w:lang w:val="en-AU"/>
        </w:rPr>
        <w:t>mutual obligation</w:t>
      </w:r>
      <w:r w:rsidR="00156EFB" w:rsidRPr="00207DC2">
        <w:rPr>
          <w:rFonts w:eastAsiaTheme="minorEastAsia"/>
          <w:lang w:val="en-AU"/>
        </w:rPr>
        <w:t xml:space="preserve"> </w:t>
      </w:r>
      <w:r w:rsidR="002D1B4F" w:rsidRPr="00207DC2">
        <w:rPr>
          <w:rFonts w:eastAsiaTheme="minorEastAsia"/>
          <w:lang w:val="en-AU"/>
        </w:rPr>
        <w:t xml:space="preserve">are set separately in </w:t>
      </w:r>
      <w:r w:rsidR="00DE02B9" w:rsidRPr="00207DC2">
        <w:rPr>
          <w:rFonts w:eastAsiaTheme="minorEastAsia"/>
          <w:lang w:val="en-AU"/>
        </w:rPr>
        <w:t>each</w:t>
      </w:r>
      <w:r w:rsidR="00DC21B1" w:rsidRPr="00207DC2">
        <w:rPr>
          <w:rFonts w:eastAsiaTheme="minorEastAsia"/>
          <w:lang w:val="en-AU"/>
        </w:rPr>
        <w:t xml:space="preserve"> program</w:t>
      </w:r>
      <w:r w:rsidR="00B87EE5" w:rsidRPr="00207DC2">
        <w:rPr>
          <w:rFonts w:eastAsiaTheme="minorEastAsia"/>
          <w:lang w:val="en-AU"/>
        </w:rPr>
        <w:t>.</w:t>
      </w:r>
      <w:r w:rsidR="002F70FD" w:rsidRPr="00207DC2">
        <w:rPr>
          <w:rFonts w:eastAsiaTheme="minorEastAsia"/>
          <w:lang w:val="en-AU"/>
        </w:rPr>
        <w:t xml:space="preserve"> </w:t>
      </w:r>
    </w:p>
    <w:p w14:paraId="61D47D0E" w14:textId="11AB80CE" w:rsidR="008D7C9B" w:rsidRPr="00207DC2" w:rsidRDefault="007A3418" w:rsidP="002521AA">
      <w:pPr>
        <w:pStyle w:val="ZED6"/>
        <w:outlineLvl w:val="4"/>
      </w:pPr>
      <w:r w:rsidRPr="00207DC2">
        <w:t xml:space="preserve">The introduction of </w:t>
      </w:r>
      <w:r w:rsidR="00610752" w:rsidRPr="00207DC2">
        <w:t xml:space="preserve">the </w:t>
      </w:r>
      <w:r w:rsidR="007B6F4E" w:rsidRPr="00207DC2">
        <w:t>CDP</w:t>
      </w:r>
      <w:r w:rsidR="00396552">
        <w:t xml:space="preserve"> – </w:t>
      </w:r>
      <w:r w:rsidRPr="00207DC2">
        <w:t>increased</w:t>
      </w:r>
      <w:r w:rsidR="007B6F4E" w:rsidRPr="00207DC2">
        <w:t xml:space="preserve"> focus on Work for the Dole</w:t>
      </w:r>
    </w:p>
    <w:p w14:paraId="2FCE7208" w14:textId="5143E6F4" w:rsidR="00976671" w:rsidRPr="00207DC2" w:rsidRDefault="004157F3" w:rsidP="005D65D3">
      <w:pPr>
        <w:spacing w:before="0" w:after="200" w:line="276" w:lineRule="auto"/>
        <w:jc w:val="both"/>
        <w:rPr>
          <w:rFonts w:eastAsiaTheme="minorEastAsia"/>
          <w:lang w:val="en-AU"/>
        </w:rPr>
      </w:pPr>
      <w:r w:rsidRPr="00207DC2">
        <w:rPr>
          <w:rFonts w:eastAsiaTheme="minorEastAsia"/>
          <w:lang w:val="en-AU"/>
        </w:rPr>
        <w:t xml:space="preserve">Under the </w:t>
      </w:r>
      <w:r w:rsidR="00D141CE" w:rsidRPr="00207DC2">
        <w:rPr>
          <w:rFonts w:eastAsiaTheme="minorEastAsia"/>
          <w:lang w:val="en-AU"/>
        </w:rPr>
        <w:t>RJCP</w:t>
      </w:r>
      <w:r w:rsidR="00576899" w:rsidRPr="00207DC2">
        <w:rPr>
          <w:rFonts w:eastAsiaTheme="minorEastAsia"/>
          <w:lang w:val="en-AU"/>
        </w:rPr>
        <w:t>,</w:t>
      </w:r>
      <w:r w:rsidR="00D141CE" w:rsidRPr="00207DC2" w:rsidDel="004157F3">
        <w:rPr>
          <w:rFonts w:eastAsiaTheme="minorEastAsia"/>
          <w:lang w:val="en-AU"/>
        </w:rPr>
        <w:t xml:space="preserve"> </w:t>
      </w:r>
      <w:r w:rsidR="00257F48" w:rsidRPr="00207DC2">
        <w:rPr>
          <w:rFonts w:eastAsiaTheme="minorEastAsia"/>
          <w:lang w:val="en-AU"/>
        </w:rPr>
        <w:t>full</w:t>
      </w:r>
      <w:r w:rsidR="00257F48" w:rsidRPr="00207DC2">
        <w:rPr>
          <w:rFonts w:eastAsiaTheme="minorEastAsia"/>
          <w:lang w:val="en-AU"/>
        </w:rPr>
        <w:noBreakHyphen/>
        <w:t xml:space="preserve">time </w:t>
      </w:r>
      <w:r w:rsidR="00903A7A">
        <w:rPr>
          <w:rFonts w:eastAsiaTheme="minorEastAsia"/>
          <w:lang w:val="en-AU"/>
        </w:rPr>
        <w:t>activity-tested</w:t>
      </w:r>
      <w:r w:rsidR="00062FBA" w:rsidRPr="00207DC2">
        <w:rPr>
          <w:rFonts w:eastAsiaTheme="minorEastAsia"/>
          <w:lang w:val="en-AU"/>
        </w:rPr>
        <w:t xml:space="preserve"> </w:t>
      </w:r>
      <w:r w:rsidRPr="00207DC2">
        <w:rPr>
          <w:rFonts w:eastAsiaTheme="minorEastAsia"/>
          <w:lang w:val="en-AU"/>
        </w:rPr>
        <w:t xml:space="preserve">participants were </w:t>
      </w:r>
      <w:r w:rsidR="00D141CE" w:rsidRPr="00207DC2">
        <w:rPr>
          <w:rFonts w:eastAsiaTheme="minorEastAsia"/>
          <w:lang w:val="en-AU"/>
        </w:rPr>
        <w:t xml:space="preserve">typically expected </w:t>
      </w:r>
      <w:r w:rsidR="00257F48" w:rsidRPr="00207DC2">
        <w:rPr>
          <w:rFonts w:eastAsiaTheme="minorEastAsia"/>
          <w:lang w:val="en-AU"/>
        </w:rPr>
        <w:t>to undertake</w:t>
      </w:r>
      <w:r w:rsidR="00753EDE" w:rsidRPr="00207DC2">
        <w:rPr>
          <w:rFonts w:eastAsiaTheme="minorEastAsia"/>
          <w:lang w:val="en-AU"/>
        </w:rPr>
        <w:t xml:space="preserve"> 4</w:t>
      </w:r>
      <w:r w:rsidR="00D141CE" w:rsidRPr="00207DC2">
        <w:rPr>
          <w:rFonts w:eastAsiaTheme="minorEastAsia"/>
          <w:lang w:val="en-AU"/>
        </w:rPr>
        <w:t>0</w:t>
      </w:r>
      <w:r w:rsidR="00EF1A6C" w:rsidRPr="00207DC2">
        <w:rPr>
          <w:rFonts w:eastAsiaTheme="minorEastAsia"/>
          <w:lang w:val="en-AU"/>
        </w:rPr>
        <w:t> </w:t>
      </w:r>
      <w:r w:rsidR="00D141CE" w:rsidRPr="00207DC2">
        <w:rPr>
          <w:rFonts w:eastAsiaTheme="minorEastAsia"/>
          <w:lang w:val="en-AU"/>
        </w:rPr>
        <w:t xml:space="preserve">hours </w:t>
      </w:r>
      <w:r w:rsidR="00257F48" w:rsidRPr="00207DC2">
        <w:rPr>
          <w:rFonts w:eastAsiaTheme="minorEastAsia"/>
          <w:lang w:val="en-AU"/>
        </w:rPr>
        <w:t>of activiti</w:t>
      </w:r>
      <w:r w:rsidR="00576899" w:rsidRPr="00207DC2">
        <w:rPr>
          <w:rFonts w:eastAsiaTheme="minorEastAsia"/>
          <w:lang w:val="en-AU"/>
        </w:rPr>
        <w:t>e</w:t>
      </w:r>
      <w:r w:rsidR="00257F48" w:rsidRPr="00207DC2">
        <w:rPr>
          <w:rFonts w:eastAsiaTheme="minorEastAsia"/>
          <w:lang w:val="en-AU"/>
        </w:rPr>
        <w:t xml:space="preserve">s </w:t>
      </w:r>
      <w:r w:rsidR="00D141CE" w:rsidRPr="00207DC2">
        <w:rPr>
          <w:rFonts w:eastAsiaTheme="minorEastAsia"/>
          <w:lang w:val="en-AU"/>
        </w:rPr>
        <w:t>per fortnight</w:t>
      </w:r>
      <w:r w:rsidR="00257F48" w:rsidRPr="00207DC2">
        <w:rPr>
          <w:rFonts w:eastAsiaTheme="minorEastAsia"/>
          <w:lang w:val="en-AU"/>
        </w:rPr>
        <w:t xml:space="preserve"> (</w:t>
      </w:r>
      <w:r w:rsidR="00D141CE" w:rsidRPr="00207DC2">
        <w:rPr>
          <w:rFonts w:eastAsiaTheme="minorEastAsia"/>
          <w:lang w:val="en-AU"/>
        </w:rPr>
        <w:t>20</w:t>
      </w:r>
      <w:r w:rsidR="00EF1A6C" w:rsidRPr="00207DC2">
        <w:rPr>
          <w:rFonts w:eastAsiaTheme="minorEastAsia"/>
          <w:lang w:val="en-AU"/>
        </w:rPr>
        <w:t> </w:t>
      </w:r>
      <w:r w:rsidR="00D141CE" w:rsidRPr="00207DC2">
        <w:rPr>
          <w:rFonts w:eastAsiaTheme="minorEastAsia"/>
          <w:lang w:val="en-AU"/>
        </w:rPr>
        <w:t>hours for princi</w:t>
      </w:r>
      <w:r w:rsidR="00753EDE" w:rsidRPr="00207DC2">
        <w:rPr>
          <w:rFonts w:eastAsiaTheme="minorEastAsia"/>
          <w:lang w:val="en-AU"/>
        </w:rPr>
        <w:t>p</w:t>
      </w:r>
      <w:r w:rsidR="00D141CE" w:rsidRPr="00207DC2">
        <w:rPr>
          <w:rFonts w:eastAsiaTheme="minorEastAsia"/>
          <w:lang w:val="en-AU"/>
        </w:rPr>
        <w:t>a</w:t>
      </w:r>
      <w:r w:rsidR="00753EDE" w:rsidRPr="00207DC2">
        <w:rPr>
          <w:rFonts w:eastAsiaTheme="minorEastAsia"/>
          <w:lang w:val="en-AU"/>
        </w:rPr>
        <w:t>l</w:t>
      </w:r>
      <w:r w:rsidR="00D141CE" w:rsidRPr="00207DC2">
        <w:rPr>
          <w:rFonts w:eastAsiaTheme="minorEastAsia"/>
          <w:lang w:val="en-AU"/>
        </w:rPr>
        <w:t xml:space="preserve"> carers and those with a partial </w:t>
      </w:r>
      <w:r w:rsidR="00753EDE" w:rsidRPr="00207DC2">
        <w:rPr>
          <w:rFonts w:eastAsiaTheme="minorEastAsia"/>
          <w:lang w:val="en-AU"/>
        </w:rPr>
        <w:t>or reduced work capa</w:t>
      </w:r>
      <w:r w:rsidR="00D141CE" w:rsidRPr="00207DC2">
        <w:rPr>
          <w:rFonts w:eastAsiaTheme="minorEastAsia"/>
          <w:lang w:val="en-AU"/>
        </w:rPr>
        <w:t>c</w:t>
      </w:r>
      <w:r w:rsidR="00753EDE" w:rsidRPr="00207DC2">
        <w:rPr>
          <w:rFonts w:eastAsiaTheme="minorEastAsia"/>
          <w:lang w:val="en-AU"/>
        </w:rPr>
        <w:t>i</w:t>
      </w:r>
      <w:r w:rsidR="00D141CE" w:rsidRPr="00207DC2">
        <w:rPr>
          <w:rFonts w:eastAsiaTheme="minorEastAsia"/>
          <w:lang w:val="en-AU"/>
        </w:rPr>
        <w:t>ty</w:t>
      </w:r>
      <w:r w:rsidR="00257F48" w:rsidRPr="00207DC2">
        <w:rPr>
          <w:rFonts w:eastAsiaTheme="minorEastAsia"/>
          <w:lang w:val="en-AU"/>
        </w:rPr>
        <w:t>)</w:t>
      </w:r>
      <w:r w:rsidR="004B339A" w:rsidRPr="00207DC2">
        <w:rPr>
          <w:rFonts w:eastAsiaTheme="minorEastAsia"/>
          <w:lang w:val="en-AU"/>
        </w:rPr>
        <w:t xml:space="preserve"> (</w:t>
      </w:r>
      <w:r w:rsidR="0057565A" w:rsidRPr="00207DC2">
        <w:rPr>
          <w:rFonts w:eastAsiaTheme="minorEastAsia"/>
          <w:lang w:val="en-AU"/>
        </w:rPr>
        <w:t>PMC</w:t>
      </w:r>
      <w:r w:rsidR="004B339A" w:rsidRPr="00207DC2">
        <w:rPr>
          <w:rFonts w:eastAsiaTheme="minorEastAsia"/>
          <w:lang w:val="en-AU"/>
        </w:rPr>
        <w:t> 2014</w:t>
      </w:r>
      <w:r w:rsidR="005E0E32" w:rsidRPr="00207DC2">
        <w:rPr>
          <w:rFonts w:eastAsiaTheme="minorEastAsia"/>
          <w:lang w:val="en-AU"/>
        </w:rPr>
        <w:t>b</w:t>
      </w:r>
      <w:r w:rsidR="004B339A" w:rsidRPr="00207DC2">
        <w:rPr>
          <w:rFonts w:eastAsiaTheme="minorEastAsia"/>
          <w:lang w:val="en-AU"/>
        </w:rPr>
        <w:t>)</w:t>
      </w:r>
      <w:r w:rsidR="00EF1A6C" w:rsidRPr="00207DC2">
        <w:rPr>
          <w:rFonts w:eastAsiaTheme="minorEastAsia"/>
          <w:lang w:val="en-AU"/>
        </w:rPr>
        <w:t>.</w:t>
      </w:r>
      <w:r w:rsidR="00753EDE" w:rsidRPr="00207DC2">
        <w:rPr>
          <w:rStyle w:val="FootnoteReference"/>
          <w:rFonts w:eastAsiaTheme="minorEastAsia"/>
          <w:lang w:val="en-AU"/>
        </w:rPr>
        <w:footnoteReference w:id="7"/>
      </w:r>
      <w:r w:rsidR="00753EDE" w:rsidRPr="00207DC2">
        <w:rPr>
          <w:rFonts w:eastAsiaTheme="minorEastAsia"/>
          <w:lang w:val="en-AU"/>
        </w:rPr>
        <w:t xml:space="preserve"> </w:t>
      </w:r>
      <w:r w:rsidR="004B023F" w:rsidRPr="00207DC2">
        <w:rPr>
          <w:rFonts w:eastAsiaTheme="minorEastAsia"/>
          <w:lang w:val="en-AU"/>
        </w:rPr>
        <w:t>To meet</w:t>
      </w:r>
      <w:r w:rsidR="00753EDE" w:rsidRPr="00207DC2">
        <w:rPr>
          <w:rFonts w:eastAsiaTheme="minorEastAsia"/>
          <w:lang w:val="en-AU"/>
        </w:rPr>
        <w:t xml:space="preserve"> these</w:t>
      </w:r>
      <w:r w:rsidR="004B023F" w:rsidRPr="00207DC2">
        <w:rPr>
          <w:rFonts w:eastAsiaTheme="minorEastAsia"/>
          <w:lang w:val="en-AU"/>
        </w:rPr>
        <w:t xml:space="preserve"> required</w:t>
      </w:r>
      <w:r w:rsidR="00753EDE" w:rsidRPr="00207DC2">
        <w:rPr>
          <w:lang w:val="en-AU"/>
        </w:rPr>
        <w:t> hours of activity</w:t>
      </w:r>
      <w:r w:rsidR="00230C2D" w:rsidRPr="00207DC2">
        <w:rPr>
          <w:lang w:val="en-AU"/>
        </w:rPr>
        <w:t>,</w:t>
      </w:r>
      <w:r w:rsidR="000F0EED" w:rsidRPr="00207DC2">
        <w:rPr>
          <w:lang w:val="en-AU"/>
        </w:rPr>
        <w:t xml:space="preserve"> </w:t>
      </w:r>
      <w:r w:rsidR="00085F28" w:rsidRPr="00207DC2">
        <w:rPr>
          <w:rFonts w:eastAsiaTheme="minorEastAsia"/>
          <w:lang w:val="en-AU"/>
        </w:rPr>
        <w:t xml:space="preserve">RJCP </w:t>
      </w:r>
      <w:r w:rsidR="00127AAA" w:rsidRPr="00207DC2">
        <w:rPr>
          <w:lang w:val="en-AU"/>
        </w:rPr>
        <w:t xml:space="preserve">participants </w:t>
      </w:r>
      <w:r w:rsidR="00230C2D" w:rsidRPr="00207DC2">
        <w:rPr>
          <w:lang w:val="en-AU"/>
        </w:rPr>
        <w:t>ha</w:t>
      </w:r>
      <w:r w:rsidR="00ED5874" w:rsidRPr="00207DC2">
        <w:rPr>
          <w:lang w:val="en-AU"/>
        </w:rPr>
        <w:t>d</w:t>
      </w:r>
      <w:r w:rsidR="00230C2D" w:rsidRPr="00207DC2">
        <w:rPr>
          <w:lang w:val="en-AU"/>
        </w:rPr>
        <w:t xml:space="preserve"> flexibility to work across the week in </w:t>
      </w:r>
      <w:r w:rsidR="00127AAA" w:rsidRPr="00207DC2">
        <w:rPr>
          <w:rFonts w:eastAsiaTheme="minorEastAsia"/>
          <w:lang w:val="en-AU"/>
        </w:rPr>
        <w:t>a range of community activities and training programs as well as Work for the Dole</w:t>
      </w:r>
      <w:r w:rsidR="00EF1A6C" w:rsidRPr="00207DC2">
        <w:rPr>
          <w:rFonts w:eastAsiaTheme="minorEastAsia"/>
          <w:lang w:val="en-AU"/>
        </w:rPr>
        <w:t>.</w:t>
      </w:r>
      <w:r w:rsidR="008D3D48" w:rsidRPr="00207DC2">
        <w:rPr>
          <w:rStyle w:val="FootnoteReference"/>
          <w:rFonts w:eastAsiaTheme="minorEastAsia"/>
          <w:lang w:val="en-AU"/>
        </w:rPr>
        <w:footnoteReference w:id="8"/>
      </w:r>
    </w:p>
    <w:p w14:paraId="1DF95E9F" w14:textId="1404F571" w:rsidR="00555FBD" w:rsidRPr="00207DC2" w:rsidRDefault="00753EDE" w:rsidP="00A82269">
      <w:pPr>
        <w:jc w:val="both"/>
        <w:rPr>
          <w:rFonts w:eastAsiaTheme="minorEastAsia"/>
          <w:lang w:val="en-AU"/>
        </w:rPr>
      </w:pPr>
      <w:r w:rsidRPr="00207DC2">
        <w:rPr>
          <w:rFonts w:eastAsiaTheme="minorEastAsia"/>
          <w:lang w:val="en-AU"/>
        </w:rPr>
        <w:t>T</w:t>
      </w:r>
      <w:r w:rsidR="00D537CB" w:rsidRPr="00207DC2">
        <w:rPr>
          <w:rFonts w:eastAsiaTheme="minorEastAsia"/>
          <w:lang w:val="en-AU"/>
        </w:rPr>
        <w:t>he introduction of the CDP saw increased focus on participants meeting their mutual obligation</w:t>
      </w:r>
      <w:r w:rsidR="006D23E8" w:rsidRPr="00207DC2">
        <w:rPr>
          <w:rFonts w:eastAsiaTheme="minorEastAsia"/>
          <w:lang w:val="en-AU"/>
        </w:rPr>
        <w:t>s</w:t>
      </w:r>
      <w:r w:rsidR="00D537CB" w:rsidRPr="00207DC2">
        <w:rPr>
          <w:rFonts w:eastAsiaTheme="minorEastAsia"/>
          <w:lang w:val="en-AU"/>
        </w:rPr>
        <w:t xml:space="preserve"> thro</w:t>
      </w:r>
      <w:r w:rsidR="00750FD1" w:rsidRPr="00207DC2">
        <w:rPr>
          <w:rFonts w:eastAsiaTheme="minorEastAsia"/>
          <w:lang w:val="en-AU"/>
        </w:rPr>
        <w:t>ugh Work for the Dole</w:t>
      </w:r>
      <w:r w:rsidR="008A43A9" w:rsidRPr="00207DC2">
        <w:rPr>
          <w:rFonts w:eastAsiaTheme="minorEastAsia"/>
          <w:lang w:val="en-AU"/>
        </w:rPr>
        <w:t xml:space="preserve">, and </w:t>
      </w:r>
      <w:r w:rsidR="00941BBF" w:rsidRPr="00207DC2">
        <w:rPr>
          <w:rFonts w:eastAsiaTheme="minorEastAsia"/>
          <w:lang w:val="en-AU"/>
        </w:rPr>
        <w:t>ensuring that participants are engaged in work-like activities</w:t>
      </w:r>
      <w:r w:rsidR="001831F0" w:rsidRPr="00207DC2">
        <w:rPr>
          <w:rFonts w:eastAsiaTheme="minorEastAsia"/>
          <w:lang w:val="en-AU"/>
        </w:rPr>
        <w:t xml:space="preserve"> </w:t>
      </w:r>
      <w:r w:rsidR="00BD2ECE" w:rsidRPr="00207DC2">
        <w:rPr>
          <w:rFonts w:eastAsiaTheme="minorEastAsia"/>
          <w:lang w:val="en-AU"/>
        </w:rPr>
        <w:t xml:space="preserve">up </w:t>
      </w:r>
      <w:r w:rsidR="00941BBF" w:rsidRPr="00207DC2">
        <w:rPr>
          <w:rFonts w:eastAsiaTheme="minorEastAsia"/>
          <w:lang w:val="en-AU"/>
        </w:rPr>
        <w:t>to their assessed capacity</w:t>
      </w:r>
      <w:r w:rsidR="008A43A9" w:rsidRPr="00207DC2">
        <w:rPr>
          <w:rFonts w:eastAsiaTheme="minorEastAsia"/>
          <w:lang w:val="en-AU"/>
        </w:rPr>
        <w:t>, across</w:t>
      </w:r>
      <w:r w:rsidR="00941BBF" w:rsidRPr="00207DC2">
        <w:rPr>
          <w:rFonts w:eastAsiaTheme="minorEastAsia"/>
          <w:lang w:val="en-AU"/>
        </w:rPr>
        <w:t xml:space="preserve"> a</w:t>
      </w:r>
      <w:r w:rsidR="001F233E" w:rsidRPr="00207DC2">
        <w:rPr>
          <w:rFonts w:eastAsiaTheme="minorEastAsia"/>
          <w:lang w:val="en-AU"/>
        </w:rPr>
        <w:t xml:space="preserve"> </w:t>
      </w:r>
      <w:r w:rsidR="000E4E1F" w:rsidRPr="00207DC2">
        <w:rPr>
          <w:rFonts w:eastAsiaTheme="minorEastAsia"/>
          <w:lang w:val="en-AU"/>
        </w:rPr>
        <w:t>five</w:t>
      </w:r>
      <w:r w:rsidR="00366AE1" w:rsidRPr="00207DC2">
        <w:rPr>
          <w:rFonts w:eastAsiaTheme="minorEastAsia"/>
          <w:lang w:val="en-AU"/>
        </w:rPr>
        <w:t>-</w:t>
      </w:r>
      <w:r w:rsidR="008A43A9" w:rsidRPr="00207DC2">
        <w:rPr>
          <w:rFonts w:eastAsiaTheme="minorEastAsia"/>
          <w:lang w:val="en-AU"/>
        </w:rPr>
        <w:t>day</w:t>
      </w:r>
      <w:r w:rsidR="00941BBF" w:rsidRPr="00207DC2">
        <w:rPr>
          <w:rFonts w:eastAsiaTheme="minorEastAsia"/>
          <w:lang w:val="en-AU"/>
        </w:rPr>
        <w:t xml:space="preserve"> week</w:t>
      </w:r>
      <w:r w:rsidR="00D537CB" w:rsidRPr="00207DC2">
        <w:rPr>
          <w:rFonts w:eastAsiaTheme="minorEastAsia"/>
          <w:lang w:val="en-AU"/>
        </w:rPr>
        <w:t>.</w:t>
      </w:r>
      <w:r w:rsidR="000F0EED" w:rsidRPr="00207DC2">
        <w:rPr>
          <w:rFonts w:eastAsiaTheme="minorEastAsia"/>
          <w:lang w:val="en-AU"/>
        </w:rPr>
        <w:t xml:space="preserve"> </w:t>
      </w:r>
      <w:r w:rsidR="00D537CB" w:rsidRPr="00207DC2">
        <w:rPr>
          <w:rFonts w:eastAsiaTheme="minorEastAsia"/>
          <w:lang w:val="en-AU"/>
        </w:rPr>
        <w:t>Specifically</w:t>
      </w:r>
      <w:r w:rsidR="00686925" w:rsidRPr="00207DC2">
        <w:rPr>
          <w:rFonts w:eastAsiaTheme="minorEastAsia"/>
          <w:lang w:val="en-AU"/>
        </w:rPr>
        <w:t>,</w:t>
      </w:r>
      <w:r w:rsidR="008A43A9" w:rsidRPr="00207DC2">
        <w:rPr>
          <w:rFonts w:eastAsiaTheme="minorEastAsia"/>
          <w:lang w:val="en-AU"/>
        </w:rPr>
        <w:t xml:space="preserve"> under </w:t>
      </w:r>
      <w:r w:rsidR="00610752" w:rsidRPr="00207DC2">
        <w:rPr>
          <w:rFonts w:eastAsiaTheme="minorEastAsia"/>
          <w:lang w:val="en-AU"/>
        </w:rPr>
        <w:t xml:space="preserve">the </w:t>
      </w:r>
      <w:r w:rsidR="008A43A9" w:rsidRPr="00207DC2">
        <w:rPr>
          <w:rFonts w:eastAsiaTheme="minorEastAsia"/>
          <w:lang w:val="en-AU"/>
        </w:rPr>
        <w:t>CDP,</w:t>
      </w:r>
      <w:r w:rsidR="00686925" w:rsidRPr="00207DC2">
        <w:rPr>
          <w:rFonts w:eastAsiaTheme="minorEastAsia"/>
          <w:lang w:val="en-AU"/>
        </w:rPr>
        <w:t xml:space="preserve"> </w:t>
      </w:r>
      <w:r w:rsidR="00C12842" w:rsidRPr="00207DC2">
        <w:rPr>
          <w:rFonts w:eastAsiaTheme="minorEastAsia"/>
          <w:lang w:val="en-AU"/>
        </w:rPr>
        <w:t>those</w:t>
      </w:r>
      <w:r w:rsidR="00E376A3" w:rsidRPr="00207DC2">
        <w:rPr>
          <w:rFonts w:eastAsiaTheme="minorEastAsia"/>
          <w:lang w:val="en-AU"/>
        </w:rPr>
        <w:t xml:space="preserve"> </w:t>
      </w:r>
      <w:r w:rsidR="00A86DF2" w:rsidRPr="00207DC2">
        <w:rPr>
          <w:rFonts w:eastAsiaTheme="minorEastAsia"/>
          <w:lang w:val="en-AU"/>
        </w:rPr>
        <w:t>with</w:t>
      </w:r>
      <w:r w:rsidR="00295B9A" w:rsidRPr="00207DC2">
        <w:rPr>
          <w:rFonts w:eastAsiaTheme="minorEastAsia"/>
          <w:lang w:val="en-AU"/>
        </w:rPr>
        <w:t xml:space="preserve"> </w:t>
      </w:r>
      <w:r w:rsidR="00AF667D" w:rsidRPr="00207DC2">
        <w:rPr>
          <w:rFonts w:eastAsiaTheme="minorEastAsia"/>
          <w:lang w:val="en-AU"/>
        </w:rPr>
        <w:t>mutual obligation requirements</w:t>
      </w:r>
      <w:r w:rsidR="00A86DF2" w:rsidRPr="00207DC2">
        <w:rPr>
          <w:rFonts w:eastAsiaTheme="minorEastAsia"/>
          <w:lang w:val="en-AU"/>
        </w:rPr>
        <w:t xml:space="preserve"> who</w:t>
      </w:r>
      <w:r w:rsidR="00295B9A" w:rsidRPr="00207DC2" w:rsidDel="00A86DF2">
        <w:rPr>
          <w:rFonts w:eastAsiaTheme="minorEastAsia"/>
          <w:lang w:val="en-AU"/>
        </w:rPr>
        <w:t xml:space="preserve"> </w:t>
      </w:r>
      <w:r w:rsidR="00CB78C6" w:rsidRPr="00207DC2">
        <w:rPr>
          <w:rFonts w:eastAsiaTheme="minorEastAsia"/>
          <w:lang w:val="en-AU"/>
        </w:rPr>
        <w:t xml:space="preserve">are </w:t>
      </w:r>
      <w:r w:rsidR="00686925" w:rsidRPr="00207DC2">
        <w:rPr>
          <w:rFonts w:eastAsiaTheme="minorEastAsia"/>
          <w:lang w:val="en-AU"/>
        </w:rPr>
        <w:t>aged between 18 and 49</w:t>
      </w:r>
      <w:r w:rsidR="00555FBD" w:rsidRPr="00207DC2">
        <w:rPr>
          <w:rFonts w:eastAsiaTheme="minorEastAsia"/>
          <w:lang w:val="en-AU"/>
        </w:rPr>
        <w:t> </w:t>
      </w:r>
      <w:r w:rsidR="00686925" w:rsidRPr="00207DC2">
        <w:rPr>
          <w:rFonts w:eastAsiaTheme="minorEastAsia"/>
          <w:lang w:val="en-AU"/>
        </w:rPr>
        <w:t xml:space="preserve">years </w:t>
      </w:r>
      <w:r w:rsidR="00295B9A" w:rsidRPr="00207DC2">
        <w:rPr>
          <w:rFonts w:eastAsiaTheme="minorEastAsia"/>
          <w:lang w:val="en-AU"/>
        </w:rPr>
        <w:t xml:space="preserve">and </w:t>
      </w:r>
      <w:r w:rsidR="00686925" w:rsidRPr="00207DC2">
        <w:rPr>
          <w:rFonts w:eastAsiaTheme="minorEastAsia"/>
          <w:lang w:val="en-AU"/>
        </w:rPr>
        <w:t>receiv</w:t>
      </w:r>
      <w:r w:rsidR="00CB78C6" w:rsidRPr="00207DC2">
        <w:rPr>
          <w:rFonts w:eastAsiaTheme="minorEastAsia"/>
          <w:lang w:val="en-AU"/>
        </w:rPr>
        <w:t xml:space="preserve">e </w:t>
      </w:r>
      <w:r w:rsidR="00686925" w:rsidRPr="00207DC2">
        <w:rPr>
          <w:rFonts w:eastAsiaTheme="minorEastAsia"/>
          <w:lang w:val="en-AU"/>
        </w:rPr>
        <w:t xml:space="preserve">the full rate of income support </w:t>
      </w:r>
      <w:r w:rsidR="001A4DF6" w:rsidRPr="00207DC2">
        <w:rPr>
          <w:rFonts w:eastAsiaTheme="minorEastAsia"/>
          <w:lang w:val="en-AU"/>
        </w:rPr>
        <w:t xml:space="preserve">are required </w:t>
      </w:r>
      <w:r w:rsidRPr="00207DC2">
        <w:rPr>
          <w:rFonts w:eastAsiaTheme="minorEastAsia"/>
          <w:lang w:val="en-AU"/>
        </w:rPr>
        <w:t>to attend Work for the Dole activities</w:t>
      </w:r>
      <w:r w:rsidR="005A6DC5" w:rsidRPr="00207DC2">
        <w:rPr>
          <w:rFonts w:eastAsiaTheme="minorEastAsia"/>
          <w:lang w:val="en-AU"/>
        </w:rPr>
        <w:t xml:space="preserve"> </w:t>
      </w:r>
      <w:r w:rsidRPr="00207DC2">
        <w:rPr>
          <w:rFonts w:eastAsiaTheme="minorEastAsia"/>
          <w:lang w:val="en-AU"/>
        </w:rPr>
        <w:t>across five days each week</w:t>
      </w:r>
      <w:r w:rsidR="005A6DC5" w:rsidRPr="00207DC2">
        <w:rPr>
          <w:rFonts w:eastAsiaTheme="minorEastAsia"/>
          <w:lang w:val="en-AU"/>
        </w:rPr>
        <w:t xml:space="preserve">, </w:t>
      </w:r>
      <w:r w:rsidR="008A43A9" w:rsidRPr="00207DC2">
        <w:rPr>
          <w:rFonts w:eastAsiaTheme="minorEastAsia"/>
          <w:lang w:val="en-AU"/>
        </w:rPr>
        <w:t xml:space="preserve">year round, </w:t>
      </w:r>
      <w:r w:rsidR="0011748D" w:rsidRPr="00207DC2">
        <w:rPr>
          <w:rFonts w:eastAsiaTheme="minorEastAsia"/>
          <w:lang w:val="en-AU"/>
        </w:rPr>
        <w:t xml:space="preserve">up to 25 </w:t>
      </w:r>
      <w:r w:rsidR="005963AD" w:rsidRPr="00207DC2">
        <w:rPr>
          <w:rFonts w:eastAsiaTheme="minorEastAsia"/>
          <w:lang w:val="en-AU"/>
        </w:rPr>
        <w:t xml:space="preserve">hours </w:t>
      </w:r>
      <w:r w:rsidR="0011748D" w:rsidRPr="00207DC2">
        <w:rPr>
          <w:rFonts w:eastAsiaTheme="minorEastAsia"/>
          <w:lang w:val="en-AU"/>
        </w:rPr>
        <w:t>per week</w:t>
      </w:r>
      <w:r w:rsidRPr="00207DC2" w:rsidDel="0011748D">
        <w:rPr>
          <w:rFonts w:eastAsiaTheme="minorEastAsia"/>
          <w:lang w:val="en-AU"/>
        </w:rPr>
        <w:t xml:space="preserve"> (</w:t>
      </w:r>
      <w:r w:rsidR="00AA7656" w:rsidRPr="00207DC2" w:rsidDel="0011748D">
        <w:rPr>
          <w:rFonts w:eastAsiaTheme="minorEastAsia"/>
          <w:lang w:val="en-AU"/>
        </w:rPr>
        <w:t>DSS</w:t>
      </w:r>
      <w:r w:rsidR="00492D2E">
        <w:rPr>
          <w:rStyle w:val="CommentReference"/>
          <w:lang w:val="en-AU"/>
        </w:rPr>
        <w:t> </w:t>
      </w:r>
      <w:r w:rsidR="003608B4" w:rsidRPr="00207DC2" w:rsidDel="0011748D">
        <w:rPr>
          <w:rFonts w:eastAsiaTheme="minorEastAsia"/>
          <w:lang w:val="en-AU"/>
        </w:rPr>
        <w:t>2018</w:t>
      </w:r>
      <w:r w:rsidR="007A7763" w:rsidRPr="00207DC2">
        <w:rPr>
          <w:rFonts w:eastAsiaTheme="minorEastAsia"/>
          <w:lang w:val="en-AU"/>
        </w:rPr>
        <w:t>a</w:t>
      </w:r>
      <w:r w:rsidR="003608B4" w:rsidRPr="00207DC2" w:rsidDel="0011748D">
        <w:rPr>
          <w:rFonts w:eastAsiaTheme="minorEastAsia"/>
          <w:lang w:val="en-AU"/>
        </w:rPr>
        <w:t xml:space="preserve">, </w:t>
      </w:r>
      <w:r w:rsidR="00F01629" w:rsidRPr="00207DC2">
        <w:rPr>
          <w:rFonts w:eastAsiaTheme="minorEastAsia"/>
          <w:lang w:val="en-AU"/>
        </w:rPr>
        <w:t>sec.</w:t>
      </w:r>
      <w:r w:rsidR="0011748D" w:rsidRPr="00207DC2">
        <w:rPr>
          <w:rFonts w:eastAsiaTheme="minorEastAsia"/>
          <w:lang w:val="en-AU"/>
        </w:rPr>
        <w:t xml:space="preserve"> </w:t>
      </w:r>
      <w:r w:rsidR="003608B4" w:rsidRPr="00207DC2" w:rsidDel="0011748D">
        <w:rPr>
          <w:rFonts w:eastAsiaTheme="minorEastAsia"/>
          <w:lang w:val="en-AU"/>
        </w:rPr>
        <w:t>3.2.9.70</w:t>
      </w:r>
      <w:r w:rsidR="000E4E1F" w:rsidRPr="00207DC2" w:rsidDel="0011748D">
        <w:rPr>
          <w:rFonts w:eastAsiaTheme="minorEastAsia"/>
          <w:lang w:val="en-AU"/>
        </w:rPr>
        <w:t xml:space="preserve">). </w:t>
      </w:r>
      <w:r w:rsidR="00C157BD" w:rsidRPr="00207DC2">
        <w:rPr>
          <w:rFonts w:eastAsiaTheme="minorEastAsia"/>
          <w:lang w:val="en-AU"/>
        </w:rPr>
        <w:t>This</w:t>
      </w:r>
      <w:r w:rsidR="0011748D" w:rsidRPr="00207DC2">
        <w:rPr>
          <w:rFonts w:eastAsiaTheme="minorEastAsia"/>
          <w:lang w:val="en-AU"/>
        </w:rPr>
        <w:t xml:space="preserve"> is an increase from 20 hours</w:t>
      </w:r>
      <w:r w:rsidR="00C45783" w:rsidRPr="00207DC2">
        <w:rPr>
          <w:rFonts w:eastAsiaTheme="minorEastAsia"/>
          <w:lang w:val="en-AU"/>
        </w:rPr>
        <w:t xml:space="preserve"> </w:t>
      </w:r>
      <w:r w:rsidR="00AF30F9" w:rsidRPr="00207DC2">
        <w:rPr>
          <w:rFonts w:eastAsiaTheme="minorEastAsia"/>
          <w:lang w:val="en-AU"/>
        </w:rPr>
        <w:t xml:space="preserve">per week </w:t>
      </w:r>
      <w:r w:rsidR="00C45783" w:rsidRPr="00207DC2">
        <w:rPr>
          <w:rFonts w:eastAsiaTheme="minorEastAsia"/>
          <w:lang w:val="en-AU"/>
        </w:rPr>
        <w:t>of activity under the RJCP</w:t>
      </w:r>
      <w:r w:rsidR="005963AD" w:rsidRPr="00207DC2">
        <w:rPr>
          <w:rFonts w:eastAsiaTheme="minorEastAsia"/>
          <w:lang w:val="en-AU"/>
        </w:rPr>
        <w:t>.</w:t>
      </w:r>
      <w:r w:rsidR="0011748D" w:rsidRPr="00207DC2">
        <w:rPr>
          <w:rFonts w:eastAsiaTheme="minorEastAsia"/>
          <w:lang w:val="en-AU"/>
        </w:rPr>
        <w:t xml:space="preserve"> Participants can access up to six weeks of leave</w:t>
      </w:r>
      <w:r w:rsidR="00281CF6">
        <w:rPr>
          <w:rFonts w:eastAsiaTheme="minorEastAsia"/>
          <w:lang w:val="en-AU"/>
        </w:rPr>
        <w:t xml:space="preserve"> per year, in addition to a two-</w:t>
      </w:r>
      <w:r w:rsidR="0011748D" w:rsidRPr="00207DC2">
        <w:rPr>
          <w:rFonts w:eastAsiaTheme="minorEastAsia"/>
          <w:lang w:val="en-AU"/>
        </w:rPr>
        <w:t xml:space="preserve">week shut down around Christmas, and additional leave </w:t>
      </w:r>
      <w:r w:rsidR="00D32F51" w:rsidRPr="00207DC2">
        <w:rPr>
          <w:rFonts w:eastAsiaTheme="minorEastAsia"/>
          <w:lang w:val="en-AU"/>
        </w:rPr>
        <w:t>to participate in cultural business (PMC 2016</w:t>
      </w:r>
      <w:r w:rsidR="00F01629" w:rsidRPr="00207DC2">
        <w:rPr>
          <w:rFonts w:eastAsiaTheme="minorEastAsia"/>
          <w:lang w:val="en-AU"/>
        </w:rPr>
        <w:t>, p.</w:t>
      </w:r>
      <w:r w:rsidR="00D32F51" w:rsidRPr="00207DC2">
        <w:rPr>
          <w:rFonts w:eastAsiaTheme="minorEastAsia"/>
          <w:lang w:val="en-AU"/>
        </w:rPr>
        <w:t>22)</w:t>
      </w:r>
      <w:r w:rsidR="0011748D" w:rsidRPr="00207DC2">
        <w:rPr>
          <w:rFonts w:eastAsiaTheme="minorEastAsia"/>
          <w:lang w:val="en-AU"/>
        </w:rPr>
        <w:t>.</w:t>
      </w:r>
    </w:p>
    <w:p w14:paraId="02AFB8B5" w14:textId="77777777" w:rsidR="008C7AB0" w:rsidRPr="00207DC2" w:rsidRDefault="005963AD" w:rsidP="00A82269">
      <w:pPr>
        <w:jc w:val="both"/>
        <w:rPr>
          <w:rFonts w:eastAsiaTheme="minorEastAsia"/>
          <w:lang w:val="en-AU"/>
        </w:rPr>
      </w:pPr>
      <w:r w:rsidRPr="00207DC2">
        <w:rPr>
          <w:rFonts w:eastAsiaTheme="minorEastAsia"/>
          <w:lang w:val="en-AU"/>
        </w:rPr>
        <w:t>CDP</w:t>
      </w:r>
      <w:r w:rsidR="000E4E1F" w:rsidRPr="00207DC2" w:rsidDel="005963AD">
        <w:rPr>
          <w:rFonts w:eastAsiaTheme="minorEastAsia"/>
          <w:lang w:val="en-AU"/>
        </w:rPr>
        <w:t xml:space="preserve"> p</w:t>
      </w:r>
      <w:r w:rsidR="000E4E1F" w:rsidRPr="00207DC2">
        <w:rPr>
          <w:rFonts w:eastAsiaTheme="minorEastAsia"/>
          <w:lang w:val="en-AU"/>
        </w:rPr>
        <w:t xml:space="preserve">articipants </w:t>
      </w:r>
      <w:r w:rsidRPr="00207DC2">
        <w:rPr>
          <w:rFonts w:eastAsiaTheme="minorEastAsia"/>
          <w:lang w:val="en-AU"/>
        </w:rPr>
        <w:t xml:space="preserve">who are required to undertake Work for the Dole </w:t>
      </w:r>
      <w:r w:rsidR="00A5171C" w:rsidRPr="00207DC2">
        <w:rPr>
          <w:rFonts w:eastAsiaTheme="minorEastAsia"/>
          <w:lang w:val="en-AU"/>
        </w:rPr>
        <w:t>can receive training for literacy and numeracy and support to obtain a driver’s licence</w:t>
      </w:r>
      <w:r w:rsidRPr="00207DC2">
        <w:rPr>
          <w:rFonts w:eastAsiaTheme="minorEastAsia"/>
          <w:lang w:val="en-AU"/>
        </w:rPr>
        <w:t xml:space="preserve"> if they require it</w:t>
      </w:r>
      <w:r w:rsidR="00A5171C" w:rsidRPr="00207DC2">
        <w:rPr>
          <w:rFonts w:eastAsiaTheme="minorEastAsia"/>
          <w:lang w:val="en-AU"/>
        </w:rPr>
        <w:t xml:space="preserve">. </w:t>
      </w:r>
      <w:r w:rsidR="000E4E1F" w:rsidRPr="00207DC2">
        <w:rPr>
          <w:rFonts w:eastAsiaTheme="minorEastAsia"/>
          <w:lang w:val="en-AU"/>
        </w:rPr>
        <w:t>F</w:t>
      </w:r>
      <w:r w:rsidR="00A5171C" w:rsidRPr="00207DC2">
        <w:rPr>
          <w:rFonts w:eastAsiaTheme="minorEastAsia"/>
          <w:lang w:val="en-AU"/>
        </w:rPr>
        <w:t>urther ed</w:t>
      </w:r>
      <w:r w:rsidR="000E4E1F" w:rsidRPr="00207DC2">
        <w:rPr>
          <w:rFonts w:eastAsiaTheme="minorEastAsia"/>
          <w:lang w:val="en-AU"/>
        </w:rPr>
        <w:t>ucation and training can be</w:t>
      </w:r>
      <w:r w:rsidR="00A5171C" w:rsidRPr="00207DC2">
        <w:rPr>
          <w:rFonts w:eastAsiaTheme="minorEastAsia"/>
          <w:lang w:val="en-AU"/>
        </w:rPr>
        <w:t xml:space="preserve"> undertaken as part of the</w:t>
      </w:r>
      <w:r w:rsidR="000E4E1F" w:rsidRPr="00207DC2">
        <w:rPr>
          <w:rFonts w:eastAsiaTheme="minorEastAsia"/>
          <w:lang w:val="en-AU"/>
        </w:rPr>
        <w:t>ir Work for the Dole activities</w:t>
      </w:r>
      <w:r w:rsidR="00A5171C" w:rsidRPr="00207DC2">
        <w:rPr>
          <w:rFonts w:eastAsiaTheme="minorEastAsia"/>
          <w:lang w:val="en-AU"/>
        </w:rPr>
        <w:t xml:space="preserve"> if it is directly linked to a job or Work for the Dole activity, or if it directly meets the need</w:t>
      </w:r>
      <w:r w:rsidR="00F30564" w:rsidRPr="00207DC2">
        <w:rPr>
          <w:rFonts w:eastAsiaTheme="minorEastAsia"/>
          <w:lang w:val="en-AU"/>
        </w:rPr>
        <w:t>s</w:t>
      </w:r>
      <w:r w:rsidR="00A5171C" w:rsidRPr="00207DC2">
        <w:rPr>
          <w:rFonts w:eastAsiaTheme="minorEastAsia"/>
          <w:lang w:val="en-AU"/>
        </w:rPr>
        <w:t xml:space="preserve"> of an employer (</w:t>
      </w:r>
      <w:r w:rsidR="0057565A" w:rsidRPr="00207DC2">
        <w:rPr>
          <w:rFonts w:eastAsiaTheme="minorEastAsia"/>
          <w:lang w:val="en-AU"/>
        </w:rPr>
        <w:t>PMC</w:t>
      </w:r>
      <w:r w:rsidR="00A5171C" w:rsidRPr="00207DC2">
        <w:rPr>
          <w:rFonts w:eastAsiaTheme="minorEastAsia"/>
          <w:lang w:val="en-AU"/>
        </w:rPr>
        <w:t xml:space="preserve"> 2016</w:t>
      </w:r>
      <w:r w:rsidR="00C12842" w:rsidRPr="00207DC2">
        <w:rPr>
          <w:lang w:val="en-AU"/>
        </w:rPr>
        <w:t>).</w:t>
      </w:r>
    </w:p>
    <w:p w14:paraId="2A4D9B0C" w14:textId="7A1E530D" w:rsidR="008D2BDF" w:rsidRPr="00207DC2" w:rsidRDefault="00B63E71" w:rsidP="00B63E71">
      <w:pPr>
        <w:spacing w:before="0" w:after="200" w:line="276" w:lineRule="auto"/>
        <w:jc w:val="both"/>
        <w:rPr>
          <w:rFonts w:eastAsiaTheme="minorEastAsia"/>
          <w:lang w:val="en-AU"/>
        </w:rPr>
      </w:pPr>
      <w:r w:rsidRPr="00207DC2">
        <w:rPr>
          <w:lang w:val="en-AU"/>
        </w:rPr>
        <w:t>Other</w:t>
      </w:r>
      <w:r w:rsidRPr="00207DC2" w:rsidDel="005963AD">
        <w:rPr>
          <w:lang w:val="en-AU"/>
        </w:rPr>
        <w:t xml:space="preserve"> </w:t>
      </w:r>
      <w:r w:rsidRPr="00207DC2">
        <w:rPr>
          <w:lang w:val="en-AU"/>
        </w:rPr>
        <w:t>income support recipients with mutual obligation requirements</w:t>
      </w:r>
      <w:r w:rsidR="00396552">
        <w:rPr>
          <w:lang w:val="en-AU"/>
        </w:rPr>
        <w:t xml:space="preserve"> – </w:t>
      </w:r>
      <w:r w:rsidR="000E4E1F" w:rsidRPr="00207DC2">
        <w:rPr>
          <w:lang w:val="en-AU"/>
        </w:rPr>
        <w:t xml:space="preserve">those who are </w:t>
      </w:r>
      <w:r w:rsidR="00A842BF" w:rsidRPr="00207DC2">
        <w:rPr>
          <w:i/>
          <w:lang w:val="en-AU"/>
        </w:rPr>
        <w:t>activity</w:t>
      </w:r>
      <w:r w:rsidR="00A842BF" w:rsidRPr="00207DC2" w:rsidDel="008F31CF">
        <w:rPr>
          <w:i/>
          <w:lang w:val="en-AU"/>
        </w:rPr>
        <w:t xml:space="preserve"> </w:t>
      </w:r>
      <w:r w:rsidR="00A842BF" w:rsidRPr="00207DC2">
        <w:rPr>
          <w:i/>
          <w:lang w:val="en-AU"/>
        </w:rPr>
        <w:t>tested</w:t>
      </w:r>
      <w:r w:rsidR="007C44D7" w:rsidRPr="00207DC2">
        <w:rPr>
          <w:i/>
          <w:lang w:val="en-AU"/>
        </w:rPr>
        <w:t xml:space="preserve"> but </w:t>
      </w:r>
      <w:r w:rsidR="007C44D7" w:rsidRPr="00207DC2" w:rsidDel="005963AD">
        <w:rPr>
          <w:i/>
          <w:lang w:val="en-AU"/>
        </w:rPr>
        <w:t xml:space="preserve">not </w:t>
      </w:r>
      <w:r w:rsidR="005963AD" w:rsidRPr="00207DC2">
        <w:rPr>
          <w:i/>
          <w:lang w:val="en-AU"/>
        </w:rPr>
        <w:t xml:space="preserve">required to undertake </w:t>
      </w:r>
      <w:r w:rsidR="007C44D7" w:rsidRPr="00207DC2">
        <w:rPr>
          <w:i/>
          <w:lang w:val="en-AU"/>
        </w:rPr>
        <w:t>Work for the Dole</w:t>
      </w:r>
      <w:r w:rsidR="00750FD1" w:rsidRPr="00207DC2">
        <w:rPr>
          <w:rStyle w:val="FootnoteReference"/>
          <w:lang w:val="en-AU"/>
        </w:rPr>
        <w:footnoteReference w:id="9"/>
      </w:r>
      <w:r w:rsidR="00396552">
        <w:rPr>
          <w:lang w:val="en-AU"/>
        </w:rPr>
        <w:t xml:space="preserve"> – </w:t>
      </w:r>
      <w:r w:rsidRPr="00207DC2">
        <w:rPr>
          <w:lang w:val="en-AU"/>
        </w:rPr>
        <w:t xml:space="preserve">can </w:t>
      </w:r>
      <w:r w:rsidR="00F42936" w:rsidRPr="00207DC2">
        <w:rPr>
          <w:lang w:val="en-AU"/>
        </w:rPr>
        <w:t>meet their mutual obligations by</w:t>
      </w:r>
      <w:r w:rsidRPr="00207DC2">
        <w:rPr>
          <w:lang w:val="en-AU"/>
        </w:rPr>
        <w:t xml:space="preserve"> participat</w:t>
      </w:r>
      <w:r w:rsidR="00F42936" w:rsidRPr="00207DC2">
        <w:rPr>
          <w:lang w:val="en-AU"/>
        </w:rPr>
        <w:t>ing</w:t>
      </w:r>
      <w:r w:rsidRPr="00207DC2">
        <w:rPr>
          <w:lang w:val="en-AU"/>
        </w:rPr>
        <w:t xml:space="preserve"> in Wo</w:t>
      </w:r>
      <w:r w:rsidR="008C7AB0" w:rsidRPr="00207DC2">
        <w:rPr>
          <w:lang w:val="en-AU"/>
        </w:rPr>
        <w:t>rk for the Dole</w:t>
      </w:r>
      <w:r w:rsidRPr="00207DC2">
        <w:rPr>
          <w:lang w:val="en-AU"/>
        </w:rPr>
        <w:t xml:space="preserve"> or other </w:t>
      </w:r>
      <w:r w:rsidR="00BD6AD1" w:rsidRPr="00207DC2">
        <w:rPr>
          <w:lang w:val="en-AU"/>
        </w:rPr>
        <w:t xml:space="preserve">available </w:t>
      </w:r>
      <w:r w:rsidRPr="00207DC2">
        <w:rPr>
          <w:lang w:val="en-AU"/>
        </w:rPr>
        <w:t xml:space="preserve">activities </w:t>
      </w:r>
      <w:r w:rsidRPr="00207DC2">
        <w:rPr>
          <w:rFonts w:eastAsiaTheme="minorEastAsia"/>
          <w:lang w:val="en-AU"/>
        </w:rPr>
        <w:t>(</w:t>
      </w:r>
      <w:r w:rsidR="0057565A" w:rsidRPr="00207DC2">
        <w:rPr>
          <w:rFonts w:eastAsiaTheme="minorEastAsia"/>
          <w:lang w:val="en-AU"/>
        </w:rPr>
        <w:t>PMC</w:t>
      </w:r>
      <w:r w:rsidR="00492D2E">
        <w:rPr>
          <w:rFonts w:eastAsiaTheme="minorEastAsia"/>
          <w:lang w:val="en-AU"/>
        </w:rPr>
        <w:t> </w:t>
      </w:r>
      <w:r w:rsidR="009032DF" w:rsidRPr="00207DC2">
        <w:rPr>
          <w:rFonts w:eastAsiaTheme="minorEastAsia"/>
          <w:lang w:val="en-AU"/>
        </w:rPr>
        <w:t>2016</w:t>
      </w:r>
      <w:r w:rsidRPr="00207DC2">
        <w:rPr>
          <w:rFonts w:eastAsiaTheme="minorEastAsia"/>
          <w:lang w:val="en-AU"/>
        </w:rPr>
        <w:t xml:space="preserve">). People </w:t>
      </w:r>
      <w:r w:rsidRPr="00207DC2">
        <w:rPr>
          <w:lang w:val="en-AU"/>
        </w:rPr>
        <w:t>without mutual obligation requirements</w:t>
      </w:r>
      <w:r w:rsidRPr="00207DC2">
        <w:rPr>
          <w:rFonts w:eastAsiaTheme="minorEastAsia"/>
          <w:lang w:val="en-AU"/>
        </w:rPr>
        <w:t xml:space="preserve"> can </w:t>
      </w:r>
      <w:r w:rsidRPr="00207DC2">
        <w:rPr>
          <w:rFonts w:eastAsiaTheme="minorEastAsia"/>
          <w:i/>
          <w:lang w:val="en-AU"/>
        </w:rPr>
        <w:t>volunteer</w:t>
      </w:r>
      <w:r w:rsidRPr="00207DC2">
        <w:rPr>
          <w:rFonts w:eastAsiaTheme="minorEastAsia"/>
          <w:lang w:val="en-AU"/>
        </w:rPr>
        <w:t xml:space="preserve"> in any part of the program.</w:t>
      </w:r>
      <w:r w:rsidRPr="00207DC2">
        <w:rPr>
          <w:rStyle w:val="FootnoteReference"/>
          <w:rFonts w:eastAsiaTheme="minorEastAsia"/>
          <w:lang w:val="en-AU"/>
        </w:rPr>
        <w:footnoteReference w:id="10"/>
      </w:r>
      <w:r w:rsidRPr="00207DC2">
        <w:rPr>
          <w:rFonts w:eastAsiaTheme="minorEastAsia"/>
          <w:lang w:val="en-AU"/>
        </w:rPr>
        <w:t xml:space="preserve"> </w:t>
      </w:r>
    </w:p>
    <w:p w14:paraId="7E41E40A" w14:textId="36E2236E" w:rsidR="00B63E71" w:rsidRPr="00207DC2" w:rsidRDefault="00B63E71" w:rsidP="00B63E71">
      <w:pPr>
        <w:spacing w:before="0" w:after="200" w:line="276" w:lineRule="auto"/>
        <w:jc w:val="both"/>
        <w:rPr>
          <w:lang w:val="en-AU"/>
        </w:rPr>
      </w:pPr>
      <w:r w:rsidRPr="00207DC2">
        <w:rPr>
          <w:lang w:val="en-AU"/>
        </w:rPr>
        <w:t>Throughout this report</w:t>
      </w:r>
      <w:r w:rsidR="00D903BD" w:rsidRPr="00207DC2">
        <w:rPr>
          <w:lang w:val="en-AU"/>
        </w:rPr>
        <w:t>,</w:t>
      </w:r>
      <w:r w:rsidRPr="00207DC2">
        <w:rPr>
          <w:lang w:val="en-AU"/>
        </w:rPr>
        <w:t xml:space="preserve"> the</w:t>
      </w:r>
      <w:r w:rsidR="008C7AB0" w:rsidRPr="00207DC2">
        <w:rPr>
          <w:lang w:val="en-AU"/>
        </w:rPr>
        <w:t>se</w:t>
      </w:r>
      <w:r w:rsidRPr="00207DC2">
        <w:rPr>
          <w:lang w:val="en-AU"/>
        </w:rPr>
        <w:t xml:space="preserve"> three groups of CDP participants are referred to as </w:t>
      </w:r>
      <w:r w:rsidR="005963AD" w:rsidRPr="00207DC2">
        <w:rPr>
          <w:i/>
          <w:lang w:val="en-AU"/>
        </w:rPr>
        <w:t>required to undertake</w:t>
      </w:r>
      <w:r w:rsidR="005963AD" w:rsidRPr="00207DC2">
        <w:rPr>
          <w:lang w:val="en-AU"/>
        </w:rPr>
        <w:t xml:space="preserve"> </w:t>
      </w:r>
      <w:r w:rsidRPr="00207DC2">
        <w:rPr>
          <w:i/>
          <w:lang w:val="en-AU"/>
        </w:rPr>
        <w:t>Work for the Dole</w:t>
      </w:r>
      <w:r w:rsidRPr="00207DC2">
        <w:rPr>
          <w:lang w:val="en-AU"/>
        </w:rPr>
        <w:t xml:space="preserve">, </w:t>
      </w:r>
      <w:r w:rsidRPr="00207DC2">
        <w:rPr>
          <w:i/>
          <w:lang w:val="en-AU"/>
        </w:rPr>
        <w:t>activity</w:t>
      </w:r>
      <w:r w:rsidR="00555FBD" w:rsidRPr="00207DC2" w:rsidDel="008F31CF">
        <w:rPr>
          <w:i/>
          <w:lang w:val="en-AU"/>
        </w:rPr>
        <w:t xml:space="preserve"> </w:t>
      </w:r>
      <w:r w:rsidRPr="00207DC2">
        <w:rPr>
          <w:i/>
          <w:lang w:val="en-AU"/>
        </w:rPr>
        <w:t xml:space="preserve">tested but not </w:t>
      </w:r>
      <w:r w:rsidR="005963AD" w:rsidRPr="00207DC2">
        <w:rPr>
          <w:i/>
          <w:lang w:val="en-AU"/>
        </w:rPr>
        <w:t>required to undertake Work for the Dole</w:t>
      </w:r>
      <w:r w:rsidR="005963AD" w:rsidRPr="00207DC2">
        <w:rPr>
          <w:lang w:val="en-AU"/>
        </w:rPr>
        <w:t xml:space="preserve">, </w:t>
      </w:r>
      <w:r w:rsidRPr="00207DC2">
        <w:rPr>
          <w:lang w:val="en-AU"/>
        </w:rPr>
        <w:t xml:space="preserve">and </w:t>
      </w:r>
      <w:r w:rsidRPr="00207DC2">
        <w:rPr>
          <w:i/>
          <w:lang w:val="en-AU"/>
        </w:rPr>
        <w:t>volunteers</w:t>
      </w:r>
      <w:r w:rsidRPr="00207DC2">
        <w:rPr>
          <w:lang w:val="en-AU"/>
        </w:rPr>
        <w:t>.</w:t>
      </w:r>
    </w:p>
    <w:p w14:paraId="40D64BD1" w14:textId="77777777" w:rsidR="005E0A3B" w:rsidRPr="00207DC2" w:rsidRDefault="007D5B8F" w:rsidP="002521AA">
      <w:pPr>
        <w:pStyle w:val="ZED6"/>
        <w:outlineLvl w:val="4"/>
      </w:pPr>
      <w:r w:rsidRPr="00207DC2">
        <w:t>How the CDP</w:t>
      </w:r>
      <w:r w:rsidR="005E0A3B" w:rsidRPr="00207DC2">
        <w:t xml:space="preserve"> arrangements com</w:t>
      </w:r>
      <w:r w:rsidR="00750FD1" w:rsidRPr="00207DC2">
        <w:t>pare to mainstream requirements</w:t>
      </w:r>
    </w:p>
    <w:p w14:paraId="78277840" w14:textId="77777777" w:rsidR="000B00DD" w:rsidRPr="00207DC2" w:rsidRDefault="00610752" w:rsidP="000E1DDA">
      <w:pPr>
        <w:spacing w:before="0" w:after="200" w:line="276" w:lineRule="auto"/>
        <w:jc w:val="both"/>
        <w:rPr>
          <w:rFonts w:eastAsiaTheme="minorEastAsia"/>
          <w:lang w:val="en-AU"/>
        </w:rPr>
      </w:pPr>
      <w:r w:rsidRPr="00207DC2">
        <w:rPr>
          <w:rFonts w:eastAsiaTheme="minorEastAsia"/>
          <w:lang w:val="en-AU"/>
        </w:rPr>
        <w:t xml:space="preserve">The </w:t>
      </w:r>
      <w:r w:rsidR="008C7AB0" w:rsidRPr="00207DC2">
        <w:rPr>
          <w:rFonts w:eastAsiaTheme="minorEastAsia"/>
          <w:lang w:val="en-AU"/>
        </w:rPr>
        <w:t xml:space="preserve">CDP </w:t>
      </w:r>
      <w:r w:rsidR="00B6128B" w:rsidRPr="00207DC2">
        <w:rPr>
          <w:rFonts w:eastAsiaTheme="minorEastAsia"/>
          <w:lang w:val="en-AU"/>
        </w:rPr>
        <w:t>also differ</w:t>
      </w:r>
      <w:r w:rsidR="00C82B9B" w:rsidRPr="00207DC2">
        <w:rPr>
          <w:rFonts w:eastAsiaTheme="minorEastAsia"/>
          <w:lang w:val="en-AU"/>
        </w:rPr>
        <w:t>s</w:t>
      </w:r>
      <w:r w:rsidR="00B6128B" w:rsidRPr="00207DC2">
        <w:rPr>
          <w:rFonts w:eastAsiaTheme="minorEastAsia"/>
          <w:lang w:val="en-AU"/>
        </w:rPr>
        <w:t xml:space="preserve"> from</w:t>
      </w:r>
      <w:r w:rsidR="00AB27DD" w:rsidRPr="00207DC2">
        <w:rPr>
          <w:rFonts w:eastAsiaTheme="minorEastAsia"/>
          <w:lang w:val="en-AU"/>
        </w:rPr>
        <w:t xml:space="preserve"> jobactive,</w:t>
      </w:r>
      <w:r w:rsidR="00B6128B" w:rsidRPr="00207DC2">
        <w:rPr>
          <w:rFonts w:eastAsiaTheme="minorEastAsia"/>
          <w:lang w:val="en-AU"/>
        </w:rPr>
        <w:t xml:space="preserve"> </w:t>
      </w:r>
      <w:r w:rsidR="006D23E8" w:rsidRPr="00207DC2">
        <w:rPr>
          <w:rFonts w:eastAsiaTheme="minorEastAsia"/>
          <w:lang w:val="en-AU"/>
        </w:rPr>
        <w:t xml:space="preserve">the </w:t>
      </w:r>
      <w:r w:rsidR="00A433B2" w:rsidRPr="00207DC2">
        <w:rPr>
          <w:rFonts w:eastAsiaTheme="minorEastAsia"/>
          <w:lang w:val="en-AU"/>
        </w:rPr>
        <w:t xml:space="preserve">mainstream </w:t>
      </w:r>
      <w:r w:rsidR="00B6128B" w:rsidRPr="00207DC2">
        <w:rPr>
          <w:rFonts w:eastAsiaTheme="minorEastAsia"/>
          <w:lang w:val="en-AU"/>
        </w:rPr>
        <w:t>employment program</w:t>
      </w:r>
      <w:r w:rsidR="0086081D" w:rsidRPr="00207DC2">
        <w:rPr>
          <w:rFonts w:eastAsiaTheme="minorEastAsia"/>
          <w:lang w:val="en-AU"/>
        </w:rPr>
        <w:t>,</w:t>
      </w:r>
      <w:r w:rsidR="00B6128B" w:rsidRPr="00207DC2">
        <w:rPr>
          <w:rFonts w:eastAsiaTheme="minorEastAsia"/>
          <w:lang w:val="en-AU"/>
        </w:rPr>
        <w:t xml:space="preserve"> where there is less emphasis on Work for the Dole</w:t>
      </w:r>
      <w:r w:rsidR="00AB27DD" w:rsidRPr="00207DC2">
        <w:rPr>
          <w:rFonts w:eastAsiaTheme="minorEastAsia"/>
          <w:lang w:val="en-AU"/>
        </w:rPr>
        <w:t>,</w:t>
      </w:r>
      <w:r w:rsidR="00B6128B" w:rsidRPr="00207DC2">
        <w:rPr>
          <w:rFonts w:eastAsiaTheme="minorEastAsia"/>
          <w:lang w:val="en-AU"/>
        </w:rPr>
        <w:t xml:space="preserve"> and more emphasis on </w:t>
      </w:r>
      <w:r w:rsidR="002E0D06" w:rsidRPr="00207DC2">
        <w:rPr>
          <w:rFonts w:eastAsiaTheme="minorEastAsia"/>
          <w:lang w:val="en-AU"/>
        </w:rPr>
        <w:t>job search</w:t>
      </w:r>
      <w:r w:rsidR="00C82B9B" w:rsidRPr="00207DC2">
        <w:rPr>
          <w:rFonts w:eastAsiaTheme="minorEastAsia"/>
          <w:lang w:val="en-AU"/>
        </w:rPr>
        <w:t xml:space="preserve"> as the main activity through which people fulfil their mutual obligation requirements</w:t>
      </w:r>
      <w:r w:rsidR="00345C8C" w:rsidRPr="00207DC2">
        <w:rPr>
          <w:rFonts w:eastAsiaTheme="minorEastAsia"/>
          <w:lang w:val="en-AU"/>
        </w:rPr>
        <w:t>.</w:t>
      </w:r>
    </w:p>
    <w:p w14:paraId="1D3D1B99" w14:textId="77777777" w:rsidR="002A16A9" w:rsidRPr="00207DC2" w:rsidRDefault="006337CF" w:rsidP="000E1DDA">
      <w:pPr>
        <w:spacing w:before="0" w:after="200" w:line="276" w:lineRule="auto"/>
        <w:jc w:val="both"/>
        <w:rPr>
          <w:lang w:val="en-AU"/>
        </w:rPr>
      </w:pPr>
      <w:r w:rsidRPr="00207DC2">
        <w:rPr>
          <w:rFonts w:eastAsiaTheme="minorEastAsia"/>
          <w:lang w:val="en-AU"/>
        </w:rPr>
        <w:t xml:space="preserve">After they have been looking for work for 12 months, jobactive participants </w:t>
      </w:r>
      <w:r w:rsidR="00B6128B" w:rsidRPr="00207DC2">
        <w:rPr>
          <w:rFonts w:eastAsiaTheme="minorEastAsia"/>
          <w:lang w:val="en-AU"/>
        </w:rPr>
        <w:t xml:space="preserve">are </w:t>
      </w:r>
      <w:r w:rsidRPr="00207DC2">
        <w:rPr>
          <w:rFonts w:eastAsiaTheme="minorEastAsia"/>
          <w:lang w:val="en-AU"/>
        </w:rPr>
        <w:t xml:space="preserve">required </w:t>
      </w:r>
      <w:r w:rsidR="00B6128B" w:rsidRPr="00207DC2">
        <w:rPr>
          <w:rFonts w:eastAsiaTheme="minorEastAsia"/>
          <w:lang w:val="en-AU"/>
        </w:rPr>
        <w:t xml:space="preserve">to undertake </w:t>
      </w:r>
      <w:r w:rsidR="001D47F3" w:rsidRPr="00207DC2">
        <w:rPr>
          <w:rFonts w:eastAsiaTheme="minorEastAsia"/>
          <w:lang w:val="en-AU"/>
        </w:rPr>
        <w:t>activities</w:t>
      </w:r>
      <w:r w:rsidR="00B6128B" w:rsidRPr="00207DC2">
        <w:rPr>
          <w:rFonts w:eastAsiaTheme="minorEastAsia"/>
          <w:lang w:val="en-AU"/>
        </w:rPr>
        <w:t xml:space="preserve"> for </w:t>
      </w:r>
      <w:r w:rsidR="00C47E96" w:rsidRPr="00207DC2">
        <w:rPr>
          <w:rFonts w:eastAsiaTheme="minorEastAsia"/>
          <w:lang w:val="en-AU"/>
        </w:rPr>
        <w:t xml:space="preserve">six </w:t>
      </w:r>
      <w:r w:rsidR="00B6128B" w:rsidRPr="00207DC2">
        <w:rPr>
          <w:rFonts w:eastAsiaTheme="minorEastAsia"/>
          <w:lang w:val="en-AU"/>
        </w:rPr>
        <w:t xml:space="preserve">months of the year. </w:t>
      </w:r>
      <w:r w:rsidR="001D47F3" w:rsidRPr="00207DC2">
        <w:rPr>
          <w:rFonts w:eastAsiaTheme="minorEastAsia"/>
          <w:lang w:val="en-AU"/>
        </w:rPr>
        <w:t xml:space="preserve">For </w:t>
      </w:r>
      <w:r w:rsidR="0035019C" w:rsidRPr="00207DC2">
        <w:rPr>
          <w:rFonts w:eastAsiaTheme="minorEastAsia"/>
          <w:lang w:val="en-AU"/>
        </w:rPr>
        <w:t>jobact</w:t>
      </w:r>
      <w:r w:rsidR="00D903BD" w:rsidRPr="00207DC2">
        <w:rPr>
          <w:rFonts w:eastAsiaTheme="minorEastAsia"/>
          <w:lang w:val="en-AU"/>
        </w:rPr>
        <w:t>i</w:t>
      </w:r>
      <w:r w:rsidR="0035019C" w:rsidRPr="00207DC2">
        <w:rPr>
          <w:rFonts w:eastAsiaTheme="minorEastAsia"/>
          <w:lang w:val="en-AU"/>
        </w:rPr>
        <w:t xml:space="preserve">ve participants </w:t>
      </w:r>
      <w:r w:rsidR="001D47F3" w:rsidRPr="00207DC2">
        <w:rPr>
          <w:rFonts w:eastAsiaTheme="minorEastAsia"/>
          <w:lang w:val="en-AU"/>
        </w:rPr>
        <w:t>aged 18</w:t>
      </w:r>
      <w:r w:rsidR="00545FA8" w:rsidRPr="00207DC2">
        <w:rPr>
          <w:rFonts w:eastAsiaTheme="minorEastAsia"/>
          <w:lang w:val="en-AU"/>
        </w:rPr>
        <w:t xml:space="preserve"> to </w:t>
      </w:r>
      <w:r w:rsidR="001D47F3" w:rsidRPr="00207DC2">
        <w:rPr>
          <w:rFonts w:eastAsiaTheme="minorEastAsia"/>
          <w:lang w:val="en-AU"/>
        </w:rPr>
        <w:t xml:space="preserve">49 years, Work for the Dole is the principal activity </w:t>
      </w:r>
      <w:r w:rsidR="00545FA8" w:rsidRPr="00207DC2">
        <w:rPr>
          <w:rFonts w:eastAsiaTheme="minorEastAsia"/>
          <w:lang w:val="en-AU"/>
        </w:rPr>
        <w:t>for participants to</w:t>
      </w:r>
      <w:r w:rsidR="001D47F3" w:rsidRPr="00207DC2">
        <w:rPr>
          <w:rFonts w:eastAsiaTheme="minorEastAsia"/>
          <w:lang w:val="en-AU"/>
        </w:rPr>
        <w:t xml:space="preserve"> meet their </w:t>
      </w:r>
      <w:r w:rsidR="00545FA8" w:rsidRPr="00207DC2">
        <w:rPr>
          <w:rFonts w:eastAsiaTheme="minorEastAsia"/>
          <w:lang w:val="en-AU"/>
        </w:rPr>
        <w:t>a</w:t>
      </w:r>
      <w:r w:rsidR="001D47F3" w:rsidRPr="00207DC2">
        <w:rPr>
          <w:rFonts w:eastAsiaTheme="minorEastAsia"/>
          <w:lang w:val="en-AU"/>
        </w:rPr>
        <w:t xml:space="preserve">ctivity </w:t>
      </w:r>
      <w:r w:rsidR="00545FA8" w:rsidRPr="00207DC2">
        <w:rPr>
          <w:rFonts w:eastAsiaTheme="minorEastAsia"/>
          <w:lang w:val="en-AU"/>
        </w:rPr>
        <w:t>r</w:t>
      </w:r>
      <w:r w:rsidR="001D47F3" w:rsidRPr="00207DC2">
        <w:rPr>
          <w:rFonts w:eastAsiaTheme="minorEastAsia"/>
          <w:lang w:val="en-AU"/>
        </w:rPr>
        <w:t xml:space="preserve">equirement </w:t>
      </w:r>
      <w:r w:rsidR="00545FA8" w:rsidRPr="00207DC2">
        <w:rPr>
          <w:rFonts w:eastAsiaTheme="minorEastAsia"/>
          <w:lang w:val="en-AU"/>
        </w:rPr>
        <w:t>(</w:t>
      </w:r>
      <w:r w:rsidR="001D47F3" w:rsidRPr="00207DC2">
        <w:rPr>
          <w:rFonts w:eastAsiaTheme="minorEastAsia"/>
          <w:lang w:val="en-AU"/>
        </w:rPr>
        <w:t>unless they have arranged to meet their requirement through part</w:t>
      </w:r>
      <w:r w:rsidR="00545FA8" w:rsidRPr="00207DC2">
        <w:rPr>
          <w:rFonts w:eastAsiaTheme="minorEastAsia"/>
          <w:lang w:val="en-AU"/>
        </w:rPr>
        <w:noBreakHyphen/>
      </w:r>
      <w:r w:rsidR="001D47F3" w:rsidRPr="00207DC2">
        <w:rPr>
          <w:rFonts w:eastAsiaTheme="minorEastAsia"/>
          <w:lang w:val="en-AU"/>
        </w:rPr>
        <w:t xml:space="preserve">time paid employment or education </w:t>
      </w:r>
      <w:r w:rsidR="00545FA8" w:rsidRPr="00207DC2">
        <w:rPr>
          <w:rFonts w:eastAsiaTheme="minorEastAsia"/>
          <w:lang w:val="en-AU"/>
        </w:rPr>
        <w:t>and</w:t>
      </w:r>
      <w:r w:rsidR="001D47F3" w:rsidRPr="00207DC2">
        <w:rPr>
          <w:rFonts w:eastAsiaTheme="minorEastAsia"/>
          <w:lang w:val="en-AU"/>
        </w:rPr>
        <w:t xml:space="preserve"> training</w:t>
      </w:r>
      <w:r w:rsidR="00545FA8" w:rsidRPr="00207DC2">
        <w:rPr>
          <w:rFonts w:eastAsiaTheme="minorEastAsia"/>
          <w:lang w:val="en-AU"/>
        </w:rPr>
        <w:t>)</w:t>
      </w:r>
      <w:r w:rsidR="001D47F3" w:rsidRPr="00207DC2">
        <w:rPr>
          <w:rFonts w:eastAsiaTheme="minorEastAsia"/>
          <w:lang w:val="en-AU"/>
        </w:rPr>
        <w:t xml:space="preserve">. </w:t>
      </w:r>
      <w:r w:rsidR="00B6128B" w:rsidRPr="00207DC2">
        <w:rPr>
          <w:rFonts w:eastAsiaTheme="minorEastAsia"/>
          <w:lang w:val="en-AU"/>
        </w:rPr>
        <w:t>While in a Work for the Dole phase, their required hours per week</w:t>
      </w:r>
      <w:r w:rsidR="001E6CAF" w:rsidRPr="00207DC2">
        <w:rPr>
          <w:rFonts w:eastAsiaTheme="minorEastAsia"/>
          <w:lang w:val="en-AU"/>
        </w:rPr>
        <w:t xml:space="preserve"> var</w:t>
      </w:r>
      <w:r w:rsidR="00D268AB" w:rsidRPr="00207DC2">
        <w:rPr>
          <w:rFonts w:eastAsiaTheme="minorEastAsia"/>
          <w:lang w:val="en-AU"/>
        </w:rPr>
        <w:t>y</w:t>
      </w:r>
      <w:r w:rsidR="00B6128B" w:rsidRPr="00207DC2">
        <w:rPr>
          <w:rFonts w:eastAsiaTheme="minorEastAsia"/>
          <w:lang w:val="en-AU"/>
        </w:rPr>
        <w:t xml:space="preserve"> depending on </w:t>
      </w:r>
      <w:r w:rsidR="00D268AB" w:rsidRPr="00207DC2">
        <w:rPr>
          <w:rFonts w:eastAsiaTheme="minorEastAsia"/>
          <w:lang w:val="en-AU"/>
        </w:rPr>
        <w:t>their</w:t>
      </w:r>
      <w:r w:rsidR="001E6CAF" w:rsidRPr="00207DC2">
        <w:rPr>
          <w:rFonts w:eastAsiaTheme="minorEastAsia"/>
          <w:lang w:val="en-AU"/>
        </w:rPr>
        <w:t xml:space="preserve"> </w:t>
      </w:r>
      <w:r w:rsidR="00B6128B" w:rsidRPr="00207DC2">
        <w:rPr>
          <w:rFonts w:eastAsiaTheme="minorEastAsia"/>
          <w:lang w:val="en-AU"/>
        </w:rPr>
        <w:t>age</w:t>
      </w:r>
      <w:r w:rsidR="001D47F3" w:rsidRPr="00207DC2">
        <w:rPr>
          <w:rFonts w:eastAsiaTheme="minorEastAsia"/>
          <w:lang w:val="en-AU"/>
        </w:rPr>
        <w:t xml:space="preserve">, </w:t>
      </w:r>
      <w:r w:rsidR="009A4CBB" w:rsidRPr="00207DC2">
        <w:rPr>
          <w:rFonts w:eastAsiaTheme="minorEastAsia"/>
          <w:lang w:val="en-AU"/>
        </w:rPr>
        <w:t>caring responsibilities</w:t>
      </w:r>
      <w:r w:rsidR="007A4B58" w:rsidRPr="00207DC2">
        <w:rPr>
          <w:rFonts w:eastAsiaTheme="minorEastAsia"/>
          <w:lang w:val="en-AU"/>
        </w:rPr>
        <w:t>,</w:t>
      </w:r>
      <w:r w:rsidR="009A4CBB" w:rsidRPr="00207DC2">
        <w:rPr>
          <w:rFonts w:eastAsiaTheme="minorEastAsia"/>
          <w:lang w:val="en-AU"/>
        </w:rPr>
        <w:t xml:space="preserve"> and </w:t>
      </w:r>
      <w:r w:rsidR="001D47F3" w:rsidRPr="00207DC2">
        <w:rPr>
          <w:rFonts w:eastAsiaTheme="minorEastAsia"/>
          <w:lang w:val="en-AU"/>
        </w:rPr>
        <w:t xml:space="preserve">assessed </w:t>
      </w:r>
      <w:r w:rsidR="009A4CBB" w:rsidRPr="00207DC2">
        <w:rPr>
          <w:rFonts w:eastAsiaTheme="minorEastAsia"/>
          <w:lang w:val="en-AU"/>
        </w:rPr>
        <w:t xml:space="preserve">work </w:t>
      </w:r>
      <w:r w:rsidR="001D47F3" w:rsidRPr="00207DC2">
        <w:rPr>
          <w:rFonts w:eastAsiaTheme="minorEastAsia"/>
          <w:lang w:val="en-AU"/>
        </w:rPr>
        <w:t>capacity</w:t>
      </w:r>
      <w:r w:rsidR="00B6128B" w:rsidRPr="00207DC2">
        <w:rPr>
          <w:rFonts w:eastAsiaTheme="minorEastAsia"/>
          <w:lang w:val="en-AU"/>
        </w:rPr>
        <w:t xml:space="preserve">. </w:t>
      </w:r>
      <w:r w:rsidR="001D47F3" w:rsidRPr="00207DC2">
        <w:rPr>
          <w:rFonts w:eastAsiaTheme="minorEastAsia"/>
          <w:lang w:val="en-AU"/>
        </w:rPr>
        <w:t xml:space="preserve">Generally, </w:t>
      </w:r>
      <w:r w:rsidR="002E0D06" w:rsidRPr="00207DC2">
        <w:rPr>
          <w:rFonts w:eastAsiaTheme="minorEastAsia"/>
          <w:lang w:val="en-AU"/>
        </w:rPr>
        <w:t>j</w:t>
      </w:r>
      <w:r w:rsidR="00A433B2" w:rsidRPr="00207DC2">
        <w:rPr>
          <w:rFonts w:eastAsiaTheme="minorEastAsia"/>
          <w:lang w:val="en-AU"/>
        </w:rPr>
        <w:t>obactive</w:t>
      </w:r>
      <w:r w:rsidR="00B6128B" w:rsidRPr="00207DC2">
        <w:rPr>
          <w:rFonts w:eastAsiaTheme="minorEastAsia"/>
          <w:lang w:val="en-AU"/>
        </w:rPr>
        <w:t xml:space="preserve"> </w:t>
      </w:r>
      <w:r w:rsidR="00A433B2" w:rsidRPr="00207DC2">
        <w:rPr>
          <w:rFonts w:eastAsiaTheme="minorEastAsia"/>
          <w:lang w:val="en-AU"/>
        </w:rPr>
        <w:t>participants aged under 30</w:t>
      </w:r>
      <w:r w:rsidR="002A3A22" w:rsidRPr="00207DC2">
        <w:rPr>
          <w:rFonts w:eastAsiaTheme="minorEastAsia"/>
          <w:lang w:val="en-AU"/>
        </w:rPr>
        <w:t> years</w:t>
      </w:r>
      <w:r w:rsidR="00B6128B" w:rsidRPr="00207DC2">
        <w:rPr>
          <w:rFonts w:eastAsiaTheme="minorEastAsia"/>
          <w:lang w:val="en-AU"/>
        </w:rPr>
        <w:t xml:space="preserve"> need</w:t>
      </w:r>
      <w:r w:rsidR="00A433B2" w:rsidRPr="00207DC2">
        <w:rPr>
          <w:rFonts w:eastAsiaTheme="minorEastAsia"/>
          <w:lang w:val="en-AU"/>
        </w:rPr>
        <w:t xml:space="preserve"> to complete 25 hours per week for six months each year; while those aged 30</w:t>
      </w:r>
      <w:r w:rsidR="002A3A22" w:rsidRPr="00207DC2">
        <w:rPr>
          <w:rFonts w:eastAsiaTheme="minorEastAsia"/>
          <w:lang w:val="en-AU"/>
        </w:rPr>
        <w:t xml:space="preserve"> to </w:t>
      </w:r>
      <w:r w:rsidR="00A433B2" w:rsidRPr="00207DC2">
        <w:rPr>
          <w:rFonts w:eastAsiaTheme="minorEastAsia"/>
          <w:lang w:val="en-AU"/>
        </w:rPr>
        <w:t>59</w:t>
      </w:r>
      <w:r w:rsidR="002A3A22" w:rsidRPr="00207DC2">
        <w:rPr>
          <w:rFonts w:eastAsiaTheme="minorEastAsia"/>
          <w:lang w:val="en-AU"/>
        </w:rPr>
        <w:t> years</w:t>
      </w:r>
      <w:r w:rsidR="00B6128B" w:rsidRPr="00207DC2">
        <w:rPr>
          <w:rFonts w:eastAsiaTheme="minorEastAsia"/>
          <w:lang w:val="en-AU"/>
        </w:rPr>
        <w:t xml:space="preserve"> need to complete 15</w:t>
      </w:r>
      <w:r w:rsidR="00625936" w:rsidRPr="00207DC2">
        <w:rPr>
          <w:rFonts w:eastAsiaTheme="minorEastAsia"/>
          <w:lang w:val="en-AU"/>
        </w:rPr>
        <w:t> </w:t>
      </w:r>
      <w:r w:rsidR="00B6128B" w:rsidRPr="00207DC2">
        <w:rPr>
          <w:rFonts w:eastAsiaTheme="minorEastAsia"/>
          <w:lang w:val="en-AU"/>
        </w:rPr>
        <w:t>hours per wee</w:t>
      </w:r>
      <w:r w:rsidR="00A433B2" w:rsidRPr="00207DC2">
        <w:rPr>
          <w:rFonts w:eastAsiaTheme="minorEastAsia"/>
          <w:lang w:val="en-AU"/>
        </w:rPr>
        <w:t>k for six months each year</w:t>
      </w:r>
      <w:r w:rsidR="000C33F6" w:rsidRPr="00207DC2">
        <w:rPr>
          <w:rFonts w:eastAsiaTheme="minorEastAsia"/>
          <w:lang w:val="en-AU"/>
        </w:rPr>
        <w:t>.</w:t>
      </w:r>
      <w:r w:rsidR="002A16A9" w:rsidRPr="00207DC2">
        <w:rPr>
          <w:lang w:val="en-AU"/>
        </w:rPr>
        <w:t xml:space="preserve"> </w:t>
      </w:r>
      <w:r w:rsidR="001D47F3" w:rsidRPr="00207DC2">
        <w:rPr>
          <w:rFonts w:eastAsiaTheme="minorEastAsia"/>
          <w:lang w:val="en-AU"/>
        </w:rPr>
        <w:t>From September</w:t>
      </w:r>
      <w:r w:rsidR="002A3A22" w:rsidRPr="00207DC2">
        <w:rPr>
          <w:rFonts w:eastAsiaTheme="minorEastAsia"/>
          <w:lang w:val="en-AU"/>
        </w:rPr>
        <w:t> </w:t>
      </w:r>
      <w:r w:rsidR="001D47F3" w:rsidRPr="00207DC2">
        <w:rPr>
          <w:rFonts w:eastAsiaTheme="minorEastAsia"/>
          <w:lang w:val="en-AU"/>
        </w:rPr>
        <w:t>2018, jobactive participants aged 30</w:t>
      </w:r>
      <w:r w:rsidR="002A3A22" w:rsidRPr="00207DC2">
        <w:rPr>
          <w:rFonts w:eastAsiaTheme="minorEastAsia"/>
          <w:lang w:val="en-AU"/>
        </w:rPr>
        <w:t xml:space="preserve"> to </w:t>
      </w:r>
      <w:r w:rsidR="001D47F3" w:rsidRPr="00207DC2">
        <w:rPr>
          <w:rFonts w:eastAsiaTheme="minorEastAsia"/>
          <w:lang w:val="en-AU"/>
        </w:rPr>
        <w:t xml:space="preserve">49 years will </w:t>
      </w:r>
      <w:r w:rsidR="002A3A22" w:rsidRPr="00207DC2">
        <w:rPr>
          <w:rFonts w:eastAsiaTheme="minorEastAsia"/>
          <w:lang w:val="en-AU"/>
        </w:rPr>
        <w:t>have a</w:t>
      </w:r>
      <w:r w:rsidR="001D47F3" w:rsidRPr="00207DC2">
        <w:rPr>
          <w:rFonts w:eastAsiaTheme="minorEastAsia"/>
          <w:lang w:val="en-AU"/>
        </w:rPr>
        <w:t xml:space="preserve"> 25</w:t>
      </w:r>
      <w:r w:rsidR="002A3A22" w:rsidRPr="00207DC2">
        <w:rPr>
          <w:rFonts w:eastAsiaTheme="minorEastAsia"/>
          <w:lang w:val="en-AU"/>
        </w:rPr>
        <w:t> </w:t>
      </w:r>
      <w:r w:rsidR="001D47F3" w:rsidRPr="00207DC2">
        <w:rPr>
          <w:rFonts w:eastAsiaTheme="minorEastAsia"/>
          <w:lang w:val="en-AU"/>
        </w:rPr>
        <w:t xml:space="preserve">hours per week </w:t>
      </w:r>
      <w:r w:rsidR="002A3A22" w:rsidRPr="00207DC2">
        <w:rPr>
          <w:rFonts w:eastAsiaTheme="minorEastAsia"/>
          <w:lang w:val="en-AU"/>
        </w:rPr>
        <w:t xml:space="preserve">activity requirement </w:t>
      </w:r>
      <w:r w:rsidR="003F54AE" w:rsidRPr="00207DC2">
        <w:rPr>
          <w:rFonts w:eastAsiaTheme="minorEastAsia"/>
          <w:lang w:val="en-AU"/>
        </w:rPr>
        <w:t>for six months each year</w:t>
      </w:r>
      <w:r w:rsidR="00EC3F80" w:rsidRPr="00207DC2">
        <w:rPr>
          <w:rFonts w:eastAsiaTheme="minorEastAsia"/>
          <w:lang w:val="en-AU"/>
        </w:rPr>
        <w:t xml:space="preserve"> (Australian Government 2017)</w:t>
      </w:r>
      <w:r w:rsidR="003F54AE" w:rsidRPr="00207DC2">
        <w:rPr>
          <w:rFonts w:eastAsiaTheme="minorEastAsia"/>
          <w:lang w:val="en-AU"/>
        </w:rPr>
        <w:t>.</w:t>
      </w:r>
      <w:r w:rsidR="001D47F3" w:rsidRPr="00207DC2">
        <w:rPr>
          <w:lang w:val="en-AU"/>
        </w:rPr>
        <w:t xml:space="preserve"> </w:t>
      </w:r>
    </w:p>
    <w:p w14:paraId="4C58893C" w14:textId="5BA62FFF" w:rsidR="00B63E71" w:rsidRPr="00207DC2" w:rsidRDefault="002231AB" w:rsidP="000E1DDA">
      <w:pPr>
        <w:spacing w:before="0" w:after="200" w:line="276" w:lineRule="auto"/>
        <w:jc w:val="both"/>
        <w:rPr>
          <w:lang w:val="en-AU"/>
        </w:rPr>
      </w:pPr>
      <w:r w:rsidRPr="00207DC2">
        <w:rPr>
          <w:rFonts w:eastAsiaTheme="minorEastAsia"/>
          <w:lang w:val="en-AU"/>
        </w:rPr>
        <w:t xml:space="preserve">Year round </w:t>
      </w:r>
      <w:r w:rsidR="004B023F" w:rsidRPr="00207DC2">
        <w:rPr>
          <w:rFonts w:eastAsiaTheme="minorEastAsia"/>
          <w:lang w:val="en-AU"/>
        </w:rPr>
        <w:t>Work for the Dole</w:t>
      </w:r>
      <w:r w:rsidR="00D05A1D" w:rsidRPr="00207DC2">
        <w:rPr>
          <w:rFonts w:eastAsiaTheme="minorEastAsia"/>
          <w:lang w:val="en-AU"/>
        </w:rPr>
        <w:t xml:space="preserve"> structured across a five day week – </w:t>
      </w:r>
      <w:r w:rsidRPr="00207DC2">
        <w:rPr>
          <w:rFonts w:eastAsiaTheme="minorEastAsia"/>
          <w:lang w:val="en-AU"/>
        </w:rPr>
        <w:t>sometimes</w:t>
      </w:r>
      <w:r w:rsidR="003A37A0" w:rsidRPr="00207DC2">
        <w:rPr>
          <w:rFonts w:eastAsiaTheme="minorEastAsia"/>
          <w:lang w:val="en-AU"/>
        </w:rPr>
        <w:t xml:space="preserve"> referred to as ‘contin</w:t>
      </w:r>
      <w:r w:rsidR="00DF3314" w:rsidRPr="00207DC2">
        <w:rPr>
          <w:rFonts w:eastAsiaTheme="minorEastAsia"/>
          <w:lang w:val="en-AU"/>
        </w:rPr>
        <w:t>u</w:t>
      </w:r>
      <w:r w:rsidR="003A37A0" w:rsidRPr="00207DC2">
        <w:rPr>
          <w:rFonts w:eastAsiaTheme="minorEastAsia"/>
          <w:lang w:val="en-AU"/>
        </w:rPr>
        <w:t>ous’ Work</w:t>
      </w:r>
      <w:r w:rsidRPr="00207DC2">
        <w:rPr>
          <w:rFonts w:eastAsiaTheme="minorEastAsia"/>
          <w:lang w:val="en-AU"/>
        </w:rPr>
        <w:t xml:space="preserve"> for the Dole – </w:t>
      </w:r>
      <w:r w:rsidR="00D05A1D" w:rsidRPr="00207DC2">
        <w:rPr>
          <w:lang w:val="en-AU"/>
        </w:rPr>
        <w:t xml:space="preserve">is a key part of the design of </w:t>
      </w:r>
      <w:r w:rsidR="00610752" w:rsidRPr="00207DC2">
        <w:rPr>
          <w:lang w:val="en-AU"/>
        </w:rPr>
        <w:t xml:space="preserve">the </w:t>
      </w:r>
      <w:r w:rsidR="00D05A1D" w:rsidRPr="00207DC2">
        <w:rPr>
          <w:lang w:val="en-AU"/>
        </w:rPr>
        <w:t>CDP and a key point of difference with</w:t>
      </w:r>
      <w:r w:rsidR="00D05A1D" w:rsidRPr="00207DC2">
        <w:rPr>
          <w:rFonts w:eastAsiaTheme="minorEastAsia"/>
          <w:lang w:val="en-AU"/>
        </w:rPr>
        <w:t xml:space="preserve"> mainstr</w:t>
      </w:r>
      <w:r w:rsidR="00DF3314" w:rsidRPr="00207DC2">
        <w:rPr>
          <w:rFonts w:eastAsiaTheme="minorEastAsia"/>
          <w:lang w:val="en-AU"/>
        </w:rPr>
        <w:t>e</w:t>
      </w:r>
      <w:r w:rsidR="00D05A1D" w:rsidRPr="00207DC2">
        <w:rPr>
          <w:rFonts w:eastAsiaTheme="minorEastAsia"/>
          <w:lang w:val="en-AU"/>
        </w:rPr>
        <w:t xml:space="preserve">am employment programs. As well as building employment skills and </w:t>
      </w:r>
      <w:r w:rsidR="00D05A1D" w:rsidRPr="00207DC2">
        <w:rPr>
          <w:lang w:val="en-AU"/>
        </w:rPr>
        <w:t>a work-like routine</w:t>
      </w:r>
      <w:r w:rsidR="00D05A1D" w:rsidRPr="00207DC2">
        <w:rPr>
          <w:rFonts w:eastAsiaTheme="minorEastAsia"/>
          <w:lang w:val="en-AU"/>
        </w:rPr>
        <w:t xml:space="preserve">, </w:t>
      </w:r>
      <w:r w:rsidR="00EF55CF" w:rsidRPr="00207DC2">
        <w:rPr>
          <w:rFonts w:eastAsiaTheme="minorEastAsia"/>
          <w:lang w:val="en-AU"/>
        </w:rPr>
        <w:t>c</w:t>
      </w:r>
      <w:r w:rsidR="00D05A1D" w:rsidRPr="00207DC2">
        <w:rPr>
          <w:rFonts w:eastAsiaTheme="minorEastAsia"/>
          <w:lang w:val="en-AU"/>
        </w:rPr>
        <w:t>ontin</w:t>
      </w:r>
      <w:r w:rsidR="00DF3314" w:rsidRPr="00207DC2">
        <w:rPr>
          <w:rFonts w:eastAsiaTheme="minorEastAsia"/>
          <w:lang w:val="en-AU"/>
        </w:rPr>
        <w:t>u</w:t>
      </w:r>
      <w:r w:rsidR="00D05A1D" w:rsidRPr="00207DC2">
        <w:rPr>
          <w:rFonts w:eastAsiaTheme="minorEastAsia"/>
          <w:lang w:val="en-AU"/>
        </w:rPr>
        <w:t>ous Work for the Dole is intended to</w:t>
      </w:r>
      <w:r w:rsidR="004A0917" w:rsidRPr="00207DC2">
        <w:rPr>
          <w:rFonts w:eastAsiaTheme="minorEastAsia"/>
          <w:lang w:val="en-AU"/>
        </w:rPr>
        <w:t xml:space="preserve"> </w:t>
      </w:r>
      <w:r w:rsidR="004A0917" w:rsidRPr="00207DC2">
        <w:rPr>
          <w:lang w:val="en-AU"/>
        </w:rPr>
        <w:t>keep people active and contributing to</w:t>
      </w:r>
      <w:r w:rsidRPr="00207DC2">
        <w:rPr>
          <w:lang w:val="en-AU"/>
        </w:rPr>
        <w:t xml:space="preserve"> community, in locations charac</w:t>
      </w:r>
      <w:r w:rsidR="004A0917" w:rsidRPr="00207DC2">
        <w:rPr>
          <w:lang w:val="en-AU"/>
        </w:rPr>
        <w:t>terised by weak or non</w:t>
      </w:r>
      <w:r w:rsidR="00DF3314" w:rsidRPr="00207DC2">
        <w:rPr>
          <w:lang w:val="en-AU"/>
        </w:rPr>
        <w:t>-</w:t>
      </w:r>
      <w:r w:rsidR="004A0917" w:rsidRPr="00207DC2">
        <w:rPr>
          <w:lang w:val="en-AU"/>
        </w:rPr>
        <w:t>existent</w:t>
      </w:r>
      <w:r w:rsidR="004A0917" w:rsidRPr="00207DC2">
        <w:rPr>
          <w:rFonts w:eastAsiaTheme="minorEastAsia"/>
          <w:lang w:val="en-AU"/>
        </w:rPr>
        <w:t xml:space="preserve"> labour markets </w:t>
      </w:r>
      <w:r w:rsidR="004A0917" w:rsidRPr="00207DC2">
        <w:rPr>
          <w:lang w:val="en-AU"/>
        </w:rPr>
        <w:t>(</w:t>
      </w:r>
      <w:r w:rsidR="0057565A" w:rsidRPr="00207DC2">
        <w:rPr>
          <w:lang w:val="en-AU"/>
        </w:rPr>
        <w:t>PMC</w:t>
      </w:r>
      <w:r w:rsidR="004A0917" w:rsidRPr="00207DC2">
        <w:rPr>
          <w:lang w:val="en-AU"/>
        </w:rPr>
        <w:t xml:space="preserve"> 2016).</w:t>
      </w:r>
      <w:r w:rsidR="004A0917" w:rsidRPr="00207DC2">
        <w:rPr>
          <w:rFonts w:eastAsiaTheme="minorEastAsia"/>
          <w:lang w:val="en-AU"/>
        </w:rPr>
        <w:t xml:space="preserve"> </w:t>
      </w:r>
      <w:r w:rsidR="00B6128B" w:rsidRPr="00207DC2">
        <w:rPr>
          <w:rFonts w:eastAsiaTheme="minorEastAsia"/>
          <w:lang w:val="en-AU"/>
        </w:rPr>
        <w:t>(Appendix</w:t>
      </w:r>
      <w:r w:rsidR="00590D65" w:rsidRPr="00207DC2">
        <w:rPr>
          <w:rFonts w:eastAsiaTheme="minorEastAsia"/>
          <w:lang w:val="en-AU"/>
        </w:rPr>
        <w:t xml:space="preserve"> A providers </w:t>
      </w:r>
      <w:r w:rsidR="00B6128B" w:rsidRPr="00207DC2">
        <w:rPr>
          <w:rFonts w:eastAsiaTheme="minorEastAsia"/>
          <w:lang w:val="en-AU"/>
        </w:rPr>
        <w:t>further comparison of Job Services Australia and jobactive</w:t>
      </w:r>
      <w:r w:rsidR="005C490E" w:rsidRPr="00207DC2">
        <w:rPr>
          <w:rFonts w:eastAsiaTheme="minorEastAsia"/>
          <w:lang w:val="en-AU"/>
        </w:rPr>
        <w:t>.</w:t>
      </w:r>
      <w:r w:rsidR="00B6128B" w:rsidRPr="00207DC2">
        <w:rPr>
          <w:rFonts w:eastAsiaTheme="minorEastAsia"/>
          <w:lang w:val="en-AU"/>
        </w:rPr>
        <w:t>)</w:t>
      </w:r>
      <w:r w:rsidR="00B63E71" w:rsidRPr="00207DC2">
        <w:rPr>
          <w:rFonts w:eastAsiaTheme="minorEastAsia"/>
          <w:lang w:val="en-AU"/>
        </w:rPr>
        <w:t xml:space="preserve"> </w:t>
      </w:r>
    </w:p>
    <w:p w14:paraId="7B9595AA" w14:textId="77777777" w:rsidR="00156A35" w:rsidRPr="00207DC2" w:rsidRDefault="00156A35" w:rsidP="008055FF">
      <w:pPr>
        <w:pStyle w:val="ZED5"/>
        <w:outlineLvl w:val="3"/>
      </w:pPr>
      <w:bookmarkStart w:id="91" w:name="_Toc535935036"/>
      <w:r w:rsidRPr="00207DC2">
        <w:t>Changes to the provider payment model</w:t>
      </w:r>
      <w:bookmarkEnd w:id="91"/>
    </w:p>
    <w:p w14:paraId="349B96EA" w14:textId="77777777" w:rsidR="00686925" w:rsidRPr="00207DC2" w:rsidRDefault="00E376A3" w:rsidP="008805AF">
      <w:pPr>
        <w:keepNext/>
        <w:keepLines/>
        <w:jc w:val="both"/>
        <w:rPr>
          <w:lang w:val="en-AU"/>
        </w:rPr>
      </w:pPr>
      <w:r w:rsidRPr="00207DC2">
        <w:rPr>
          <w:lang w:val="en-AU"/>
        </w:rPr>
        <w:t xml:space="preserve">Under the </w:t>
      </w:r>
      <w:r w:rsidR="00686925" w:rsidRPr="00207DC2">
        <w:rPr>
          <w:lang w:val="en-AU"/>
        </w:rPr>
        <w:t>CDP</w:t>
      </w:r>
      <w:r w:rsidRPr="00207DC2">
        <w:rPr>
          <w:lang w:val="en-AU"/>
        </w:rPr>
        <w:t>,</w:t>
      </w:r>
      <w:r w:rsidR="00686925" w:rsidRPr="00207DC2">
        <w:rPr>
          <w:lang w:val="en-AU"/>
        </w:rPr>
        <w:t xml:space="preserve"> providers receive three types of payments</w:t>
      </w:r>
      <w:r w:rsidRPr="00207DC2">
        <w:rPr>
          <w:lang w:val="en-AU"/>
        </w:rPr>
        <w:t>:</w:t>
      </w:r>
    </w:p>
    <w:p w14:paraId="4FF96819" w14:textId="77777777" w:rsidR="00686925" w:rsidRPr="00207DC2" w:rsidRDefault="00686925" w:rsidP="00F90446">
      <w:pPr>
        <w:pStyle w:val="ListParagraph"/>
        <w:keepNext/>
        <w:keepLines/>
        <w:numPr>
          <w:ilvl w:val="0"/>
          <w:numId w:val="6"/>
        </w:numPr>
        <w:spacing w:before="0" w:after="160" w:line="259" w:lineRule="auto"/>
        <w:jc w:val="both"/>
        <w:rPr>
          <w:lang w:val="en-AU"/>
        </w:rPr>
      </w:pPr>
      <w:r w:rsidRPr="00207DC2">
        <w:rPr>
          <w:i/>
          <w:lang w:val="en-AU"/>
        </w:rPr>
        <w:t>Work for the Dole fees</w:t>
      </w:r>
      <w:r w:rsidR="000C5038" w:rsidRPr="00207DC2">
        <w:rPr>
          <w:lang w:val="en-AU"/>
        </w:rPr>
        <w:t xml:space="preserve">. These fees are </w:t>
      </w:r>
      <w:r w:rsidRPr="00207DC2">
        <w:rPr>
          <w:lang w:val="en-AU"/>
        </w:rPr>
        <w:t>payable for each Work for the Dole participant. In order to receive</w:t>
      </w:r>
      <w:r w:rsidR="002C098B" w:rsidRPr="00207DC2">
        <w:rPr>
          <w:lang w:val="en-AU"/>
        </w:rPr>
        <w:t xml:space="preserve"> </w:t>
      </w:r>
      <w:r w:rsidRPr="00207DC2">
        <w:rPr>
          <w:lang w:val="en-AU"/>
        </w:rPr>
        <w:t>full payment,</w:t>
      </w:r>
      <w:r w:rsidR="00310187" w:rsidRPr="00207DC2">
        <w:rPr>
          <w:lang w:val="en-AU"/>
        </w:rPr>
        <w:t xml:space="preserve"> </w:t>
      </w:r>
      <w:r w:rsidRPr="00207DC2">
        <w:rPr>
          <w:lang w:val="en-AU"/>
        </w:rPr>
        <w:t xml:space="preserve">the provider needs to ensure that </w:t>
      </w:r>
      <w:r w:rsidR="00E10F36" w:rsidRPr="00207DC2">
        <w:rPr>
          <w:lang w:val="en-AU"/>
        </w:rPr>
        <w:t>the participant is</w:t>
      </w:r>
      <w:r w:rsidR="00310187" w:rsidRPr="00207DC2">
        <w:rPr>
          <w:lang w:val="en-AU"/>
        </w:rPr>
        <w:t xml:space="preserve"> </w:t>
      </w:r>
      <w:r w:rsidR="00ED51B0" w:rsidRPr="00207DC2">
        <w:rPr>
          <w:lang w:val="en-AU"/>
        </w:rPr>
        <w:t xml:space="preserve">enrolled </w:t>
      </w:r>
      <w:r w:rsidR="00310187" w:rsidRPr="00207DC2">
        <w:rPr>
          <w:lang w:val="en-AU"/>
        </w:rPr>
        <w:t xml:space="preserve">in Work for the Dole, record </w:t>
      </w:r>
      <w:r w:rsidR="00E10F36" w:rsidRPr="00207DC2">
        <w:rPr>
          <w:lang w:val="en-AU"/>
        </w:rPr>
        <w:t xml:space="preserve">their </w:t>
      </w:r>
      <w:r w:rsidR="00310187" w:rsidRPr="00207DC2">
        <w:rPr>
          <w:lang w:val="en-AU"/>
        </w:rPr>
        <w:t xml:space="preserve">attendance, </w:t>
      </w:r>
      <w:r w:rsidRPr="00207DC2">
        <w:rPr>
          <w:lang w:val="en-AU"/>
        </w:rPr>
        <w:t>and take ‘all reasonable action’ to manage non-attendance, utilizing the compliance framework where needed (</w:t>
      </w:r>
      <w:r w:rsidR="0057565A" w:rsidRPr="00207DC2">
        <w:rPr>
          <w:lang w:val="en-AU"/>
        </w:rPr>
        <w:t>PMC</w:t>
      </w:r>
      <w:r w:rsidR="000B00DD" w:rsidRPr="00207DC2">
        <w:rPr>
          <w:lang w:val="en-AU"/>
        </w:rPr>
        <w:t xml:space="preserve"> 2016</w:t>
      </w:r>
      <w:r w:rsidR="00FD589F" w:rsidRPr="00207DC2">
        <w:rPr>
          <w:lang w:val="en-AU"/>
        </w:rPr>
        <w:t>, p.64</w:t>
      </w:r>
      <w:r w:rsidRPr="00207DC2">
        <w:rPr>
          <w:lang w:val="en-AU"/>
        </w:rPr>
        <w:t xml:space="preserve">). </w:t>
      </w:r>
    </w:p>
    <w:p w14:paraId="2E1B5FCC" w14:textId="7AE3142F" w:rsidR="00686925" w:rsidRPr="00207DC2" w:rsidRDefault="00686925" w:rsidP="00F90446">
      <w:pPr>
        <w:pStyle w:val="ListParagraph"/>
        <w:numPr>
          <w:ilvl w:val="0"/>
          <w:numId w:val="6"/>
        </w:numPr>
        <w:spacing w:before="0" w:after="160" w:line="259" w:lineRule="auto"/>
        <w:jc w:val="both"/>
        <w:rPr>
          <w:lang w:val="en-AU"/>
        </w:rPr>
      </w:pPr>
      <w:r w:rsidRPr="00207DC2">
        <w:rPr>
          <w:i/>
          <w:lang w:val="en-AU"/>
        </w:rPr>
        <w:t>Basic Services fees</w:t>
      </w:r>
      <w:r w:rsidR="000C5038" w:rsidRPr="00207DC2">
        <w:rPr>
          <w:lang w:val="en-AU"/>
        </w:rPr>
        <w:t xml:space="preserve">. These fees are </w:t>
      </w:r>
      <w:r w:rsidRPr="00207DC2">
        <w:rPr>
          <w:lang w:val="en-AU"/>
        </w:rPr>
        <w:t>paid for</w:t>
      </w:r>
      <w:r w:rsidR="002C098B" w:rsidRPr="00207DC2">
        <w:rPr>
          <w:lang w:val="en-AU"/>
        </w:rPr>
        <w:t xml:space="preserve"> CDP participants who are </w:t>
      </w:r>
      <w:r w:rsidR="00CF5DA4" w:rsidRPr="00207DC2">
        <w:rPr>
          <w:lang w:val="en-AU"/>
        </w:rPr>
        <w:t>not</w:t>
      </w:r>
      <w:r w:rsidR="00F01629" w:rsidRPr="00207DC2">
        <w:rPr>
          <w:lang w:val="en-AU"/>
        </w:rPr>
        <w:t xml:space="preserve"> </w:t>
      </w:r>
      <w:r w:rsidR="002C098B" w:rsidRPr="00207DC2">
        <w:rPr>
          <w:lang w:val="en-AU"/>
        </w:rPr>
        <w:t>undertak</w:t>
      </w:r>
      <w:r w:rsidR="00F01629" w:rsidRPr="00207DC2">
        <w:rPr>
          <w:lang w:val="en-AU"/>
        </w:rPr>
        <w:t>ing</w:t>
      </w:r>
      <w:r w:rsidRPr="00207DC2">
        <w:rPr>
          <w:lang w:val="en-AU"/>
        </w:rPr>
        <w:t xml:space="preserve"> Work for the Dole.</w:t>
      </w:r>
    </w:p>
    <w:p w14:paraId="6B36F158" w14:textId="4C9C1A1A" w:rsidR="00A34907" w:rsidRPr="00207DC2" w:rsidRDefault="00DD12C3" w:rsidP="00F90446">
      <w:pPr>
        <w:pStyle w:val="ListParagraph"/>
        <w:numPr>
          <w:ilvl w:val="0"/>
          <w:numId w:val="6"/>
        </w:numPr>
        <w:spacing w:before="0" w:after="160" w:line="259" w:lineRule="auto"/>
        <w:jc w:val="both"/>
        <w:rPr>
          <w:lang w:val="en-AU"/>
        </w:rPr>
      </w:pPr>
      <w:r w:rsidRPr="00207DC2">
        <w:rPr>
          <w:i/>
          <w:lang w:val="en-AU"/>
        </w:rPr>
        <w:t xml:space="preserve">Employment </w:t>
      </w:r>
      <w:r w:rsidR="00686925" w:rsidRPr="00207DC2">
        <w:rPr>
          <w:i/>
          <w:lang w:val="en-AU"/>
        </w:rPr>
        <w:t>Outcome fees</w:t>
      </w:r>
      <w:r w:rsidR="000C5038" w:rsidRPr="00207DC2">
        <w:rPr>
          <w:lang w:val="en-AU"/>
        </w:rPr>
        <w:t>.</w:t>
      </w:r>
      <w:r w:rsidR="00F15FA2" w:rsidRPr="00207DC2">
        <w:rPr>
          <w:lang w:val="en-AU"/>
        </w:rPr>
        <w:t xml:space="preserve"> These fees are paid</w:t>
      </w:r>
      <w:r w:rsidR="000C5038" w:rsidRPr="00207DC2">
        <w:rPr>
          <w:lang w:val="en-AU"/>
        </w:rPr>
        <w:t xml:space="preserve"> </w:t>
      </w:r>
      <w:r w:rsidR="005631B4">
        <w:rPr>
          <w:lang w:val="en-AU"/>
        </w:rPr>
        <w:t>after</w:t>
      </w:r>
      <w:r w:rsidR="00686925" w:rsidRPr="00207DC2">
        <w:rPr>
          <w:lang w:val="en-AU"/>
        </w:rPr>
        <w:t xml:space="preserve"> a </w:t>
      </w:r>
      <w:r w:rsidR="000C5038" w:rsidRPr="00207DC2">
        <w:rPr>
          <w:lang w:val="en-AU"/>
        </w:rPr>
        <w:t xml:space="preserve">CDP participant </w:t>
      </w:r>
      <w:r w:rsidR="008C7AB0" w:rsidRPr="00207DC2">
        <w:rPr>
          <w:lang w:val="en-AU"/>
        </w:rPr>
        <w:t xml:space="preserve">has </w:t>
      </w:r>
      <w:r w:rsidR="000C5038" w:rsidRPr="00207DC2">
        <w:rPr>
          <w:lang w:val="en-AU"/>
        </w:rPr>
        <w:t xml:space="preserve">been </w:t>
      </w:r>
      <w:r w:rsidR="00686925" w:rsidRPr="00207DC2">
        <w:rPr>
          <w:lang w:val="en-AU"/>
        </w:rPr>
        <w:t xml:space="preserve">in </w:t>
      </w:r>
      <w:r w:rsidRPr="00207DC2">
        <w:rPr>
          <w:lang w:val="en-AU"/>
        </w:rPr>
        <w:t xml:space="preserve">paid </w:t>
      </w:r>
      <w:r w:rsidR="00686925" w:rsidRPr="00207DC2">
        <w:rPr>
          <w:lang w:val="en-AU"/>
        </w:rPr>
        <w:t>work for 13 and 26 </w:t>
      </w:r>
      <w:r w:rsidR="000C5038" w:rsidRPr="00207DC2">
        <w:rPr>
          <w:lang w:val="en-AU"/>
        </w:rPr>
        <w:t xml:space="preserve">consecutive </w:t>
      </w:r>
      <w:r w:rsidR="00686925" w:rsidRPr="00207DC2">
        <w:rPr>
          <w:lang w:val="en-AU"/>
        </w:rPr>
        <w:t>weeks</w:t>
      </w:r>
      <w:r w:rsidR="0072693E" w:rsidRPr="00207DC2">
        <w:rPr>
          <w:lang w:val="en-AU"/>
        </w:rPr>
        <w:t xml:space="preserve"> (with some allowable breaks</w:t>
      </w:r>
      <w:r w:rsidR="00750FD1" w:rsidRPr="00207DC2">
        <w:rPr>
          <w:rStyle w:val="FootnoteReference"/>
          <w:lang w:val="en-AU"/>
        </w:rPr>
        <w:footnoteReference w:id="11"/>
      </w:r>
      <w:r w:rsidR="0072693E" w:rsidRPr="00207DC2">
        <w:rPr>
          <w:lang w:val="en-AU"/>
        </w:rPr>
        <w:t>)</w:t>
      </w:r>
      <w:r w:rsidR="00686925" w:rsidRPr="00207DC2">
        <w:rPr>
          <w:lang w:val="en-AU"/>
        </w:rPr>
        <w:t>, with higher payments for full</w:t>
      </w:r>
      <w:r w:rsidR="003C022F" w:rsidRPr="00207DC2">
        <w:rPr>
          <w:lang w:val="en-AU"/>
        </w:rPr>
        <w:t xml:space="preserve"> employment</w:t>
      </w:r>
      <w:r w:rsidR="00686925" w:rsidRPr="00207DC2">
        <w:rPr>
          <w:lang w:val="en-AU"/>
        </w:rPr>
        <w:t xml:space="preserve"> outcomes</w:t>
      </w:r>
      <w:r w:rsidR="00C369CD" w:rsidRPr="00207DC2">
        <w:rPr>
          <w:lang w:val="en-AU"/>
        </w:rPr>
        <w:t>.</w:t>
      </w:r>
      <w:r w:rsidR="00686925" w:rsidRPr="00207DC2">
        <w:rPr>
          <w:rStyle w:val="FootnoteReference"/>
          <w:lang w:val="en-AU"/>
        </w:rPr>
        <w:footnoteReference w:id="12"/>
      </w:r>
      <w:r w:rsidR="00686925" w:rsidRPr="00207DC2">
        <w:rPr>
          <w:lang w:val="en-AU"/>
        </w:rPr>
        <w:t xml:space="preserve"> </w:t>
      </w:r>
    </w:p>
    <w:p w14:paraId="35D5ADD0" w14:textId="79625805" w:rsidR="007244D6" w:rsidRPr="00207DC2" w:rsidRDefault="007244D6" w:rsidP="000E1DDA">
      <w:pPr>
        <w:spacing w:before="0" w:after="160" w:line="259" w:lineRule="auto"/>
        <w:jc w:val="both"/>
        <w:rPr>
          <w:lang w:val="en-AU"/>
        </w:rPr>
      </w:pPr>
      <w:r w:rsidRPr="00207DC2">
        <w:rPr>
          <w:lang w:val="en-AU"/>
        </w:rPr>
        <w:t xml:space="preserve">An important change in the structure (and, therefore, the incentives) of provider payments in the move from the RJCP to the CPD was making activity payments conditional on </w:t>
      </w:r>
      <w:r w:rsidR="00F54473" w:rsidRPr="00207DC2">
        <w:rPr>
          <w:lang w:val="en-AU"/>
        </w:rPr>
        <w:t xml:space="preserve">enrolling, </w:t>
      </w:r>
      <w:r w:rsidRPr="00207DC2">
        <w:rPr>
          <w:lang w:val="en-AU"/>
        </w:rPr>
        <w:t>recording and reporting of attendance</w:t>
      </w:r>
      <w:r w:rsidR="007503DD" w:rsidRPr="00207DC2">
        <w:rPr>
          <w:lang w:val="en-AU"/>
        </w:rPr>
        <w:t xml:space="preserve"> at activities</w:t>
      </w:r>
      <w:r w:rsidRPr="00207DC2">
        <w:rPr>
          <w:lang w:val="en-AU"/>
        </w:rPr>
        <w:t xml:space="preserve">. </w:t>
      </w:r>
      <w:r w:rsidR="00555FBD" w:rsidRPr="00207DC2">
        <w:rPr>
          <w:lang w:val="en-AU"/>
        </w:rPr>
        <w:t>In comparison,</w:t>
      </w:r>
      <w:r w:rsidR="00941BBF" w:rsidRPr="00207DC2" w:rsidDel="00555FBD">
        <w:rPr>
          <w:lang w:val="en-AU"/>
        </w:rPr>
        <w:t xml:space="preserve"> </w:t>
      </w:r>
      <w:r w:rsidR="001B107A" w:rsidRPr="00207DC2">
        <w:rPr>
          <w:lang w:val="en-AU"/>
        </w:rPr>
        <w:t>RJCP</w:t>
      </w:r>
      <w:r w:rsidR="00941BBF" w:rsidRPr="00207DC2" w:rsidDel="007244D6">
        <w:rPr>
          <w:lang w:val="en-AU"/>
        </w:rPr>
        <w:t xml:space="preserve"> </w:t>
      </w:r>
      <w:r w:rsidR="00941BBF" w:rsidRPr="00207DC2">
        <w:rPr>
          <w:lang w:val="en-AU"/>
        </w:rPr>
        <w:t>activity</w:t>
      </w:r>
      <w:r w:rsidR="001B107A" w:rsidRPr="00207DC2">
        <w:rPr>
          <w:lang w:val="en-AU"/>
        </w:rPr>
        <w:t xml:space="preserve"> pa</w:t>
      </w:r>
      <w:r w:rsidR="00941BBF" w:rsidRPr="00207DC2">
        <w:rPr>
          <w:lang w:val="en-AU"/>
        </w:rPr>
        <w:t xml:space="preserve">yments </w:t>
      </w:r>
      <w:r w:rsidRPr="00207DC2">
        <w:rPr>
          <w:lang w:val="en-AU"/>
        </w:rPr>
        <w:t xml:space="preserve">were quarterly payments </w:t>
      </w:r>
      <w:r w:rsidR="00941BBF" w:rsidRPr="00207DC2">
        <w:rPr>
          <w:lang w:val="en-AU"/>
        </w:rPr>
        <w:t xml:space="preserve">for </w:t>
      </w:r>
      <w:r w:rsidR="001B107A" w:rsidRPr="00207DC2">
        <w:rPr>
          <w:lang w:val="en-AU"/>
        </w:rPr>
        <w:t xml:space="preserve">each </w:t>
      </w:r>
      <w:r w:rsidR="007C0757" w:rsidRPr="00207DC2">
        <w:rPr>
          <w:lang w:val="en-AU"/>
        </w:rPr>
        <w:t>e</w:t>
      </w:r>
      <w:r w:rsidR="00941BBF" w:rsidRPr="00207DC2">
        <w:rPr>
          <w:lang w:val="en-AU"/>
        </w:rPr>
        <w:t>ligib</w:t>
      </w:r>
      <w:r w:rsidR="001B107A" w:rsidRPr="00207DC2">
        <w:rPr>
          <w:lang w:val="en-AU"/>
        </w:rPr>
        <w:t>le partici</w:t>
      </w:r>
      <w:r w:rsidR="00076131" w:rsidRPr="00207DC2">
        <w:rPr>
          <w:lang w:val="en-AU"/>
        </w:rPr>
        <w:t>pant</w:t>
      </w:r>
      <w:r w:rsidR="001B107A" w:rsidRPr="00207DC2">
        <w:rPr>
          <w:lang w:val="en-AU"/>
        </w:rPr>
        <w:t xml:space="preserve"> </w:t>
      </w:r>
      <w:r w:rsidR="00215E2E" w:rsidRPr="00207DC2">
        <w:rPr>
          <w:lang w:val="en-AU"/>
        </w:rPr>
        <w:t>enrolled</w:t>
      </w:r>
      <w:r w:rsidR="00941BBF" w:rsidRPr="00207DC2">
        <w:rPr>
          <w:lang w:val="en-AU"/>
        </w:rPr>
        <w:t xml:space="preserve"> in </w:t>
      </w:r>
      <w:r w:rsidR="001B107A" w:rsidRPr="00207DC2">
        <w:rPr>
          <w:lang w:val="en-AU"/>
        </w:rPr>
        <w:t>the program</w:t>
      </w:r>
      <w:r w:rsidR="00AF30F9" w:rsidRPr="00207DC2">
        <w:rPr>
          <w:rStyle w:val="FootnoteReference"/>
          <w:lang w:val="en-AU"/>
        </w:rPr>
        <w:footnoteReference w:id="13"/>
      </w:r>
      <w:r w:rsidR="000C6F95" w:rsidRPr="00207DC2">
        <w:rPr>
          <w:lang w:val="en-AU"/>
        </w:rPr>
        <w:t xml:space="preserve">, </w:t>
      </w:r>
      <w:r w:rsidRPr="00207DC2">
        <w:rPr>
          <w:lang w:val="en-AU"/>
        </w:rPr>
        <w:t>whether or not they attended activities</w:t>
      </w:r>
      <w:r w:rsidR="001B107A" w:rsidRPr="00207DC2">
        <w:rPr>
          <w:lang w:val="en-AU"/>
        </w:rPr>
        <w:t>.</w:t>
      </w:r>
      <w:r w:rsidR="00301E67" w:rsidRPr="00207DC2">
        <w:rPr>
          <w:lang w:val="en-AU"/>
        </w:rPr>
        <w:t xml:space="preserve"> </w:t>
      </w:r>
    </w:p>
    <w:p w14:paraId="6179CD51" w14:textId="6ACDE0E6" w:rsidR="00076131" w:rsidRPr="00207DC2" w:rsidRDefault="00610922" w:rsidP="000E1DDA">
      <w:pPr>
        <w:spacing w:before="0" w:after="160" w:line="259" w:lineRule="auto"/>
        <w:jc w:val="both"/>
        <w:rPr>
          <w:lang w:val="en-AU"/>
        </w:rPr>
      </w:pPr>
      <w:r w:rsidRPr="00207DC2">
        <w:rPr>
          <w:lang w:val="en-AU"/>
        </w:rPr>
        <w:t>While</w:t>
      </w:r>
      <w:r w:rsidR="00076131" w:rsidRPr="00207DC2">
        <w:rPr>
          <w:lang w:val="en-AU"/>
        </w:rPr>
        <w:t xml:space="preserve"> the maximum </w:t>
      </w:r>
      <w:r w:rsidR="00A118E0" w:rsidRPr="00207DC2">
        <w:rPr>
          <w:lang w:val="en-AU"/>
        </w:rPr>
        <w:t xml:space="preserve">total </w:t>
      </w:r>
      <w:r w:rsidRPr="00207DC2">
        <w:rPr>
          <w:lang w:val="en-AU"/>
        </w:rPr>
        <w:t xml:space="preserve">activity </w:t>
      </w:r>
      <w:r w:rsidR="00076131" w:rsidRPr="00207DC2">
        <w:rPr>
          <w:lang w:val="en-AU"/>
        </w:rPr>
        <w:t xml:space="preserve">payment </w:t>
      </w:r>
      <w:r w:rsidR="00A118E0" w:rsidRPr="00207DC2">
        <w:rPr>
          <w:lang w:val="en-AU"/>
        </w:rPr>
        <w:t xml:space="preserve">available </w:t>
      </w:r>
      <w:r w:rsidR="00076131" w:rsidRPr="00207DC2">
        <w:rPr>
          <w:lang w:val="en-AU"/>
        </w:rPr>
        <w:t>for an RJCP participant was higher than the payment available</w:t>
      </w:r>
      <w:r w:rsidR="00A118E0" w:rsidRPr="00207DC2">
        <w:rPr>
          <w:lang w:val="en-AU"/>
        </w:rPr>
        <w:t xml:space="preserve"> for</w:t>
      </w:r>
      <w:r w:rsidRPr="00207DC2">
        <w:rPr>
          <w:lang w:val="en-AU"/>
        </w:rPr>
        <w:t xml:space="preserve"> a CDP participant accessing </w:t>
      </w:r>
      <w:r w:rsidR="00A118E0" w:rsidRPr="00207DC2">
        <w:rPr>
          <w:lang w:val="en-AU"/>
        </w:rPr>
        <w:t>Basic S</w:t>
      </w:r>
      <w:r w:rsidR="00076131" w:rsidRPr="00207DC2">
        <w:rPr>
          <w:lang w:val="en-AU"/>
        </w:rPr>
        <w:t>e</w:t>
      </w:r>
      <w:r w:rsidR="00A118E0" w:rsidRPr="00207DC2">
        <w:rPr>
          <w:lang w:val="en-AU"/>
        </w:rPr>
        <w:t>r</w:t>
      </w:r>
      <w:r w:rsidR="00076131" w:rsidRPr="00207DC2">
        <w:rPr>
          <w:lang w:val="en-AU"/>
        </w:rPr>
        <w:t>v</w:t>
      </w:r>
      <w:r w:rsidR="00A118E0" w:rsidRPr="00207DC2">
        <w:rPr>
          <w:lang w:val="en-AU"/>
        </w:rPr>
        <w:t>i</w:t>
      </w:r>
      <w:r w:rsidR="00076131" w:rsidRPr="00207DC2">
        <w:rPr>
          <w:lang w:val="en-AU"/>
        </w:rPr>
        <w:t xml:space="preserve">ces, </w:t>
      </w:r>
      <w:r w:rsidRPr="00207DC2">
        <w:rPr>
          <w:lang w:val="en-AU"/>
        </w:rPr>
        <w:t xml:space="preserve">it was </w:t>
      </w:r>
      <w:r w:rsidR="00A118E0" w:rsidRPr="00207DC2">
        <w:rPr>
          <w:lang w:val="en-AU"/>
        </w:rPr>
        <w:t>considerably lower than</w:t>
      </w:r>
      <w:r w:rsidR="00076131" w:rsidRPr="00207DC2">
        <w:rPr>
          <w:lang w:val="en-AU"/>
        </w:rPr>
        <w:t xml:space="preserve"> the </w:t>
      </w:r>
      <w:r w:rsidR="00A118E0" w:rsidRPr="00207DC2">
        <w:rPr>
          <w:lang w:val="en-AU"/>
        </w:rPr>
        <w:t xml:space="preserve">maximum </w:t>
      </w:r>
      <w:r w:rsidR="00076131" w:rsidRPr="00207DC2">
        <w:rPr>
          <w:lang w:val="en-AU"/>
        </w:rPr>
        <w:t xml:space="preserve">payment available </w:t>
      </w:r>
      <w:r w:rsidR="00A118E0" w:rsidRPr="00207DC2">
        <w:rPr>
          <w:lang w:val="en-AU"/>
        </w:rPr>
        <w:t xml:space="preserve">for </w:t>
      </w:r>
      <w:r w:rsidRPr="00207DC2">
        <w:rPr>
          <w:lang w:val="en-AU"/>
        </w:rPr>
        <w:t xml:space="preserve">a CDP participant enrolled </w:t>
      </w:r>
      <w:r w:rsidR="00AF30F9" w:rsidRPr="00207DC2">
        <w:rPr>
          <w:lang w:val="en-AU"/>
        </w:rPr>
        <w:t xml:space="preserve">in </w:t>
      </w:r>
      <w:r w:rsidRPr="00207DC2">
        <w:rPr>
          <w:lang w:val="en-AU"/>
        </w:rPr>
        <w:t xml:space="preserve">and attending </w:t>
      </w:r>
      <w:r w:rsidR="00A118E0" w:rsidRPr="00207DC2">
        <w:rPr>
          <w:lang w:val="en-AU"/>
        </w:rPr>
        <w:t>Work for th</w:t>
      </w:r>
      <w:r w:rsidR="00076131" w:rsidRPr="00207DC2">
        <w:rPr>
          <w:lang w:val="en-AU"/>
        </w:rPr>
        <w:t>e</w:t>
      </w:r>
      <w:r w:rsidR="00A118E0" w:rsidRPr="00207DC2">
        <w:rPr>
          <w:lang w:val="en-AU"/>
        </w:rPr>
        <w:t xml:space="preserve"> Do</w:t>
      </w:r>
      <w:r w:rsidR="00076131" w:rsidRPr="00207DC2">
        <w:rPr>
          <w:lang w:val="en-AU"/>
        </w:rPr>
        <w:t>l</w:t>
      </w:r>
      <w:r w:rsidR="00A118E0" w:rsidRPr="00207DC2">
        <w:rPr>
          <w:lang w:val="en-AU"/>
        </w:rPr>
        <w:t>e</w:t>
      </w:r>
      <w:r w:rsidR="00076131" w:rsidRPr="00207DC2">
        <w:rPr>
          <w:lang w:val="en-AU"/>
        </w:rPr>
        <w:t xml:space="preserve"> (Figure 1.2).</w:t>
      </w:r>
    </w:p>
    <w:p w14:paraId="18C68494" w14:textId="2BE647CB" w:rsidR="00891511" w:rsidRPr="00207DC2" w:rsidRDefault="007C0757" w:rsidP="000E1DDA">
      <w:pPr>
        <w:spacing w:before="0" w:after="160" w:line="259" w:lineRule="auto"/>
        <w:jc w:val="both"/>
        <w:rPr>
          <w:lang w:val="en-AU"/>
        </w:rPr>
      </w:pPr>
      <w:r w:rsidRPr="00207DC2">
        <w:rPr>
          <w:lang w:val="en-AU"/>
        </w:rPr>
        <w:t>T</w:t>
      </w:r>
      <w:r w:rsidR="003E7CFC" w:rsidRPr="00207DC2">
        <w:rPr>
          <w:lang w:val="en-AU"/>
        </w:rPr>
        <w:t xml:space="preserve">he CDP payment model </w:t>
      </w:r>
      <w:r w:rsidRPr="00207DC2">
        <w:rPr>
          <w:lang w:val="en-AU"/>
        </w:rPr>
        <w:t>also differs f</w:t>
      </w:r>
      <w:r w:rsidR="00E46C60" w:rsidRPr="00207DC2">
        <w:rPr>
          <w:lang w:val="en-AU"/>
        </w:rPr>
        <w:t>ro</w:t>
      </w:r>
      <w:r w:rsidRPr="00207DC2">
        <w:rPr>
          <w:lang w:val="en-AU"/>
        </w:rPr>
        <w:t xml:space="preserve">m the RJCP payment model in </w:t>
      </w:r>
      <w:r w:rsidR="003E7CFC" w:rsidRPr="00207DC2">
        <w:rPr>
          <w:lang w:val="en-AU"/>
        </w:rPr>
        <w:t>plac</w:t>
      </w:r>
      <w:r w:rsidRPr="00207DC2">
        <w:rPr>
          <w:lang w:val="en-AU"/>
        </w:rPr>
        <w:t>ing</w:t>
      </w:r>
      <w:r w:rsidR="003E7CFC" w:rsidRPr="00207DC2">
        <w:rPr>
          <w:lang w:val="en-AU"/>
        </w:rPr>
        <w:t xml:space="preserve"> </w:t>
      </w:r>
      <w:r w:rsidR="00D463D9" w:rsidRPr="00207DC2">
        <w:rPr>
          <w:lang w:val="en-AU"/>
        </w:rPr>
        <w:t>greater weight on</w:t>
      </w:r>
      <w:r w:rsidR="003E7CFC" w:rsidRPr="00207DC2">
        <w:rPr>
          <w:lang w:val="en-AU"/>
        </w:rPr>
        <w:t xml:space="preserve"> </w:t>
      </w:r>
      <w:r w:rsidR="004129D6">
        <w:rPr>
          <w:lang w:val="en-AU"/>
        </w:rPr>
        <w:t>26 consecutive-week</w:t>
      </w:r>
      <w:r w:rsidR="00D463D9" w:rsidRPr="00207DC2">
        <w:rPr>
          <w:lang w:val="en-AU"/>
        </w:rPr>
        <w:t xml:space="preserve"> employment outcome</w:t>
      </w:r>
      <w:r w:rsidR="00E376A3" w:rsidRPr="00207DC2">
        <w:rPr>
          <w:lang w:val="en-AU"/>
        </w:rPr>
        <w:t>s</w:t>
      </w:r>
      <w:r w:rsidR="00D463D9" w:rsidRPr="00207DC2">
        <w:rPr>
          <w:lang w:val="en-AU"/>
        </w:rPr>
        <w:t xml:space="preserve"> over short</w:t>
      </w:r>
      <w:r w:rsidR="003E7CFC" w:rsidRPr="00207DC2">
        <w:rPr>
          <w:lang w:val="en-AU"/>
        </w:rPr>
        <w:t>er</w:t>
      </w:r>
      <w:r w:rsidR="00D463D9" w:rsidRPr="00207DC2">
        <w:rPr>
          <w:lang w:val="en-AU"/>
        </w:rPr>
        <w:t xml:space="preserve"> employment outcomes</w:t>
      </w:r>
      <w:r w:rsidR="006D23E8" w:rsidRPr="00207DC2">
        <w:rPr>
          <w:lang w:val="en-AU"/>
        </w:rPr>
        <w:t xml:space="preserve"> (</w:t>
      </w:r>
      <w:r w:rsidR="002109F0" w:rsidRPr="00207DC2">
        <w:rPr>
          <w:lang w:val="en-AU"/>
        </w:rPr>
        <w:t xml:space="preserve">including </w:t>
      </w:r>
      <w:r w:rsidR="006D23E8" w:rsidRPr="00207DC2">
        <w:rPr>
          <w:lang w:val="en-AU"/>
        </w:rPr>
        <w:t>13</w:t>
      </w:r>
      <w:r w:rsidR="002109F0" w:rsidRPr="00207DC2">
        <w:rPr>
          <w:lang w:val="en-AU"/>
        </w:rPr>
        <w:noBreakHyphen/>
      </w:r>
      <w:r w:rsidR="006D23E8" w:rsidRPr="00207DC2">
        <w:rPr>
          <w:lang w:val="en-AU"/>
        </w:rPr>
        <w:t>week</w:t>
      </w:r>
      <w:r w:rsidR="002109F0" w:rsidRPr="00207DC2">
        <w:rPr>
          <w:lang w:val="en-AU"/>
        </w:rPr>
        <w:t xml:space="preserve"> outcome</w:t>
      </w:r>
      <w:r w:rsidR="006D23E8" w:rsidRPr="00207DC2">
        <w:rPr>
          <w:lang w:val="en-AU"/>
        </w:rPr>
        <w:t>s)</w:t>
      </w:r>
      <w:r w:rsidR="00DB0931" w:rsidRPr="00207DC2">
        <w:rPr>
          <w:lang w:val="en-AU"/>
        </w:rPr>
        <w:t xml:space="preserve">, to encourage sustained employment. </w:t>
      </w:r>
      <w:r w:rsidR="00334616" w:rsidRPr="00207DC2">
        <w:rPr>
          <w:lang w:val="en-AU"/>
        </w:rPr>
        <w:t>While</w:t>
      </w:r>
      <w:r w:rsidR="00E376A3" w:rsidRPr="00207DC2">
        <w:rPr>
          <w:lang w:val="en-AU"/>
        </w:rPr>
        <w:t xml:space="preserve"> under the </w:t>
      </w:r>
      <w:r w:rsidR="00DB0931" w:rsidRPr="00207DC2">
        <w:rPr>
          <w:lang w:val="en-AU"/>
        </w:rPr>
        <w:t xml:space="preserve">RJCP a 26-week outcome could be achieved when a </w:t>
      </w:r>
      <w:r w:rsidR="00242676" w:rsidRPr="00207DC2">
        <w:rPr>
          <w:lang w:val="en-AU"/>
        </w:rPr>
        <w:t>participant</w:t>
      </w:r>
      <w:r w:rsidR="00DB0931" w:rsidRPr="00207DC2">
        <w:rPr>
          <w:lang w:val="en-AU"/>
        </w:rPr>
        <w:t xml:space="preserve"> had been employed for 26 weeks over a 52</w:t>
      </w:r>
      <w:r w:rsidR="00F15FA2" w:rsidRPr="00207DC2">
        <w:rPr>
          <w:lang w:val="en-AU"/>
        </w:rPr>
        <w:t>-</w:t>
      </w:r>
      <w:r w:rsidR="00DB0931" w:rsidRPr="00207DC2">
        <w:rPr>
          <w:lang w:val="en-AU"/>
        </w:rPr>
        <w:t>week</w:t>
      </w:r>
      <w:r w:rsidR="00334616" w:rsidRPr="00207DC2">
        <w:rPr>
          <w:lang w:val="en-AU"/>
        </w:rPr>
        <w:t xml:space="preserve"> period</w:t>
      </w:r>
      <w:r w:rsidR="00DB0931" w:rsidRPr="00207DC2">
        <w:rPr>
          <w:lang w:val="en-AU"/>
        </w:rPr>
        <w:t xml:space="preserve">, under </w:t>
      </w:r>
      <w:r w:rsidR="00334616" w:rsidRPr="00207DC2">
        <w:rPr>
          <w:lang w:val="en-AU"/>
        </w:rPr>
        <w:t xml:space="preserve">the </w:t>
      </w:r>
      <w:r w:rsidR="00DB0931" w:rsidRPr="00207DC2">
        <w:rPr>
          <w:lang w:val="en-AU"/>
        </w:rPr>
        <w:t xml:space="preserve">CDP a 26-week outcome </w:t>
      </w:r>
      <w:r w:rsidR="00334616" w:rsidRPr="00207DC2">
        <w:rPr>
          <w:lang w:val="en-AU"/>
        </w:rPr>
        <w:t xml:space="preserve">is required </w:t>
      </w:r>
      <w:r w:rsidR="00DB0931" w:rsidRPr="00207DC2">
        <w:rPr>
          <w:lang w:val="en-AU"/>
        </w:rPr>
        <w:t>to be achieved within 26</w:t>
      </w:r>
      <w:r w:rsidR="002073E8" w:rsidRPr="00207DC2">
        <w:rPr>
          <w:lang w:val="en-AU"/>
        </w:rPr>
        <w:t> </w:t>
      </w:r>
      <w:r w:rsidR="00DB0931" w:rsidRPr="00207DC2">
        <w:rPr>
          <w:lang w:val="en-AU"/>
        </w:rPr>
        <w:t>consecutive weeks</w:t>
      </w:r>
      <w:r w:rsidR="00E376A3" w:rsidRPr="00207DC2">
        <w:rPr>
          <w:lang w:val="en-AU"/>
        </w:rPr>
        <w:t xml:space="preserve"> (with some allowable breaks</w:t>
      </w:r>
      <w:r w:rsidR="0080630C" w:rsidRPr="00207DC2">
        <w:rPr>
          <w:lang w:val="en-AU"/>
        </w:rPr>
        <w:t>).</w:t>
      </w:r>
      <w:r w:rsidR="00DB0931" w:rsidRPr="00207DC2">
        <w:rPr>
          <w:lang w:val="en-AU"/>
        </w:rPr>
        <w:t xml:space="preserve"> </w:t>
      </w:r>
      <w:r w:rsidR="00157579" w:rsidRPr="00207DC2">
        <w:rPr>
          <w:lang w:val="en-AU"/>
        </w:rPr>
        <w:t>Un</w:t>
      </w:r>
      <w:r w:rsidR="0080630C" w:rsidRPr="00207DC2">
        <w:rPr>
          <w:lang w:val="en-AU"/>
        </w:rPr>
        <w:t>like RJC</w:t>
      </w:r>
      <w:r w:rsidR="005F4E8C" w:rsidRPr="00207DC2">
        <w:rPr>
          <w:lang w:val="en-AU"/>
        </w:rPr>
        <w:t xml:space="preserve">P, </w:t>
      </w:r>
      <w:r w:rsidR="00610752" w:rsidRPr="00207DC2">
        <w:rPr>
          <w:lang w:val="en-AU"/>
        </w:rPr>
        <w:t xml:space="preserve">the </w:t>
      </w:r>
      <w:r w:rsidR="005F4E8C" w:rsidRPr="00207DC2" w:rsidDel="0080630C">
        <w:rPr>
          <w:lang w:val="en-AU"/>
        </w:rPr>
        <w:t>CD</w:t>
      </w:r>
      <w:r w:rsidR="005F4E8C" w:rsidRPr="00207DC2">
        <w:rPr>
          <w:lang w:val="en-AU"/>
        </w:rPr>
        <w:t>P</w:t>
      </w:r>
      <w:r w:rsidR="0080630C" w:rsidRPr="00207DC2">
        <w:rPr>
          <w:lang w:val="en-AU"/>
        </w:rPr>
        <w:t xml:space="preserve"> has</w:t>
      </w:r>
      <w:r w:rsidR="00473D66" w:rsidRPr="00207DC2">
        <w:rPr>
          <w:lang w:val="en-AU"/>
        </w:rPr>
        <w:t xml:space="preserve"> </w:t>
      </w:r>
      <w:r w:rsidR="005F4E8C" w:rsidRPr="00207DC2">
        <w:rPr>
          <w:lang w:val="en-AU"/>
        </w:rPr>
        <w:t xml:space="preserve">no provider payment on job placement or when the participant has remained in the job for </w:t>
      </w:r>
      <w:r w:rsidR="003D07D6" w:rsidRPr="00207DC2">
        <w:rPr>
          <w:lang w:val="en-AU"/>
        </w:rPr>
        <w:t>seven</w:t>
      </w:r>
      <w:r w:rsidR="005F4E8C" w:rsidRPr="00207DC2">
        <w:rPr>
          <w:lang w:val="en-AU"/>
        </w:rPr>
        <w:t xml:space="preserve"> weeks. </w:t>
      </w:r>
      <w:r w:rsidR="00473D66" w:rsidRPr="00207DC2">
        <w:rPr>
          <w:lang w:val="en-AU"/>
        </w:rPr>
        <w:t xml:space="preserve">Compared to </w:t>
      </w:r>
      <w:r w:rsidR="00B35E66" w:rsidRPr="00207DC2">
        <w:rPr>
          <w:lang w:val="en-AU"/>
        </w:rPr>
        <w:t xml:space="preserve">the </w:t>
      </w:r>
      <w:r w:rsidR="005F4E8C" w:rsidRPr="00207DC2">
        <w:rPr>
          <w:lang w:val="en-AU"/>
        </w:rPr>
        <w:t>RJCP</w:t>
      </w:r>
      <w:r w:rsidR="00157579" w:rsidRPr="00207DC2">
        <w:rPr>
          <w:lang w:val="en-AU"/>
        </w:rPr>
        <w:t>, the CDP</w:t>
      </w:r>
      <w:r w:rsidR="005F4E8C" w:rsidRPr="00207DC2">
        <w:rPr>
          <w:lang w:val="en-AU"/>
        </w:rPr>
        <w:t xml:space="preserve"> </w:t>
      </w:r>
      <w:r w:rsidR="00891511" w:rsidRPr="00207DC2">
        <w:rPr>
          <w:lang w:val="en-AU"/>
        </w:rPr>
        <w:t>payment model</w:t>
      </w:r>
      <w:r w:rsidR="005F4E8C" w:rsidRPr="00207DC2">
        <w:rPr>
          <w:lang w:val="en-AU"/>
        </w:rPr>
        <w:t xml:space="preserve"> </w:t>
      </w:r>
      <w:r w:rsidR="00473D66" w:rsidRPr="00207DC2">
        <w:rPr>
          <w:lang w:val="en-AU"/>
        </w:rPr>
        <w:t xml:space="preserve">provides </w:t>
      </w:r>
      <w:r w:rsidR="00893354" w:rsidRPr="00207DC2">
        <w:rPr>
          <w:lang w:val="en-AU"/>
        </w:rPr>
        <w:t xml:space="preserve">less </w:t>
      </w:r>
      <w:r w:rsidR="00473D66" w:rsidRPr="00207DC2">
        <w:rPr>
          <w:lang w:val="en-AU"/>
        </w:rPr>
        <w:t xml:space="preserve">incentive to place people </w:t>
      </w:r>
      <w:r w:rsidR="00976671" w:rsidRPr="00207DC2">
        <w:rPr>
          <w:lang w:val="en-AU"/>
        </w:rPr>
        <w:t>i</w:t>
      </w:r>
      <w:r w:rsidR="00473D66" w:rsidRPr="00207DC2">
        <w:rPr>
          <w:lang w:val="en-AU"/>
        </w:rPr>
        <w:t>n</w:t>
      </w:r>
      <w:r w:rsidR="005F4E8C" w:rsidRPr="00207DC2">
        <w:rPr>
          <w:lang w:val="en-AU"/>
        </w:rPr>
        <w:t xml:space="preserve"> casual, seasonal</w:t>
      </w:r>
      <w:r w:rsidR="0080630C" w:rsidRPr="00207DC2">
        <w:rPr>
          <w:lang w:val="en-AU"/>
        </w:rPr>
        <w:t xml:space="preserve"> or</w:t>
      </w:r>
      <w:r w:rsidR="005F4E8C" w:rsidRPr="00207DC2" w:rsidDel="0080630C">
        <w:rPr>
          <w:lang w:val="en-AU"/>
        </w:rPr>
        <w:t xml:space="preserve"> </w:t>
      </w:r>
      <w:r w:rsidR="005F4E8C" w:rsidRPr="00207DC2">
        <w:rPr>
          <w:lang w:val="en-AU"/>
        </w:rPr>
        <w:t xml:space="preserve">intermittent </w:t>
      </w:r>
      <w:r w:rsidR="00157579" w:rsidRPr="00207DC2">
        <w:rPr>
          <w:lang w:val="en-AU"/>
        </w:rPr>
        <w:t>work</w:t>
      </w:r>
      <w:r w:rsidR="0080630C" w:rsidRPr="00207DC2">
        <w:rPr>
          <w:lang w:val="en-AU"/>
        </w:rPr>
        <w:t xml:space="preserve"> or short terms jobs</w:t>
      </w:r>
      <w:r w:rsidR="00183CD2" w:rsidRPr="00207DC2">
        <w:rPr>
          <w:lang w:val="en-AU"/>
        </w:rPr>
        <w:t xml:space="preserve"> which may not last for 13 weeks</w:t>
      </w:r>
      <w:r w:rsidR="005F4E8C" w:rsidRPr="00207DC2">
        <w:rPr>
          <w:lang w:val="en-AU"/>
        </w:rPr>
        <w:t xml:space="preserve">. </w:t>
      </w:r>
    </w:p>
    <w:p w14:paraId="12D8E7AD" w14:textId="71CF1816" w:rsidR="00F453F1" w:rsidRPr="00207DC2" w:rsidRDefault="00034CB2" w:rsidP="00A34907">
      <w:pPr>
        <w:spacing w:before="0" w:after="160" w:line="259" w:lineRule="auto"/>
        <w:jc w:val="both"/>
        <w:rPr>
          <w:lang w:val="en-AU"/>
        </w:rPr>
      </w:pPr>
      <w:r w:rsidRPr="00207DC2">
        <w:rPr>
          <w:lang w:val="en-AU"/>
        </w:rPr>
        <w:t xml:space="preserve">Under the CDP, </w:t>
      </w:r>
      <w:r w:rsidR="00A61A4D" w:rsidRPr="00207DC2">
        <w:rPr>
          <w:lang w:val="en-AU"/>
        </w:rPr>
        <w:t xml:space="preserve">annual </w:t>
      </w:r>
      <w:r w:rsidR="005F0473" w:rsidRPr="00207DC2">
        <w:rPr>
          <w:lang w:val="en-AU"/>
        </w:rPr>
        <w:t>Work for the Dole</w:t>
      </w:r>
      <w:r w:rsidR="003E7CFC" w:rsidRPr="00207DC2">
        <w:rPr>
          <w:lang w:val="en-AU"/>
        </w:rPr>
        <w:t xml:space="preserve"> activit</w:t>
      </w:r>
      <w:r w:rsidR="003310A9" w:rsidRPr="00207DC2">
        <w:rPr>
          <w:lang w:val="en-AU"/>
        </w:rPr>
        <w:t>y</w:t>
      </w:r>
      <w:r w:rsidR="006047F1" w:rsidRPr="00207DC2">
        <w:rPr>
          <w:lang w:val="en-AU"/>
        </w:rPr>
        <w:t xml:space="preserve"> payment</w:t>
      </w:r>
      <w:r w:rsidR="003E7CFC" w:rsidRPr="00207DC2">
        <w:rPr>
          <w:lang w:val="en-AU"/>
        </w:rPr>
        <w:t>s</w:t>
      </w:r>
      <w:r w:rsidR="0080630C" w:rsidRPr="00207DC2">
        <w:rPr>
          <w:lang w:val="en-AU"/>
        </w:rPr>
        <w:t xml:space="preserve"> </w:t>
      </w:r>
      <w:r w:rsidR="006047F1" w:rsidRPr="00207DC2">
        <w:rPr>
          <w:lang w:val="en-AU"/>
        </w:rPr>
        <w:t>can be higher</w:t>
      </w:r>
      <w:r w:rsidR="0080630C" w:rsidRPr="00207DC2">
        <w:rPr>
          <w:lang w:val="en-AU"/>
        </w:rPr>
        <w:t xml:space="preserve"> than </w:t>
      </w:r>
      <w:r w:rsidR="006047F1" w:rsidRPr="00207DC2">
        <w:rPr>
          <w:lang w:val="en-AU"/>
        </w:rPr>
        <w:t>payment</w:t>
      </w:r>
      <w:r w:rsidR="003310A9" w:rsidRPr="00207DC2">
        <w:rPr>
          <w:lang w:val="en-AU"/>
        </w:rPr>
        <w:t>s</w:t>
      </w:r>
      <w:r w:rsidR="006047F1" w:rsidRPr="00207DC2">
        <w:rPr>
          <w:lang w:val="en-AU"/>
        </w:rPr>
        <w:t xml:space="preserve"> </w:t>
      </w:r>
      <w:r w:rsidR="0080630C" w:rsidRPr="00207DC2">
        <w:rPr>
          <w:lang w:val="en-AU"/>
        </w:rPr>
        <w:t xml:space="preserve">for </w:t>
      </w:r>
      <w:r w:rsidR="006047F1" w:rsidRPr="00207DC2">
        <w:rPr>
          <w:lang w:val="en-AU"/>
        </w:rPr>
        <w:t>achieving a 26</w:t>
      </w:r>
      <w:r w:rsidR="006047F1" w:rsidRPr="00207DC2">
        <w:rPr>
          <w:lang w:val="en-AU"/>
        </w:rPr>
        <w:noBreakHyphen/>
        <w:t xml:space="preserve">week </w:t>
      </w:r>
      <w:r w:rsidR="0080630C" w:rsidRPr="00207DC2">
        <w:rPr>
          <w:lang w:val="en-AU"/>
        </w:rPr>
        <w:t>employment outcome</w:t>
      </w:r>
      <w:r w:rsidR="00D07355" w:rsidRPr="00207DC2">
        <w:rPr>
          <w:lang w:val="en-AU"/>
        </w:rPr>
        <w:t xml:space="preserve"> (</w:t>
      </w:r>
      <w:r w:rsidR="00C82B9B" w:rsidRPr="00207DC2">
        <w:rPr>
          <w:lang w:val="en-AU"/>
        </w:rPr>
        <w:t>F</w:t>
      </w:r>
      <w:r w:rsidR="00D07355" w:rsidRPr="00207DC2">
        <w:rPr>
          <w:lang w:val="en-AU"/>
        </w:rPr>
        <w:t>igure 1.2)</w:t>
      </w:r>
      <w:r w:rsidR="00D463D9" w:rsidRPr="00207DC2">
        <w:rPr>
          <w:lang w:val="en-AU"/>
        </w:rPr>
        <w:t xml:space="preserve">. </w:t>
      </w:r>
      <w:r w:rsidR="00D903BD" w:rsidRPr="00207DC2">
        <w:rPr>
          <w:lang w:val="en-AU"/>
        </w:rPr>
        <w:t>This</w:t>
      </w:r>
      <w:r w:rsidR="00D463D9" w:rsidRPr="00207DC2">
        <w:rPr>
          <w:lang w:val="en-AU"/>
        </w:rPr>
        <w:t xml:space="preserve"> aspect of </w:t>
      </w:r>
      <w:r w:rsidR="00607553" w:rsidRPr="00207DC2">
        <w:rPr>
          <w:lang w:val="en-AU"/>
        </w:rPr>
        <w:t xml:space="preserve">the </w:t>
      </w:r>
      <w:r w:rsidR="00D463D9" w:rsidRPr="00207DC2">
        <w:rPr>
          <w:lang w:val="en-AU"/>
        </w:rPr>
        <w:t>provider payment model may</w:t>
      </w:r>
      <w:r w:rsidR="00675059" w:rsidRPr="00207DC2">
        <w:rPr>
          <w:lang w:val="en-AU"/>
        </w:rPr>
        <w:t>, in some circumstances,</w:t>
      </w:r>
      <w:r w:rsidR="00D463D9" w:rsidRPr="00207DC2">
        <w:rPr>
          <w:lang w:val="en-AU"/>
        </w:rPr>
        <w:t xml:space="preserve"> </w:t>
      </w:r>
      <w:r w:rsidR="005B22C4" w:rsidRPr="00207DC2">
        <w:rPr>
          <w:lang w:val="en-AU"/>
        </w:rPr>
        <w:t xml:space="preserve">reduce </w:t>
      </w:r>
      <w:r w:rsidR="00D463D9" w:rsidRPr="00207DC2">
        <w:rPr>
          <w:lang w:val="en-AU"/>
        </w:rPr>
        <w:t xml:space="preserve">provider incentives to </w:t>
      </w:r>
      <w:r w:rsidR="005B22C4" w:rsidRPr="00207DC2">
        <w:rPr>
          <w:lang w:val="en-AU"/>
        </w:rPr>
        <w:t xml:space="preserve">transition </w:t>
      </w:r>
      <w:r w:rsidRPr="00207DC2">
        <w:rPr>
          <w:lang w:val="en-AU"/>
        </w:rPr>
        <w:t>individuals to</w:t>
      </w:r>
      <w:r w:rsidR="00D463D9" w:rsidRPr="00207DC2">
        <w:rPr>
          <w:lang w:val="en-AU"/>
        </w:rPr>
        <w:t xml:space="preserve"> employment</w:t>
      </w:r>
      <w:r w:rsidR="003C022F" w:rsidRPr="00207DC2">
        <w:rPr>
          <w:lang w:val="en-AU"/>
        </w:rPr>
        <w:t xml:space="preserve"> (ANAO 2017)</w:t>
      </w:r>
      <w:r w:rsidR="00675059" w:rsidRPr="00207DC2">
        <w:rPr>
          <w:lang w:val="en-AU"/>
        </w:rPr>
        <w:t xml:space="preserve">. The incentive to </w:t>
      </w:r>
      <w:r w:rsidR="00473D66" w:rsidRPr="00207DC2">
        <w:rPr>
          <w:lang w:val="en-AU"/>
        </w:rPr>
        <w:t xml:space="preserve">place </w:t>
      </w:r>
      <w:r w:rsidR="00675059" w:rsidRPr="00207DC2">
        <w:rPr>
          <w:lang w:val="en-AU"/>
        </w:rPr>
        <w:t>Work for the Dole</w:t>
      </w:r>
      <w:r w:rsidR="00473D66" w:rsidRPr="00207DC2">
        <w:rPr>
          <w:lang w:val="en-AU"/>
        </w:rPr>
        <w:t xml:space="preserve"> participants in paid work</w:t>
      </w:r>
      <w:r w:rsidR="00675059" w:rsidRPr="00207DC2">
        <w:rPr>
          <w:lang w:val="en-AU"/>
        </w:rPr>
        <w:t xml:space="preserve"> is </w:t>
      </w:r>
      <w:r w:rsidR="002C098B" w:rsidRPr="00207DC2">
        <w:rPr>
          <w:lang w:val="en-AU"/>
        </w:rPr>
        <w:t xml:space="preserve">reduced </w:t>
      </w:r>
      <w:r w:rsidR="00245C50" w:rsidRPr="00207DC2">
        <w:rPr>
          <w:lang w:val="en-AU"/>
        </w:rPr>
        <w:t xml:space="preserve">where there is </w:t>
      </w:r>
      <w:r w:rsidRPr="00207DC2">
        <w:rPr>
          <w:lang w:val="en-AU"/>
        </w:rPr>
        <w:t>a lower</w:t>
      </w:r>
      <w:r w:rsidR="00245C50" w:rsidRPr="00207DC2">
        <w:rPr>
          <w:lang w:val="en-AU"/>
        </w:rPr>
        <w:t xml:space="preserve"> likelih</w:t>
      </w:r>
      <w:r w:rsidR="00D463D9" w:rsidRPr="00207DC2">
        <w:rPr>
          <w:lang w:val="en-AU"/>
        </w:rPr>
        <w:t xml:space="preserve">ood of </w:t>
      </w:r>
      <w:r w:rsidRPr="00207DC2">
        <w:rPr>
          <w:lang w:val="en-AU"/>
        </w:rPr>
        <w:t xml:space="preserve">an individual </w:t>
      </w:r>
      <w:r w:rsidR="00473D66" w:rsidRPr="00207DC2">
        <w:rPr>
          <w:lang w:val="en-AU"/>
        </w:rPr>
        <w:t>staying</w:t>
      </w:r>
      <w:r w:rsidRPr="00207DC2">
        <w:rPr>
          <w:lang w:val="en-AU"/>
        </w:rPr>
        <w:t xml:space="preserve"> in </w:t>
      </w:r>
      <w:r w:rsidR="00473D66" w:rsidRPr="00207DC2">
        <w:rPr>
          <w:lang w:val="en-AU"/>
        </w:rPr>
        <w:t>the</w:t>
      </w:r>
      <w:r w:rsidRPr="00207DC2">
        <w:rPr>
          <w:lang w:val="en-AU"/>
        </w:rPr>
        <w:t xml:space="preserve"> </w:t>
      </w:r>
      <w:r w:rsidR="00D463D9" w:rsidRPr="00207DC2">
        <w:rPr>
          <w:lang w:val="en-AU"/>
        </w:rPr>
        <w:t xml:space="preserve">job </w:t>
      </w:r>
      <w:r w:rsidR="00245C50" w:rsidRPr="00207DC2">
        <w:rPr>
          <w:lang w:val="en-AU"/>
        </w:rPr>
        <w:t>for</w:t>
      </w:r>
      <w:r w:rsidR="003C022F" w:rsidRPr="00207DC2">
        <w:rPr>
          <w:lang w:val="en-AU"/>
        </w:rPr>
        <w:t xml:space="preserve"> 26 weeks</w:t>
      </w:r>
      <w:r w:rsidR="00245C50" w:rsidRPr="00207DC2">
        <w:rPr>
          <w:lang w:val="en-AU"/>
        </w:rPr>
        <w:t>.</w:t>
      </w:r>
      <w:r w:rsidR="00EA2B7C" w:rsidRPr="00207DC2">
        <w:rPr>
          <w:lang w:val="en-AU"/>
        </w:rPr>
        <w:t xml:space="preserve"> </w:t>
      </w:r>
    </w:p>
    <w:p w14:paraId="5511B9F9" w14:textId="70A49A70" w:rsidR="00831B27" w:rsidRPr="00207DC2" w:rsidRDefault="00831B27" w:rsidP="00831B27">
      <w:pPr>
        <w:spacing w:before="0" w:after="160" w:line="259" w:lineRule="auto"/>
        <w:jc w:val="both"/>
        <w:rPr>
          <w:lang w:val="en-AU"/>
        </w:rPr>
      </w:pPr>
      <w:r w:rsidRPr="00207DC2">
        <w:rPr>
          <w:lang w:val="en-AU"/>
        </w:rPr>
        <w:t>Actual payments to providers in 2014 and 2016 show that employment outcome payments (particularly for a 26</w:t>
      </w:r>
      <w:r w:rsidRPr="00207DC2">
        <w:rPr>
          <w:lang w:val="en-AU"/>
        </w:rPr>
        <w:noBreakHyphen/>
        <w:t>week outcome) increased following the introduction of the CDP (Figure 1.3). However, as a share of total activity and employment provider payments, payments for employment outcomes decreased</w:t>
      </w:r>
      <w:r w:rsidR="00396552">
        <w:rPr>
          <w:lang w:val="en-AU"/>
        </w:rPr>
        <w:t xml:space="preserve"> – </w:t>
      </w:r>
      <w:r w:rsidRPr="00207DC2">
        <w:rPr>
          <w:lang w:val="en-AU"/>
        </w:rPr>
        <w:t xml:space="preserve">from 24 per cent in 2014 to 11 per cent in 2016 – due to the substantial increase in activity payments. </w:t>
      </w:r>
    </w:p>
    <w:p w14:paraId="35A4B8E9" w14:textId="77777777" w:rsidR="00831B27" w:rsidRPr="00207DC2" w:rsidRDefault="00831B27" w:rsidP="00A34907">
      <w:pPr>
        <w:spacing w:before="0" w:after="160" w:line="259" w:lineRule="auto"/>
        <w:jc w:val="both"/>
        <w:rPr>
          <w:lang w:val="en-AU"/>
        </w:rPr>
      </w:pPr>
    </w:p>
    <w:p w14:paraId="7E6E81A7" w14:textId="735A1DFC" w:rsidR="0072693E" w:rsidRPr="00207DC2" w:rsidRDefault="0072693E" w:rsidP="00EF1B43">
      <w:pPr>
        <w:pStyle w:val="Figures"/>
        <w:rPr>
          <w:vertAlign w:val="superscript"/>
        </w:rPr>
      </w:pPr>
      <w:r w:rsidRPr="00207DC2">
        <w:t xml:space="preserve">Figure 1.2 </w:t>
      </w:r>
      <w:r w:rsidR="00B70AD5" w:rsidRPr="00207DC2">
        <w:t>Maximum p</w:t>
      </w:r>
      <w:r w:rsidRPr="00207DC2">
        <w:t xml:space="preserve">rovider payments for activity and employment outcomes under </w:t>
      </w:r>
      <w:r w:rsidR="00E11F98" w:rsidRPr="00207DC2">
        <w:t xml:space="preserve">the </w:t>
      </w:r>
      <w:r w:rsidRPr="00207DC2">
        <w:t xml:space="preserve">RJCP and </w:t>
      </w:r>
      <w:r w:rsidR="00E11F98" w:rsidRPr="00207DC2">
        <w:t xml:space="preserve">the </w:t>
      </w:r>
      <w:r w:rsidRPr="00207DC2">
        <w:t>CDP</w:t>
      </w:r>
      <w:r w:rsidR="00B01360" w:rsidRPr="00207DC2">
        <w:rPr>
          <w:vertAlign w:val="superscript"/>
        </w:rPr>
        <w:t>a</w:t>
      </w:r>
    </w:p>
    <w:p w14:paraId="633D4E9F" w14:textId="345B2783" w:rsidR="001F19C4" w:rsidRPr="00207DC2" w:rsidRDefault="001F19C4" w:rsidP="001F19C4">
      <w:pPr>
        <w:pStyle w:val="TableofFigures"/>
        <w:rPr>
          <w:lang w:val="en-AU" w:eastAsia="en-AU"/>
        </w:rPr>
      </w:pPr>
      <w:r w:rsidRPr="00207DC2">
        <w:rPr>
          <w:noProof/>
          <w:lang w:val="en-AU" w:eastAsia="en-AU"/>
        </w:rPr>
        <w:drawing>
          <wp:inline distT="0" distB="0" distL="0" distR="0" wp14:anchorId="2807980B" wp14:editId="51BF2E7D">
            <wp:extent cx="5640705" cy="3245485"/>
            <wp:effectExtent l="0" t="0" r="0" b="0"/>
            <wp:docPr id="1" name="Picture 1" descr="The figure compares the maximum ‘annual payment per participant’ for activity and employment outcome payments that providers can receive under the RJCP and the CDP. &#10;&#10;The figure shows that: &#10;- while the maximum total activity payment available for an RJCP participant was higher than the payment available for a CDP participant accessing Basic Services, it was considerably lower than the maximum payment available for a CDP participant enrolled in and attending Work for the Dole.&#10;- under the CDP, annual Work for the Dole activity payments can be higher than payments for achieving a 26 week employment outcome.&#10;" title="Maximum provider payments for activity and employment outcomes under the RJCP and the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40705" cy="3245485"/>
                    </a:xfrm>
                    <a:prstGeom prst="rect">
                      <a:avLst/>
                    </a:prstGeom>
                  </pic:spPr>
                </pic:pic>
              </a:graphicData>
            </a:graphic>
          </wp:inline>
        </w:drawing>
      </w:r>
    </w:p>
    <w:p w14:paraId="13691E16" w14:textId="77777777" w:rsidR="00DF7D3E" w:rsidRPr="00207DC2" w:rsidRDefault="0072693E" w:rsidP="00D57D1D">
      <w:pPr>
        <w:pStyle w:val="tablenotes"/>
      </w:pPr>
      <w:r w:rsidRPr="00207DC2">
        <w:rPr>
          <w:i/>
        </w:rPr>
        <w:t>Source:</w:t>
      </w:r>
      <w:r w:rsidRPr="00207DC2">
        <w:t xml:space="preserve"> </w:t>
      </w:r>
      <w:r w:rsidR="00E05AC3" w:rsidRPr="00207DC2">
        <w:t>PMC 20</w:t>
      </w:r>
      <w:r w:rsidR="001E60FC" w:rsidRPr="00207DC2">
        <w:t>13</w:t>
      </w:r>
      <w:r w:rsidR="00AC7A86" w:rsidRPr="00207DC2">
        <w:t>, PMC 2015</w:t>
      </w:r>
      <w:r w:rsidR="001E60FC" w:rsidRPr="00207DC2">
        <w:t>.</w:t>
      </w:r>
    </w:p>
    <w:p w14:paraId="42B3E5FE" w14:textId="5BB39D8F" w:rsidR="0072693E" w:rsidRDefault="0072693E" w:rsidP="00D57D1D">
      <w:pPr>
        <w:pStyle w:val="tablenotes"/>
      </w:pPr>
      <w:r w:rsidRPr="00207DC2">
        <w:rPr>
          <w:i/>
        </w:rPr>
        <w:t>Notes:</w:t>
      </w:r>
      <w:r w:rsidRPr="00207DC2">
        <w:t xml:space="preserve"> </w:t>
      </w:r>
      <w:r w:rsidR="00B01360" w:rsidRPr="00207DC2">
        <w:t>(a)</w:t>
      </w:r>
      <w:r w:rsidRPr="00207DC2">
        <w:t xml:space="preserve"> Maximum r</w:t>
      </w:r>
      <w:r w:rsidR="00163AEA" w:rsidRPr="00207DC2">
        <w:t>ates for remote</w:t>
      </w:r>
      <w:r w:rsidR="005438BE" w:rsidRPr="00207DC2">
        <w:t xml:space="preserve"> </w:t>
      </w:r>
      <w:r w:rsidR="00903A7A">
        <w:t>activity-tested</w:t>
      </w:r>
      <w:r w:rsidR="00163AEA" w:rsidRPr="00207DC2">
        <w:t xml:space="preserve"> participants</w:t>
      </w:r>
      <w:r w:rsidRPr="00207DC2">
        <w:t xml:space="preserve"> with full</w:t>
      </w:r>
      <w:r w:rsidR="00F90B5A" w:rsidRPr="00207DC2">
        <w:noBreakHyphen/>
      </w:r>
      <w:r w:rsidRPr="00207DC2">
        <w:t>ti</w:t>
      </w:r>
      <w:r w:rsidR="00535F35" w:rsidRPr="00207DC2">
        <w:t>me mutual obligatio</w:t>
      </w:r>
      <w:r w:rsidR="00017551" w:rsidRPr="00207DC2">
        <w:t xml:space="preserve">n requirements. </w:t>
      </w:r>
      <w:r w:rsidR="00836EFE" w:rsidRPr="00207DC2">
        <w:t xml:space="preserve">Under </w:t>
      </w:r>
      <w:r w:rsidR="00975DD5">
        <w:t xml:space="preserve">the </w:t>
      </w:r>
      <w:r w:rsidR="00836EFE" w:rsidRPr="00207DC2">
        <w:t>RJCP, providers received higher payments for employment outcomes for participants assessed by DHS as having a partial work capacity (</w:t>
      </w:r>
      <w:r w:rsidR="0057565A" w:rsidRPr="00207DC2">
        <w:t>PMC</w:t>
      </w:r>
      <w:r w:rsidR="00D64ADC" w:rsidRPr="00207DC2">
        <w:t xml:space="preserve"> 201</w:t>
      </w:r>
      <w:r w:rsidR="001E60FC" w:rsidRPr="00207DC2">
        <w:t>3</w:t>
      </w:r>
      <w:r w:rsidR="00076131" w:rsidRPr="00207DC2">
        <w:t>)</w:t>
      </w:r>
      <w:r w:rsidR="00836EFE" w:rsidRPr="00207DC2">
        <w:t xml:space="preserve">. </w:t>
      </w:r>
      <w:r w:rsidR="00570210" w:rsidRPr="00207DC2">
        <w:t>While RJCP a</w:t>
      </w:r>
      <w:r w:rsidR="004F5ABA" w:rsidRPr="00207DC2">
        <w:t xml:space="preserve">ctivity payments were made </w:t>
      </w:r>
      <w:r w:rsidR="00570210" w:rsidRPr="00207DC2">
        <w:t xml:space="preserve">quarterly for each participant, </w:t>
      </w:r>
      <w:r w:rsidR="004F5ABA" w:rsidRPr="00207DC2">
        <w:t>RJCP</w:t>
      </w:r>
      <w:r w:rsidR="00570210" w:rsidRPr="00207DC2">
        <w:t xml:space="preserve"> participation credits were </w:t>
      </w:r>
      <w:r w:rsidR="004F5ABA" w:rsidRPr="00207DC2">
        <w:t xml:space="preserve">additional funds </w:t>
      </w:r>
      <w:r w:rsidR="00570210" w:rsidRPr="00207DC2">
        <w:t xml:space="preserve">available to </w:t>
      </w:r>
      <w:r w:rsidR="00631C7F" w:rsidRPr="00207DC2">
        <w:t xml:space="preserve">provide </w:t>
      </w:r>
      <w:r w:rsidR="00570210" w:rsidRPr="00207DC2">
        <w:t>activities and specific support and equipment for the participant (</w:t>
      </w:r>
      <w:r w:rsidR="0057565A" w:rsidRPr="00207DC2">
        <w:t>PMC</w:t>
      </w:r>
      <w:r w:rsidR="00570210" w:rsidRPr="00207DC2">
        <w:t xml:space="preserve"> 201</w:t>
      </w:r>
      <w:r w:rsidR="001E60FC" w:rsidRPr="00207DC2">
        <w:t>3</w:t>
      </w:r>
      <w:r w:rsidR="00570210" w:rsidRPr="00207DC2">
        <w:t xml:space="preserve">). </w:t>
      </w:r>
      <w:r w:rsidR="008B0381">
        <w:t>T</w:t>
      </w:r>
      <w:r w:rsidR="00975DD5">
        <w:t xml:space="preserve">he figure </w:t>
      </w:r>
      <w:r w:rsidR="008B0381">
        <w:t xml:space="preserve">does not take into account: </w:t>
      </w:r>
      <w:r w:rsidR="00A35FF6" w:rsidRPr="00207DC2">
        <w:t>partic</w:t>
      </w:r>
      <w:r w:rsidR="00836EFE" w:rsidRPr="00207DC2">
        <w:t>i</w:t>
      </w:r>
      <w:r w:rsidR="00A35FF6" w:rsidRPr="00207DC2">
        <w:t>p</w:t>
      </w:r>
      <w:r w:rsidR="00836EFE" w:rsidRPr="00207DC2">
        <w:t>ation credit</w:t>
      </w:r>
      <w:r w:rsidR="00975DD5">
        <w:t xml:space="preserve"> </w:t>
      </w:r>
      <w:r w:rsidR="008B0381">
        <w:t>not claimed</w:t>
      </w:r>
      <w:r w:rsidR="00836EFE" w:rsidRPr="00207DC2">
        <w:t xml:space="preserve">; </w:t>
      </w:r>
      <w:r w:rsidR="008B0381">
        <w:t xml:space="preserve">or </w:t>
      </w:r>
      <w:r w:rsidR="00836EFE" w:rsidRPr="00207DC2">
        <w:t xml:space="preserve">reductions in Work for the Dole payments to CDP </w:t>
      </w:r>
      <w:r w:rsidRPr="00207DC2">
        <w:t>providers</w:t>
      </w:r>
      <w:r w:rsidR="00DD12C3" w:rsidRPr="00207DC2">
        <w:t xml:space="preserve"> when </w:t>
      </w:r>
      <w:r w:rsidR="00836EFE" w:rsidRPr="00207DC2">
        <w:t xml:space="preserve">participant non-attendance at </w:t>
      </w:r>
      <w:r w:rsidR="00DD12C3" w:rsidRPr="00207DC2">
        <w:t>Work for the D</w:t>
      </w:r>
      <w:r w:rsidRPr="00207DC2">
        <w:t>ole activities</w:t>
      </w:r>
      <w:r w:rsidR="008B0381">
        <w:t xml:space="preserve"> were not recorded or actioned</w:t>
      </w:r>
      <w:r w:rsidRPr="00207DC2">
        <w:t>.</w:t>
      </w:r>
      <w:r w:rsidR="00556504" w:rsidRPr="00207DC2">
        <w:t xml:space="preserve"> </w:t>
      </w:r>
      <w:r w:rsidR="005A193A" w:rsidRPr="00207DC2">
        <w:t>P</w:t>
      </w:r>
      <w:r w:rsidR="00157579" w:rsidRPr="00207DC2">
        <w:t>ayments for education</w:t>
      </w:r>
      <w:r w:rsidR="009113FA" w:rsidRPr="00207DC2">
        <w:t xml:space="preserve"> and training placements and outcomes</w:t>
      </w:r>
      <w:r w:rsidR="00157579" w:rsidRPr="00207DC2">
        <w:t xml:space="preserve"> </w:t>
      </w:r>
      <w:r w:rsidR="005A193A" w:rsidRPr="00207DC2">
        <w:t>were also available under the RJ</w:t>
      </w:r>
      <w:r w:rsidR="00C21A55" w:rsidRPr="00207DC2">
        <w:t>C</w:t>
      </w:r>
      <w:r w:rsidR="005A193A" w:rsidRPr="00207DC2">
        <w:t xml:space="preserve">P </w:t>
      </w:r>
      <w:r w:rsidR="00157579" w:rsidRPr="00207DC2">
        <w:t>($275 on commencement and $2</w:t>
      </w:r>
      <w:r w:rsidR="002C098B" w:rsidRPr="00207DC2">
        <w:t>,</w:t>
      </w:r>
      <w:r w:rsidR="00157579" w:rsidRPr="00207DC2">
        <w:t>750 on completion for at least Cert</w:t>
      </w:r>
      <w:r w:rsidR="00263E1B" w:rsidRPr="00207DC2">
        <w:t>ificate</w:t>
      </w:r>
      <w:r w:rsidR="00157579" w:rsidRPr="00207DC2">
        <w:t xml:space="preserve"> II, enrolling and completing one semester of sc</w:t>
      </w:r>
      <w:r w:rsidR="009113FA" w:rsidRPr="00207DC2">
        <w:t>hool or an education program, and $</w:t>
      </w:r>
      <w:r w:rsidR="00157579" w:rsidRPr="00207DC2">
        <w:t>385 per year per job seeker to complete a non-voc</w:t>
      </w:r>
      <w:r w:rsidR="009113FA" w:rsidRPr="00207DC2">
        <w:t>ational</w:t>
      </w:r>
      <w:r w:rsidR="00157579" w:rsidRPr="00207DC2">
        <w:t xml:space="preserve"> barrier course).</w:t>
      </w:r>
    </w:p>
    <w:p w14:paraId="11F991A6" w14:textId="77777777" w:rsidR="00C45611" w:rsidRPr="00207DC2" w:rsidRDefault="00C45611" w:rsidP="008055FF">
      <w:pPr>
        <w:pStyle w:val="ZED5"/>
        <w:outlineLvl w:val="3"/>
      </w:pPr>
      <w:bookmarkStart w:id="92" w:name="_Toc535935037"/>
      <w:r w:rsidRPr="00207DC2">
        <w:t>Other changes</w:t>
      </w:r>
      <w:bookmarkEnd w:id="92"/>
      <w:r w:rsidRPr="00207DC2">
        <w:t xml:space="preserve"> </w:t>
      </w:r>
    </w:p>
    <w:p w14:paraId="2E554CEC" w14:textId="77777777" w:rsidR="00C45611" w:rsidRPr="00207DC2" w:rsidRDefault="00C45611" w:rsidP="00C45611">
      <w:pPr>
        <w:jc w:val="both"/>
        <w:rPr>
          <w:lang w:val="en-AU"/>
        </w:rPr>
      </w:pPr>
      <w:r w:rsidRPr="00207DC2">
        <w:rPr>
          <w:lang w:val="en-AU"/>
        </w:rPr>
        <w:t xml:space="preserve">Other changes under the CDP that were designed to improve employment opportunities for CDP participants include the introduction of </w:t>
      </w:r>
      <w:r w:rsidRPr="00207DC2">
        <w:rPr>
          <w:i/>
          <w:lang w:val="en-AU"/>
        </w:rPr>
        <w:t>Employer Incentive Payments</w:t>
      </w:r>
      <w:r w:rsidRPr="00207DC2">
        <w:rPr>
          <w:lang w:val="en-AU"/>
        </w:rPr>
        <w:t xml:space="preserve"> and funding for the establishment or expansion of remote enterprises (</w:t>
      </w:r>
      <w:r w:rsidRPr="00207DC2">
        <w:rPr>
          <w:i/>
          <w:lang w:val="en-AU"/>
        </w:rPr>
        <w:t>Indigenous Enterprise Development</w:t>
      </w:r>
      <w:r w:rsidRPr="00207DC2">
        <w:rPr>
          <w:lang w:val="en-AU"/>
        </w:rPr>
        <w:t xml:space="preserve"> funding) (ANAO 2017). </w:t>
      </w:r>
    </w:p>
    <w:p w14:paraId="1BE98EE6" w14:textId="77777777" w:rsidR="00C45611" w:rsidRPr="00207DC2" w:rsidRDefault="00C45611" w:rsidP="00C45611">
      <w:pPr>
        <w:jc w:val="both"/>
        <w:rPr>
          <w:rFonts w:ascii="Calibri" w:hAnsi="Calibri"/>
          <w:color w:val="1F497D"/>
          <w:spacing w:val="0"/>
          <w:szCs w:val="22"/>
          <w:lang w:val="en-AU"/>
        </w:rPr>
      </w:pPr>
      <w:r w:rsidRPr="00207DC2">
        <w:rPr>
          <w:lang w:val="en-AU"/>
        </w:rPr>
        <w:t xml:space="preserve">Under RJCP there were no incentive payments for employers, however providers were able to use funds from their normal schedule of payments (from the </w:t>
      </w:r>
      <w:r w:rsidRPr="00207DC2">
        <w:rPr>
          <w:i/>
          <w:lang w:val="en-AU"/>
        </w:rPr>
        <w:t>participation account)</w:t>
      </w:r>
      <w:r w:rsidRPr="00207DC2">
        <w:rPr>
          <w:lang w:val="en-AU"/>
        </w:rPr>
        <w:t xml:space="preserve"> to subsidise wages, and to provide financial assistance for the costs of work related modifications and equipment for participants with a disability (PMC 2013). Under the CDP, funding is available as a one-off payment that providers pass on to eligible employers for employing a CDP participant for 26 weeks. The payment is up to $7,500 (plus GST) for full</w:t>
      </w:r>
      <w:r>
        <w:rPr>
          <w:lang w:val="en-AU"/>
        </w:rPr>
        <w:t>-</w:t>
      </w:r>
      <w:r w:rsidRPr="00207DC2">
        <w:rPr>
          <w:lang w:val="en-AU"/>
        </w:rPr>
        <w:t>time employees and up to $3,750 (plus GST) for part-time employees</w:t>
      </w:r>
      <w:r>
        <w:rPr>
          <w:lang w:val="en-AU"/>
        </w:rPr>
        <w:t xml:space="preserve"> </w:t>
      </w:r>
      <w:r w:rsidRPr="00207DC2">
        <w:rPr>
          <w:lang w:val="en-AU"/>
        </w:rPr>
        <w:t>(PMC 2015).</w:t>
      </w:r>
      <w:r w:rsidRPr="00207DC2">
        <w:rPr>
          <w:rStyle w:val="FootnoteReference"/>
          <w:lang w:val="en-AU"/>
        </w:rPr>
        <w:footnoteReference w:id="14"/>
      </w:r>
      <w:r w:rsidRPr="00207DC2">
        <w:rPr>
          <w:lang w:val="en-AU"/>
        </w:rPr>
        <w:t xml:space="preserve"> The funding is designed to boost employment by reducing the cost of hiring CDP participants. As with</w:t>
      </w:r>
      <w:r w:rsidRPr="00207DC2" w:rsidDel="00584A65">
        <w:rPr>
          <w:lang w:val="en-AU"/>
        </w:rPr>
        <w:t xml:space="preserve"> </w:t>
      </w:r>
      <w:r w:rsidRPr="00207DC2">
        <w:rPr>
          <w:lang w:val="en-AU"/>
        </w:rPr>
        <w:t>provider outcome payments, the employer outcome payment does not incentivise casual, seasonal or intermittent work that may not last 26 weeks.</w:t>
      </w:r>
    </w:p>
    <w:p w14:paraId="3E7DA319" w14:textId="01CD498A" w:rsidR="007150A5" w:rsidRPr="00207DC2" w:rsidRDefault="007150A5" w:rsidP="00EA2264">
      <w:pPr>
        <w:pStyle w:val="Figures"/>
        <w:rPr>
          <w:vertAlign w:val="superscript"/>
        </w:rPr>
      </w:pPr>
      <w:r w:rsidRPr="00207DC2">
        <w:t xml:space="preserve">Figure </w:t>
      </w:r>
      <w:r w:rsidR="00905D1A">
        <w:t>1</w:t>
      </w:r>
      <w:r w:rsidRPr="00207DC2">
        <w:t>.3 Actual provider payments under the RJCP and the CDP</w:t>
      </w:r>
      <w:r w:rsidRPr="00207DC2">
        <w:rPr>
          <w:vertAlign w:val="superscript"/>
        </w:rPr>
        <w:t>a</w:t>
      </w:r>
    </w:p>
    <w:p w14:paraId="74E6C401" w14:textId="77777777" w:rsidR="007150A5" w:rsidRPr="00207DC2" w:rsidRDefault="00B225BF" w:rsidP="008937E4">
      <w:pPr>
        <w:pStyle w:val="tablenotes"/>
        <w:keepNext/>
      </w:pPr>
      <w:r>
        <w:pict w14:anchorId="07A3D719">
          <v:rect id="_x0000_i1027" style="width:0;height:1.5pt" o:hralign="center" o:hrstd="t" o:hr="t" fillcolor="#a0a0a0" stroked="f"/>
        </w:pict>
      </w:r>
    </w:p>
    <w:p w14:paraId="53FA56F8" w14:textId="77777777" w:rsidR="007150A5" w:rsidRPr="00207DC2" w:rsidRDefault="007150A5" w:rsidP="008937E4">
      <w:pPr>
        <w:pStyle w:val="tablenotes"/>
        <w:keepNext/>
      </w:pPr>
      <w:r w:rsidRPr="00207DC2">
        <w:drawing>
          <wp:inline distT="0" distB="0" distL="0" distR="0" wp14:anchorId="61EC8491" wp14:editId="49A6951A">
            <wp:extent cx="5639710" cy="3311456"/>
            <wp:effectExtent l="0" t="0" r="0" b="3810"/>
            <wp:docPr id="2" name="Picture 2" descr="The figure compares the actual activity and employment outcome payments that providers received under the RJCP and the CDP. Figures are provided for 2014 for RJCP and 2016 for CDP. &#10;&#10;The figure shows that employment outcome payments (particularly for a 26 week outcome) increased following the introduction of the CDP. However, as a share of total activity and employment provider payments, payments for employment outcomes decreased — from 24 per cent in 2014 to 11 per cent in 2016 – due to the substantial increase in activity payments." title="Actual provider payments under the RJCP and the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310" b="7202"/>
                    <a:stretch/>
                  </pic:blipFill>
                  <pic:spPr bwMode="auto">
                    <a:xfrm>
                      <a:off x="0" y="0"/>
                      <a:ext cx="5640705" cy="3312040"/>
                    </a:xfrm>
                    <a:prstGeom prst="rect">
                      <a:avLst/>
                    </a:prstGeom>
                    <a:ln>
                      <a:noFill/>
                    </a:ln>
                    <a:extLst>
                      <a:ext uri="{53640926-AAD7-44D8-BBD7-CCE9431645EC}">
                        <a14:shadowObscured xmlns:a14="http://schemas.microsoft.com/office/drawing/2010/main"/>
                      </a:ext>
                    </a:extLst>
                  </pic:spPr>
                </pic:pic>
              </a:graphicData>
            </a:graphic>
          </wp:inline>
        </w:drawing>
      </w:r>
    </w:p>
    <w:p w14:paraId="45E744A1" w14:textId="77777777" w:rsidR="007150A5" w:rsidRPr="00207DC2" w:rsidRDefault="00B225BF" w:rsidP="007150A5">
      <w:pPr>
        <w:pStyle w:val="tablenotes"/>
        <w:rPr>
          <w:i/>
        </w:rPr>
      </w:pPr>
      <w:r>
        <w:pict w14:anchorId="337F877D">
          <v:rect id="_x0000_i1028" style="width:0;height:1.5pt" o:hralign="center" o:hrstd="t" o:hr="t" fillcolor="#a0a0a0" stroked="f"/>
        </w:pict>
      </w:r>
    </w:p>
    <w:p w14:paraId="5440BAD7" w14:textId="77777777" w:rsidR="007150A5" w:rsidRPr="00207DC2" w:rsidRDefault="007150A5" w:rsidP="007150A5">
      <w:pPr>
        <w:pStyle w:val="tablenotes"/>
      </w:pPr>
      <w:r w:rsidRPr="00207DC2">
        <w:rPr>
          <w:i/>
        </w:rPr>
        <w:t>Source:</w:t>
      </w:r>
      <w:r w:rsidRPr="00207DC2">
        <w:t xml:space="preserve"> Unpublished PMC data and ANAO (2017). </w:t>
      </w:r>
    </w:p>
    <w:p w14:paraId="524CA897" w14:textId="77777777" w:rsidR="007150A5" w:rsidRPr="00207DC2" w:rsidRDefault="007150A5" w:rsidP="007150A5">
      <w:pPr>
        <w:pStyle w:val="tablenotes"/>
      </w:pPr>
      <w:r w:rsidRPr="00207DC2">
        <w:rPr>
          <w:i/>
        </w:rPr>
        <w:t xml:space="preserve">Notes: </w:t>
      </w:r>
      <w:r w:rsidRPr="00207DC2">
        <w:t>(a)</w:t>
      </w:r>
      <w:r w:rsidRPr="00207DC2">
        <w:rPr>
          <w:i/>
        </w:rPr>
        <w:t xml:space="preserve"> </w:t>
      </w:r>
      <w:r w:rsidRPr="00207DC2">
        <w:t>Provider payments are GST exclusive.</w:t>
      </w:r>
    </w:p>
    <w:p w14:paraId="05A97460" w14:textId="77777777" w:rsidR="007150A5" w:rsidRPr="00207DC2" w:rsidRDefault="007150A5" w:rsidP="00D57D1D">
      <w:pPr>
        <w:pStyle w:val="tablenotes"/>
      </w:pPr>
    </w:p>
    <w:p w14:paraId="0F566882" w14:textId="5A28802C" w:rsidR="000A7DF7" w:rsidRPr="00207DC2" w:rsidRDefault="00070ABF" w:rsidP="00162C54">
      <w:pPr>
        <w:jc w:val="both"/>
        <w:rPr>
          <w:lang w:val="en-AU"/>
        </w:rPr>
      </w:pPr>
      <w:bookmarkStart w:id="93" w:name="_Toc509587032"/>
      <w:bookmarkStart w:id="94" w:name="_Toc509588058"/>
      <w:bookmarkStart w:id="95" w:name="_Toc509588321"/>
      <w:bookmarkStart w:id="96" w:name="_Toc509589469"/>
      <w:bookmarkStart w:id="97" w:name="_Toc509926887"/>
      <w:bookmarkStart w:id="98" w:name="_Toc511661236"/>
      <w:bookmarkStart w:id="99" w:name="_Toc511826287"/>
      <w:bookmarkStart w:id="100" w:name="_Toc511940604"/>
      <w:r w:rsidRPr="00207DC2">
        <w:rPr>
          <w:i/>
          <w:lang w:val="en-AU"/>
        </w:rPr>
        <w:t>Indigenous Enterprise Dev</w:t>
      </w:r>
      <w:r w:rsidR="00017551" w:rsidRPr="00207DC2">
        <w:rPr>
          <w:i/>
          <w:lang w:val="en-AU"/>
        </w:rPr>
        <w:t>elopment</w:t>
      </w:r>
      <w:r w:rsidR="00A35DDB" w:rsidRPr="00207DC2">
        <w:rPr>
          <w:lang w:val="en-AU"/>
        </w:rPr>
        <w:t xml:space="preserve"> funding was desig</w:t>
      </w:r>
      <w:r w:rsidRPr="00207DC2">
        <w:rPr>
          <w:lang w:val="en-AU"/>
        </w:rPr>
        <w:t>ned to increase the number of commercially viable businesses in remote areas, and included</w:t>
      </w:r>
      <w:r w:rsidR="00D903BD" w:rsidRPr="00207DC2">
        <w:rPr>
          <w:lang w:val="en-AU"/>
        </w:rPr>
        <w:t>:</w:t>
      </w:r>
      <w:r w:rsidRPr="00207DC2">
        <w:rPr>
          <w:lang w:val="en-AU"/>
        </w:rPr>
        <w:t xml:space="preserve"> </w:t>
      </w:r>
    </w:p>
    <w:p w14:paraId="00F408C4" w14:textId="77777777" w:rsidR="000A7DF7" w:rsidRPr="00207DC2" w:rsidRDefault="00070ABF" w:rsidP="00F90446">
      <w:pPr>
        <w:pStyle w:val="ListParagraph"/>
        <w:numPr>
          <w:ilvl w:val="0"/>
          <w:numId w:val="26"/>
        </w:numPr>
        <w:jc w:val="both"/>
        <w:rPr>
          <w:lang w:val="en-AU"/>
        </w:rPr>
      </w:pPr>
      <w:r w:rsidRPr="00207DC2">
        <w:rPr>
          <w:lang w:val="en-AU"/>
        </w:rPr>
        <w:t xml:space="preserve">pre-loan </w:t>
      </w:r>
      <w:r w:rsidR="00A35DDB" w:rsidRPr="00207DC2">
        <w:rPr>
          <w:lang w:val="en-AU"/>
        </w:rPr>
        <w:t>b</w:t>
      </w:r>
      <w:r w:rsidRPr="00207DC2">
        <w:rPr>
          <w:lang w:val="en-AU"/>
        </w:rPr>
        <w:t>usiness support (to turn a business idea into a mature business plan),</w:t>
      </w:r>
    </w:p>
    <w:p w14:paraId="2D00E9E5" w14:textId="77777777" w:rsidR="000A7DF7" w:rsidRPr="00207DC2" w:rsidRDefault="00070ABF" w:rsidP="00F90446">
      <w:pPr>
        <w:pStyle w:val="ListParagraph"/>
        <w:numPr>
          <w:ilvl w:val="0"/>
          <w:numId w:val="26"/>
        </w:numPr>
        <w:jc w:val="both"/>
        <w:rPr>
          <w:lang w:val="en-AU"/>
        </w:rPr>
      </w:pPr>
      <w:r w:rsidRPr="00207DC2">
        <w:rPr>
          <w:lang w:val="en-AU"/>
        </w:rPr>
        <w:t xml:space="preserve">grant/loan packages (where the grant provides the equity needed for an entrepreneur to access finance through a commercial lender for the remaining funds needed), and </w:t>
      </w:r>
    </w:p>
    <w:p w14:paraId="1719D3DB" w14:textId="77777777" w:rsidR="000A7DF7" w:rsidRPr="00207DC2" w:rsidRDefault="00070ABF" w:rsidP="00F90446">
      <w:pPr>
        <w:pStyle w:val="ListParagraph"/>
        <w:numPr>
          <w:ilvl w:val="0"/>
          <w:numId w:val="26"/>
        </w:numPr>
        <w:jc w:val="both"/>
        <w:rPr>
          <w:lang w:val="en-AU"/>
        </w:rPr>
      </w:pPr>
      <w:r w:rsidRPr="00207DC2">
        <w:rPr>
          <w:lang w:val="en-AU"/>
        </w:rPr>
        <w:t>post-loan support for up to two years</w:t>
      </w:r>
      <w:r w:rsidR="00D903BD" w:rsidRPr="00207DC2">
        <w:rPr>
          <w:lang w:val="en-AU"/>
        </w:rPr>
        <w:t>.</w:t>
      </w:r>
    </w:p>
    <w:p w14:paraId="54E1397C" w14:textId="77777777" w:rsidR="00070ABF" w:rsidRPr="00207DC2" w:rsidRDefault="00D903BD" w:rsidP="00162C54">
      <w:pPr>
        <w:jc w:val="both"/>
        <w:rPr>
          <w:lang w:val="en-AU"/>
        </w:rPr>
      </w:pPr>
      <w:r w:rsidRPr="00207DC2">
        <w:rPr>
          <w:lang w:val="en-AU"/>
        </w:rPr>
        <w:t>T</w:t>
      </w:r>
      <w:r w:rsidR="00267CBD" w:rsidRPr="00207DC2">
        <w:rPr>
          <w:lang w:val="en-AU"/>
        </w:rPr>
        <w:t>h</w:t>
      </w:r>
      <w:r w:rsidR="00070ABF" w:rsidRPr="00207DC2">
        <w:rPr>
          <w:lang w:val="en-AU"/>
        </w:rPr>
        <w:t xml:space="preserve">e viability of the </w:t>
      </w:r>
      <w:r w:rsidR="00267CBD" w:rsidRPr="00207DC2">
        <w:rPr>
          <w:lang w:val="en-AU"/>
        </w:rPr>
        <w:t>applications</w:t>
      </w:r>
      <w:r w:rsidR="00070ABF" w:rsidRPr="00207DC2">
        <w:rPr>
          <w:lang w:val="en-AU"/>
        </w:rPr>
        <w:t xml:space="preserve"> </w:t>
      </w:r>
      <w:r w:rsidRPr="00207DC2">
        <w:rPr>
          <w:lang w:val="en-AU"/>
        </w:rPr>
        <w:t xml:space="preserve">was </w:t>
      </w:r>
      <w:r w:rsidR="00070ABF" w:rsidRPr="00207DC2">
        <w:rPr>
          <w:lang w:val="en-AU"/>
        </w:rPr>
        <w:t xml:space="preserve">assessed by a </w:t>
      </w:r>
      <w:r w:rsidR="00267CBD" w:rsidRPr="00207DC2">
        <w:rPr>
          <w:lang w:val="en-AU"/>
        </w:rPr>
        <w:t>commercial lender. T</w:t>
      </w:r>
      <w:r w:rsidR="00070ABF" w:rsidRPr="00207DC2">
        <w:rPr>
          <w:lang w:val="en-AU"/>
        </w:rPr>
        <w:t xml:space="preserve">he </w:t>
      </w:r>
      <w:r w:rsidR="00E217FE" w:rsidRPr="00207DC2">
        <w:rPr>
          <w:lang w:val="en-AU"/>
        </w:rPr>
        <w:t xml:space="preserve">ANAO (2017) noted that the </w:t>
      </w:r>
      <w:r w:rsidR="00070ABF" w:rsidRPr="00207DC2">
        <w:rPr>
          <w:lang w:val="en-AU"/>
        </w:rPr>
        <w:t>number of suitable IED applications was low and the program undersubsc</w:t>
      </w:r>
      <w:r w:rsidR="00DF3314" w:rsidRPr="00207DC2">
        <w:rPr>
          <w:lang w:val="en-AU"/>
        </w:rPr>
        <w:t>r</w:t>
      </w:r>
      <w:r w:rsidR="00070ABF" w:rsidRPr="00207DC2">
        <w:rPr>
          <w:lang w:val="en-AU"/>
        </w:rPr>
        <w:t>ibed.</w:t>
      </w:r>
    </w:p>
    <w:p w14:paraId="5F671FBA" w14:textId="3D2C30A3" w:rsidR="008A3668" w:rsidRPr="00207DC2" w:rsidRDefault="008A3668" w:rsidP="008055FF">
      <w:pPr>
        <w:pStyle w:val="ZED4"/>
        <w:outlineLvl w:val="2"/>
      </w:pPr>
      <w:bookmarkStart w:id="101" w:name="_Toc511661237"/>
      <w:bookmarkStart w:id="102" w:name="_Toc511826288"/>
      <w:bookmarkStart w:id="103" w:name="_Toc511940605"/>
      <w:bookmarkStart w:id="104" w:name="_Toc515185450"/>
      <w:bookmarkStart w:id="105" w:name="_Toc516219824"/>
      <w:bookmarkStart w:id="106" w:name="_Toc516220465"/>
      <w:bookmarkStart w:id="107" w:name="_Toc516223285"/>
      <w:bookmarkStart w:id="108" w:name="_Toc516225193"/>
      <w:bookmarkStart w:id="109" w:name="_Toc516228969"/>
      <w:bookmarkStart w:id="110" w:name="_Toc518468048"/>
      <w:bookmarkStart w:id="111" w:name="_Toc518487828"/>
      <w:bookmarkStart w:id="112" w:name="_Toc518558792"/>
      <w:bookmarkStart w:id="113" w:name="_Toc518565315"/>
      <w:bookmarkStart w:id="114" w:name="_Toc518565559"/>
      <w:bookmarkStart w:id="115" w:name="_Toc519504730"/>
      <w:bookmarkStart w:id="116" w:name="_Toc519505954"/>
      <w:bookmarkStart w:id="117" w:name="_Toc519844060"/>
      <w:bookmarkStart w:id="118" w:name="_Toc521068562"/>
      <w:bookmarkStart w:id="119" w:name="_Toc521391076"/>
      <w:bookmarkStart w:id="120" w:name="_Toc522013245"/>
      <w:bookmarkStart w:id="121" w:name="_Toc534965155"/>
      <w:bookmarkStart w:id="122" w:name="_Toc535935038"/>
      <w:bookmarkEnd w:id="93"/>
      <w:bookmarkEnd w:id="94"/>
      <w:bookmarkEnd w:id="95"/>
      <w:bookmarkEnd w:id="96"/>
      <w:bookmarkEnd w:id="97"/>
      <w:bookmarkEnd w:id="98"/>
      <w:bookmarkEnd w:id="99"/>
      <w:bookmarkEnd w:id="100"/>
      <w:r w:rsidRPr="00207DC2">
        <w:t>1.</w:t>
      </w:r>
      <w:r w:rsidR="00103AA3" w:rsidRPr="00207DC2">
        <w:t>2</w:t>
      </w:r>
      <w:r w:rsidR="005631B4">
        <w:tab/>
      </w:r>
      <w:r w:rsidRPr="00207DC2">
        <w:t xml:space="preserve">Evaluation </w:t>
      </w:r>
      <w:r w:rsidR="000B116D" w:rsidRPr="00207DC2">
        <w:t>q</w:t>
      </w:r>
      <w:r w:rsidR="00B3061D" w:rsidRPr="00207DC2">
        <w:t xml:space="preserve">uestions </w:t>
      </w:r>
      <w:bookmarkEnd w:id="101"/>
      <w:bookmarkEnd w:id="102"/>
      <w:bookmarkEnd w:id="103"/>
      <w:bookmarkEnd w:id="104"/>
      <w:r w:rsidR="000B116D" w:rsidRPr="00207DC2">
        <w:t>and d</w:t>
      </w:r>
      <w:r w:rsidR="00DA5636" w:rsidRPr="00207DC2">
        <w:t>ata</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12390448" w14:textId="77777777" w:rsidR="004243B7" w:rsidRPr="00207DC2" w:rsidRDefault="004243B7" w:rsidP="004243B7">
      <w:pPr>
        <w:jc w:val="both"/>
        <w:rPr>
          <w:lang w:val="en-AU"/>
        </w:rPr>
      </w:pPr>
      <w:r w:rsidRPr="00207DC2">
        <w:rPr>
          <w:lang w:val="en-AU"/>
        </w:rPr>
        <w:t>T</w:t>
      </w:r>
      <w:r w:rsidRPr="00207DC2" w:rsidDel="00EF2A4D">
        <w:rPr>
          <w:lang w:val="en-AU"/>
        </w:rPr>
        <w:t>his report</w:t>
      </w:r>
      <w:r w:rsidRPr="00207DC2">
        <w:rPr>
          <w:lang w:val="en-AU"/>
        </w:rPr>
        <w:t xml:space="preserve"> draws on</w:t>
      </w:r>
      <w:r w:rsidR="00FD52EA" w:rsidRPr="00207DC2">
        <w:rPr>
          <w:lang w:val="en-AU"/>
        </w:rPr>
        <w:t xml:space="preserve"> </w:t>
      </w:r>
      <w:r w:rsidRPr="00207DC2" w:rsidDel="00D365BF">
        <w:rPr>
          <w:lang w:val="en-AU"/>
        </w:rPr>
        <w:t xml:space="preserve">administrative </w:t>
      </w:r>
      <w:r w:rsidR="00FD52EA" w:rsidRPr="00207DC2">
        <w:rPr>
          <w:lang w:val="en-AU"/>
        </w:rPr>
        <w:t xml:space="preserve">data </w:t>
      </w:r>
      <w:r w:rsidRPr="00207DC2">
        <w:rPr>
          <w:lang w:val="en-AU"/>
        </w:rPr>
        <w:t>to</w:t>
      </w:r>
      <w:r w:rsidRPr="00207DC2" w:rsidDel="00A00DE3">
        <w:rPr>
          <w:lang w:val="en-AU"/>
        </w:rPr>
        <w:t xml:space="preserve"> </w:t>
      </w:r>
      <w:r w:rsidR="00F076E9" w:rsidRPr="00207DC2">
        <w:rPr>
          <w:lang w:val="en-AU"/>
        </w:rPr>
        <w:t xml:space="preserve">examine whether </w:t>
      </w:r>
      <w:r w:rsidRPr="00207DC2">
        <w:rPr>
          <w:lang w:val="en-AU"/>
        </w:rPr>
        <w:t xml:space="preserve">the CDP has been effective in achieving its key objectives of increasing participation and employment outcomes in remote communities. </w:t>
      </w:r>
    </w:p>
    <w:p w14:paraId="3065EC3D" w14:textId="16FF06D0" w:rsidR="00ED2435" w:rsidRPr="00207DC2" w:rsidRDefault="004243B7" w:rsidP="007A49E4">
      <w:pPr>
        <w:jc w:val="both"/>
        <w:rPr>
          <w:lang w:val="en-AU"/>
        </w:rPr>
      </w:pPr>
      <w:r w:rsidRPr="00207DC2">
        <w:rPr>
          <w:lang w:val="en-AU"/>
        </w:rPr>
        <w:t>E</w:t>
      </w:r>
      <w:r w:rsidR="00A96492" w:rsidRPr="00207DC2">
        <w:rPr>
          <w:lang w:val="en-AU"/>
        </w:rPr>
        <w:t xml:space="preserve">valuating the CDP against its objectives is </w:t>
      </w:r>
      <w:r w:rsidR="00AE3442" w:rsidRPr="00207DC2">
        <w:rPr>
          <w:lang w:val="en-AU"/>
        </w:rPr>
        <w:t>challenging</w:t>
      </w:r>
      <w:r w:rsidR="00A96492" w:rsidRPr="00207DC2">
        <w:rPr>
          <w:lang w:val="en-AU"/>
        </w:rPr>
        <w:t xml:space="preserve"> for a number of reasons. As </w:t>
      </w:r>
      <w:r w:rsidR="00610752" w:rsidRPr="00207DC2">
        <w:rPr>
          <w:lang w:val="en-AU"/>
        </w:rPr>
        <w:t xml:space="preserve">the </w:t>
      </w:r>
      <w:r w:rsidR="00A96492" w:rsidRPr="00207DC2">
        <w:rPr>
          <w:lang w:val="en-AU"/>
        </w:rPr>
        <w:t>CDP is a universal program</w:t>
      </w:r>
      <w:r w:rsidR="00662666" w:rsidRPr="00207DC2">
        <w:rPr>
          <w:lang w:val="en-AU"/>
        </w:rPr>
        <w:t xml:space="preserve"> operating</w:t>
      </w:r>
      <w:r w:rsidR="00A96492" w:rsidRPr="00207DC2">
        <w:rPr>
          <w:lang w:val="en-AU"/>
        </w:rPr>
        <w:t xml:space="preserve"> in remote Australia</w:t>
      </w:r>
      <w:r w:rsidR="00662666" w:rsidRPr="00207DC2">
        <w:rPr>
          <w:lang w:val="en-AU"/>
        </w:rPr>
        <w:t xml:space="preserve">, </w:t>
      </w:r>
      <w:r w:rsidR="00AE3442" w:rsidRPr="00207DC2">
        <w:rPr>
          <w:lang w:val="en-AU"/>
        </w:rPr>
        <w:t>it is difficult to construct</w:t>
      </w:r>
      <w:r w:rsidR="00662666" w:rsidRPr="00207DC2">
        <w:rPr>
          <w:lang w:val="en-AU"/>
        </w:rPr>
        <w:t xml:space="preserve"> a </w:t>
      </w:r>
      <w:r w:rsidR="00AE3442" w:rsidRPr="00207DC2">
        <w:rPr>
          <w:lang w:val="en-AU"/>
        </w:rPr>
        <w:t>suitable comparison group</w:t>
      </w:r>
      <w:r w:rsidR="00CF2459" w:rsidRPr="00207DC2">
        <w:rPr>
          <w:lang w:val="en-AU"/>
        </w:rPr>
        <w:t xml:space="preserve">, </w:t>
      </w:r>
      <w:r w:rsidR="00AF30F9" w:rsidRPr="00207DC2">
        <w:rPr>
          <w:lang w:val="en-AU"/>
        </w:rPr>
        <w:t xml:space="preserve">or counterfactual, </w:t>
      </w:r>
      <w:r w:rsidR="00CF2459" w:rsidRPr="00207DC2">
        <w:rPr>
          <w:lang w:val="en-AU"/>
        </w:rPr>
        <w:t>to determine</w:t>
      </w:r>
      <w:r w:rsidR="00AF30F9" w:rsidRPr="00207DC2">
        <w:rPr>
          <w:lang w:val="en-AU"/>
        </w:rPr>
        <w:t xml:space="preserve"> what would have </w:t>
      </w:r>
      <w:r w:rsidR="00CF2459" w:rsidRPr="00207DC2">
        <w:rPr>
          <w:lang w:val="en-AU"/>
        </w:rPr>
        <w:t>happen</w:t>
      </w:r>
      <w:r w:rsidR="00AF30F9" w:rsidRPr="00207DC2">
        <w:rPr>
          <w:lang w:val="en-AU"/>
        </w:rPr>
        <w:t xml:space="preserve">ed in absence of the </w:t>
      </w:r>
      <w:r w:rsidR="00CF2459" w:rsidRPr="00207DC2">
        <w:rPr>
          <w:lang w:val="en-AU"/>
        </w:rPr>
        <w:t xml:space="preserve">CDP </w:t>
      </w:r>
      <w:r w:rsidR="00AF30F9" w:rsidRPr="00207DC2">
        <w:rPr>
          <w:lang w:val="en-AU"/>
        </w:rPr>
        <w:t>changes</w:t>
      </w:r>
      <w:r w:rsidR="00A96492" w:rsidRPr="00207DC2">
        <w:rPr>
          <w:lang w:val="en-AU"/>
        </w:rPr>
        <w:t xml:space="preserve">. </w:t>
      </w:r>
      <w:r w:rsidR="00017551" w:rsidRPr="00207DC2">
        <w:rPr>
          <w:lang w:val="en-AU"/>
        </w:rPr>
        <w:t>C</w:t>
      </w:r>
      <w:r w:rsidR="00A00DE3" w:rsidRPr="00207DC2">
        <w:rPr>
          <w:lang w:val="en-AU"/>
        </w:rPr>
        <w:t xml:space="preserve">hanges in reporting </w:t>
      </w:r>
      <w:r w:rsidR="00D903BD" w:rsidRPr="00207DC2">
        <w:rPr>
          <w:lang w:val="en-AU"/>
        </w:rPr>
        <w:t>requirements</w:t>
      </w:r>
      <w:r w:rsidR="00017551" w:rsidRPr="00207DC2">
        <w:rPr>
          <w:lang w:val="en-AU"/>
        </w:rPr>
        <w:t xml:space="preserve"> also</w:t>
      </w:r>
      <w:r w:rsidR="00A00DE3" w:rsidRPr="00207DC2">
        <w:rPr>
          <w:lang w:val="en-AU"/>
        </w:rPr>
        <w:t xml:space="preserve"> mea</w:t>
      </w:r>
      <w:r w:rsidR="006B47BF" w:rsidRPr="00207DC2">
        <w:rPr>
          <w:lang w:val="en-AU"/>
        </w:rPr>
        <w:t>n</w:t>
      </w:r>
      <w:r w:rsidR="00A00DE3" w:rsidRPr="00207DC2">
        <w:rPr>
          <w:lang w:val="en-AU"/>
        </w:rPr>
        <w:t xml:space="preserve"> that</w:t>
      </w:r>
      <w:r w:rsidR="00A96492" w:rsidRPr="00207DC2">
        <w:rPr>
          <w:lang w:val="en-AU"/>
        </w:rPr>
        <w:t xml:space="preserve"> </w:t>
      </w:r>
      <w:r w:rsidR="0075238A" w:rsidRPr="00207DC2">
        <w:rPr>
          <w:lang w:val="en-AU"/>
        </w:rPr>
        <w:t xml:space="preserve">measures of </w:t>
      </w:r>
      <w:r w:rsidR="00A96492" w:rsidRPr="00207DC2">
        <w:rPr>
          <w:lang w:val="en-AU"/>
        </w:rPr>
        <w:t>participation in paid work</w:t>
      </w:r>
      <w:r w:rsidR="0075238A" w:rsidRPr="00207DC2">
        <w:rPr>
          <w:lang w:val="en-AU"/>
        </w:rPr>
        <w:t xml:space="preserve"> and other community activities </w:t>
      </w:r>
      <w:r w:rsidR="00A00DE3" w:rsidRPr="00207DC2">
        <w:rPr>
          <w:lang w:val="en-AU"/>
        </w:rPr>
        <w:t xml:space="preserve">before and after the introduction of the CDP </w:t>
      </w:r>
      <w:r w:rsidR="00D041C0" w:rsidRPr="00207DC2">
        <w:rPr>
          <w:lang w:val="en-AU"/>
        </w:rPr>
        <w:t>are</w:t>
      </w:r>
      <w:r w:rsidR="00C51AFE" w:rsidRPr="00207DC2">
        <w:rPr>
          <w:lang w:val="en-AU"/>
        </w:rPr>
        <w:t xml:space="preserve"> only available for </w:t>
      </w:r>
      <w:r w:rsidR="0075238A" w:rsidRPr="00207DC2">
        <w:rPr>
          <w:lang w:val="en-AU"/>
        </w:rPr>
        <w:t xml:space="preserve">limited </w:t>
      </w:r>
      <w:r w:rsidR="00A96492" w:rsidRPr="00207DC2">
        <w:rPr>
          <w:lang w:val="en-AU"/>
        </w:rPr>
        <w:t>time period</w:t>
      </w:r>
      <w:r w:rsidR="00662666" w:rsidRPr="00207DC2">
        <w:rPr>
          <w:lang w:val="en-AU"/>
        </w:rPr>
        <w:t>s</w:t>
      </w:r>
      <w:r w:rsidR="007960E9" w:rsidRPr="00207DC2">
        <w:rPr>
          <w:lang w:val="en-AU"/>
        </w:rPr>
        <w:t>.</w:t>
      </w:r>
    </w:p>
    <w:p w14:paraId="5124AED6" w14:textId="60E6E620" w:rsidR="006072CF" w:rsidRPr="00207DC2" w:rsidRDefault="00D041C0" w:rsidP="007A49E4">
      <w:pPr>
        <w:jc w:val="both"/>
        <w:rPr>
          <w:lang w:val="en-AU"/>
        </w:rPr>
      </w:pPr>
      <w:r w:rsidRPr="00207DC2">
        <w:rPr>
          <w:lang w:val="en-AU"/>
        </w:rPr>
        <w:t>To</w:t>
      </w:r>
      <w:r w:rsidR="0063382B" w:rsidRPr="00207DC2">
        <w:rPr>
          <w:lang w:val="en-AU"/>
        </w:rPr>
        <w:t xml:space="preserve"> </w:t>
      </w:r>
      <w:r w:rsidR="00425CE1" w:rsidRPr="00207DC2">
        <w:rPr>
          <w:lang w:val="en-AU"/>
        </w:rPr>
        <w:t>assess</w:t>
      </w:r>
      <w:r w:rsidRPr="00207DC2">
        <w:rPr>
          <w:lang w:val="en-AU"/>
        </w:rPr>
        <w:t xml:space="preserve"> </w:t>
      </w:r>
      <w:r w:rsidR="00425CE1" w:rsidRPr="00207DC2">
        <w:rPr>
          <w:lang w:val="en-AU"/>
        </w:rPr>
        <w:t>the impact of</w:t>
      </w:r>
      <w:r w:rsidR="00610752" w:rsidRPr="00207DC2">
        <w:rPr>
          <w:lang w:val="en-AU"/>
        </w:rPr>
        <w:t xml:space="preserve"> the</w:t>
      </w:r>
      <w:r w:rsidR="00425CE1" w:rsidRPr="00207DC2">
        <w:rPr>
          <w:lang w:val="en-AU"/>
        </w:rPr>
        <w:t xml:space="preserve"> CDP on</w:t>
      </w:r>
      <w:r w:rsidR="0075238A" w:rsidRPr="00207DC2">
        <w:rPr>
          <w:lang w:val="en-AU"/>
        </w:rPr>
        <w:t xml:space="preserve"> </w:t>
      </w:r>
      <w:r w:rsidR="00425CE1" w:rsidRPr="00207DC2">
        <w:rPr>
          <w:lang w:val="en-AU"/>
        </w:rPr>
        <w:t xml:space="preserve">levels of </w:t>
      </w:r>
      <w:r w:rsidR="008D2983" w:rsidRPr="00207DC2">
        <w:rPr>
          <w:lang w:val="en-AU"/>
        </w:rPr>
        <w:t xml:space="preserve">participation </w:t>
      </w:r>
      <w:r w:rsidR="00A96492" w:rsidRPr="00207DC2">
        <w:rPr>
          <w:lang w:val="en-AU"/>
        </w:rPr>
        <w:t xml:space="preserve">in </w:t>
      </w:r>
      <w:r w:rsidR="001E07D0" w:rsidRPr="00207DC2">
        <w:rPr>
          <w:lang w:val="en-AU"/>
        </w:rPr>
        <w:t>work-like and</w:t>
      </w:r>
      <w:r w:rsidR="00A96492" w:rsidRPr="00207DC2">
        <w:rPr>
          <w:lang w:val="en-AU"/>
        </w:rPr>
        <w:t xml:space="preserve"> communit</w:t>
      </w:r>
      <w:r w:rsidR="00887C95" w:rsidRPr="00207DC2">
        <w:rPr>
          <w:lang w:val="en-AU"/>
        </w:rPr>
        <w:t>y activities</w:t>
      </w:r>
      <w:r w:rsidR="007960E9" w:rsidRPr="00207DC2">
        <w:rPr>
          <w:lang w:val="en-AU"/>
        </w:rPr>
        <w:t xml:space="preserve"> (</w:t>
      </w:r>
      <w:r w:rsidR="00E932F1" w:rsidRPr="00207DC2">
        <w:rPr>
          <w:lang w:val="en-AU"/>
        </w:rPr>
        <w:t>that is,</w:t>
      </w:r>
      <w:r w:rsidR="007960E9" w:rsidRPr="00207DC2">
        <w:rPr>
          <w:lang w:val="en-AU"/>
        </w:rPr>
        <w:t xml:space="preserve"> whether the introduction of </w:t>
      </w:r>
      <w:r w:rsidR="0051449B" w:rsidRPr="00207DC2">
        <w:rPr>
          <w:lang w:val="en-AU"/>
        </w:rPr>
        <w:t xml:space="preserve">the CDP </w:t>
      </w:r>
      <w:r w:rsidR="00017551" w:rsidRPr="00207DC2">
        <w:rPr>
          <w:lang w:val="en-AU"/>
        </w:rPr>
        <w:t>has increased</w:t>
      </w:r>
      <w:r w:rsidR="007960E9" w:rsidRPr="00207DC2">
        <w:rPr>
          <w:lang w:val="en-AU"/>
        </w:rPr>
        <w:t xml:space="preserve"> overall levels of activity or </w:t>
      </w:r>
      <w:r w:rsidR="00887C95" w:rsidRPr="00207DC2">
        <w:rPr>
          <w:lang w:val="en-AU"/>
        </w:rPr>
        <w:t xml:space="preserve">rather has </w:t>
      </w:r>
      <w:r w:rsidR="007960E9" w:rsidRPr="00207DC2">
        <w:rPr>
          <w:lang w:val="en-AU"/>
        </w:rPr>
        <w:t>displace</w:t>
      </w:r>
      <w:r w:rsidR="00887C95" w:rsidRPr="00207DC2">
        <w:rPr>
          <w:lang w:val="en-AU"/>
        </w:rPr>
        <w:t>d</w:t>
      </w:r>
      <w:r w:rsidR="007960E9" w:rsidRPr="00207DC2">
        <w:rPr>
          <w:lang w:val="en-AU"/>
        </w:rPr>
        <w:t xml:space="preserve"> other activities)</w:t>
      </w:r>
      <w:r w:rsidRPr="00207DC2">
        <w:rPr>
          <w:lang w:val="en-AU"/>
        </w:rPr>
        <w:t xml:space="preserve">, </w:t>
      </w:r>
      <w:r w:rsidR="00B113D9" w:rsidRPr="00207DC2">
        <w:rPr>
          <w:lang w:val="en-AU"/>
        </w:rPr>
        <w:t>would</w:t>
      </w:r>
      <w:r w:rsidR="001450E8" w:rsidRPr="00207DC2">
        <w:rPr>
          <w:lang w:val="en-AU"/>
        </w:rPr>
        <w:t xml:space="preserve"> </w:t>
      </w:r>
      <w:r w:rsidR="00B113D9" w:rsidRPr="00207DC2">
        <w:rPr>
          <w:lang w:val="en-AU"/>
        </w:rPr>
        <w:t xml:space="preserve">require </w:t>
      </w:r>
      <w:r w:rsidRPr="00207DC2">
        <w:rPr>
          <w:lang w:val="en-AU"/>
        </w:rPr>
        <w:t>time</w:t>
      </w:r>
      <w:r w:rsidR="00662557" w:rsidRPr="00207DC2">
        <w:rPr>
          <w:lang w:val="en-AU"/>
        </w:rPr>
        <w:t>-</w:t>
      </w:r>
      <w:r w:rsidRPr="00207DC2">
        <w:rPr>
          <w:lang w:val="en-AU"/>
        </w:rPr>
        <w:t>use data</w:t>
      </w:r>
      <w:r w:rsidR="00936E36" w:rsidRPr="00207DC2" w:rsidDel="0051449B">
        <w:rPr>
          <w:lang w:val="en-AU"/>
        </w:rPr>
        <w:t>.</w:t>
      </w:r>
      <w:r w:rsidRPr="00207DC2" w:rsidDel="0051449B">
        <w:rPr>
          <w:lang w:val="en-AU"/>
        </w:rPr>
        <w:t xml:space="preserve"> </w:t>
      </w:r>
      <w:r w:rsidR="00E705A0" w:rsidRPr="00207DC2">
        <w:rPr>
          <w:lang w:val="en-AU"/>
        </w:rPr>
        <w:t xml:space="preserve">In absence of </w:t>
      </w:r>
      <w:r w:rsidR="00662557" w:rsidRPr="00207DC2">
        <w:rPr>
          <w:lang w:val="en-AU"/>
        </w:rPr>
        <w:t>t</w:t>
      </w:r>
      <w:r w:rsidR="0051449B" w:rsidRPr="00207DC2">
        <w:rPr>
          <w:lang w:val="en-AU"/>
        </w:rPr>
        <w:t>ime</w:t>
      </w:r>
      <w:r w:rsidR="00A87492" w:rsidRPr="00207DC2">
        <w:rPr>
          <w:lang w:val="en-AU"/>
        </w:rPr>
        <w:t>-</w:t>
      </w:r>
      <w:r w:rsidR="0051449B" w:rsidRPr="00207DC2">
        <w:rPr>
          <w:lang w:val="en-AU"/>
        </w:rPr>
        <w:t>use</w:t>
      </w:r>
      <w:r w:rsidR="00662557" w:rsidRPr="00207DC2">
        <w:rPr>
          <w:lang w:val="en-AU"/>
        </w:rPr>
        <w:t xml:space="preserve"> </w:t>
      </w:r>
      <w:r w:rsidR="00E705A0" w:rsidRPr="00207DC2">
        <w:rPr>
          <w:lang w:val="en-AU"/>
        </w:rPr>
        <w:t xml:space="preserve">data, </w:t>
      </w:r>
      <w:r w:rsidRPr="00207DC2">
        <w:rPr>
          <w:lang w:val="en-AU"/>
        </w:rPr>
        <w:t>t</w:t>
      </w:r>
      <w:r w:rsidR="00425CE1" w:rsidRPr="00207DC2">
        <w:rPr>
          <w:lang w:val="en-AU"/>
        </w:rPr>
        <w:t xml:space="preserve">his report uses </w:t>
      </w:r>
      <w:r w:rsidRPr="00207DC2">
        <w:rPr>
          <w:lang w:val="en-AU"/>
        </w:rPr>
        <w:t xml:space="preserve">administrative data </w:t>
      </w:r>
      <w:r w:rsidR="00425CE1" w:rsidRPr="00207DC2">
        <w:rPr>
          <w:lang w:val="en-AU"/>
        </w:rPr>
        <w:t xml:space="preserve">to </w:t>
      </w:r>
      <w:r w:rsidR="00D903BD" w:rsidRPr="00207DC2">
        <w:rPr>
          <w:lang w:val="en-AU"/>
        </w:rPr>
        <w:t>consider the</w:t>
      </w:r>
      <w:r w:rsidR="00E705A0" w:rsidRPr="00207DC2">
        <w:rPr>
          <w:lang w:val="en-AU"/>
        </w:rPr>
        <w:t xml:space="preserve"> change</w:t>
      </w:r>
      <w:r w:rsidR="00425CE1" w:rsidRPr="00207DC2">
        <w:rPr>
          <w:lang w:val="en-AU"/>
        </w:rPr>
        <w:t xml:space="preserve"> in recorded levels of </w:t>
      </w:r>
      <w:r w:rsidR="00E705A0" w:rsidRPr="00207DC2">
        <w:rPr>
          <w:lang w:val="en-AU"/>
        </w:rPr>
        <w:t xml:space="preserve">participation </w:t>
      </w:r>
      <w:r w:rsidR="00425CE1" w:rsidRPr="00207DC2">
        <w:rPr>
          <w:lang w:val="en-AU"/>
        </w:rPr>
        <w:t>in</w:t>
      </w:r>
      <w:r w:rsidR="00AE3442" w:rsidRPr="00207DC2">
        <w:rPr>
          <w:lang w:val="en-AU"/>
        </w:rPr>
        <w:t xml:space="preserve"> Work for the Dole and other</w:t>
      </w:r>
      <w:r w:rsidR="00425CE1" w:rsidRPr="00207DC2">
        <w:rPr>
          <w:lang w:val="en-AU"/>
        </w:rPr>
        <w:t xml:space="preserve"> </w:t>
      </w:r>
      <w:r w:rsidRPr="00207DC2">
        <w:rPr>
          <w:lang w:val="en-AU"/>
        </w:rPr>
        <w:t xml:space="preserve">program </w:t>
      </w:r>
      <w:r w:rsidR="00425CE1" w:rsidRPr="00207DC2">
        <w:rPr>
          <w:lang w:val="en-AU"/>
        </w:rPr>
        <w:t>activities s</w:t>
      </w:r>
      <w:r w:rsidR="00150A58" w:rsidRPr="00207DC2">
        <w:rPr>
          <w:lang w:val="en-AU"/>
        </w:rPr>
        <w:t xml:space="preserve">ince </w:t>
      </w:r>
      <w:r w:rsidR="00610752" w:rsidRPr="00207DC2">
        <w:rPr>
          <w:lang w:val="en-AU"/>
        </w:rPr>
        <w:t xml:space="preserve">the </w:t>
      </w:r>
      <w:r w:rsidR="00150A58" w:rsidRPr="00207DC2">
        <w:rPr>
          <w:lang w:val="en-AU"/>
        </w:rPr>
        <w:t>CDP commenced.</w:t>
      </w:r>
      <w:r w:rsidR="009A0EA4" w:rsidRPr="00207DC2">
        <w:rPr>
          <w:lang w:val="en-AU"/>
        </w:rPr>
        <w:t xml:space="preserve"> The primary method for assessing the effectiveness of the CDP in increasing participation is</w:t>
      </w:r>
      <w:r w:rsidR="00FB3184" w:rsidRPr="00207DC2">
        <w:rPr>
          <w:lang w:val="en-AU"/>
        </w:rPr>
        <w:t xml:space="preserve"> a comparison of</w:t>
      </w:r>
      <w:r w:rsidR="009A0EA4" w:rsidRPr="00207DC2">
        <w:rPr>
          <w:lang w:val="en-AU"/>
        </w:rPr>
        <w:t xml:space="preserve"> </w:t>
      </w:r>
      <w:r w:rsidR="00425CE1" w:rsidRPr="00207DC2">
        <w:rPr>
          <w:lang w:val="en-AU"/>
        </w:rPr>
        <w:t xml:space="preserve">the proportion of participants </w:t>
      </w:r>
      <w:r w:rsidR="00CB38FB" w:rsidRPr="00207DC2">
        <w:rPr>
          <w:lang w:val="en-AU"/>
        </w:rPr>
        <w:t xml:space="preserve">enrolled </w:t>
      </w:r>
      <w:r w:rsidR="00425CE1" w:rsidRPr="00207DC2">
        <w:rPr>
          <w:lang w:val="en-AU"/>
        </w:rPr>
        <w:t xml:space="preserve">in activities </w:t>
      </w:r>
      <w:r w:rsidR="009A0EA4" w:rsidRPr="00207DC2">
        <w:rPr>
          <w:lang w:val="en-AU"/>
        </w:rPr>
        <w:t>during the CDP and the preceding employment program (RJCP)</w:t>
      </w:r>
      <w:r w:rsidR="00FC024A" w:rsidRPr="00207DC2">
        <w:rPr>
          <w:lang w:val="en-AU"/>
        </w:rPr>
        <w:t>;</w:t>
      </w:r>
      <w:r w:rsidR="009A0EA4" w:rsidRPr="00207DC2">
        <w:rPr>
          <w:lang w:val="en-AU"/>
        </w:rPr>
        <w:t xml:space="preserve"> </w:t>
      </w:r>
      <w:r w:rsidR="00425CE1" w:rsidRPr="00207DC2">
        <w:rPr>
          <w:lang w:val="en-AU"/>
        </w:rPr>
        <w:t>and</w:t>
      </w:r>
      <w:r w:rsidR="00FC024A" w:rsidRPr="00207DC2">
        <w:rPr>
          <w:lang w:val="en-AU"/>
        </w:rPr>
        <w:t xml:space="preserve"> an analysis of patterns of </w:t>
      </w:r>
      <w:r w:rsidR="00425CE1" w:rsidRPr="00207DC2">
        <w:rPr>
          <w:lang w:val="en-AU"/>
        </w:rPr>
        <w:t xml:space="preserve">attendance at </w:t>
      </w:r>
      <w:r w:rsidR="00FC024A" w:rsidRPr="00207DC2">
        <w:rPr>
          <w:lang w:val="en-AU"/>
        </w:rPr>
        <w:t xml:space="preserve">Work for the Dole </w:t>
      </w:r>
      <w:r w:rsidR="00425CE1" w:rsidRPr="00207DC2">
        <w:rPr>
          <w:lang w:val="en-AU"/>
        </w:rPr>
        <w:t>activities.</w:t>
      </w:r>
    </w:p>
    <w:p w14:paraId="075416F2" w14:textId="77777777" w:rsidR="0075238A" w:rsidRPr="00207DC2" w:rsidRDefault="00EF1A6C" w:rsidP="007A49E4">
      <w:pPr>
        <w:jc w:val="both"/>
        <w:rPr>
          <w:lang w:val="en-AU"/>
        </w:rPr>
      </w:pPr>
      <w:r w:rsidRPr="00207DC2">
        <w:rPr>
          <w:lang w:val="en-AU"/>
        </w:rPr>
        <w:t xml:space="preserve">Under the compliance framework, if a participant fails to fulfil their mutual obligation requirements (including failing to attend CDP activities) then they may have </w:t>
      </w:r>
      <w:r w:rsidRPr="00207DC2">
        <w:rPr>
          <w:rFonts w:cstheme="minorHAnsi"/>
          <w:lang w:val="en-AU"/>
        </w:rPr>
        <w:t xml:space="preserve">their income support payments suspended and/or may face a financial penalty. </w:t>
      </w:r>
      <w:r w:rsidR="0075238A" w:rsidRPr="00207DC2">
        <w:rPr>
          <w:lang w:val="en-AU"/>
        </w:rPr>
        <w:t xml:space="preserve">To assess the </w:t>
      </w:r>
      <w:r w:rsidR="004F606C" w:rsidRPr="00207DC2">
        <w:rPr>
          <w:lang w:val="en-AU"/>
        </w:rPr>
        <w:t xml:space="preserve">financial </w:t>
      </w:r>
      <w:r w:rsidR="0075238A" w:rsidRPr="00207DC2">
        <w:rPr>
          <w:lang w:val="en-AU"/>
        </w:rPr>
        <w:t xml:space="preserve">impact on </w:t>
      </w:r>
      <w:r w:rsidR="004F606C" w:rsidRPr="00207DC2">
        <w:rPr>
          <w:lang w:val="en-AU"/>
        </w:rPr>
        <w:t>CDP</w:t>
      </w:r>
      <w:r w:rsidR="0075238A" w:rsidRPr="00207DC2">
        <w:rPr>
          <w:lang w:val="en-AU"/>
        </w:rPr>
        <w:t xml:space="preserve"> participants, this report </w:t>
      </w:r>
      <w:r w:rsidRPr="00207DC2">
        <w:rPr>
          <w:lang w:val="en-AU"/>
        </w:rPr>
        <w:t xml:space="preserve">also </w:t>
      </w:r>
      <w:r w:rsidR="0075238A" w:rsidRPr="00207DC2">
        <w:rPr>
          <w:lang w:val="en-AU"/>
        </w:rPr>
        <w:t xml:space="preserve">examines trends in income support payment suspensions and penalties </w:t>
      </w:r>
      <w:r w:rsidR="00FD5E18" w:rsidRPr="00207DC2">
        <w:rPr>
          <w:lang w:val="en-AU"/>
        </w:rPr>
        <w:t>as well as the outcomes for in</w:t>
      </w:r>
      <w:r w:rsidR="00A87492" w:rsidRPr="00207DC2">
        <w:rPr>
          <w:lang w:val="en-AU"/>
        </w:rPr>
        <w:t>div</w:t>
      </w:r>
      <w:r w:rsidR="00FD5E18" w:rsidRPr="00207DC2">
        <w:rPr>
          <w:lang w:val="en-AU"/>
        </w:rPr>
        <w:t>iduals following a penalty</w:t>
      </w:r>
      <w:r w:rsidR="0075238A" w:rsidRPr="00207DC2">
        <w:rPr>
          <w:lang w:val="en-AU"/>
        </w:rPr>
        <w:t>. Financial impact is measured by the proportion of</w:t>
      </w:r>
      <w:r w:rsidR="001E60FC" w:rsidRPr="00207DC2">
        <w:rPr>
          <w:lang w:val="en-AU"/>
        </w:rPr>
        <w:t xml:space="preserve"> Australian Government</w:t>
      </w:r>
      <w:r w:rsidR="00D06964" w:rsidRPr="00207DC2">
        <w:rPr>
          <w:lang w:val="en-AU"/>
        </w:rPr>
        <w:t xml:space="preserve"> </w:t>
      </w:r>
      <w:r w:rsidR="0075238A" w:rsidRPr="00207DC2">
        <w:rPr>
          <w:lang w:val="en-AU"/>
        </w:rPr>
        <w:t>payment</w:t>
      </w:r>
      <w:r w:rsidR="000116F7" w:rsidRPr="00207DC2">
        <w:rPr>
          <w:lang w:val="en-AU"/>
        </w:rPr>
        <w:t>s</w:t>
      </w:r>
      <w:r w:rsidR="0075238A" w:rsidRPr="00207DC2">
        <w:rPr>
          <w:lang w:val="en-AU"/>
        </w:rPr>
        <w:t xml:space="preserve"> lost to penalties.</w:t>
      </w:r>
    </w:p>
    <w:p w14:paraId="4000F52A" w14:textId="2AB589DD" w:rsidR="009F52BE" w:rsidRPr="00207DC2" w:rsidRDefault="009F52BE" w:rsidP="00942D00">
      <w:pPr>
        <w:tabs>
          <w:tab w:val="left" w:pos="6096"/>
        </w:tabs>
        <w:jc w:val="both"/>
        <w:rPr>
          <w:lang w:val="en-AU"/>
        </w:rPr>
      </w:pPr>
      <w:r w:rsidRPr="00207DC2">
        <w:rPr>
          <w:lang w:val="en-AU"/>
        </w:rPr>
        <w:t>To assess</w:t>
      </w:r>
      <w:r w:rsidR="00F076E9" w:rsidRPr="00207DC2">
        <w:rPr>
          <w:lang w:val="en-AU"/>
        </w:rPr>
        <w:t xml:space="preserve"> whether </w:t>
      </w:r>
      <w:r w:rsidR="00610752" w:rsidRPr="00207DC2">
        <w:rPr>
          <w:lang w:val="en-AU"/>
        </w:rPr>
        <w:t xml:space="preserve">the </w:t>
      </w:r>
      <w:r w:rsidR="00F076E9" w:rsidRPr="00207DC2">
        <w:rPr>
          <w:lang w:val="en-AU"/>
        </w:rPr>
        <w:t>CDP has led to increased employment outcomes</w:t>
      </w:r>
      <w:r w:rsidRPr="00207DC2">
        <w:rPr>
          <w:lang w:val="en-AU"/>
        </w:rPr>
        <w:t>, this report</w:t>
      </w:r>
      <w:r w:rsidR="009E153B" w:rsidRPr="00207DC2">
        <w:rPr>
          <w:lang w:val="en-AU"/>
        </w:rPr>
        <w:t xml:space="preserve"> uses a number of modelling approaches to </w:t>
      </w:r>
      <w:r w:rsidR="00E46C60" w:rsidRPr="00207DC2">
        <w:rPr>
          <w:lang w:val="en-AU"/>
        </w:rPr>
        <w:t>estimate</w:t>
      </w:r>
      <w:r w:rsidR="00A87492" w:rsidRPr="00207DC2">
        <w:rPr>
          <w:lang w:val="en-AU"/>
        </w:rPr>
        <w:t xml:space="preserve"> </w:t>
      </w:r>
      <w:r w:rsidR="009E153B" w:rsidRPr="00207DC2">
        <w:rPr>
          <w:lang w:val="en-AU"/>
        </w:rPr>
        <w:t>the change</w:t>
      </w:r>
      <w:r w:rsidRPr="00207DC2" w:rsidDel="009E153B">
        <w:rPr>
          <w:lang w:val="en-AU"/>
        </w:rPr>
        <w:t xml:space="preserve"> in </w:t>
      </w:r>
      <w:r w:rsidRPr="00207DC2">
        <w:rPr>
          <w:lang w:val="en-AU"/>
        </w:rPr>
        <w:t>the share of program participants obtaining employment outcomes (job placements</w:t>
      </w:r>
      <w:r w:rsidR="000A7DF7" w:rsidRPr="00207DC2">
        <w:rPr>
          <w:lang w:val="en-AU"/>
        </w:rPr>
        <w:t>,</w:t>
      </w:r>
      <w:r w:rsidRPr="00207DC2">
        <w:rPr>
          <w:lang w:val="en-AU"/>
        </w:rPr>
        <w:t xml:space="preserve"> 13</w:t>
      </w:r>
      <w:r w:rsidRPr="00207DC2">
        <w:rPr>
          <w:lang w:val="en-AU"/>
        </w:rPr>
        <w:noBreakHyphen/>
      </w:r>
      <w:r w:rsidR="000A7DF7" w:rsidRPr="00207DC2">
        <w:rPr>
          <w:lang w:val="en-AU"/>
        </w:rPr>
        <w:t>week</w:t>
      </w:r>
      <w:r w:rsidRPr="00207DC2">
        <w:rPr>
          <w:lang w:val="en-AU"/>
        </w:rPr>
        <w:t xml:space="preserve"> and 26</w:t>
      </w:r>
      <w:r w:rsidRPr="00207DC2">
        <w:rPr>
          <w:lang w:val="en-AU"/>
        </w:rPr>
        <w:noBreakHyphen/>
        <w:t>week outcomes) under</w:t>
      </w:r>
      <w:r w:rsidR="009E153B" w:rsidRPr="00207DC2">
        <w:rPr>
          <w:lang w:val="en-AU"/>
        </w:rPr>
        <w:t xml:space="preserve"> the</w:t>
      </w:r>
      <w:r w:rsidRPr="00207DC2">
        <w:rPr>
          <w:lang w:val="en-AU"/>
        </w:rPr>
        <w:t xml:space="preserve"> CDP</w:t>
      </w:r>
      <w:r w:rsidR="00D903BD" w:rsidRPr="00207DC2">
        <w:rPr>
          <w:lang w:val="en-AU"/>
        </w:rPr>
        <w:t xml:space="preserve">. </w:t>
      </w:r>
      <w:r w:rsidR="00422A56" w:rsidRPr="00207DC2">
        <w:rPr>
          <w:lang w:val="en-AU"/>
        </w:rPr>
        <w:t>The analysis</w:t>
      </w:r>
      <w:r w:rsidR="000A7DF7" w:rsidRPr="00207DC2">
        <w:rPr>
          <w:lang w:val="en-AU"/>
        </w:rPr>
        <w:t xml:space="preserve"> undertaken</w:t>
      </w:r>
      <w:r w:rsidR="00422A56" w:rsidRPr="00207DC2">
        <w:rPr>
          <w:lang w:val="en-AU"/>
        </w:rPr>
        <w:t xml:space="preserve"> models changes in</w:t>
      </w:r>
      <w:r w:rsidR="00D903BD" w:rsidRPr="00207DC2">
        <w:rPr>
          <w:lang w:val="en-AU"/>
        </w:rPr>
        <w:t xml:space="preserve"> employment</w:t>
      </w:r>
      <w:r w:rsidRPr="00207DC2">
        <w:rPr>
          <w:lang w:val="en-AU"/>
        </w:rPr>
        <w:t xml:space="preserve"> outcomes under the RJCP</w:t>
      </w:r>
      <w:r w:rsidR="00422A56" w:rsidRPr="00207DC2">
        <w:rPr>
          <w:lang w:val="en-AU"/>
        </w:rPr>
        <w:t xml:space="preserve"> and CDP</w:t>
      </w:r>
      <w:r w:rsidR="009B2D13" w:rsidRPr="00207DC2">
        <w:rPr>
          <w:lang w:val="en-AU"/>
        </w:rPr>
        <w:t xml:space="preserve">, and </w:t>
      </w:r>
      <w:r w:rsidR="00422A56" w:rsidRPr="00207DC2">
        <w:rPr>
          <w:lang w:val="en-AU"/>
        </w:rPr>
        <w:t>uses</w:t>
      </w:r>
      <w:r w:rsidR="009B2D13" w:rsidRPr="00207DC2">
        <w:rPr>
          <w:lang w:val="en-AU"/>
        </w:rPr>
        <w:t xml:space="preserve"> </w:t>
      </w:r>
      <w:r w:rsidR="003E1670" w:rsidRPr="00207DC2">
        <w:rPr>
          <w:lang w:val="en-AU"/>
        </w:rPr>
        <w:t>quasi</w:t>
      </w:r>
      <w:r w:rsidR="003E1670" w:rsidRPr="00207DC2">
        <w:rPr>
          <w:lang w:val="en-AU"/>
        </w:rPr>
        <w:noBreakHyphen/>
      </w:r>
      <w:r w:rsidR="009B2D13" w:rsidRPr="00207DC2">
        <w:rPr>
          <w:lang w:val="en-AU"/>
        </w:rPr>
        <w:t xml:space="preserve">experimental </w:t>
      </w:r>
      <w:r w:rsidR="005631B4">
        <w:rPr>
          <w:lang w:val="en-AU"/>
        </w:rPr>
        <w:t>difference-in-difference</w:t>
      </w:r>
      <w:r w:rsidR="003E1670" w:rsidRPr="00207DC2">
        <w:rPr>
          <w:lang w:val="en-AU"/>
        </w:rPr>
        <w:t xml:space="preserve"> models </w:t>
      </w:r>
      <w:r w:rsidR="00422A56" w:rsidRPr="00207DC2">
        <w:rPr>
          <w:lang w:val="en-AU"/>
        </w:rPr>
        <w:t>to</w:t>
      </w:r>
      <w:r w:rsidR="003E1670" w:rsidRPr="00207DC2">
        <w:rPr>
          <w:lang w:val="en-AU"/>
        </w:rPr>
        <w:t xml:space="preserve"> </w:t>
      </w:r>
      <w:r w:rsidR="009B2D13" w:rsidRPr="00207DC2">
        <w:rPr>
          <w:lang w:val="en-AU"/>
        </w:rPr>
        <w:t>com</w:t>
      </w:r>
      <w:r w:rsidR="003E1670" w:rsidRPr="00207DC2">
        <w:rPr>
          <w:lang w:val="en-AU"/>
        </w:rPr>
        <w:t>par</w:t>
      </w:r>
      <w:r w:rsidR="00422A56" w:rsidRPr="00207DC2">
        <w:rPr>
          <w:lang w:val="en-AU"/>
        </w:rPr>
        <w:t>e</w:t>
      </w:r>
      <w:r w:rsidR="009B2D13" w:rsidRPr="00207DC2">
        <w:rPr>
          <w:lang w:val="en-AU"/>
        </w:rPr>
        <w:t xml:space="preserve"> </w:t>
      </w:r>
      <w:r w:rsidRPr="00207DC2">
        <w:rPr>
          <w:lang w:val="en-AU"/>
        </w:rPr>
        <w:t xml:space="preserve">the change in employment outcomes before and after the introduction of </w:t>
      </w:r>
      <w:r w:rsidR="00422A56" w:rsidRPr="00207DC2">
        <w:rPr>
          <w:lang w:val="en-AU"/>
        </w:rPr>
        <w:t xml:space="preserve">the </w:t>
      </w:r>
      <w:r w:rsidRPr="00207DC2">
        <w:rPr>
          <w:lang w:val="en-AU"/>
        </w:rPr>
        <w:t xml:space="preserve">CDP with changes in employment outcomes in neighbouring mainstream </w:t>
      </w:r>
      <w:r w:rsidR="003E1670" w:rsidRPr="00207DC2">
        <w:rPr>
          <w:lang w:val="en-AU"/>
        </w:rPr>
        <w:t xml:space="preserve">employment </w:t>
      </w:r>
      <w:r w:rsidRPr="00207DC2">
        <w:rPr>
          <w:lang w:val="en-AU"/>
        </w:rPr>
        <w:t xml:space="preserve">regions. </w:t>
      </w:r>
    </w:p>
    <w:p w14:paraId="7FCA2F62" w14:textId="77777777" w:rsidR="00A97492" w:rsidRPr="00587744" w:rsidRDefault="00197994" w:rsidP="001946B0">
      <w:pPr>
        <w:pStyle w:val="Heading3"/>
        <w:rPr>
          <w:sz w:val="20"/>
        </w:rPr>
      </w:pPr>
      <w:bookmarkStart w:id="123" w:name="_Toc535935039"/>
      <w:r w:rsidRPr="00587744">
        <w:rPr>
          <w:sz w:val="20"/>
        </w:rPr>
        <w:t>The administrative d</w:t>
      </w:r>
      <w:r w:rsidR="00A97492" w:rsidRPr="00587744">
        <w:rPr>
          <w:sz w:val="20"/>
        </w:rPr>
        <w:t>ata</w:t>
      </w:r>
      <w:bookmarkEnd w:id="123"/>
    </w:p>
    <w:p w14:paraId="0A88CEB9" w14:textId="77777777" w:rsidR="00E56E22" w:rsidRPr="00207DC2" w:rsidRDefault="00DA5636" w:rsidP="00942D00">
      <w:pPr>
        <w:tabs>
          <w:tab w:val="left" w:pos="6096"/>
        </w:tabs>
        <w:jc w:val="both"/>
        <w:rPr>
          <w:lang w:val="en-AU"/>
        </w:rPr>
      </w:pPr>
      <w:r w:rsidRPr="00207DC2">
        <w:rPr>
          <w:lang w:val="en-AU"/>
        </w:rPr>
        <w:t xml:space="preserve">The </w:t>
      </w:r>
      <w:r w:rsidR="00767457" w:rsidRPr="00207DC2">
        <w:rPr>
          <w:lang w:val="en-AU"/>
        </w:rPr>
        <w:t xml:space="preserve">analysis in this report draws on data from the </w:t>
      </w:r>
      <w:r w:rsidR="001C69E5" w:rsidRPr="00207DC2">
        <w:rPr>
          <w:lang w:val="en-AU"/>
        </w:rPr>
        <w:t>Department of Jobs and Small Business</w:t>
      </w:r>
      <w:r w:rsidR="00FC3532" w:rsidRPr="00207DC2">
        <w:rPr>
          <w:lang w:val="en-AU"/>
        </w:rPr>
        <w:t>’</w:t>
      </w:r>
      <w:r w:rsidR="001C69E5" w:rsidRPr="00207DC2">
        <w:rPr>
          <w:lang w:val="en-AU"/>
        </w:rPr>
        <w:t xml:space="preserve"> </w:t>
      </w:r>
      <w:r w:rsidR="00767457" w:rsidRPr="00207DC2">
        <w:rPr>
          <w:i/>
          <w:lang w:val="en-AU"/>
        </w:rPr>
        <w:t>Employment Services System</w:t>
      </w:r>
      <w:r w:rsidR="00767457" w:rsidRPr="00207DC2">
        <w:rPr>
          <w:lang w:val="en-AU"/>
        </w:rPr>
        <w:t xml:space="preserve"> and Department of Human Services</w:t>
      </w:r>
      <w:r w:rsidR="00FC3532" w:rsidRPr="00207DC2">
        <w:rPr>
          <w:lang w:val="en-AU"/>
        </w:rPr>
        <w:t>’</w:t>
      </w:r>
      <w:r w:rsidR="00767457" w:rsidRPr="00207DC2" w:rsidDel="00FD52EA">
        <w:rPr>
          <w:lang w:val="en-AU"/>
        </w:rPr>
        <w:t xml:space="preserve"> </w:t>
      </w:r>
      <w:r w:rsidR="007120E1" w:rsidRPr="00207DC2">
        <w:rPr>
          <w:lang w:val="en-AU"/>
        </w:rPr>
        <w:t>a</w:t>
      </w:r>
      <w:r w:rsidR="00767457" w:rsidRPr="00207DC2">
        <w:rPr>
          <w:lang w:val="en-AU"/>
        </w:rPr>
        <w:t xml:space="preserve">dministrative </w:t>
      </w:r>
      <w:r w:rsidR="007120E1" w:rsidRPr="00207DC2">
        <w:rPr>
          <w:lang w:val="en-AU"/>
        </w:rPr>
        <w:t>s</w:t>
      </w:r>
      <w:r w:rsidR="00767457" w:rsidRPr="00207DC2">
        <w:rPr>
          <w:lang w:val="en-AU"/>
        </w:rPr>
        <w:t xml:space="preserve">ystem. </w:t>
      </w:r>
      <w:r w:rsidR="006072CF" w:rsidRPr="00207DC2">
        <w:rPr>
          <w:lang w:val="en-AU"/>
        </w:rPr>
        <w:t>I</w:t>
      </w:r>
      <w:r w:rsidR="00172D97" w:rsidRPr="00207DC2">
        <w:rPr>
          <w:lang w:val="en-AU"/>
        </w:rPr>
        <w:t xml:space="preserve">nformation on </w:t>
      </w:r>
      <w:r w:rsidR="007120E1" w:rsidRPr="00207DC2">
        <w:rPr>
          <w:lang w:val="en-AU"/>
        </w:rPr>
        <w:t xml:space="preserve">program </w:t>
      </w:r>
      <w:r w:rsidR="00172D97" w:rsidRPr="00207DC2">
        <w:rPr>
          <w:lang w:val="en-AU"/>
        </w:rPr>
        <w:t>participant</w:t>
      </w:r>
      <w:r w:rsidR="007120E1" w:rsidRPr="00207DC2">
        <w:rPr>
          <w:lang w:val="en-AU"/>
        </w:rPr>
        <w:t>’s</w:t>
      </w:r>
      <w:r w:rsidR="00172D97" w:rsidRPr="00207DC2">
        <w:rPr>
          <w:lang w:val="en-AU"/>
        </w:rPr>
        <w:t xml:space="preserve"> demographic</w:t>
      </w:r>
      <w:r w:rsidR="007120E1" w:rsidRPr="00207DC2">
        <w:rPr>
          <w:lang w:val="en-AU"/>
        </w:rPr>
        <w:t xml:space="preserve"> characteri</w:t>
      </w:r>
      <w:r w:rsidR="00AD3110" w:rsidRPr="00207DC2">
        <w:rPr>
          <w:lang w:val="en-AU"/>
        </w:rPr>
        <w:t>s</w:t>
      </w:r>
      <w:r w:rsidR="007120E1" w:rsidRPr="00207DC2">
        <w:rPr>
          <w:lang w:val="en-AU"/>
        </w:rPr>
        <w:t>t</w:t>
      </w:r>
      <w:r w:rsidR="00AD3110" w:rsidRPr="00207DC2">
        <w:rPr>
          <w:lang w:val="en-AU"/>
        </w:rPr>
        <w:t>i</w:t>
      </w:r>
      <w:r w:rsidR="007120E1" w:rsidRPr="00207DC2">
        <w:rPr>
          <w:lang w:val="en-AU"/>
        </w:rPr>
        <w:t>cs,</w:t>
      </w:r>
      <w:r w:rsidR="00172D97" w:rsidRPr="00207DC2">
        <w:rPr>
          <w:lang w:val="en-AU"/>
        </w:rPr>
        <w:t xml:space="preserve"> barriers to employment, </w:t>
      </w:r>
      <w:r w:rsidR="007120E1" w:rsidRPr="00207DC2">
        <w:rPr>
          <w:lang w:val="en-AU"/>
        </w:rPr>
        <w:t>participation and attendance at</w:t>
      </w:r>
      <w:r w:rsidR="00172D97" w:rsidRPr="00207DC2">
        <w:rPr>
          <w:lang w:val="en-AU"/>
        </w:rPr>
        <w:t xml:space="preserve"> activities and employment outcomes</w:t>
      </w:r>
      <w:r w:rsidR="006072CF" w:rsidRPr="00207DC2">
        <w:rPr>
          <w:lang w:val="en-AU"/>
        </w:rPr>
        <w:t xml:space="preserve"> are extracted from the </w:t>
      </w:r>
      <w:r w:rsidR="006072CF" w:rsidRPr="00207DC2">
        <w:rPr>
          <w:i/>
          <w:lang w:val="en-AU"/>
        </w:rPr>
        <w:t>Employment Services System</w:t>
      </w:r>
      <w:r w:rsidR="00172D97" w:rsidRPr="00207DC2">
        <w:rPr>
          <w:lang w:val="en-AU"/>
        </w:rPr>
        <w:t xml:space="preserve">. </w:t>
      </w:r>
      <w:r w:rsidR="004E737A" w:rsidRPr="00207DC2">
        <w:rPr>
          <w:lang w:val="en-AU"/>
        </w:rPr>
        <w:t>I</w:t>
      </w:r>
      <w:r w:rsidR="00172D97" w:rsidRPr="00207DC2">
        <w:rPr>
          <w:lang w:val="en-AU"/>
        </w:rPr>
        <w:t>nformation on participant activity requirements, exemption</w:t>
      </w:r>
      <w:r w:rsidR="007120E1" w:rsidRPr="00207DC2">
        <w:rPr>
          <w:lang w:val="en-AU"/>
        </w:rPr>
        <w:t xml:space="preserve"> statu</w:t>
      </w:r>
      <w:r w:rsidR="00172D97" w:rsidRPr="00207DC2">
        <w:rPr>
          <w:lang w:val="en-AU"/>
        </w:rPr>
        <w:t xml:space="preserve">s, and benefit histories </w:t>
      </w:r>
      <w:r w:rsidR="006072CF" w:rsidRPr="00207DC2">
        <w:rPr>
          <w:lang w:val="en-AU"/>
        </w:rPr>
        <w:t xml:space="preserve">are </w:t>
      </w:r>
      <w:r w:rsidR="00172D97" w:rsidRPr="00207DC2">
        <w:rPr>
          <w:lang w:val="en-AU"/>
        </w:rPr>
        <w:t>based on data from the Department of Human Services</w:t>
      </w:r>
      <w:r w:rsidR="00172D97" w:rsidRPr="00207DC2" w:rsidDel="00A97492">
        <w:rPr>
          <w:lang w:val="en-AU"/>
        </w:rPr>
        <w:t xml:space="preserve"> </w:t>
      </w:r>
      <w:r w:rsidR="00017551" w:rsidRPr="00207DC2">
        <w:rPr>
          <w:lang w:val="en-AU"/>
        </w:rPr>
        <w:t xml:space="preserve">administrative </w:t>
      </w:r>
      <w:r w:rsidR="00172D97" w:rsidRPr="00207DC2">
        <w:rPr>
          <w:lang w:val="en-AU"/>
        </w:rPr>
        <w:t>system.</w:t>
      </w:r>
      <w:r w:rsidR="006B7F11" w:rsidRPr="00207DC2">
        <w:rPr>
          <w:lang w:val="en-AU"/>
        </w:rPr>
        <w:t xml:space="preserve"> </w:t>
      </w:r>
    </w:p>
    <w:p w14:paraId="3D6F3618" w14:textId="768039B5" w:rsidR="004D7767" w:rsidRPr="00207DC2" w:rsidRDefault="007120E1" w:rsidP="00A0507B">
      <w:pPr>
        <w:tabs>
          <w:tab w:val="left" w:pos="5245"/>
        </w:tabs>
        <w:jc w:val="both"/>
        <w:rPr>
          <w:lang w:val="en-AU"/>
        </w:rPr>
      </w:pPr>
      <w:r w:rsidRPr="00207DC2">
        <w:rPr>
          <w:lang w:val="en-AU"/>
        </w:rPr>
        <w:t xml:space="preserve">While the </w:t>
      </w:r>
      <w:r w:rsidR="00520558" w:rsidRPr="00207DC2">
        <w:rPr>
          <w:lang w:val="en-AU"/>
        </w:rPr>
        <w:t xml:space="preserve">administrative data </w:t>
      </w:r>
      <w:r w:rsidRPr="00207DC2">
        <w:rPr>
          <w:lang w:val="en-AU"/>
        </w:rPr>
        <w:t xml:space="preserve">provides </w:t>
      </w:r>
      <w:r w:rsidR="00520558" w:rsidRPr="00207DC2">
        <w:rPr>
          <w:lang w:val="en-AU"/>
        </w:rPr>
        <w:t xml:space="preserve">rich </w:t>
      </w:r>
      <w:r w:rsidRPr="00207DC2">
        <w:rPr>
          <w:lang w:val="en-AU"/>
        </w:rPr>
        <w:t xml:space="preserve">information on </w:t>
      </w:r>
      <w:r w:rsidR="00520558" w:rsidRPr="00207DC2">
        <w:rPr>
          <w:lang w:val="en-AU"/>
        </w:rPr>
        <w:t xml:space="preserve">the individual characteristics of </w:t>
      </w:r>
      <w:r w:rsidRPr="00207DC2">
        <w:rPr>
          <w:lang w:val="en-AU"/>
        </w:rPr>
        <w:t xml:space="preserve">program </w:t>
      </w:r>
      <w:r w:rsidR="00520558" w:rsidRPr="00207DC2">
        <w:rPr>
          <w:lang w:val="en-AU"/>
        </w:rPr>
        <w:t>participants, the</w:t>
      </w:r>
      <w:r w:rsidR="00AF7124" w:rsidRPr="00207DC2">
        <w:rPr>
          <w:lang w:val="en-AU"/>
        </w:rPr>
        <w:t xml:space="preserve"> data</w:t>
      </w:r>
      <w:r w:rsidR="006B7F11" w:rsidRPr="00207DC2">
        <w:rPr>
          <w:lang w:val="en-AU"/>
        </w:rPr>
        <w:t xml:space="preserve"> </w:t>
      </w:r>
      <w:r w:rsidR="00D87744" w:rsidRPr="00207DC2">
        <w:rPr>
          <w:lang w:val="en-AU"/>
        </w:rPr>
        <w:t>may</w:t>
      </w:r>
      <w:r w:rsidR="00AF7124" w:rsidRPr="00207DC2">
        <w:rPr>
          <w:lang w:val="en-AU"/>
        </w:rPr>
        <w:t xml:space="preserve"> be affected by measurement bias. </w:t>
      </w:r>
      <w:r w:rsidR="00CF19C7" w:rsidRPr="00207DC2">
        <w:rPr>
          <w:lang w:val="en-AU"/>
        </w:rPr>
        <w:t>C</w:t>
      </w:r>
      <w:r w:rsidR="00AF7124" w:rsidRPr="00207DC2">
        <w:rPr>
          <w:lang w:val="en-AU"/>
        </w:rPr>
        <w:t>hanges in the incentive</w:t>
      </w:r>
      <w:r w:rsidR="00C117C2" w:rsidRPr="00207DC2">
        <w:rPr>
          <w:lang w:val="en-AU"/>
        </w:rPr>
        <w:t xml:space="preserve"> or requirement</w:t>
      </w:r>
      <w:r w:rsidR="00AF7124" w:rsidRPr="00207DC2">
        <w:rPr>
          <w:lang w:val="en-AU"/>
        </w:rPr>
        <w:t xml:space="preserve"> for participants and providers to report particular characteristic</w:t>
      </w:r>
      <w:r w:rsidR="00F076E9" w:rsidRPr="00207DC2">
        <w:rPr>
          <w:lang w:val="en-AU"/>
        </w:rPr>
        <w:t>s</w:t>
      </w:r>
      <w:r w:rsidR="00AF7124" w:rsidRPr="00207DC2">
        <w:rPr>
          <w:lang w:val="en-AU"/>
        </w:rPr>
        <w:t xml:space="preserve"> or outcome</w:t>
      </w:r>
      <w:r w:rsidR="00F076E9" w:rsidRPr="00207DC2">
        <w:rPr>
          <w:lang w:val="en-AU"/>
        </w:rPr>
        <w:t>s</w:t>
      </w:r>
      <w:r w:rsidR="00AF7124" w:rsidRPr="00207DC2">
        <w:rPr>
          <w:lang w:val="en-AU"/>
        </w:rPr>
        <w:t xml:space="preserve"> </w:t>
      </w:r>
      <w:r w:rsidR="00BA1D0A" w:rsidRPr="00207DC2">
        <w:rPr>
          <w:lang w:val="en-AU"/>
        </w:rPr>
        <w:t xml:space="preserve">for individuals </w:t>
      </w:r>
      <w:r w:rsidR="00AF7124" w:rsidRPr="00207DC2">
        <w:rPr>
          <w:lang w:val="en-AU"/>
        </w:rPr>
        <w:t xml:space="preserve">in the </w:t>
      </w:r>
      <w:r w:rsidR="00DB1088" w:rsidRPr="00207DC2">
        <w:rPr>
          <w:lang w:val="en-AU"/>
        </w:rPr>
        <w:t>administrative</w:t>
      </w:r>
      <w:r w:rsidR="00AF7124" w:rsidRPr="00207DC2">
        <w:rPr>
          <w:lang w:val="en-AU"/>
        </w:rPr>
        <w:t xml:space="preserve"> system can </w:t>
      </w:r>
      <w:r w:rsidR="00880169" w:rsidRPr="00207DC2">
        <w:rPr>
          <w:lang w:val="en-AU"/>
        </w:rPr>
        <w:t xml:space="preserve">lead to </w:t>
      </w:r>
      <w:r w:rsidR="00F076E9" w:rsidRPr="00207DC2">
        <w:rPr>
          <w:lang w:val="en-AU"/>
        </w:rPr>
        <w:t xml:space="preserve">bias in </w:t>
      </w:r>
      <w:r w:rsidR="00C117C2" w:rsidRPr="00207DC2">
        <w:rPr>
          <w:lang w:val="en-AU"/>
        </w:rPr>
        <w:t xml:space="preserve">the </w:t>
      </w:r>
      <w:r w:rsidR="00F076E9" w:rsidRPr="00207DC2">
        <w:rPr>
          <w:lang w:val="en-AU"/>
        </w:rPr>
        <w:t xml:space="preserve">estimated </w:t>
      </w:r>
      <w:r w:rsidR="00C117C2" w:rsidRPr="00207DC2">
        <w:rPr>
          <w:lang w:val="en-AU"/>
        </w:rPr>
        <w:t>effect</w:t>
      </w:r>
      <w:r w:rsidR="00F076E9" w:rsidRPr="00207DC2">
        <w:rPr>
          <w:lang w:val="en-AU"/>
        </w:rPr>
        <w:t>s</w:t>
      </w:r>
      <w:r w:rsidR="00C117C2" w:rsidRPr="00207DC2">
        <w:rPr>
          <w:lang w:val="en-AU"/>
        </w:rPr>
        <w:t xml:space="preserve"> of the policy</w:t>
      </w:r>
      <w:r w:rsidR="00880169" w:rsidRPr="00207DC2">
        <w:rPr>
          <w:lang w:val="en-AU"/>
        </w:rPr>
        <w:t xml:space="preserve">. </w:t>
      </w:r>
    </w:p>
    <w:p w14:paraId="6E7B1AF8" w14:textId="77777777" w:rsidR="002F004F" w:rsidRPr="00207DC2" w:rsidRDefault="008D00D4" w:rsidP="002D5479">
      <w:pPr>
        <w:tabs>
          <w:tab w:val="left" w:pos="6237"/>
          <w:tab w:val="left" w:pos="6521"/>
        </w:tabs>
        <w:jc w:val="both"/>
        <w:rPr>
          <w:lang w:val="en-AU"/>
        </w:rPr>
      </w:pPr>
      <w:r w:rsidRPr="00207DC2">
        <w:rPr>
          <w:lang w:val="en-AU"/>
        </w:rPr>
        <w:t xml:space="preserve">The administrative data </w:t>
      </w:r>
      <w:r w:rsidR="002D02CD" w:rsidRPr="00207DC2">
        <w:rPr>
          <w:lang w:val="en-AU"/>
        </w:rPr>
        <w:t>are</w:t>
      </w:r>
      <w:r w:rsidR="00886A9C" w:rsidRPr="00207DC2">
        <w:rPr>
          <w:lang w:val="en-AU"/>
        </w:rPr>
        <w:t xml:space="preserve"> </w:t>
      </w:r>
      <w:r w:rsidR="004C4B57" w:rsidRPr="00207DC2">
        <w:rPr>
          <w:lang w:val="en-AU"/>
        </w:rPr>
        <w:t xml:space="preserve">also </w:t>
      </w:r>
      <w:r w:rsidR="00886A9C" w:rsidRPr="00207DC2">
        <w:rPr>
          <w:lang w:val="en-AU"/>
        </w:rPr>
        <w:t xml:space="preserve">limited in the information available </w:t>
      </w:r>
      <w:r w:rsidR="004C4B57" w:rsidRPr="00207DC2">
        <w:rPr>
          <w:lang w:val="en-AU"/>
        </w:rPr>
        <w:t>that can</w:t>
      </w:r>
      <w:r w:rsidR="00886A9C" w:rsidRPr="00207DC2">
        <w:rPr>
          <w:lang w:val="en-AU"/>
        </w:rPr>
        <w:t xml:space="preserve"> shed light on the b</w:t>
      </w:r>
      <w:r w:rsidR="00105B36" w:rsidRPr="00207DC2">
        <w:rPr>
          <w:lang w:val="en-AU"/>
        </w:rPr>
        <w:t>roa</w:t>
      </w:r>
      <w:r w:rsidR="00886A9C" w:rsidRPr="00207DC2">
        <w:rPr>
          <w:lang w:val="en-AU"/>
        </w:rPr>
        <w:t xml:space="preserve">der effects of the </w:t>
      </w:r>
      <w:r w:rsidR="004C4B57" w:rsidRPr="00207DC2">
        <w:rPr>
          <w:lang w:val="en-AU"/>
        </w:rPr>
        <w:t xml:space="preserve">CDP </w:t>
      </w:r>
      <w:r w:rsidR="00886A9C" w:rsidRPr="00207DC2">
        <w:rPr>
          <w:lang w:val="en-AU"/>
        </w:rPr>
        <w:t xml:space="preserve">on the functioning and wellbeing of </w:t>
      </w:r>
      <w:r w:rsidR="004C4B57" w:rsidRPr="00207DC2">
        <w:rPr>
          <w:lang w:val="en-AU"/>
        </w:rPr>
        <w:t xml:space="preserve">program participants </w:t>
      </w:r>
      <w:r w:rsidR="00886A9C" w:rsidRPr="00207DC2">
        <w:rPr>
          <w:lang w:val="en-AU"/>
        </w:rPr>
        <w:t>and the community</w:t>
      </w:r>
      <w:r w:rsidRPr="00207DC2">
        <w:rPr>
          <w:lang w:val="en-AU"/>
        </w:rPr>
        <w:t>. To better understand the</w:t>
      </w:r>
      <w:r w:rsidR="00886A9C" w:rsidRPr="00207DC2">
        <w:rPr>
          <w:lang w:val="en-AU"/>
        </w:rPr>
        <w:t>se</w:t>
      </w:r>
      <w:r w:rsidRPr="00207DC2">
        <w:rPr>
          <w:lang w:val="en-AU"/>
        </w:rPr>
        <w:t xml:space="preserve"> </w:t>
      </w:r>
      <w:r w:rsidR="00C02359" w:rsidRPr="00207DC2">
        <w:rPr>
          <w:lang w:val="en-AU"/>
        </w:rPr>
        <w:t xml:space="preserve">broader </w:t>
      </w:r>
      <w:r w:rsidR="002D5479" w:rsidRPr="00207DC2">
        <w:rPr>
          <w:lang w:val="en-AU"/>
        </w:rPr>
        <w:t xml:space="preserve">views and possible </w:t>
      </w:r>
      <w:r w:rsidR="000B07CA" w:rsidRPr="00207DC2">
        <w:rPr>
          <w:lang w:val="en-AU"/>
        </w:rPr>
        <w:t>contributing circumstances</w:t>
      </w:r>
      <w:r w:rsidR="00C02359" w:rsidRPr="00207DC2">
        <w:rPr>
          <w:lang w:val="en-AU"/>
        </w:rPr>
        <w:t>, f</w:t>
      </w:r>
      <w:r w:rsidR="008E734D" w:rsidRPr="00207DC2">
        <w:rPr>
          <w:lang w:val="en-AU"/>
        </w:rPr>
        <w:t xml:space="preserve">ieldwork </w:t>
      </w:r>
      <w:r w:rsidR="00C02359" w:rsidRPr="00207DC2">
        <w:rPr>
          <w:lang w:val="en-AU"/>
        </w:rPr>
        <w:t>was</w:t>
      </w:r>
      <w:r w:rsidR="008E734D" w:rsidRPr="00207DC2" w:rsidDel="00CD2DAA">
        <w:rPr>
          <w:lang w:val="en-AU"/>
        </w:rPr>
        <w:t xml:space="preserve"> </w:t>
      </w:r>
      <w:r w:rsidR="00C02359" w:rsidRPr="00207DC2">
        <w:rPr>
          <w:lang w:val="en-AU"/>
        </w:rPr>
        <w:t xml:space="preserve">undertaken in </w:t>
      </w:r>
      <w:r w:rsidR="008E734D" w:rsidRPr="00207DC2">
        <w:rPr>
          <w:lang w:val="en-AU"/>
        </w:rPr>
        <w:t>eight remote communities</w:t>
      </w:r>
      <w:r w:rsidR="00C02359" w:rsidRPr="00207DC2">
        <w:rPr>
          <w:lang w:val="en-AU"/>
        </w:rPr>
        <w:t>. The</w:t>
      </w:r>
      <w:r w:rsidR="00C02359" w:rsidRPr="00207DC2" w:rsidDel="00CD2DAA">
        <w:rPr>
          <w:lang w:val="en-AU"/>
        </w:rPr>
        <w:t xml:space="preserve"> </w:t>
      </w:r>
      <w:r w:rsidR="00C02359" w:rsidRPr="00207DC2">
        <w:rPr>
          <w:lang w:val="en-AU"/>
        </w:rPr>
        <w:t>fieldwork report</w:t>
      </w:r>
      <w:r w:rsidR="00B3061D" w:rsidRPr="00207DC2">
        <w:rPr>
          <w:lang w:val="en-AU"/>
        </w:rPr>
        <w:t xml:space="preserve"> </w:t>
      </w:r>
      <w:r w:rsidR="00B3061D" w:rsidRPr="00207DC2">
        <w:rPr>
          <w:i/>
          <w:lang w:val="en-AU"/>
        </w:rPr>
        <w:t xml:space="preserve">The </w:t>
      </w:r>
      <w:r w:rsidR="00F076E9" w:rsidRPr="00207DC2">
        <w:rPr>
          <w:i/>
          <w:lang w:val="en-AU"/>
        </w:rPr>
        <w:t>M</w:t>
      </w:r>
      <w:r w:rsidR="00B3061D" w:rsidRPr="00207DC2">
        <w:rPr>
          <w:i/>
          <w:lang w:val="en-AU"/>
        </w:rPr>
        <w:t xml:space="preserve">any </w:t>
      </w:r>
      <w:r w:rsidR="00F076E9" w:rsidRPr="00207DC2">
        <w:rPr>
          <w:i/>
          <w:lang w:val="en-AU"/>
        </w:rPr>
        <w:t>P</w:t>
      </w:r>
      <w:r w:rsidR="00B3061D" w:rsidRPr="00207DC2">
        <w:rPr>
          <w:i/>
          <w:lang w:val="en-AU"/>
        </w:rPr>
        <w:t xml:space="preserve">athways of the Community Development Programme: Summary </w:t>
      </w:r>
      <w:r w:rsidR="00F076E9" w:rsidRPr="00207DC2">
        <w:rPr>
          <w:i/>
          <w:lang w:val="en-AU"/>
        </w:rPr>
        <w:t>R</w:t>
      </w:r>
      <w:r w:rsidR="00B3061D" w:rsidRPr="00207DC2">
        <w:rPr>
          <w:i/>
          <w:lang w:val="en-AU"/>
        </w:rPr>
        <w:t>eport</w:t>
      </w:r>
      <w:r w:rsidR="00031D5C" w:rsidRPr="00207DC2">
        <w:rPr>
          <w:i/>
          <w:lang w:val="en-AU"/>
        </w:rPr>
        <w:t xml:space="preserve"> of Community Voices and Stakeholder Perspectives </w:t>
      </w:r>
      <w:r w:rsidR="00B3061D" w:rsidRPr="00207DC2">
        <w:rPr>
          <w:i/>
          <w:lang w:val="en-AU"/>
        </w:rPr>
        <w:t xml:space="preserve">from </w:t>
      </w:r>
      <w:r w:rsidR="00F076E9" w:rsidRPr="00207DC2">
        <w:rPr>
          <w:i/>
          <w:lang w:val="en-AU"/>
        </w:rPr>
        <w:t>E</w:t>
      </w:r>
      <w:r w:rsidR="00B3061D" w:rsidRPr="00207DC2">
        <w:rPr>
          <w:i/>
          <w:lang w:val="en-AU"/>
        </w:rPr>
        <w:t xml:space="preserve">ight </w:t>
      </w:r>
      <w:r w:rsidR="00F076E9" w:rsidRPr="00207DC2">
        <w:rPr>
          <w:i/>
          <w:lang w:val="en-AU"/>
        </w:rPr>
        <w:t>C</w:t>
      </w:r>
      <w:r w:rsidR="00B3061D" w:rsidRPr="00207DC2">
        <w:rPr>
          <w:i/>
          <w:lang w:val="en-AU"/>
        </w:rPr>
        <w:t>ommunit</w:t>
      </w:r>
      <w:r w:rsidR="00031D5C" w:rsidRPr="00207DC2">
        <w:rPr>
          <w:i/>
          <w:lang w:val="en-AU"/>
        </w:rPr>
        <w:t>ies</w:t>
      </w:r>
      <w:r w:rsidR="00C02359" w:rsidRPr="00207DC2">
        <w:rPr>
          <w:lang w:val="en-AU"/>
        </w:rPr>
        <w:t xml:space="preserve"> was </w:t>
      </w:r>
      <w:r w:rsidR="008E734D" w:rsidRPr="00207DC2">
        <w:rPr>
          <w:lang w:val="en-AU"/>
        </w:rPr>
        <w:t xml:space="preserve">undertaken </w:t>
      </w:r>
      <w:r w:rsidR="00FC6056" w:rsidRPr="00207DC2">
        <w:rPr>
          <w:lang w:val="en-AU"/>
        </w:rPr>
        <w:t xml:space="preserve">by </w:t>
      </w:r>
      <w:r w:rsidR="00697B49" w:rsidRPr="00207DC2">
        <w:rPr>
          <w:lang w:val="en-AU"/>
        </w:rPr>
        <w:t>Winangali</w:t>
      </w:r>
      <w:r w:rsidR="00FC6056" w:rsidRPr="00207DC2">
        <w:rPr>
          <w:lang w:val="en-AU"/>
        </w:rPr>
        <w:t xml:space="preserve"> in partnership with Ipso</w:t>
      </w:r>
      <w:r w:rsidR="00C02359" w:rsidRPr="00207DC2">
        <w:rPr>
          <w:lang w:val="en-AU"/>
        </w:rPr>
        <w:t>s</w:t>
      </w:r>
      <w:r w:rsidR="008E5BC5" w:rsidRPr="00207DC2">
        <w:rPr>
          <w:lang w:val="en-AU"/>
        </w:rPr>
        <w:t>.</w:t>
      </w:r>
      <w:r w:rsidR="00FC6056" w:rsidRPr="00207DC2">
        <w:rPr>
          <w:lang w:val="en-AU"/>
        </w:rPr>
        <w:t xml:space="preserve"> </w:t>
      </w:r>
      <w:r w:rsidR="00CD2DAA" w:rsidRPr="00207DC2">
        <w:rPr>
          <w:lang w:val="en-AU"/>
        </w:rPr>
        <w:t>Where relevant, k</w:t>
      </w:r>
      <w:r w:rsidR="002137DA" w:rsidRPr="00207DC2">
        <w:rPr>
          <w:lang w:val="en-AU"/>
        </w:rPr>
        <w:t xml:space="preserve">ey findings from the fieldwork </w:t>
      </w:r>
      <w:r w:rsidR="00CD2DAA" w:rsidRPr="00207DC2">
        <w:rPr>
          <w:lang w:val="en-AU"/>
        </w:rPr>
        <w:t>have been drawn on to inform the</w:t>
      </w:r>
      <w:r w:rsidR="00197994" w:rsidRPr="00207DC2">
        <w:rPr>
          <w:lang w:val="en-AU"/>
        </w:rPr>
        <w:t xml:space="preserve"> </w:t>
      </w:r>
      <w:r w:rsidR="00917BDA" w:rsidRPr="00207DC2">
        <w:rPr>
          <w:lang w:val="en-AU"/>
        </w:rPr>
        <w:t xml:space="preserve">evaluation </w:t>
      </w:r>
      <w:r w:rsidR="00197994" w:rsidRPr="00207DC2">
        <w:rPr>
          <w:lang w:val="en-AU"/>
        </w:rPr>
        <w:t xml:space="preserve">of the </w:t>
      </w:r>
      <w:r w:rsidR="00E46C60" w:rsidRPr="00207DC2">
        <w:rPr>
          <w:lang w:val="en-AU"/>
        </w:rPr>
        <w:t>effectiveness</w:t>
      </w:r>
      <w:r w:rsidR="00917BDA" w:rsidRPr="00207DC2">
        <w:rPr>
          <w:lang w:val="en-AU"/>
        </w:rPr>
        <w:t xml:space="preserve"> of the CDP</w:t>
      </w:r>
      <w:r w:rsidR="00AE3442" w:rsidRPr="00207DC2">
        <w:rPr>
          <w:lang w:val="en-AU"/>
        </w:rPr>
        <w:t xml:space="preserve"> in this report</w:t>
      </w:r>
      <w:r w:rsidR="002137DA" w:rsidRPr="00207DC2">
        <w:rPr>
          <w:lang w:val="en-AU"/>
        </w:rPr>
        <w:t>.</w:t>
      </w:r>
    </w:p>
    <w:p w14:paraId="03C69DA6" w14:textId="77777777" w:rsidR="002137DA" w:rsidRPr="00207DC2" w:rsidRDefault="006D0E4E" w:rsidP="00540195">
      <w:pPr>
        <w:jc w:val="both"/>
        <w:rPr>
          <w:lang w:val="en-AU"/>
        </w:rPr>
      </w:pPr>
      <w:r w:rsidRPr="00207DC2">
        <w:rPr>
          <w:lang w:val="en-AU"/>
        </w:rPr>
        <w:t>The rem</w:t>
      </w:r>
      <w:r w:rsidR="00D90F8C" w:rsidRPr="00207DC2">
        <w:rPr>
          <w:lang w:val="en-AU"/>
        </w:rPr>
        <w:t>a</w:t>
      </w:r>
      <w:r w:rsidRPr="00207DC2">
        <w:rPr>
          <w:lang w:val="en-AU"/>
        </w:rPr>
        <w:t xml:space="preserve">inder of this report </w:t>
      </w:r>
      <w:r w:rsidR="002137DA" w:rsidRPr="00207DC2">
        <w:rPr>
          <w:lang w:val="en-AU"/>
        </w:rPr>
        <w:t>is structured as follows:</w:t>
      </w:r>
    </w:p>
    <w:p w14:paraId="759A9F06" w14:textId="77777777" w:rsidR="002137DA" w:rsidRPr="00207DC2" w:rsidRDefault="002137DA" w:rsidP="00F90446">
      <w:pPr>
        <w:pStyle w:val="ListParagraph"/>
        <w:numPr>
          <w:ilvl w:val="0"/>
          <w:numId w:val="22"/>
        </w:numPr>
        <w:jc w:val="both"/>
        <w:rPr>
          <w:lang w:val="en-AU"/>
        </w:rPr>
      </w:pPr>
      <w:r w:rsidRPr="00207DC2">
        <w:rPr>
          <w:lang w:val="en-AU"/>
        </w:rPr>
        <w:t xml:space="preserve">Chapter 2 </w:t>
      </w:r>
      <w:r w:rsidR="00BE2733" w:rsidRPr="00207DC2">
        <w:rPr>
          <w:lang w:val="en-AU"/>
        </w:rPr>
        <w:t>examines program</w:t>
      </w:r>
      <w:r w:rsidR="009454B6" w:rsidRPr="00207DC2">
        <w:rPr>
          <w:lang w:val="en-AU"/>
        </w:rPr>
        <w:t xml:space="preserve"> participation and</w:t>
      </w:r>
      <w:r w:rsidR="00BE2733" w:rsidRPr="00207DC2">
        <w:rPr>
          <w:lang w:val="en-AU"/>
        </w:rPr>
        <w:t xml:space="preserve"> </w:t>
      </w:r>
      <w:r w:rsidR="00E74776" w:rsidRPr="00207DC2">
        <w:rPr>
          <w:lang w:val="en-AU"/>
        </w:rPr>
        <w:t xml:space="preserve">attendance </w:t>
      </w:r>
      <w:r w:rsidR="00BE2733" w:rsidRPr="00207DC2">
        <w:rPr>
          <w:lang w:val="en-AU"/>
        </w:rPr>
        <w:t>a</w:t>
      </w:r>
      <w:r w:rsidR="009454B6" w:rsidRPr="00207DC2">
        <w:rPr>
          <w:lang w:val="en-AU"/>
        </w:rPr>
        <w:t>t</w:t>
      </w:r>
      <w:r w:rsidR="00BE2733" w:rsidRPr="00207DC2">
        <w:rPr>
          <w:lang w:val="en-AU"/>
        </w:rPr>
        <w:t xml:space="preserve"> </w:t>
      </w:r>
      <w:r w:rsidR="00DA492A" w:rsidRPr="00207DC2">
        <w:rPr>
          <w:lang w:val="en-AU"/>
        </w:rPr>
        <w:t>Work for the Dole activities</w:t>
      </w:r>
      <w:r w:rsidR="009454B6" w:rsidRPr="00207DC2">
        <w:rPr>
          <w:lang w:val="en-AU"/>
        </w:rPr>
        <w:t xml:space="preserve"> unde</w:t>
      </w:r>
      <w:r w:rsidR="00D268AB" w:rsidRPr="00207DC2">
        <w:rPr>
          <w:lang w:val="en-AU"/>
        </w:rPr>
        <w:t>r</w:t>
      </w:r>
      <w:r w:rsidR="009454B6" w:rsidRPr="00207DC2">
        <w:rPr>
          <w:lang w:val="en-AU"/>
        </w:rPr>
        <w:t xml:space="preserve"> the CDP</w:t>
      </w:r>
    </w:p>
    <w:p w14:paraId="47D3B273" w14:textId="77777777" w:rsidR="002137DA" w:rsidRPr="00207DC2" w:rsidRDefault="00AB3230" w:rsidP="00F90446">
      <w:pPr>
        <w:pStyle w:val="ListParagraph"/>
        <w:numPr>
          <w:ilvl w:val="0"/>
          <w:numId w:val="22"/>
        </w:numPr>
        <w:jc w:val="both"/>
        <w:rPr>
          <w:lang w:val="en-AU"/>
        </w:rPr>
      </w:pPr>
      <w:r w:rsidRPr="00207DC2">
        <w:rPr>
          <w:lang w:val="en-AU"/>
        </w:rPr>
        <w:t xml:space="preserve">Chapter 3 examines </w:t>
      </w:r>
      <w:r w:rsidR="00BE2733" w:rsidRPr="00207DC2">
        <w:rPr>
          <w:lang w:val="en-AU"/>
        </w:rPr>
        <w:t>trends in</w:t>
      </w:r>
      <w:r w:rsidRPr="00207DC2">
        <w:rPr>
          <w:lang w:val="en-AU"/>
        </w:rPr>
        <w:t xml:space="preserve"> financial penalties </w:t>
      </w:r>
      <w:r w:rsidR="00BE2733" w:rsidRPr="00207DC2">
        <w:rPr>
          <w:lang w:val="en-AU"/>
        </w:rPr>
        <w:t xml:space="preserve">and </w:t>
      </w:r>
      <w:r w:rsidR="0022699F" w:rsidRPr="00207DC2">
        <w:rPr>
          <w:lang w:val="en-AU"/>
        </w:rPr>
        <w:t xml:space="preserve">payment </w:t>
      </w:r>
      <w:r w:rsidR="00BE2733" w:rsidRPr="00207DC2">
        <w:rPr>
          <w:lang w:val="en-AU"/>
        </w:rPr>
        <w:t>suspensions</w:t>
      </w:r>
      <w:r w:rsidR="00B41E3E" w:rsidRPr="00207DC2">
        <w:rPr>
          <w:lang w:val="en-AU"/>
        </w:rPr>
        <w:t>,</w:t>
      </w:r>
      <w:r w:rsidR="00BE2733" w:rsidRPr="00207DC2">
        <w:rPr>
          <w:lang w:val="en-AU"/>
        </w:rPr>
        <w:t xml:space="preserve"> and </w:t>
      </w:r>
      <w:r w:rsidR="007D12AE" w:rsidRPr="00207DC2">
        <w:rPr>
          <w:lang w:val="en-AU"/>
        </w:rPr>
        <w:t>th</w:t>
      </w:r>
      <w:r w:rsidR="00E74776" w:rsidRPr="00207DC2">
        <w:rPr>
          <w:lang w:val="en-AU"/>
        </w:rPr>
        <w:t>e</w:t>
      </w:r>
      <w:r w:rsidR="008D60F7" w:rsidRPr="00207DC2">
        <w:rPr>
          <w:lang w:val="en-AU"/>
        </w:rPr>
        <w:t xml:space="preserve"> financial impact on participants</w:t>
      </w:r>
      <w:r w:rsidR="00AE3442" w:rsidRPr="00207DC2">
        <w:rPr>
          <w:lang w:val="en-AU"/>
        </w:rPr>
        <w:t xml:space="preserve"> and communities</w:t>
      </w:r>
    </w:p>
    <w:p w14:paraId="1F71B6A1" w14:textId="77777777" w:rsidR="002137DA" w:rsidRPr="00207DC2" w:rsidRDefault="00DA492A" w:rsidP="00F90446">
      <w:pPr>
        <w:pStyle w:val="ListParagraph"/>
        <w:numPr>
          <w:ilvl w:val="0"/>
          <w:numId w:val="22"/>
        </w:numPr>
        <w:jc w:val="both"/>
        <w:rPr>
          <w:lang w:val="en-AU"/>
        </w:rPr>
      </w:pPr>
      <w:r w:rsidRPr="00207DC2">
        <w:rPr>
          <w:lang w:val="en-AU"/>
        </w:rPr>
        <w:t>Chapter 4 presents findings on employment outcomes</w:t>
      </w:r>
      <w:r w:rsidR="00B41E3E" w:rsidRPr="00207DC2">
        <w:rPr>
          <w:lang w:val="en-AU"/>
        </w:rPr>
        <w:t>,</w:t>
      </w:r>
      <w:r w:rsidRPr="00207DC2">
        <w:rPr>
          <w:lang w:val="en-AU"/>
        </w:rPr>
        <w:t xml:space="preserve"> and whether they have improved as a result </w:t>
      </w:r>
      <w:r w:rsidR="00980E6F" w:rsidRPr="00207DC2">
        <w:rPr>
          <w:lang w:val="en-AU"/>
        </w:rPr>
        <w:t>of the introduction of the</w:t>
      </w:r>
      <w:r w:rsidRPr="00207DC2">
        <w:rPr>
          <w:lang w:val="en-AU"/>
        </w:rPr>
        <w:t xml:space="preserve"> CDP</w:t>
      </w:r>
    </w:p>
    <w:p w14:paraId="6877F196" w14:textId="77777777" w:rsidR="00166865" w:rsidRPr="00207DC2" w:rsidRDefault="00B41E3E" w:rsidP="00F90446">
      <w:pPr>
        <w:pStyle w:val="ListParagraph"/>
        <w:numPr>
          <w:ilvl w:val="0"/>
          <w:numId w:val="22"/>
        </w:numPr>
        <w:jc w:val="both"/>
        <w:rPr>
          <w:lang w:val="en-AU"/>
        </w:rPr>
      </w:pPr>
      <w:r w:rsidRPr="00207DC2">
        <w:rPr>
          <w:lang w:val="en-AU"/>
        </w:rPr>
        <w:t xml:space="preserve">Chapter 5 presents </w:t>
      </w:r>
      <w:r w:rsidR="00E74776" w:rsidRPr="00207DC2">
        <w:rPr>
          <w:lang w:val="en-AU"/>
        </w:rPr>
        <w:t xml:space="preserve">an overall discussion of </w:t>
      </w:r>
      <w:r w:rsidR="00BB6E37" w:rsidRPr="00207DC2">
        <w:rPr>
          <w:lang w:val="en-AU"/>
        </w:rPr>
        <w:t>findings</w:t>
      </w:r>
      <w:r w:rsidR="00EA6181" w:rsidRPr="00207DC2">
        <w:rPr>
          <w:lang w:val="en-AU"/>
        </w:rPr>
        <w:t>.</w:t>
      </w:r>
    </w:p>
    <w:p w14:paraId="5C7C030C" w14:textId="77777777" w:rsidR="008A3668" w:rsidRPr="00207DC2" w:rsidRDefault="008A3668" w:rsidP="002D2D1B">
      <w:pPr>
        <w:rPr>
          <w:lang w:val="en-AU"/>
        </w:rPr>
      </w:pPr>
      <w:bookmarkStart w:id="124" w:name="_Toc509582263"/>
      <w:bookmarkStart w:id="125" w:name="_Toc509582332"/>
      <w:bookmarkStart w:id="126" w:name="_Toc509412969"/>
      <w:bookmarkEnd w:id="124"/>
      <w:bookmarkEnd w:id="125"/>
    </w:p>
    <w:p w14:paraId="1C8DD15B" w14:textId="77777777" w:rsidR="00CB6E7D" w:rsidRPr="00207DC2" w:rsidRDefault="0093684D" w:rsidP="0021431F">
      <w:pPr>
        <w:pStyle w:val="ZED11"/>
        <w:ind w:left="357" w:hanging="357"/>
        <w:outlineLvl w:val="1"/>
      </w:pPr>
      <w:bookmarkStart w:id="127" w:name="_Toc518468049"/>
      <w:bookmarkStart w:id="128" w:name="_Toc518487829"/>
      <w:bookmarkStart w:id="129" w:name="_Toc518558793"/>
      <w:bookmarkStart w:id="130" w:name="_Toc518565316"/>
      <w:bookmarkStart w:id="131" w:name="_Toc518565560"/>
      <w:bookmarkStart w:id="132" w:name="_Toc519504731"/>
      <w:bookmarkStart w:id="133" w:name="_Toc519505955"/>
      <w:bookmarkStart w:id="134" w:name="_Toc519844061"/>
      <w:bookmarkStart w:id="135" w:name="_Toc521068563"/>
      <w:bookmarkStart w:id="136" w:name="_Toc521391077"/>
      <w:bookmarkStart w:id="137" w:name="_Toc522013246"/>
      <w:bookmarkStart w:id="138" w:name="_Toc534965156"/>
      <w:bookmarkStart w:id="139" w:name="_Toc535935040"/>
      <w:bookmarkEnd w:id="126"/>
      <w:r w:rsidRPr="00207DC2">
        <w:t xml:space="preserve">Participation and </w:t>
      </w:r>
      <w:r w:rsidR="00C27E2F" w:rsidRPr="00207DC2">
        <w:t>attendance</w:t>
      </w:r>
      <w:bookmarkEnd w:id="127"/>
      <w:bookmarkEnd w:id="128"/>
      <w:bookmarkEnd w:id="129"/>
      <w:bookmarkEnd w:id="130"/>
      <w:bookmarkEnd w:id="131"/>
      <w:bookmarkEnd w:id="132"/>
      <w:bookmarkEnd w:id="133"/>
      <w:bookmarkEnd w:id="134"/>
      <w:bookmarkEnd w:id="135"/>
      <w:bookmarkEnd w:id="136"/>
      <w:bookmarkEnd w:id="137"/>
      <w:bookmarkEnd w:id="138"/>
      <w:bookmarkEnd w:id="1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Points Table"/>
        <w:tblDescription w:val="• There were close to 33,000 people participating in the Community Development Programme (CDP) in June 2017; down from around 37,000 participants when the program commenced in July 2015. The decline in the number of program participants occurred predominantly among volunteers and those aged under 30 years. &#10;• Close to three in four CDP participants were classified as having moderate to extreme barriers to employment based on the Job Seeker Classification Instrument. The high prevalence of CDP participants with barriers to employment reflects, in part, the high share of CDP participants living in very remote areas with limited labour market opportunities. This is particularly relevant for Indigenous participants, of whom 76 per cent lived in very remote communities, compared with 35 per cent of non-Indigenous participants.&#10;• The proportion of program participants enrolled in any activity increased steadily under the Remote Jobs and Communities Program (RJCP) and has further increased under the CDP — from 57 per cent in June 2015 to 76 per cent in June 2017. This is consistent with the increased incentives under the CDP provider payment model to enrol, record and report attendance at activities. &#10;• Under the CDP, attendance at Work for the Dole activities has remained fairly stable. Among those enrolled, on any given day, the majority (between 70 and 80 per cent) attend or provide a valid reason for not attending.&#10;• On any given day, between 20 and 30 per cent of participants do not attend and do not provide a valid reason for not attending Work for the Dole activities, referred to as invalid non attendance. Modelling suggests that invalid non attendance is more common among those who are younger, those who are Indigenous, and some subgroups facing employment and communication barriers – including those with no post-school education, those with no private transport, and those who are not contactable by phone.&#10;• Unidentified health issues may also play a role in explaining higher rates of invalid non-attendance among some, particularly Indigenous, participants. In June 2017, five per cent of activity tested income support recipients living in CDP regions had a medical exemption, compared with ten per cent of those living in non-CDP regions. The rate of medical exemptions is lower again for those living in CDP areas who identify as Indigenous — three per cent in June 2017 — despite a higher burden of disease among Indigenous peoples and those living in remote areas.&#10;"/>
      </w:tblPr>
      <w:tblGrid>
        <w:gridCol w:w="9099"/>
      </w:tblGrid>
      <w:tr w:rsidR="009F4CDA" w:rsidRPr="00207DC2" w14:paraId="005DE996" w14:textId="77777777" w:rsidTr="000A3951">
        <w:trPr>
          <w:tblHeader/>
        </w:trPr>
        <w:tc>
          <w:tcPr>
            <w:tcW w:w="9099" w:type="dxa"/>
            <w:tcBorders>
              <w:top w:val="single" w:sz="4" w:space="0" w:color="auto"/>
              <w:bottom w:val="single" w:sz="4" w:space="0" w:color="auto"/>
            </w:tcBorders>
            <w:shd w:val="clear" w:color="auto" w:fill="D0D2D3" w:themeFill="background2"/>
          </w:tcPr>
          <w:p w14:paraId="07A55C6A" w14:textId="73EF1699" w:rsidR="00DA2E40" w:rsidRPr="003D7FEC" w:rsidRDefault="00DA2E40" w:rsidP="003D7FEC">
            <w:pPr>
              <w:rPr>
                <w:b/>
                <w:lang w:val="en-AU"/>
              </w:rPr>
            </w:pPr>
            <w:r w:rsidRPr="003D7FEC">
              <w:rPr>
                <w:rFonts w:ascii="Montserrat" w:hAnsi="Montserrat"/>
                <w:b/>
                <w:lang w:val="en-AU"/>
              </w:rPr>
              <w:t>Key Poin</w:t>
            </w:r>
            <w:r w:rsidR="003D7FEC" w:rsidRPr="003D7FEC">
              <w:rPr>
                <w:rFonts w:ascii="Montserrat" w:hAnsi="Montserrat"/>
                <w:b/>
                <w:lang w:val="en-AU"/>
              </w:rPr>
              <w:t>ts</w:t>
            </w:r>
          </w:p>
          <w:p w14:paraId="6DD70581" w14:textId="77777777" w:rsidR="00C27E2F" w:rsidRPr="008050A9" w:rsidRDefault="00F840B8" w:rsidP="00F90446">
            <w:pPr>
              <w:pStyle w:val="ListParagraph"/>
              <w:numPr>
                <w:ilvl w:val="0"/>
                <w:numId w:val="38"/>
              </w:numPr>
              <w:spacing w:after="120"/>
              <w:ind w:left="714" w:hanging="357"/>
              <w:contextualSpacing w:val="0"/>
              <w:rPr>
                <w:lang w:val="en-AU"/>
              </w:rPr>
            </w:pPr>
            <w:r w:rsidRPr="008050A9">
              <w:rPr>
                <w:lang w:val="en-AU"/>
              </w:rPr>
              <w:t>T</w:t>
            </w:r>
            <w:r w:rsidR="00C27E2F" w:rsidRPr="008050A9">
              <w:rPr>
                <w:lang w:val="en-AU"/>
              </w:rPr>
              <w:t>he</w:t>
            </w:r>
            <w:r w:rsidRPr="008050A9">
              <w:rPr>
                <w:lang w:val="en-AU"/>
              </w:rPr>
              <w:t xml:space="preserve">re were </w:t>
            </w:r>
            <w:r w:rsidR="00A64589" w:rsidRPr="008050A9">
              <w:rPr>
                <w:lang w:val="en-AU"/>
              </w:rPr>
              <w:t>close to 3</w:t>
            </w:r>
            <w:r w:rsidR="00677F32" w:rsidRPr="008050A9">
              <w:rPr>
                <w:lang w:val="en-AU"/>
              </w:rPr>
              <w:t>3</w:t>
            </w:r>
            <w:r w:rsidR="00A64589" w:rsidRPr="008050A9">
              <w:rPr>
                <w:lang w:val="en-AU"/>
              </w:rPr>
              <w:t>,000</w:t>
            </w:r>
            <w:r w:rsidRPr="008050A9">
              <w:rPr>
                <w:lang w:val="en-AU"/>
              </w:rPr>
              <w:t xml:space="preserve"> people </w:t>
            </w:r>
            <w:r w:rsidR="007A3F08" w:rsidRPr="008050A9">
              <w:rPr>
                <w:lang w:val="en-AU"/>
              </w:rPr>
              <w:t>participating in the</w:t>
            </w:r>
            <w:r w:rsidRPr="008050A9">
              <w:rPr>
                <w:lang w:val="en-AU"/>
              </w:rPr>
              <w:t xml:space="preserve"> </w:t>
            </w:r>
            <w:r w:rsidR="00155CCF" w:rsidRPr="008050A9">
              <w:rPr>
                <w:lang w:val="en-AU"/>
              </w:rPr>
              <w:t>Community Development Programme (</w:t>
            </w:r>
            <w:r w:rsidRPr="008050A9">
              <w:rPr>
                <w:lang w:val="en-AU"/>
              </w:rPr>
              <w:t>CDP</w:t>
            </w:r>
            <w:r w:rsidR="00155CCF" w:rsidRPr="008050A9">
              <w:rPr>
                <w:lang w:val="en-AU"/>
              </w:rPr>
              <w:t>)</w:t>
            </w:r>
            <w:r w:rsidRPr="008050A9">
              <w:rPr>
                <w:lang w:val="en-AU"/>
              </w:rPr>
              <w:t xml:space="preserve"> </w:t>
            </w:r>
            <w:r w:rsidR="00071A50" w:rsidRPr="008050A9">
              <w:rPr>
                <w:lang w:val="en-AU"/>
              </w:rPr>
              <w:t xml:space="preserve">in </w:t>
            </w:r>
            <w:r w:rsidR="00330EFB" w:rsidRPr="008050A9">
              <w:rPr>
                <w:lang w:val="en-AU"/>
              </w:rPr>
              <w:t>J</w:t>
            </w:r>
            <w:r w:rsidR="00561A06" w:rsidRPr="008050A9">
              <w:rPr>
                <w:lang w:val="en-AU"/>
              </w:rPr>
              <w:t>une</w:t>
            </w:r>
            <w:r w:rsidR="00330EFB" w:rsidRPr="008050A9">
              <w:rPr>
                <w:lang w:val="en-AU"/>
              </w:rPr>
              <w:t> 2017</w:t>
            </w:r>
            <w:r w:rsidR="001D3998" w:rsidRPr="008050A9">
              <w:rPr>
                <w:lang w:val="en-AU"/>
              </w:rPr>
              <w:t>; down from around 37,</w:t>
            </w:r>
            <w:r w:rsidR="007A3F08" w:rsidRPr="008050A9">
              <w:rPr>
                <w:lang w:val="en-AU"/>
              </w:rPr>
              <w:t xml:space="preserve">000 </w:t>
            </w:r>
            <w:r w:rsidR="00071A50" w:rsidRPr="008050A9">
              <w:rPr>
                <w:lang w:val="en-AU"/>
              </w:rPr>
              <w:t xml:space="preserve">participants </w:t>
            </w:r>
            <w:r w:rsidR="007A3F08" w:rsidRPr="008050A9">
              <w:rPr>
                <w:lang w:val="en-AU"/>
              </w:rPr>
              <w:t>when the program commenced in July 2015</w:t>
            </w:r>
            <w:r w:rsidR="00E164D4" w:rsidRPr="008050A9">
              <w:rPr>
                <w:lang w:val="en-AU"/>
              </w:rPr>
              <w:t>.</w:t>
            </w:r>
            <w:r w:rsidR="001E11A2" w:rsidRPr="008050A9">
              <w:rPr>
                <w:lang w:val="en-AU"/>
              </w:rPr>
              <w:t xml:space="preserve"> </w:t>
            </w:r>
            <w:r w:rsidRPr="008050A9">
              <w:rPr>
                <w:lang w:val="en-AU"/>
              </w:rPr>
              <w:t xml:space="preserve">The </w:t>
            </w:r>
            <w:r w:rsidR="00330EFB" w:rsidRPr="008050A9">
              <w:rPr>
                <w:lang w:val="en-AU"/>
              </w:rPr>
              <w:t xml:space="preserve">decline in the number of program </w:t>
            </w:r>
            <w:r w:rsidR="007B77D4" w:rsidRPr="008050A9">
              <w:rPr>
                <w:lang w:val="en-AU"/>
              </w:rPr>
              <w:t>participants</w:t>
            </w:r>
            <w:r w:rsidR="00330EFB" w:rsidRPr="008050A9">
              <w:rPr>
                <w:lang w:val="en-AU"/>
              </w:rPr>
              <w:t xml:space="preserve"> </w:t>
            </w:r>
            <w:r w:rsidR="00295876" w:rsidRPr="008050A9">
              <w:rPr>
                <w:lang w:val="en-AU"/>
              </w:rPr>
              <w:t xml:space="preserve">occurred </w:t>
            </w:r>
            <w:r w:rsidR="00FC47FF" w:rsidRPr="008050A9">
              <w:rPr>
                <w:lang w:val="en-AU"/>
              </w:rPr>
              <w:t xml:space="preserve">predominantly </w:t>
            </w:r>
            <w:r w:rsidR="00BD1A70" w:rsidRPr="008050A9">
              <w:rPr>
                <w:lang w:val="en-AU"/>
              </w:rPr>
              <w:t>among volunteers and those</w:t>
            </w:r>
            <w:r w:rsidR="00563276" w:rsidRPr="008050A9">
              <w:rPr>
                <w:lang w:val="en-AU"/>
              </w:rPr>
              <w:t xml:space="preserve"> aged </w:t>
            </w:r>
            <w:r w:rsidR="00121724" w:rsidRPr="008050A9">
              <w:rPr>
                <w:lang w:val="en-AU"/>
              </w:rPr>
              <w:t>under 30</w:t>
            </w:r>
            <w:r w:rsidR="00E837CF" w:rsidRPr="008050A9">
              <w:rPr>
                <w:lang w:val="en-AU"/>
              </w:rPr>
              <w:t> years</w:t>
            </w:r>
            <w:r w:rsidR="00C27E2F" w:rsidRPr="008050A9">
              <w:rPr>
                <w:lang w:val="en-AU"/>
              </w:rPr>
              <w:t xml:space="preserve">. </w:t>
            </w:r>
          </w:p>
          <w:p w14:paraId="6CFB0C23" w14:textId="37D79800" w:rsidR="00AE1CF1" w:rsidRPr="008050A9" w:rsidRDefault="00913915" w:rsidP="00F90446">
            <w:pPr>
              <w:pStyle w:val="ListParagraph"/>
              <w:numPr>
                <w:ilvl w:val="0"/>
                <w:numId w:val="38"/>
              </w:numPr>
              <w:spacing w:after="120"/>
              <w:ind w:left="714" w:hanging="357"/>
              <w:contextualSpacing w:val="0"/>
              <w:rPr>
                <w:lang w:val="en-AU"/>
              </w:rPr>
            </w:pPr>
            <w:r w:rsidRPr="008050A9">
              <w:rPr>
                <w:lang w:val="en-AU"/>
              </w:rPr>
              <w:t xml:space="preserve">Close to three in four CDP participants were classified as having </w:t>
            </w:r>
            <w:r w:rsidRPr="008050A9">
              <w:rPr>
                <w:i/>
                <w:lang w:val="en-AU"/>
              </w:rPr>
              <w:t>moderate to extreme</w:t>
            </w:r>
            <w:r w:rsidRPr="008050A9">
              <w:rPr>
                <w:lang w:val="en-AU"/>
              </w:rPr>
              <w:t xml:space="preserve"> barriers to employment based on the Job Seeker Classification Instrument. </w:t>
            </w:r>
            <w:r w:rsidR="004629E3" w:rsidRPr="008050A9">
              <w:rPr>
                <w:lang w:val="en-AU"/>
              </w:rPr>
              <w:t>The high</w:t>
            </w:r>
            <w:r w:rsidR="00AE1CF1" w:rsidRPr="008050A9">
              <w:rPr>
                <w:lang w:val="en-AU"/>
              </w:rPr>
              <w:t xml:space="preserve"> prevalence of CDP participants with barriers to employment</w:t>
            </w:r>
            <w:r w:rsidR="007B77D4" w:rsidRPr="008050A9">
              <w:rPr>
                <w:lang w:val="en-AU"/>
              </w:rPr>
              <w:t xml:space="preserve"> </w:t>
            </w:r>
            <w:r w:rsidR="00781DBF" w:rsidRPr="008050A9">
              <w:rPr>
                <w:lang w:val="en-AU"/>
              </w:rPr>
              <w:t>reflects</w:t>
            </w:r>
            <w:r w:rsidR="007B77D4" w:rsidRPr="008050A9">
              <w:rPr>
                <w:lang w:val="en-AU"/>
              </w:rPr>
              <w:t>, in part,</w:t>
            </w:r>
            <w:r w:rsidR="00AE1CF1" w:rsidRPr="008050A9">
              <w:rPr>
                <w:lang w:val="en-AU"/>
              </w:rPr>
              <w:t xml:space="preserve"> </w:t>
            </w:r>
            <w:r w:rsidR="0093584D" w:rsidRPr="008050A9">
              <w:rPr>
                <w:lang w:val="en-AU"/>
              </w:rPr>
              <w:t>the high share of</w:t>
            </w:r>
            <w:r w:rsidR="00D14893" w:rsidRPr="008050A9">
              <w:rPr>
                <w:lang w:val="en-AU"/>
              </w:rPr>
              <w:t xml:space="preserve"> CDP participants</w:t>
            </w:r>
            <w:r w:rsidR="0093584D" w:rsidRPr="008050A9">
              <w:rPr>
                <w:lang w:val="en-AU"/>
              </w:rPr>
              <w:t xml:space="preserve"> </w:t>
            </w:r>
            <w:r w:rsidR="00D14893" w:rsidRPr="008050A9">
              <w:rPr>
                <w:lang w:val="en-AU"/>
              </w:rPr>
              <w:t>liv</w:t>
            </w:r>
            <w:r w:rsidR="00781DBF" w:rsidRPr="008050A9">
              <w:rPr>
                <w:lang w:val="en-AU"/>
              </w:rPr>
              <w:t>ing</w:t>
            </w:r>
            <w:r w:rsidR="00D14893" w:rsidRPr="008050A9">
              <w:rPr>
                <w:lang w:val="en-AU"/>
              </w:rPr>
              <w:t xml:space="preserve"> in very remote areas </w:t>
            </w:r>
            <w:r w:rsidR="0093584D" w:rsidRPr="008050A9">
              <w:rPr>
                <w:lang w:val="en-AU"/>
              </w:rPr>
              <w:t>with limited labour market opportunities</w:t>
            </w:r>
            <w:r w:rsidR="00AE1CF1" w:rsidRPr="008050A9">
              <w:rPr>
                <w:lang w:val="en-AU"/>
              </w:rPr>
              <w:t xml:space="preserve">. </w:t>
            </w:r>
            <w:r w:rsidR="0093584D" w:rsidRPr="008050A9">
              <w:rPr>
                <w:lang w:val="en-AU"/>
              </w:rPr>
              <w:t xml:space="preserve">This </w:t>
            </w:r>
            <w:r w:rsidR="007B77D4" w:rsidRPr="008050A9">
              <w:rPr>
                <w:lang w:val="en-AU"/>
              </w:rPr>
              <w:t xml:space="preserve">is </w:t>
            </w:r>
            <w:r w:rsidR="0093584D" w:rsidRPr="008050A9">
              <w:rPr>
                <w:lang w:val="en-AU"/>
              </w:rPr>
              <w:t>particularly</w:t>
            </w:r>
            <w:r w:rsidR="00D654CD" w:rsidRPr="008050A9">
              <w:rPr>
                <w:lang w:val="en-AU"/>
              </w:rPr>
              <w:t xml:space="preserve"> relevant for</w:t>
            </w:r>
            <w:r w:rsidR="0093584D" w:rsidRPr="008050A9">
              <w:rPr>
                <w:lang w:val="en-AU"/>
              </w:rPr>
              <w:t xml:space="preserve"> Indigenous participants</w:t>
            </w:r>
            <w:r w:rsidR="00D654CD" w:rsidRPr="008050A9">
              <w:rPr>
                <w:lang w:val="en-AU"/>
              </w:rPr>
              <w:t>,</w:t>
            </w:r>
            <w:r w:rsidR="0093584D" w:rsidRPr="008050A9">
              <w:rPr>
                <w:lang w:val="en-AU"/>
              </w:rPr>
              <w:t xml:space="preserve"> of </w:t>
            </w:r>
            <w:r w:rsidR="007B77D4" w:rsidRPr="008050A9">
              <w:rPr>
                <w:lang w:val="en-AU"/>
              </w:rPr>
              <w:t>whom</w:t>
            </w:r>
            <w:r w:rsidR="00D654CD" w:rsidRPr="008050A9">
              <w:rPr>
                <w:lang w:val="en-AU"/>
              </w:rPr>
              <w:t xml:space="preserve"> </w:t>
            </w:r>
            <w:r w:rsidR="0093584D" w:rsidRPr="008050A9">
              <w:rPr>
                <w:lang w:val="en-AU"/>
              </w:rPr>
              <w:t>76 per</w:t>
            </w:r>
            <w:r w:rsidR="00CD06D0" w:rsidRPr="008050A9">
              <w:rPr>
                <w:lang w:val="en-AU"/>
              </w:rPr>
              <w:t xml:space="preserve"> cent </w:t>
            </w:r>
            <w:r w:rsidR="0093584D" w:rsidRPr="008050A9">
              <w:rPr>
                <w:lang w:val="en-AU"/>
              </w:rPr>
              <w:t xml:space="preserve">lived in very remote </w:t>
            </w:r>
            <w:r w:rsidR="00CD06D0" w:rsidRPr="008050A9">
              <w:rPr>
                <w:lang w:val="en-AU"/>
              </w:rPr>
              <w:t>communities</w:t>
            </w:r>
            <w:r w:rsidR="007B77D4" w:rsidRPr="008050A9">
              <w:rPr>
                <w:lang w:val="en-AU"/>
              </w:rPr>
              <w:t xml:space="preserve">, </w:t>
            </w:r>
            <w:r w:rsidR="0093584D" w:rsidRPr="008050A9">
              <w:rPr>
                <w:lang w:val="en-AU"/>
              </w:rPr>
              <w:t xml:space="preserve">compared </w:t>
            </w:r>
            <w:r w:rsidR="00D654CD" w:rsidRPr="008050A9">
              <w:rPr>
                <w:lang w:val="en-AU"/>
              </w:rPr>
              <w:t>with</w:t>
            </w:r>
            <w:r w:rsidR="0093584D" w:rsidRPr="008050A9">
              <w:rPr>
                <w:lang w:val="en-AU"/>
              </w:rPr>
              <w:t xml:space="preserve"> 35</w:t>
            </w:r>
            <w:r w:rsidR="00D654CD" w:rsidRPr="008050A9">
              <w:rPr>
                <w:lang w:val="en-AU"/>
              </w:rPr>
              <w:t> </w:t>
            </w:r>
            <w:r w:rsidR="0093584D" w:rsidRPr="008050A9">
              <w:rPr>
                <w:lang w:val="en-AU"/>
              </w:rPr>
              <w:t>per</w:t>
            </w:r>
            <w:r w:rsidR="00D654CD" w:rsidRPr="008050A9">
              <w:rPr>
                <w:lang w:val="en-AU"/>
              </w:rPr>
              <w:t> </w:t>
            </w:r>
            <w:r w:rsidR="0093584D" w:rsidRPr="008050A9">
              <w:rPr>
                <w:lang w:val="en-AU"/>
              </w:rPr>
              <w:t>cent of non-Indigenous participants.</w:t>
            </w:r>
          </w:p>
          <w:p w14:paraId="760D98AB" w14:textId="41CBFFAF" w:rsidR="00A75CF6" w:rsidRPr="008050A9" w:rsidRDefault="00381F11" w:rsidP="00F90446">
            <w:pPr>
              <w:pStyle w:val="ListParagraph"/>
              <w:numPr>
                <w:ilvl w:val="0"/>
                <w:numId w:val="38"/>
              </w:numPr>
              <w:spacing w:after="120"/>
              <w:ind w:left="714" w:hanging="357"/>
              <w:contextualSpacing w:val="0"/>
              <w:rPr>
                <w:lang w:val="en-AU"/>
              </w:rPr>
            </w:pPr>
            <w:r w:rsidRPr="008050A9">
              <w:rPr>
                <w:lang w:val="en-AU"/>
              </w:rPr>
              <w:t xml:space="preserve">The proportion of program participants </w:t>
            </w:r>
            <w:r w:rsidR="00CB38FB" w:rsidRPr="008050A9">
              <w:rPr>
                <w:lang w:val="en-AU"/>
              </w:rPr>
              <w:t>enrolled</w:t>
            </w:r>
            <w:r w:rsidRPr="008050A9">
              <w:rPr>
                <w:lang w:val="en-AU"/>
              </w:rPr>
              <w:t xml:space="preserve"> in </w:t>
            </w:r>
            <w:r w:rsidR="009C2846" w:rsidRPr="008050A9">
              <w:rPr>
                <w:lang w:val="en-AU"/>
              </w:rPr>
              <w:t xml:space="preserve">any </w:t>
            </w:r>
            <w:r w:rsidRPr="008050A9">
              <w:rPr>
                <w:lang w:val="en-AU"/>
              </w:rPr>
              <w:t>activit</w:t>
            </w:r>
            <w:r w:rsidR="009C2846" w:rsidRPr="008050A9">
              <w:rPr>
                <w:lang w:val="en-AU"/>
              </w:rPr>
              <w:t>y</w:t>
            </w:r>
            <w:r w:rsidRPr="008050A9">
              <w:rPr>
                <w:lang w:val="en-AU"/>
              </w:rPr>
              <w:t xml:space="preserve"> increased </w:t>
            </w:r>
            <w:r w:rsidR="009C2846" w:rsidRPr="008050A9">
              <w:rPr>
                <w:lang w:val="en-AU"/>
              </w:rPr>
              <w:t xml:space="preserve">steadily </w:t>
            </w:r>
            <w:r w:rsidRPr="008050A9">
              <w:rPr>
                <w:lang w:val="en-AU"/>
              </w:rPr>
              <w:t xml:space="preserve">under </w:t>
            </w:r>
            <w:r w:rsidR="00850E0D" w:rsidRPr="008050A9">
              <w:rPr>
                <w:lang w:val="en-AU"/>
              </w:rPr>
              <w:t>the Remote Jobs and</w:t>
            </w:r>
            <w:r w:rsidR="00E136B8" w:rsidRPr="008050A9">
              <w:rPr>
                <w:lang w:val="en-AU"/>
              </w:rPr>
              <w:t xml:space="preserve"> Communities Program</w:t>
            </w:r>
            <w:r w:rsidRPr="008050A9">
              <w:rPr>
                <w:lang w:val="en-AU"/>
              </w:rPr>
              <w:t xml:space="preserve"> and has further increased </w:t>
            </w:r>
            <w:r w:rsidR="003B61AA" w:rsidRPr="008050A9">
              <w:rPr>
                <w:lang w:val="en-AU"/>
              </w:rPr>
              <w:t>under the</w:t>
            </w:r>
            <w:r w:rsidRPr="008050A9">
              <w:rPr>
                <w:lang w:val="en-AU"/>
              </w:rPr>
              <w:t xml:space="preserve"> CDP</w:t>
            </w:r>
            <w:r w:rsidR="00396552" w:rsidRPr="008050A9">
              <w:rPr>
                <w:lang w:val="en-AU"/>
              </w:rPr>
              <w:t xml:space="preserve"> – </w:t>
            </w:r>
            <w:r w:rsidR="005E6E05" w:rsidRPr="008050A9">
              <w:rPr>
                <w:lang w:val="en-AU"/>
              </w:rPr>
              <w:t>from 57 per cent in June 2015 to 76</w:t>
            </w:r>
            <w:r w:rsidRPr="008050A9">
              <w:rPr>
                <w:lang w:val="en-AU"/>
              </w:rPr>
              <w:t> </w:t>
            </w:r>
            <w:r w:rsidR="005E6E05" w:rsidRPr="008050A9">
              <w:rPr>
                <w:lang w:val="en-AU"/>
              </w:rPr>
              <w:t>per</w:t>
            </w:r>
            <w:r w:rsidRPr="008050A9">
              <w:rPr>
                <w:lang w:val="en-AU"/>
              </w:rPr>
              <w:t> </w:t>
            </w:r>
            <w:r w:rsidR="005E6E05" w:rsidRPr="008050A9">
              <w:rPr>
                <w:lang w:val="en-AU"/>
              </w:rPr>
              <w:t xml:space="preserve">cent </w:t>
            </w:r>
            <w:r w:rsidR="000A1AC9" w:rsidRPr="008050A9">
              <w:rPr>
                <w:lang w:val="en-AU"/>
              </w:rPr>
              <w:t>in</w:t>
            </w:r>
            <w:r w:rsidR="005E6E05" w:rsidRPr="008050A9">
              <w:rPr>
                <w:lang w:val="en-AU"/>
              </w:rPr>
              <w:t xml:space="preserve"> June</w:t>
            </w:r>
            <w:r w:rsidRPr="008050A9">
              <w:rPr>
                <w:lang w:val="en-AU"/>
              </w:rPr>
              <w:t> </w:t>
            </w:r>
            <w:r w:rsidR="005E6E05" w:rsidRPr="008050A9">
              <w:rPr>
                <w:lang w:val="en-AU"/>
              </w:rPr>
              <w:t xml:space="preserve">2017. </w:t>
            </w:r>
            <w:r w:rsidR="007B77D4" w:rsidRPr="008050A9">
              <w:rPr>
                <w:lang w:val="en-AU"/>
              </w:rPr>
              <w:t>This is</w:t>
            </w:r>
            <w:r w:rsidRPr="008050A9">
              <w:rPr>
                <w:lang w:val="en-AU"/>
              </w:rPr>
              <w:t xml:space="preserve"> </w:t>
            </w:r>
            <w:r w:rsidR="008F727D" w:rsidRPr="008050A9">
              <w:rPr>
                <w:lang w:val="en-AU"/>
              </w:rPr>
              <w:t>consistent with the</w:t>
            </w:r>
            <w:r w:rsidRPr="008050A9">
              <w:rPr>
                <w:lang w:val="en-AU"/>
              </w:rPr>
              <w:t xml:space="preserve"> </w:t>
            </w:r>
            <w:r w:rsidR="008F727D" w:rsidRPr="008050A9">
              <w:rPr>
                <w:lang w:val="en-AU"/>
              </w:rPr>
              <w:t>increased</w:t>
            </w:r>
            <w:r w:rsidR="005F1624" w:rsidRPr="008050A9">
              <w:rPr>
                <w:lang w:val="en-AU"/>
              </w:rPr>
              <w:t xml:space="preserve"> </w:t>
            </w:r>
            <w:r w:rsidRPr="008050A9">
              <w:rPr>
                <w:lang w:val="en-AU"/>
              </w:rPr>
              <w:t xml:space="preserve">incentives under the CDP provider payment model </w:t>
            </w:r>
            <w:r w:rsidR="005F1624" w:rsidRPr="008050A9">
              <w:rPr>
                <w:lang w:val="en-AU"/>
              </w:rPr>
              <w:t>to enrol</w:t>
            </w:r>
            <w:r w:rsidR="00215E2E" w:rsidRPr="008050A9">
              <w:rPr>
                <w:lang w:val="en-AU"/>
              </w:rPr>
              <w:t>, record and report attendance</w:t>
            </w:r>
            <w:r w:rsidR="003B7B48" w:rsidRPr="008050A9">
              <w:rPr>
                <w:lang w:val="en-AU"/>
              </w:rPr>
              <w:t xml:space="preserve"> at activities</w:t>
            </w:r>
            <w:r w:rsidR="000E37B9" w:rsidRPr="008050A9">
              <w:rPr>
                <w:bCs/>
                <w:lang w:val="en-AU"/>
              </w:rPr>
              <w:t>.</w:t>
            </w:r>
            <w:r w:rsidR="00A75CF6" w:rsidRPr="008050A9">
              <w:rPr>
                <w:lang w:val="en-AU"/>
              </w:rPr>
              <w:t xml:space="preserve"> </w:t>
            </w:r>
          </w:p>
          <w:p w14:paraId="02A6BF00" w14:textId="14FE4A88" w:rsidR="00A75CF6" w:rsidRPr="008050A9" w:rsidRDefault="00A75CF6" w:rsidP="00F90446">
            <w:pPr>
              <w:pStyle w:val="ListParagraph"/>
              <w:numPr>
                <w:ilvl w:val="0"/>
                <w:numId w:val="38"/>
              </w:numPr>
              <w:spacing w:after="120"/>
              <w:ind w:left="714" w:hanging="357"/>
              <w:contextualSpacing w:val="0"/>
              <w:rPr>
                <w:lang w:val="en-AU"/>
              </w:rPr>
            </w:pPr>
            <w:r w:rsidRPr="008050A9">
              <w:rPr>
                <w:lang w:val="en-AU"/>
              </w:rPr>
              <w:t xml:space="preserve">Under the CDP, attendance at </w:t>
            </w:r>
            <w:r w:rsidR="00E24EE6" w:rsidRPr="008050A9">
              <w:rPr>
                <w:lang w:val="en-AU"/>
              </w:rPr>
              <w:t xml:space="preserve">Work for the Dole </w:t>
            </w:r>
            <w:r w:rsidRPr="008050A9">
              <w:rPr>
                <w:lang w:val="en-AU"/>
              </w:rPr>
              <w:t xml:space="preserve">activities has remained fairly stable. Among those enrolled, </w:t>
            </w:r>
            <w:r w:rsidR="005E317D" w:rsidRPr="008050A9">
              <w:rPr>
                <w:lang w:val="en-AU"/>
              </w:rPr>
              <w:t xml:space="preserve">on any given day, </w:t>
            </w:r>
            <w:r w:rsidRPr="008050A9">
              <w:rPr>
                <w:lang w:val="en-AU"/>
              </w:rPr>
              <w:t>the majority (between 70 and 80 per cent) attend or provide a valid reason for not attending.</w:t>
            </w:r>
          </w:p>
          <w:p w14:paraId="51FA259C" w14:textId="5ECA8406" w:rsidR="00690303" w:rsidRPr="008050A9" w:rsidRDefault="00A75CF6" w:rsidP="00F90446">
            <w:pPr>
              <w:pStyle w:val="ListParagraph"/>
              <w:numPr>
                <w:ilvl w:val="0"/>
                <w:numId w:val="38"/>
              </w:numPr>
              <w:spacing w:after="120"/>
              <w:ind w:left="714" w:hanging="357"/>
              <w:contextualSpacing w:val="0"/>
              <w:rPr>
                <w:lang w:val="en-AU"/>
              </w:rPr>
            </w:pPr>
            <w:r w:rsidRPr="008050A9">
              <w:rPr>
                <w:lang w:val="en-AU"/>
              </w:rPr>
              <w:t>On any given day, between 20 and 30 per cent of participants do not attend and do not provide a valid reason for not attending Work for the Dole activities</w:t>
            </w:r>
            <w:r w:rsidR="002E4F2F" w:rsidRPr="008050A9">
              <w:rPr>
                <w:lang w:val="en-AU"/>
              </w:rPr>
              <w:t xml:space="preserve">, referred to as </w:t>
            </w:r>
            <w:r w:rsidR="002E4F2F" w:rsidRPr="008050A9">
              <w:rPr>
                <w:i/>
                <w:lang w:val="en-AU"/>
              </w:rPr>
              <w:t>invalid non</w:t>
            </w:r>
            <w:r w:rsidR="002E4F2F" w:rsidRPr="008050A9">
              <w:rPr>
                <w:i/>
                <w:lang w:val="en-AU"/>
              </w:rPr>
              <w:noBreakHyphen/>
              <w:t>attendance</w:t>
            </w:r>
            <w:r w:rsidRPr="008050A9">
              <w:rPr>
                <w:lang w:val="en-AU"/>
              </w:rPr>
              <w:t xml:space="preserve">. </w:t>
            </w:r>
            <w:r w:rsidR="00862832" w:rsidRPr="008050A9">
              <w:rPr>
                <w:lang w:val="en-AU"/>
              </w:rPr>
              <w:t xml:space="preserve">Modelling suggests that </w:t>
            </w:r>
            <w:r w:rsidR="00862832" w:rsidRPr="008050A9">
              <w:rPr>
                <w:i/>
                <w:lang w:val="en-AU"/>
              </w:rPr>
              <w:t>invalid non</w:t>
            </w:r>
            <w:r w:rsidR="00862832" w:rsidRPr="008050A9">
              <w:rPr>
                <w:i/>
                <w:lang w:val="en-AU"/>
              </w:rPr>
              <w:noBreakHyphen/>
              <w:t>attendance</w:t>
            </w:r>
            <w:r w:rsidR="00862832" w:rsidRPr="008050A9">
              <w:rPr>
                <w:lang w:val="en-AU"/>
              </w:rPr>
              <w:t xml:space="preserve"> is more common among those who are younger</w:t>
            </w:r>
            <w:r w:rsidR="00BA7089" w:rsidRPr="008050A9">
              <w:rPr>
                <w:lang w:val="en-AU"/>
              </w:rPr>
              <w:t>, those who are Indigenous,</w:t>
            </w:r>
            <w:r w:rsidR="00862832" w:rsidRPr="008050A9">
              <w:rPr>
                <w:lang w:val="en-AU"/>
              </w:rPr>
              <w:t xml:space="preserve"> and some subgroups facing </w:t>
            </w:r>
            <w:r w:rsidR="003B41AF" w:rsidRPr="008050A9">
              <w:rPr>
                <w:lang w:val="en-AU"/>
              </w:rPr>
              <w:t xml:space="preserve">employment and communication </w:t>
            </w:r>
            <w:r w:rsidR="00862832" w:rsidRPr="008050A9">
              <w:rPr>
                <w:lang w:val="en-AU"/>
              </w:rPr>
              <w:t>barriers</w:t>
            </w:r>
            <w:r w:rsidR="007C2807" w:rsidRPr="008050A9">
              <w:rPr>
                <w:lang w:val="en-AU"/>
              </w:rPr>
              <w:t xml:space="preserve"> </w:t>
            </w:r>
            <w:r w:rsidR="00862832" w:rsidRPr="008050A9">
              <w:rPr>
                <w:lang w:val="en-AU"/>
              </w:rPr>
              <w:t>– including those with no post</w:t>
            </w:r>
            <w:r w:rsidR="003E6F0A" w:rsidRPr="008050A9">
              <w:rPr>
                <w:lang w:val="en-AU"/>
              </w:rPr>
              <w:t>-</w:t>
            </w:r>
            <w:r w:rsidR="00862832" w:rsidRPr="008050A9">
              <w:rPr>
                <w:lang w:val="en-AU"/>
              </w:rPr>
              <w:t>school education, those with no private transport, and those who are not contactable by phone.</w:t>
            </w:r>
          </w:p>
          <w:p w14:paraId="0481BDE0" w14:textId="666B3490" w:rsidR="00B57C21" w:rsidRPr="008050A9" w:rsidRDefault="00AF30F9" w:rsidP="00F90446">
            <w:pPr>
              <w:pStyle w:val="ListParagraph"/>
              <w:numPr>
                <w:ilvl w:val="0"/>
                <w:numId w:val="38"/>
              </w:numPr>
              <w:spacing w:after="120"/>
              <w:ind w:left="714" w:hanging="357"/>
              <w:contextualSpacing w:val="0"/>
              <w:rPr>
                <w:lang w:val="en-AU"/>
              </w:rPr>
            </w:pPr>
            <w:r w:rsidRPr="008050A9">
              <w:rPr>
                <w:lang w:val="en-AU"/>
              </w:rPr>
              <w:t>Unidentified h</w:t>
            </w:r>
            <w:r w:rsidR="005B4A06" w:rsidRPr="008050A9">
              <w:rPr>
                <w:lang w:val="en-AU"/>
              </w:rPr>
              <w:t xml:space="preserve">ealth issues </w:t>
            </w:r>
            <w:r w:rsidR="00665FE1" w:rsidRPr="008050A9">
              <w:rPr>
                <w:lang w:val="en-AU"/>
              </w:rPr>
              <w:t xml:space="preserve">may </w:t>
            </w:r>
            <w:r w:rsidR="002E4F2F" w:rsidRPr="008050A9">
              <w:rPr>
                <w:lang w:val="en-AU"/>
              </w:rPr>
              <w:t xml:space="preserve">also </w:t>
            </w:r>
            <w:r w:rsidR="005B4A06" w:rsidRPr="008050A9">
              <w:rPr>
                <w:lang w:val="en-AU"/>
              </w:rPr>
              <w:t xml:space="preserve">play </w:t>
            </w:r>
            <w:r w:rsidR="009318DA" w:rsidRPr="008050A9">
              <w:rPr>
                <w:lang w:val="en-AU"/>
              </w:rPr>
              <w:t>a</w:t>
            </w:r>
            <w:r w:rsidR="005B4A06" w:rsidRPr="008050A9">
              <w:rPr>
                <w:lang w:val="en-AU"/>
              </w:rPr>
              <w:t xml:space="preserve"> role in explaining </w:t>
            </w:r>
            <w:r w:rsidR="00C3012D" w:rsidRPr="008050A9">
              <w:rPr>
                <w:lang w:val="en-AU"/>
              </w:rPr>
              <w:t>high</w:t>
            </w:r>
            <w:r w:rsidR="00311359" w:rsidRPr="008050A9">
              <w:rPr>
                <w:lang w:val="en-AU"/>
              </w:rPr>
              <w:t>er</w:t>
            </w:r>
            <w:r w:rsidR="00C3012D" w:rsidRPr="008050A9">
              <w:rPr>
                <w:lang w:val="en-AU"/>
              </w:rPr>
              <w:t xml:space="preserve"> rate</w:t>
            </w:r>
            <w:r w:rsidR="00665FE1" w:rsidRPr="008050A9">
              <w:rPr>
                <w:lang w:val="en-AU"/>
              </w:rPr>
              <w:t>s</w:t>
            </w:r>
            <w:r w:rsidR="00C3012D" w:rsidRPr="008050A9">
              <w:rPr>
                <w:lang w:val="en-AU"/>
              </w:rPr>
              <w:t xml:space="preserve"> </w:t>
            </w:r>
            <w:r w:rsidR="00665FE1" w:rsidRPr="008050A9">
              <w:rPr>
                <w:lang w:val="en-AU"/>
              </w:rPr>
              <w:t xml:space="preserve">of </w:t>
            </w:r>
            <w:r w:rsidR="00665FE1" w:rsidRPr="008050A9">
              <w:rPr>
                <w:i/>
                <w:lang w:val="en-AU"/>
              </w:rPr>
              <w:t>invalid non-</w:t>
            </w:r>
            <w:r w:rsidR="005B4A06" w:rsidRPr="008050A9">
              <w:rPr>
                <w:i/>
                <w:lang w:val="en-AU"/>
              </w:rPr>
              <w:t>attendance</w:t>
            </w:r>
            <w:r w:rsidR="005B4A06" w:rsidRPr="008050A9">
              <w:rPr>
                <w:lang w:val="en-AU"/>
              </w:rPr>
              <w:t xml:space="preserve"> </w:t>
            </w:r>
            <w:r w:rsidR="0029581C" w:rsidRPr="008050A9">
              <w:rPr>
                <w:lang w:val="en-AU"/>
              </w:rPr>
              <w:t>among some</w:t>
            </w:r>
            <w:r w:rsidR="003B41AF" w:rsidRPr="008050A9">
              <w:rPr>
                <w:lang w:val="en-AU"/>
              </w:rPr>
              <w:t>, particularly Indigenous,</w:t>
            </w:r>
            <w:r w:rsidR="0029581C" w:rsidRPr="008050A9">
              <w:rPr>
                <w:lang w:val="en-AU"/>
              </w:rPr>
              <w:t xml:space="preserve"> participants</w:t>
            </w:r>
            <w:r w:rsidR="005B4A06" w:rsidRPr="008050A9">
              <w:rPr>
                <w:lang w:val="en-AU"/>
              </w:rPr>
              <w:t xml:space="preserve">. </w:t>
            </w:r>
            <w:r w:rsidR="00B57C21" w:rsidRPr="008050A9">
              <w:rPr>
                <w:lang w:val="en-AU"/>
              </w:rPr>
              <w:t xml:space="preserve">In June 2017, five per cent of </w:t>
            </w:r>
            <w:r w:rsidR="00903A7A" w:rsidRPr="008050A9">
              <w:rPr>
                <w:lang w:val="en-AU"/>
              </w:rPr>
              <w:t>activity-tested</w:t>
            </w:r>
            <w:r w:rsidR="00B57C21" w:rsidRPr="008050A9">
              <w:rPr>
                <w:lang w:val="en-AU"/>
              </w:rPr>
              <w:t xml:space="preserve"> income support recipients living in CDP regions had a medical exemption, compared with ten per cent of those living in non</w:t>
            </w:r>
            <w:r w:rsidR="009C1B58" w:rsidRPr="008050A9">
              <w:rPr>
                <w:lang w:val="en-AU"/>
              </w:rPr>
              <w:t>-</w:t>
            </w:r>
            <w:r w:rsidR="00B57C21" w:rsidRPr="008050A9">
              <w:rPr>
                <w:lang w:val="en-AU"/>
              </w:rPr>
              <w:t>CDP regions.</w:t>
            </w:r>
            <w:r w:rsidR="00556EF0" w:rsidRPr="008050A9">
              <w:rPr>
                <w:lang w:val="en-AU"/>
              </w:rPr>
              <w:t xml:space="preserve"> The rate of medical exemptions is lower again for those living in CDP </w:t>
            </w:r>
            <w:r w:rsidR="00DF3314" w:rsidRPr="008050A9">
              <w:rPr>
                <w:lang w:val="en-AU"/>
              </w:rPr>
              <w:t>area</w:t>
            </w:r>
            <w:r w:rsidR="00556EF0" w:rsidRPr="008050A9">
              <w:rPr>
                <w:lang w:val="en-AU"/>
              </w:rPr>
              <w:t>s who identify as Indigenous</w:t>
            </w:r>
            <w:r w:rsidR="00396552" w:rsidRPr="008050A9">
              <w:rPr>
                <w:lang w:val="en-AU"/>
              </w:rPr>
              <w:t xml:space="preserve"> – </w:t>
            </w:r>
            <w:r w:rsidR="00556EF0" w:rsidRPr="008050A9">
              <w:rPr>
                <w:lang w:val="en-AU"/>
              </w:rPr>
              <w:t>three per cent in June 2017</w:t>
            </w:r>
            <w:r w:rsidR="00396552" w:rsidRPr="008050A9">
              <w:rPr>
                <w:lang w:val="en-AU"/>
              </w:rPr>
              <w:t xml:space="preserve"> – </w:t>
            </w:r>
            <w:r w:rsidR="00665FE1" w:rsidRPr="008050A9">
              <w:rPr>
                <w:lang w:val="en-AU"/>
              </w:rPr>
              <w:t>despite a higher burden of disease among Indigenous people</w:t>
            </w:r>
            <w:r w:rsidR="00ED628C" w:rsidRPr="008050A9">
              <w:rPr>
                <w:lang w:val="en-AU"/>
              </w:rPr>
              <w:t>s</w:t>
            </w:r>
            <w:r w:rsidR="00665FE1" w:rsidRPr="008050A9">
              <w:rPr>
                <w:lang w:val="en-AU"/>
              </w:rPr>
              <w:t xml:space="preserve"> and those living in remote areas.</w:t>
            </w:r>
          </w:p>
        </w:tc>
      </w:tr>
    </w:tbl>
    <w:p w14:paraId="2226AB46" w14:textId="183E73D3" w:rsidR="000A53B7" w:rsidRPr="00207DC2" w:rsidRDefault="00AA6AAF" w:rsidP="00216771">
      <w:pPr>
        <w:spacing w:before="240"/>
        <w:jc w:val="both"/>
        <w:rPr>
          <w:lang w:val="en-AU"/>
        </w:rPr>
      </w:pPr>
      <w:r w:rsidRPr="00207DC2">
        <w:rPr>
          <w:lang w:val="en-AU"/>
        </w:rPr>
        <w:t>The</w:t>
      </w:r>
      <w:r w:rsidR="003D1FD6" w:rsidRPr="00207DC2">
        <w:rPr>
          <w:lang w:val="en-AU"/>
        </w:rPr>
        <w:t xml:space="preserve"> </w:t>
      </w:r>
      <w:r w:rsidR="000D1DBD">
        <w:rPr>
          <w:lang w:val="en-AU"/>
        </w:rPr>
        <w:t>Community Development Programme (</w:t>
      </w:r>
      <w:r w:rsidR="003D1FD6" w:rsidRPr="00207DC2">
        <w:rPr>
          <w:lang w:val="en-AU"/>
        </w:rPr>
        <w:t>CDP</w:t>
      </w:r>
      <w:r w:rsidR="000D1DBD">
        <w:rPr>
          <w:lang w:val="en-AU"/>
        </w:rPr>
        <w:t>)</w:t>
      </w:r>
      <w:r w:rsidR="003D1FD6" w:rsidRPr="00207DC2">
        <w:rPr>
          <w:lang w:val="en-AU"/>
        </w:rPr>
        <w:t xml:space="preserve">, like its predecessor the </w:t>
      </w:r>
      <w:r w:rsidR="000D1DBD">
        <w:rPr>
          <w:lang w:val="en-AU"/>
        </w:rPr>
        <w:t>Remote Jobs and Communities Program (</w:t>
      </w:r>
      <w:r w:rsidR="003D1FD6" w:rsidRPr="00207DC2">
        <w:rPr>
          <w:lang w:val="en-AU"/>
        </w:rPr>
        <w:t>RJCP</w:t>
      </w:r>
      <w:r w:rsidR="000D1DBD">
        <w:rPr>
          <w:lang w:val="en-AU"/>
        </w:rPr>
        <w:t>)</w:t>
      </w:r>
      <w:r w:rsidR="003D1FD6" w:rsidRPr="00207DC2">
        <w:rPr>
          <w:lang w:val="en-AU"/>
        </w:rPr>
        <w:t xml:space="preserve">, </w:t>
      </w:r>
      <w:r w:rsidRPr="00207DC2">
        <w:rPr>
          <w:lang w:val="en-AU"/>
        </w:rPr>
        <w:t xml:space="preserve">has elements of </w:t>
      </w:r>
      <w:r w:rsidR="00F076E9" w:rsidRPr="00207DC2">
        <w:rPr>
          <w:lang w:val="en-AU"/>
        </w:rPr>
        <w:t xml:space="preserve">a </w:t>
      </w:r>
      <w:r w:rsidRPr="00207DC2">
        <w:rPr>
          <w:lang w:val="en-AU"/>
        </w:rPr>
        <w:t>community development and labour market program</w:t>
      </w:r>
      <w:r w:rsidR="003D1FD6" w:rsidRPr="00207DC2">
        <w:rPr>
          <w:lang w:val="en-AU"/>
        </w:rPr>
        <w:t xml:space="preserve">. </w:t>
      </w:r>
      <w:r w:rsidR="000A53B7" w:rsidRPr="00207DC2">
        <w:rPr>
          <w:lang w:val="en-AU"/>
        </w:rPr>
        <w:t xml:space="preserve">The CDP aims to increase daily participation in </w:t>
      </w:r>
      <w:r w:rsidR="009631B2" w:rsidRPr="00207DC2">
        <w:rPr>
          <w:lang w:val="en-AU"/>
        </w:rPr>
        <w:t>community activities</w:t>
      </w:r>
      <w:r w:rsidR="00A45418" w:rsidRPr="00207DC2">
        <w:rPr>
          <w:lang w:val="en-AU"/>
        </w:rPr>
        <w:t xml:space="preserve"> </w:t>
      </w:r>
      <w:r w:rsidR="000A53B7" w:rsidRPr="00207DC2">
        <w:rPr>
          <w:lang w:val="en-AU"/>
        </w:rPr>
        <w:t>primarily through a program of Work for the Dole.</w:t>
      </w:r>
      <w:r w:rsidR="00A963A2" w:rsidRPr="00207DC2">
        <w:rPr>
          <w:lang w:val="en-AU"/>
        </w:rPr>
        <w:t xml:space="preserve"> </w:t>
      </w:r>
      <w:r w:rsidR="00A963A2" w:rsidRPr="00207DC2">
        <w:rPr>
          <w:bCs/>
          <w:lang w:val="en-AU"/>
        </w:rPr>
        <w:t>CDP</w:t>
      </w:r>
      <w:r w:rsidR="00A963A2" w:rsidRPr="00207DC2" w:rsidDel="00B57623">
        <w:rPr>
          <w:bCs/>
          <w:lang w:val="en-AU"/>
        </w:rPr>
        <w:t xml:space="preserve"> participants aged 18 to 49 years are generally expected to participate in Work for the Dole for 25 hours across a five</w:t>
      </w:r>
      <w:r w:rsidR="009C1B58" w:rsidRPr="00207DC2" w:rsidDel="00B57623">
        <w:rPr>
          <w:bCs/>
          <w:lang w:val="en-AU"/>
        </w:rPr>
        <w:t>-</w:t>
      </w:r>
      <w:r w:rsidR="00A963A2" w:rsidRPr="00207DC2" w:rsidDel="00B57623">
        <w:rPr>
          <w:bCs/>
          <w:lang w:val="en-AU"/>
        </w:rPr>
        <w:t xml:space="preserve">day week (depending on their assessed capacity to work). </w:t>
      </w:r>
      <w:r w:rsidR="000A53B7" w:rsidRPr="00207DC2">
        <w:rPr>
          <w:lang w:val="en-AU"/>
        </w:rPr>
        <w:t>Participation in Work for the Dole is seen as both a pathway to employment (a means of building skills and a work-like routine) and of keeping people activ</w:t>
      </w:r>
      <w:r w:rsidR="00A004D7" w:rsidRPr="00207DC2">
        <w:rPr>
          <w:lang w:val="en-AU"/>
        </w:rPr>
        <w:t>e and contributing to community</w:t>
      </w:r>
      <w:r w:rsidR="000A53B7" w:rsidRPr="00207DC2">
        <w:rPr>
          <w:lang w:val="en-AU"/>
        </w:rPr>
        <w:t xml:space="preserve"> (</w:t>
      </w:r>
      <w:r w:rsidR="000B0458" w:rsidRPr="00207DC2">
        <w:rPr>
          <w:lang w:val="en-AU"/>
        </w:rPr>
        <w:t>PMC</w:t>
      </w:r>
      <w:r w:rsidR="000A53B7" w:rsidRPr="00207DC2">
        <w:rPr>
          <w:lang w:val="en-AU"/>
        </w:rPr>
        <w:t xml:space="preserve"> 2016)</w:t>
      </w:r>
      <w:r w:rsidR="002438AD" w:rsidRPr="00207DC2">
        <w:rPr>
          <w:lang w:val="en-AU"/>
        </w:rPr>
        <w:t>.</w:t>
      </w:r>
    </w:p>
    <w:p w14:paraId="408563B0" w14:textId="5622B318" w:rsidR="000A53B7" w:rsidRPr="00207DC2" w:rsidRDefault="000A53B7" w:rsidP="000E71E9">
      <w:pPr>
        <w:jc w:val="both"/>
        <w:rPr>
          <w:lang w:val="en-AU"/>
        </w:rPr>
      </w:pPr>
      <w:r w:rsidRPr="00207DC2">
        <w:rPr>
          <w:lang w:val="en-AU"/>
        </w:rPr>
        <w:t xml:space="preserve">This </w:t>
      </w:r>
      <w:r w:rsidR="00A26620" w:rsidRPr="00207DC2">
        <w:rPr>
          <w:lang w:val="en-AU"/>
        </w:rPr>
        <w:t xml:space="preserve">chapter </w:t>
      </w:r>
      <w:r w:rsidR="0011325B" w:rsidRPr="00207DC2">
        <w:rPr>
          <w:lang w:val="en-AU"/>
        </w:rPr>
        <w:t xml:space="preserve">examines </w:t>
      </w:r>
      <w:r w:rsidRPr="00207DC2">
        <w:rPr>
          <w:lang w:val="en-AU"/>
        </w:rPr>
        <w:t>whether the CDP has been effective in increasing participation in</w:t>
      </w:r>
      <w:r w:rsidR="00364562" w:rsidRPr="00207DC2">
        <w:rPr>
          <w:lang w:val="en-AU"/>
        </w:rPr>
        <w:t xml:space="preserve"> </w:t>
      </w:r>
      <w:r w:rsidR="00060BF4" w:rsidRPr="00207DC2">
        <w:rPr>
          <w:lang w:val="en-AU"/>
        </w:rPr>
        <w:t xml:space="preserve">Work for the Dole and other program </w:t>
      </w:r>
      <w:r w:rsidR="00364562" w:rsidRPr="00207DC2">
        <w:rPr>
          <w:lang w:val="en-AU"/>
        </w:rPr>
        <w:t>activities</w:t>
      </w:r>
      <w:r w:rsidR="00FC47FF" w:rsidRPr="00207DC2">
        <w:rPr>
          <w:lang w:val="en-AU"/>
        </w:rPr>
        <w:t xml:space="preserve">. Changes in </w:t>
      </w:r>
      <w:r w:rsidR="00973DE0">
        <w:rPr>
          <w:lang w:val="en-AU"/>
        </w:rPr>
        <w:t xml:space="preserve">participants’ </w:t>
      </w:r>
      <w:r w:rsidR="0033169D" w:rsidRPr="00207DC2">
        <w:rPr>
          <w:lang w:val="en-AU"/>
        </w:rPr>
        <w:t>char</w:t>
      </w:r>
      <w:r w:rsidR="00FC47FF" w:rsidRPr="00207DC2">
        <w:rPr>
          <w:lang w:val="en-AU"/>
        </w:rPr>
        <w:t>acter</w:t>
      </w:r>
      <w:r w:rsidR="00C45611">
        <w:rPr>
          <w:lang w:val="en-AU"/>
        </w:rPr>
        <w:t>istics are described</w:t>
      </w:r>
      <w:r w:rsidR="00FC47FF" w:rsidRPr="00207DC2">
        <w:rPr>
          <w:lang w:val="en-AU"/>
        </w:rPr>
        <w:t xml:space="preserve">, </w:t>
      </w:r>
      <w:r w:rsidR="00C45611">
        <w:rPr>
          <w:lang w:val="en-AU"/>
        </w:rPr>
        <w:t xml:space="preserve">as well as the </w:t>
      </w:r>
      <w:r w:rsidR="00F076E9" w:rsidRPr="00207DC2" w:rsidDel="00FC47FF">
        <w:rPr>
          <w:lang w:val="en-AU"/>
        </w:rPr>
        <w:t>t</w:t>
      </w:r>
      <w:r w:rsidR="00F076E9" w:rsidRPr="00207DC2">
        <w:rPr>
          <w:lang w:val="en-AU"/>
        </w:rPr>
        <w:t xml:space="preserve">rends in </w:t>
      </w:r>
      <w:r w:rsidR="00FC47FF" w:rsidRPr="00207DC2">
        <w:rPr>
          <w:lang w:val="en-AU"/>
        </w:rPr>
        <w:t xml:space="preserve">the </w:t>
      </w:r>
      <w:r w:rsidR="00CD06D0" w:rsidRPr="00207DC2">
        <w:rPr>
          <w:lang w:val="en-AU"/>
        </w:rPr>
        <w:t>enrolment</w:t>
      </w:r>
      <w:r w:rsidR="000E37B9" w:rsidRPr="00207DC2">
        <w:rPr>
          <w:lang w:val="en-AU"/>
        </w:rPr>
        <w:t xml:space="preserve"> </w:t>
      </w:r>
      <w:r w:rsidRPr="00207DC2">
        <w:rPr>
          <w:lang w:val="en-AU"/>
        </w:rPr>
        <w:t xml:space="preserve">and attendance </w:t>
      </w:r>
      <w:r w:rsidR="00FC47FF" w:rsidRPr="00207DC2">
        <w:rPr>
          <w:lang w:val="en-AU"/>
        </w:rPr>
        <w:t>at activities</w:t>
      </w:r>
      <w:r w:rsidRPr="00207DC2">
        <w:rPr>
          <w:lang w:val="en-AU"/>
        </w:rPr>
        <w:t xml:space="preserve">. </w:t>
      </w:r>
    </w:p>
    <w:p w14:paraId="584E26CF" w14:textId="0F5961E6" w:rsidR="00060BF4" w:rsidRPr="00207DC2" w:rsidRDefault="005631B4" w:rsidP="008055FF">
      <w:pPr>
        <w:pStyle w:val="ZED4"/>
        <w:outlineLvl w:val="2"/>
      </w:pPr>
      <w:bookmarkStart w:id="140" w:name="_Toc518468050"/>
      <w:bookmarkStart w:id="141" w:name="_Toc518487830"/>
      <w:bookmarkStart w:id="142" w:name="_Toc518558794"/>
      <w:bookmarkStart w:id="143" w:name="_Toc518565317"/>
      <w:bookmarkStart w:id="144" w:name="_Toc518565561"/>
      <w:bookmarkStart w:id="145" w:name="_Toc519504732"/>
      <w:bookmarkStart w:id="146" w:name="_Toc519505956"/>
      <w:bookmarkStart w:id="147" w:name="_Toc519844062"/>
      <w:bookmarkStart w:id="148" w:name="_Toc521068564"/>
      <w:bookmarkStart w:id="149" w:name="_Toc521391078"/>
      <w:bookmarkStart w:id="150" w:name="_Toc522013247"/>
      <w:bookmarkStart w:id="151" w:name="_Toc534965157"/>
      <w:bookmarkStart w:id="152" w:name="_Toc535935041"/>
      <w:bookmarkStart w:id="153" w:name="_Toc509412970"/>
      <w:bookmarkStart w:id="154" w:name="_Toc509587034"/>
      <w:bookmarkStart w:id="155" w:name="_Toc509588060"/>
      <w:bookmarkStart w:id="156" w:name="_Toc509588323"/>
      <w:bookmarkStart w:id="157" w:name="_Toc509589471"/>
      <w:bookmarkStart w:id="158" w:name="_Toc509926889"/>
      <w:bookmarkStart w:id="159" w:name="_Toc511661239"/>
      <w:bookmarkStart w:id="160" w:name="_Toc511826290"/>
      <w:bookmarkStart w:id="161" w:name="_Toc511940607"/>
      <w:bookmarkStart w:id="162" w:name="_Toc515185452"/>
      <w:bookmarkStart w:id="163" w:name="_Toc516219826"/>
      <w:bookmarkStart w:id="164" w:name="_Toc516220467"/>
      <w:bookmarkStart w:id="165" w:name="_Toc516223287"/>
      <w:bookmarkStart w:id="166" w:name="_Toc516225195"/>
      <w:bookmarkStart w:id="167" w:name="_Toc516228971"/>
      <w:r>
        <w:t>2.1</w:t>
      </w:r>
      <w:r>
        <w:tab/>
      </w:r>
      <w:r w:rsidR="00060BF4" w:rsidRPr="00207DC2">
        <w:t xml:space="preserve">CDP </w:t>
      </w:r>
      <w:r w:rsidR="00B01360" w:rsidRPr="00207DC2">
        <w:t>p</w:t>
      </w:r>
      <w:r w:rsidR="00060BF4" w:rsidRPr="00207DC2">
        <w:t>articipants</w:t>
      </w:r>
      <w:bookmarkEnd w:id="140"/>
      <w:bookmarkEnd w:id="141"/>
      <w:bookmarkEnd w:id="142"/>
      <w:bookmarkEnd w:id="143"/>
      <w:bookmarkEnd w:id="144"/>
      <w:bookmarkEnd w:id="145"/>
      <w:bookmarkEnd w:id="146"/>
      <w:bookmarkEnd w:id="147"/>
      <w:bookmarkEnd w:id="148"/>
      <w:bookmarkEnd w:id="149"/>
      <w:bookmarkEnd w:id="150"/>
      <w:bookmarkEnd w:id="151"/>
      <w:bookmarkEnd w:id="152"/>
    </w:p>
    <w:p w14:paraId="4933C52A" w14:textId="1960C325" w:rsidR="00D62746" w:rsidRPr="00207DC2" w:rsidRDefault="00E720F8" w:rsidP="00677F32">
      <w:pPr>
        <w:jc w:val="both"/>
        <w:rPr>
          <w:lang w:val="en-AU"/>
        </w:rPr>
      </w:pPr>
      <w:r w:rsidRPr="00207DC2">
        <w:rPr>
          <w:lang w:val="en-AU"/>
        </w:rPr>
        <w:t xml:space="preserve">As at 1 January 2016, there were close to 35,000 </w:t>
      </w:r>
      <w:r w:rsidR="002D1021" w:rsidRPr="00207DC2">
        <w:rPr>
          <w:lang w:val="en-AU"/>
        </w:rPr>
        <w:t xml:space="preserve">people participating in </w:t>
      </w:r>
      <w:r w:rsidRPr="00207DC2">
        <w:rPr>
          <w:lang w:val="en-AU"/>
        </w:rPr>
        <w:t>the CDP, with the majority living in the Northern Territory, Western Australia and Queensland (</w:t>
      </w:r>
      <w:r w:rsidR="009C6BAF" w:rsidRPr="00207DC2">
        <w:rPr>
          <w:lang w:val="en-AU"/>
        </w:rPr>
        <w:t xml:space="preserve">Appendix A, </w:t>
      </w:r>
      <w:r w:rsidRPr="00207DC2">
        <w:rPr>
          <w:lang w:val="en-AU"/>
        </w:rPr>
        <w:t xml:space="preserve">Table </w:t>
      </w:r>
      <w:r w:rsidR="009C6BAF" w:rsidRPr="00207DC2">
        <w:rPr>
          <w:lang w:val="en-AU"/>
        </w:rPr>
        <w:t>A.3</w:t>
      </w:r>
      <w:r w:rsidRPr="00207DC2">
        <w:rPr>
          <w:lang w:val="en-AU"/>
        </w:rPr>
        <w:t>)</w:t>
      </w:r>
      <w:r w:rsidR="00F13340" w:rsidRPr="00207DC2">
        <w:rPr>
          <w:lang w:val="en-AU"/>
        </w:rPr>
        <w:t>.</w:t>
      </w:r>
      <w:r w:rsidR="0012021F" w:rsidRPr="00207DC2">
        <w:rPr>
          <w:rStyle w:val="FootnoteReference"/>
          <w:lang w:val="en-AU"/>
        </w:rPr>
        <w:footnoteReference w:id="15"/>
      </w:r>
      <w:r w:rsidRPr="00207DC2">
        <w:rPr>
          <w:lang w:val="en-AU"/>
        </w:rPr>
        <w:t xml:space="preserve"> </w:t>
      </w:r>
    </w:p>
    <w:p w14:paraId="621FC0A9" w14:textId="3C3D6EC1" w:rsidR="00E720F8" w:rsidRPr="00207DC2" w:rsidRDefault="00156549" w:rsidP="00677F32">
      <w:pPr>
        <w:jc w:val="both"/>
        <w:rPr>
          <w:lang w:val="en-AU"/>
        </w:rPr>
      </w:pPr>
      <w:r w:rsidRPr="00207DC2">
        <w:rPr>
          <w:lang w:val="en-AU"/>
        </w:rPr>
        <w:t>Of these partic</w:t>
      </w:r>
      <w:r w:rsidR="0051577C" w:rsidRPr="00207DC2">
        <w:rPr>
          <w:lang w:val="en-AU"/>
        </w:rPr>
        <w:t>i</w:t>
      </w:r>
      <w:r w:rsidRPr="00207DC2">
        <w:rPr>
          <w:lang w:val="en-AU"/>
        </w:rPr>
        <w:t>pants, a</w:t>
      </w:r>
      <w:r w:rsidR="00E720F8" w:rsidRPr="00207DC2">
        <w:rPr>
          <w:lang w:val="en-AU"/>
        </w:rPr>
        <w:t xml:space="preserve">round 84 per cent identified as Aboriginal </w:t>
      </w:r>
      <w:r w:rsidR="00850E0D" w:rsidRPr="00207DC2">
        <w:rPr>
          <w:lang w:val="en-AU"/>
        </w:rPr>
        <w:t>and/</w:t>
      </w:r>
      <w:r w:rsidR="00E720F8" w:rsidRPr="00207DC2">
        <w:rPr>
          <w:lang w:val="en-AU"/>
        </w:rPr>
        <w:t xml:space="preserve">or Torres Strait Islander. </w:t>
      </w:r>
      <w:r w:rsidR="007853E8" w:rsidRPr="00207DC2">
        <w:rPr>
          <w:lang w:val="en-AU"/>
        </w:rPr>
        <w:t>Reflecting their younger age profile</w:t>
      </w:r>
      <w:r w:rsidR="00F01C84" w:rsidRPr="00207DC2">
        <w:rPr>
          <w:lang w:val="en-AU"/>
        </w:rPr>
        <w:t xml:space="preserve"> </w:t>
      </w:r>
      <w:r w:rsidR="001A30E6" w:rsidRPr="00207DC2">
        <w:rPr>
          <w:lang w:val="en-AU"/>
        </w:rPr>
        <w:t xml:space="preserve">(Table 2.1), a larger proportion </w:t>
      </w:r>
      <w:r w:rsidR="008A099A" w:rsidRPr="00207DC2">
        <w:rPr>
          <w:lang w:val="en-AU"/>
        </w:rPr>
        <w:t xml:space="preserve">of </w:t>
      </w:r>
      <w:r w:rsidR="007853E8" w:rsidRPr="00207DC2">
        <w:rPr>
          <w:lang w:val="en-AU"/>
        </w:rPr>
        <w:t xml:space="preserve">Aboriginal </w:t>
      </w:r>
      <w:r w:rsidR="00850E0D" w:rsidRPr="00207DC2">
        <w:rPr>
          <w:lang w:val="en-AU"/>
        </w:rPr>
        <w:t>and/</w:t>
      </w:r>
      <w:r w:rsidR="007853E8" w:rsidRPr="00207DC2">
        <w:rPr>
          <w:lang w:val="en-AU"/>
        </w:rPr>
        <w:t>or Torres Strait Islander</w:t>
      </w:r>
      <w:r w:rsidR="00F01C84" w:rsidRPr="00207DC2">
        <w:rPr>
          <w:lang w:val="en-AU"/>
        </w:rPr>
        <w:t xml:space="preserve"> CDP</w:t>
      </w:r>
      <w:r w:rsidR="007853E8" w:rsidRPr="00207DC2">
        <w:rPr>
          <w:lang w:val="en-AU"/>
        </w:rPr>
        <w:t xml:space="preserve"> </w:t>
      </w:r>
      <w:r w:rsidR="008A099A" w:rsidRPr="00207DC2">
        <w:rPr>
          <w:lang w:val="en-AU"/>
        </w:rPr>
        <w:t xml:space="preserve">participants </w:t>
      </w:r>
      <w:r w:rsidR="007853E8" w:rsidRPr="00207DC2">
        <w:rPr>
          <w:lang w:val="en-AU"/>
        </w:rPr>
        <w:t xml:space="preserve">were </w:t>
      </w:r>
      <w:r w:rsidR="001A30E6" w:rsidRPr="00207DC2">
        <w:rPr>
          <w:lang w:val="en-AU"/>
        </w:rPr>
        <w:t xml:space="preserve">required to </w:t>
      </w:r>
      <w:r w:rsidR="00BC2E4C" w:rsidRPr="00207DC2">
        <w:rPr>
          <w:lang w:val="en-AU"/>
        </w:rPr>
        <w:t xml:space="preserve">attend </w:t>
      </w:r>
      <w:r w:rsidR="001A30E6" w:rsidRPr="00207DC2">
        <w:rPr>
          <w:lang w:val="en-AU"/>
        </w:rPr>
        <w:t>Work for the Dole</w:t>
      </w:r>
      <w:r w:rsidR="007853E8" w:rsidRPr="00207DC2">
        <w:rPr>
          <w:lang w:val="en-AU"/>
        </w:rPr>
        <w:t xml:space="preserve"> activities</w:t>
      </w:r>
      <w:r w:rsidR="00396552">
        <w:rPr>
          <w:lang w:val="en-AU"/>
        </w:rPr>
        <w:t xml:space="preserve"> – </w:t>
      </w:r>
      <w:r w:rsidR="001A30E6" w:rsidRPr="00207DC2">
        <w:rPr>
          <w:lang w:val="en-AU"/>
        </w:rPr>
        <w:t xml:space="preserve">68 per cent </w:t>
      </w:r>
      <w:r w:rsidR="00435B73" w:rsidRPr="00207DC2">
        <w:rPr>
          <w:lang w:val="en-AU"/>
        </w:rPr>
        <w:t>(</w:t>
      </w:r>
      <w:r w:rsidR="001A30E6" w:rsidRPr="00207DC2">
        <w:rPr>
          <w:lang w:val="en-AU"/>
        </w:rPr>
        <w:t>as at 1 January</w:t>
      </w:r>
      <w:r w:rsidR="007853E8" w:rsidRPr="00207DC2">
        <w:rPr>
          <w:lang w:val="en-AU"/>
        </w:rPr>
        <w:t> 2016</w:t>
      </w:r>
      <w:r w:rsidR="00435B73" w:rsidRPr="00207DC2">
        <w:rPr>
          <w:lang w:val="en-AU"/>
        </w:rPr>
        <w:t>)</w:t>
      </w:r>
      <w:r w:rsidR="001A30E6" w:rsidRPr="00207DC2">
        <w:rPr>
          <w:lang w:val="en-AU"/>
        </w:rPr>
        <w:t>, compared to around 52 per cent of those who d</w:t>
      </w:r>
      <w:r w:rsidR="00850E0D" w:rsidRPr="00207DC2">
        <w:rPr>
          <w:lang w:val="en-AU"/>
        </w:rPr>
        <w:t>id</w:t>
      </w:r>
      <w:r w:rsidR="001A30E6" w:rsidRPr="00207DC2">
        <w:rPr>
          <w:lang w:val="en-AU"/>
        </w:rPr>
        <w:t xml:space="preserve"> not identify as Indigenous.</w:t>
      </w:r>
    </w:p>
    <w:p w14:paraId="772EFC84" w14:textId="54E35B64" w:rsidR="00A12903" w:rsidRPr="00207DC2" w:rsidRDefault="006D60D8" w:rsidP="00060BF4">
      <w:pPr>
        <w:jc w:val="both"/>
        <w:rPr>
          <w:lang w:val="en-AU"/>
        </w:rPr>
      </w:pPr>
      <w:r w:rsidRPr="00207DC2">
        <w:rPr>
          <w:lang w:val="en-AU"/>
        </w:rPr>
        <w:t xml:space="preserve">Over the first </w:t>
      </w:r>
      <w:r w:rsidR="005E6890" w:rsidRPr="00207DC2">
        <w:rPr>
          <w:lang w:val="en-AU"/>
        </w:rPr>
        <w:t>two</w:t>
      </w:r>
      <w:r w:rsidR="009B700F" w:rsidRPr="00207DC2">
        <w:rPr>
          <w:lang w:val="en-AU"/>
        </w:rPr>
        <w:t xml:space="preserve"> years</w:t>
      </w:r>
      <w:r w:rsidRPr="00207DC2">
        <w:rPr>
          <w:lang w:val="en-AU"/>
        </w:rPr>
        <w:t> of the CDP, t</w:t>
      </w:r>
      <w:r w:rsidR="00E96AE5" w:rsidRPr="00207DC2">
        <w:rPr>
          <w:lang w:val="en-AU"/>
        </w:rPr>
        <w:t>he number of</w:t>
      </w:r>
      <w:r w:rsidR="00C93975" w:rsidRPr="00207DC2">
        <w:rPr>
          <w:lang w:val="en-AU"/>
        </w:rPr>
        <w:t xml:space="preserve"> </w:t>
      </w:r>
      <w:r w:rsidR="00B06D56" w:rsidRPr="00207DC2">
        <w:rPr>
          <w:lang w:val="en-AU"/>
        </w:rPr>
        <w:t xml:space="preserve">participants </w:t>
      </w:r>
      <w:r w:rsidR="0021775F" w:rsidRPr="00207DC2">
        <w:rPr>
          <w:lang w:val="en-AU"/>
        </w:rPr>
        <w:t>(</w:t>
      </w:r>
      <w:r w:rsidR="00677F32" w:rsidRPr="00207DC2">
        <w:rPr>
          <w:lang w:val="en-AU"/>
        </w:rPr>
        <w:t>that is,</w:t>
      </w:r>
      <w:r w:rsidR="0021775F" w:rsidRPr="00207DC2">
        <w:rPr>
          <w:lang w:val="en-AU"/>
        </w:rPr>
        <w:t xml:space="preserve"> the total number of people registered with a CDP provider) </w:t>
      </w:r>
      <w:r w:rsidRPr="00207DC2">
        <w:rPr>
          <w:lang w:val="en-AU"/>
        </w:rPr>
        <w:t xml:space="preserve">declined from </w:t>
      </w:r>
      <w:r w:rsidR="007A3F08" w:rsidRPr="00207DC2">
        <w:rPr>
          <w:lang w:val="en-AU"/>
        </w:rPr>
        <w:t xml:space="preserve">around </w:t>
      </w:r>
      <w:r w:rsidR="00E96AE5" w:rsidRPr="00207DC2">
        <w:rPr>
          <w:lang w:val="en-AU"/>
        </w:rPr>
        <w:t>37,000</w:t>
      </w:r>
      <w:r w:rsidR="002D1021" w:rsidRPr="00207DC2">
        <w:rPr>
          <w:lang w:val="en-AU"/>
        </w:rPr>
        <w:t xml:space="preserve"> </w:t>
      </w:r>
      <w:r w:rsidR="002D1021" w:rsidRPr="00207DC2" w:rsidDel="00AF30F9">
        <w:rPr>
          <w:lang w:val="en-AU"/>
        </w:rPr>
        <w:t>in July 2015</w:t>
      </w:r>
      <w:r w:rsidR="00E96AE5" w:rsidRPr="00207DC2" w:rsidDel="00AF30F9">
        <w:rPr>
          <w:lang w:val="en-AU"/>
        </w:rPr>
        <w:t xml:space="preserve"> </w:t>
      </w:r>
      <w:r w:rsidRPr="00207DC2">
        <w:rPr>
          <w:lang w:val="en-AU"/>
        </w:rPr>
        <w:t xml:space="preserve">to </w:t>
      </w:r>
      <w:r w:rsidR="00E96AE5" w:rsidRPr="00207DC2">
        <w:rPr>
          <w:lang w:val="en-AU"/>
        </w:rPr>
        <w:t>3</w:t>
      </w:r>
      <w:r w:rsidR="009B700F" w:rsidRPr="00207DC2">
        <w:rPr>
          <w:lang w:val="en-AU"/>
        </w:rPr>
        <w:t>3</w:t>
      </w:r>
      <w:r w:rsidR="00E96AE5" w:rsidRPr="00207DC2">
        <w:rPr>
          <w:lang w:val="en-AU"/>
        </w:rPr>
        <w:t>,000</w:t>
      </w:r>
      <w:r w:rsidR="002D1021" w:rsidRPr="00207DC2">
        <w:rPr>
          <w:lang w:val="en-AU"/>
        </w:rPr>
        <w:t xml:space="preserve"> </w:t>
      </w:r>
      <w:r w:rsidR="002D1021" w:rsidRPr="00207DC2" w:rsidDel="00AF30F9">
        <w:rPr>
          <w:lang w:val="en-AU"/>
        </w:rPr>
        <w:t xml:space="preserve">in </w:t>
      </w:r>
      <w:r w:rsidR="00561A06" w:rsidRPr="00207DC2" w:rsidDel="00AF30F9">
        <w:rPr>
          <w:lang w:val="en-AU"/>
        </w:rPr>
        <w:t>June</w:t>
      </w:r>
      <w:r w:rsidR="002D1021" w:rsidRPr="00207DC2" w:rsidDel="00AF30F9">
        <w:rPr>
          <w:lang w:val="en-AU"/>
        </w:rPr>
        <w:t> 2017</w:t>
      </w:r>
      <w:r w:rsidR="00E96AE5" w:rsidRPr="00207DC2" w:rsidDel="00AF30F9">
        <w:rPr>
          <w:lang w:val="en-AU"/>
        </w:rPr>
        <w:t xml:space="preserve"> </w:t>
      </w:r>
      <w:r w:rsidRPr="00207DC2">
        <w:rPr>
          <w:lang w:val="en-AU"/>
        </w:rPr>
        <w:t>(Figure 2.1)</w:t>
      </w:r>
      <w:r w:rsidR="00FF1B93" w:rsidRPr="00207DC2">
        <w:rPr>
          <w:lang w:val="en-AU"/>
        </w:rPr>
        <w:t xml:space="preserve">. </w:t>
      </w:r>
      <w:r w:rsidR="009B700F" w:rsidRPr="00207DC2">
        <w:rPr>
          <w:lang w:val="en-AU"/>
        </w:rPr>
        <w:t>Most of this decline occurred in the first 12 months and wa</w:t>
      </w:r>
      <w:r w:rsidR="00FF1B93" w:rsidRPr="00207DC2">
        <w:rPr>
          <w:lang w:val="en-AU"/>
        </w:rPr>
        <w:t xml:space="preserve">s </w:t>
      </w:r>
      <w:r w:rsidR="00060BF4" w:rsidRPr="00207DC2">
        <w:rPr>
          <w:lang w:val="en-AU"/>
        </w:rPr>
        <w:t>primarily due to a decline in the number of people recorded as volunteering (that is, people without a mutual obligation requirement) from around 5,000 in June 2015 to around 2,</w:t>
      </w:r>
      <w:r w:rsidR="00756FD3" w:rsidRPr="00207DC2">
        <w:rPr>
          <w:lang w:val="en-AU"/>
        </w:rPr>
        <w:t>5</w:t>
      </w:r>
      <w:r w:rsidR="00060BF4" w:rsidRPr="00207DC2">
        <w:rPr>
          <w:lang w:val="en-AU"/>
        </w:rPr>
        <w:t>00 in June 201</w:t>
      </w:r>
      <w:r w:rsidR="00756FD3" w:rsidRPr="00207DC2">
        <w:rPr>
          <w:lang w:val="en-AU"/>
        </w:rPr>
        <w:t>6</w:t>
      </w:r>
      <w:r w:rsidR="00060BF4" w:rsidRPr="00207DC2">
        <w:rPr>
          <w:lang w:val="en-AU"/>
        </w:rPr>
        <w:t xml:space="preserve"> (Appendix A</w:t>
      </w:r>
      <w:r w:rsidR="00155603" w:rsidRPr="00207DC2">
        <w:rPr>
          <w:lang w:val="en-AU"/>
        </w:rPr>
        <w:t>,</w:t>
      </w:r>
      <w:r w:rsidR="00060BF4" w:rsidRPr="00207DC2">
        <w:rPr>
          <w:lang w:val="en-AU"/>
        </w:rPr>
        <w:t xml:space="preserve"> Table </w:t>
      </w:r>
      <w:r w:rsidR="00723EF4" w:rsidRPr="00207DC2">
        <w:rPr>
          <w:lang w:val="en-AU"/>
        </w:rPr>
        <w:t>A</w:t>
      </w:r>
      <w:r w:rsidR="00060BF4" w:rsidRPr="00207DC2">
        <w:rPr>
          <w:lang w:val="en-AU"/>
        </w:rPr>
        <w:t>.</w:t>
      </w:r>
      <w:r w:rsidR="00723EF4" w:rsidRPr="00207DC2">
        <w:rPr>
          <w:lang w:val="en-AU"/>
        </w:rPr>
        <w:t>4</w:t>
      </w:r>
      <w:r w:rsidR="00060BF4" w:rsidRPr="00207DC2">
        <w:rPr>
          <w:lang w:val="en-AU"/>
        </w:rPr>
        <w:t xml:space="preserve">). </w:t>
      </w:r>
      <w:r w:rsidR="00B04909" w:rsidRPr="00207DC2">
        <w:rPr>
          <w:lang w:val="en-AU"/>
        </w:rPr>
        <w:t xml:space="preserve">Some of the </w:t>
      </w:r>
      <w:r w:rsidR="00060BF4" w:rsidRPr="00207DC2">
        <w:rPr>
          <w:lang w:val="en-AU"/>
        </w:rPr>
        <w:t xml:space="preserve">decline in the number of people recorded as volunteering </w:t>
      </w:r>
      <w:r w:rsidR="00E53DB1">
        <w:rPr>
          <w:lang w:val="en-AU"/>
        </w:rPr>
        <w:t>may be</w:t>
      </w:r>
      <w:r w:rsidR="00060BF4" w:rsidRPr="00207DC2">
        <w:rPr>
          <w:lang w:val="en-AU"/>
        </w:rPr>
        <w:t xml:space="preserve"> due to the increased administrative activity that occurs in transition between programs (including, for example, cleaning up of </w:t>
      </w:r>
      <w:r w:rsidR="00081BBD" w:rsidRPr="00207DC2">
        <w:rPr>
          <w:lang w:val="en-AU"/>
        </w:rPr>
        <w:t xml:space="preserve">the </w:t>
      </w:r>
      <w:r w:rsidR="00D27352" w:rsidRPr="00207DC2">
        <w:rPr>
          <w:lang w:val="en-AU"/>
        </w:rPr>
        <w:t xml:space="preserve">program </w:t>
      </w:r>
      <w:r w:rsidR="00060BF4" w:rsidRPr="00207DC2">
        <w:rPr>
          <w:lang w:val="en-AU"/>
        </w:rPr>
        <w:t>administrative data to remove non</w:t>
      </w:r>
      <w:r w:rsidR="00060BF4" w:rsidRPr="00207DC2">
        <w:rPr>
          <w:lang w:val="en-AU"/>
        </w:rPr>
        <w:noBreakHyphen/>
        <w:t xml:space="preserve">active participants). </w:t>
      </w:r>
    </w:p>
    <w:p w14:paraId="609A4E16" w14:textId="726C4650" w:rsidR="00F42FBF" w:rsidRPr="00207DC2" w:rsidRDefault="00A073A7" w:rsidP="00931361">
      <w:pPr>
        <w:jc w:val="both"/>
        <w:rPr>
          <w:lang w:val="en-AU"/>
        </w:rPr>
      </w:pPr>
      <w:r w:rsidRPr="00207DC2">
        <w:rPr>
          <w:lang w:val="en-AU"/>
        </w:rPr>
        <w:t>Among</w:t>
      </w:r>
      <w:r w:rsidR="002E358E" w:rsidRPr="00207DC2">
        <w:rPr>
          <w:lang w:val="en-AU"/>
        </w:rPr>
        <w:t xml:space="preserve"> the </w:t>
      </w:r>
      <w:r w:rsidR="00903A7A">
        <w:rPr>
          <w:lang w:val="en-AU"/>
        </w:rPr>
        <w:t>activity-tested</w:t>
      </w:r>
      <w:r w:rsidR="002E358E" w:rsidRPr="00207DC2">
        <w:rPr>
          <w:lang w:val="en-AU"/>
        </w:rPr>
        <w:t xml:space="preserve"> </w:t>
      </w:r>
      <w:r w:rsidR="00C07BBA" w:rsidRPr="00207DC2">
        <w:rPr>
          <w:lang w:val="en-AU"/>
        </w:rPr>
        <w:t>participants</w:t>
      </w:r>
      <w:r w:rsidRPr="00207DC2">
        <w:rPr>
          <w:lang w:val="en-AU"/>
        </w:rPr>
        <w:t>, there</w:t>
      </w:r>
      <w:r w:rsidR="002E358E" w:rsidRPr="00207DC2">
        <w:rPr>
          <w:lang w:val="en-AU"/>
        </w:rPr>
        <w:t xml:space="preserve"> has also </w:t>
      </w:r>
      <w:r w:rsidRPr="00207DC2">
        <w:rPr>
          <w:lang w:val="en-AU"/>
        </w:rPr>
        <w:t xml:space="preserve">been </w:t>
      </w:r>
      <w:r w:rsidR="002E358E" w:rsidRPr="00207DC2">
        <w:rPr>
          <w:lang w:val="en-AU"/>
        </w:rPr>
        <w:t>a decrease in the number of participants who are</w:t>
      </w:r>
      <w:r w:rsidR="00A019D8" w:rsidRPr="00207DC2">
        <w:rPr>
          <w:lang w:val="en-AU"/>
        </w:rPr>
        <w:t xml:space="preserve"> required to </w:t>
      </w:r>
      <w:r w:rsidR="00DC7DE9" w:rsidRPr="00207DC2">
        <w:rPr>
          <w:lang w:val="en-AU"/>
        </w:rPr>
        <w:t>attend</w:t>
      </w:r>
      <w:r w:rsidR="002E358E" w:rsidRPr="00207DC2">
        <w:rPr>
          <w:lang w:val="en-AU"/>
        </w:rPr>
        <w:t xml:space="preserve"> Work for the Dole and </w:t>
      </w:r>
      <w:r w:rsidR="00723EF4" w:rsidRPr="00207DC2">
        <w:rPr>
          <w:lang w:val="en-AU"/>
        </w:rPr>
        <w:t xml:space="preserve">a </w:t>
      </w:r>
      <w:r w:rsidR="002E358E" w:rsidRPr="00207DC2">
        <w:rPr>
          <w:lang w:val="en-AU"/>
        </w:rPr>
        <w:t xml:space="preserve">corresponding increase in the number who </w:t>
      </w:r>
      <w:r w:rsidR="00723EF4" w:rsidRPr="00207DC2">
        <w:rPr>
          <w:lang w:val="en-AU"/>
        </w:rPr>
        <w:t xml:space="preserve">are </w:t>
      </w:r>
      <w:r w:rsidR="002E358E" w:rsidRPr="00207DC2">
        <w:rPr>
          <w:lang w:val="en-AU"/>
        </w:rPr>
        <w:t xml:space="preserve">not </w:t>
      </w:r>
      <w:r w:rsidR="00A019D8" w:rsidRPr="00207DC2">
        <w:rPr>
          <w:lang w:val="en-AU"/>
        </w:rPr>
        <w:t xml:space="preserve">required to </w:t>
      </w:r>
      <w:r w:rsidR="00DC7DE9" w:rsidRPr="00207DC2">
        <w:rPr>
          <w:lang w:val="en-AU"/>
        </w:rPr>
        <w:t>attend</w:t>
      </w:r>
      <w:r w:rsidR="00A019D8" w:rsidRPr="00207DC2">
        <w:rPr>
          <w:lang w:val="en-AU"/>
        </w:rPr>
        <w:t xml:space="preserve"> </w:t>
      </w:r>
      <w:r w:rsidR="002E358E" w:rsidRPr="00207DC2">
        <w:rPr>
          <w:lang w:val="en-AU"/>
        </w:rPr>
        <w:t xml:space="preserve">Work for the Dole (Figure 2.1). This is related to the changing age profile of </w:t>
      </w:r>
      <w:r w:rsidR="00C07BBA" w:rsidRPr="00207DC2">
        <w:rPr>
          <w:lang w:val="en-AU"/>
        </w:rPr>
        <w:t>participants</w:t>
      </w:r>
      <w:r w:rsidR="002E358E" w:rsidRPr="00207DC2">
        <w:rPr>
          <w:lang w:val="en-AU"/>
        </w:rPr>
        <w:t xml:space="preserve"> – there has been a decline in the number of participants in all age groups under 50, with the largest </w:t>
      </w:r>
      <w:r w:rsidR="00E46C60" w:rsidRPr="00207DC2">
        <w:rPr>
          <w:lang w:val="en-AU"/>
        </w:rPr>
        <w:t>proportional</w:t>
      </w:r>
      <w:r w:rsidR="002E358E" w:rsidRPr="00207DC2">
        <w:rPr>
          <w:lang w:val="en-AU"/>
        </w:rPr>
        <w:t xml:space="preserve"> decline among those under 30</w:t>
      </w:r>
      <w:r w:rsidR="00416961" w:rsidRPr="00207DC2">
        <w:rPr>
          <w:lang w:val="en-AU"/>
        </w:rPr>
        <w:t xml:space="preserve"> years</w:t>
      </w:r>
      <w:r w:rsidR="002E358E" w:rsidRPr="00207DC2">
        <w:rPr>
          <w:lang w:val="en-AU"/>
        </w:rPr>
        <w:t xml:space="preserve"> (Appendix A, Table A.4). </w:t>
      </w:r>
    </w:p>
    <w:p w14:paraId="1AB27ED5" w14:textId="176A64BA" w:rsidR="00196690" w:rsidRPr="00207DC2" w:rsidRDefault="00F42FBF" w:rsidP="00196690">
      <w:pPr>
        <w:jc w:val="both"/>
        <w:rPr>
          <w:lang w:val="en-AU"/>
        </w:rPr>
      </w:pPr>
      <w:r w:rsidRPr="00207DC2">
        <w:rPr>
          <w:lang w:val="en-AU"/>
        </w:rPr>
        <w:t>T</w:t>
      </w:r>
      <w:r w:rsidR="002E358E" w:rsidRPr="00207DC2">
        <w:rPr>
          <w:lang w:val="en-AU"/>
        </w:rPr>
        <w:t xml:space="preserve">here </w:t>
      </w:r>
      <w:r w:rsidR="00AF30F9" w:rsidRPr="00207DC2">
        <w:rPr>
          <w:lang w:val="en-AU"/>
        </w:rPr>
        <w:t>are</w:t>
      </w:r>
      <w:r w:rsidR="002E358E" w:rsidRPr="00207DC2">
        <w:rPr>
          <w:lang w:val="en-AU"/>
        </w:rPr>
        <w:t xml:space="preserve"> likely to be a range of reasons for the change in the age profile of </w:t>
      </w:r>
      <w:r w:rsidR="00A073A7" w:rsidRPr="00207DC2">
        <w:rPr>
          <w:lang w:val="en-AU"/>
        </w:rPr>
        <w:t xml:space="preserve">CDP </w:t>
      </w:r>
      <w:r w:rsidR="002E358E" w:rsidRPr="00207DC2">
        <w:rPr>
          <w:lang w:val="en-AU"/>
        </w:rPr>
        <w:t>participants</w:t>
      </w:r>
      <w:r w:rsidRPr="00207DC2">
        <w:rPr>
          <w:lang w:val="en-AU"/>
        </w:rPr>
        <w:t xml:space="preserve">. </w:t>
      </w:r>
      <w:r w:rsidR="002E358E" w:rsidRPr="00207DC2">
        <w:rPr>
          <w:lang w:val="en-AU"/>
        </w:rPr>
        <w:t>A</w:t>
      </w:r>
      <w:r w:rsidR="00931361" w:rsidRPr="00207DC2">
        <w:rPr>
          <w:lang w:val="en-AU"/>
        </w:rPr>
        <w:t xml:space="preserve">nalysis in this report </w:t>
      </w:r>
      <w:r w:rsidR="002E358E" w:rsidRPr="00207DC2">
        <w:rPr>
          <w:lang w:val="en-AU"/>
        </w:rPr>
        <w:t>shows</w:t>
      </w:r>
      <w:r w:rsidR="00931361" w:rsidRPr="00207DC2">
        <w:rPr>
          <w:lang w:val="en-AU"/>
        </w:rPr>
        <w:t xml:space="preserve"> a small increase in employment outcomes among those of prime working age (Chapter 4), and a small increase in </w:t>
      </w:r>
      <w:r w:rsidR="00AF30F9" w:rsidRPr="00207DC2">
        <w:rPr>
          <w:lang w:val="en-AU"/>
        </w:rPr>
        <w:t xml:space="preserve">program </w:t>
      </w:r>
      <w:r w:rsidR="00931361" w:rsidRPr="00207DC2">
        <w:rPr>
          <w:lang w:val="en-AU"/>
        </w:rPr>
        <w:t xml:space="preserve">disengagement </w:t>
      </w:r>
      <w:r w:rsidR="00BA7089" w:rsidRPr="00207DC2">
        <w:rPr>
          <w:lang w:val="en-AU"/>
        </w:rPr>
        <w:t>among</w:t>
      </w:r>
      <w:r w:rsidR="00931361" w:rsidRPr="00207DC2">
        <w:rPr>
          <w:lang w:val="en-AU"/>
        </w:rPr>
        <w:t xml:space="preserve"> younger participants (</w:t>
      </w:r>
      <w:r w:rsidR="00A86678" w:rsidRPr="00207DC2">
        <w:rPr>
          <w:lang w:val="en-AU"/>
        </w:rPr>
        <w:t>that is,</w:t>
      </w:r>
      <w:r w:rsidR="00AF30F9" w:rsidRPr="00207DC2">
        <w:rPr>
          <w:lang w:val="en-AU"/>
        </w:rPr>
        <w:t xml:space="preserve"> exits from the program without a recorded employment outcome</w:t>
      </w:r>
      <w:r w:rsidR="002E4F2F" w:rsidRPr="00207DC2">
        <w:rPr>
          <w:lang w:val="en-AU"/>
        </w:rPr>
        <w:t>)</w:t>
      </w:r>
      <w:r w:rsidR="00AF30F9" w:rsidRPr="00207DC2">
        <w:rPr>
          <w:lang w:val="en-AU"/>
        </w:rPr>
        <w:t xml:space="preserve"> (</w:t>
      </w:r>
      <w:r w:rsidR="00931361" w:rsidRPr="00207DC2">
        <w:rPr>
          <w:lang w:val="en-AU"/>
        </w:rPr>
        <w:t>Chapter 3</w:t>
      </w:r>
      <w:r w:rsidR="00AF30F9" w:rsidRPr="00207DC2">
        <w:rPr>
          <w:lang w:val="en-AU"/>
        </w:rPr>
        <w:t>)</w:t>
      </w:r>
      <w:r w:rsidR="002E358E" w:rsidRPr="00207DC2">
        <w:rPr>
          <w:lang w:val="en-AU"/>
        </w:rPr>
        <w:t xml:space="preserve">. </w:t>
      </w:r>
      <w:r w:rsidRPr="00207DC2">
        <w:rPr>
          <w:lang w:val="en-AU"/>
        </w:rPr>
        <w:t>Other contributing factors may</w:t>
      </w:r>
      <w:r w:rsidR="00A073A7" w:rsidRPr="00207DC2">
        <w:rPr>
          <w:lang w:val="en-AU"/>
        </w:rPr>
        <w:t xml:space="preserve"> </w:t>
      </w:r>
      <w:r w:rsidR="002E358E" w:rsidRPr="00207DC2">
        <w:rPr>
          <w:lang w:val="en-AU"/>
        </w:rPr>
        <w:t>i</w:t>
      </w:r>
      <w:r w:rsidR="0002136F" w:rsidRPr="00207DC2">
        <w:rPr>
          <w:lang w:val="en-AU"/>
        </w:rPr>
        <w:t>nclud</w:t>
      </w:r>
      <w:r w:rsidRPr="00207DC2">
        <w:rPr>
          <w:lang w:val="en-AU"/>
        </w:rPr>
        <w:t>e</w:t>
      </w:r>
      <w:r w:rsidR="00060BF4" w:rsidRPr="00207DC2">
        <w:rPr>
          <w:lang w:val="en-AU"/>
        </w:rPr>
        <w:t xml:space="preserve"> increased </w:t>
      </w:r>
      <w:r w:rsidR="003E6F0A" w:rsidRPr="00207DC2">
        <w:rPr>
          <w:lang w:val="en-AU"/>
        </w:rPr>
        <w:t>participation in post-</w:t>
      </w:r>
      <w:r w:rsidR="00060BF4" w:rsidRPr="00207DC2">
        <w:rPr>
          <w:lang w:val="en-AU"/>
        </w:rPr>
        <w:t>school education</w:t>
      </w:r>
      <w:r w:rsidR="005A50CD" w:rsidRPr="00207DC2">
        <w:rPr>
          <w:rStyle w:val="FootnoteReference"/>
          <w:lang w:val="en-AU"/>
        </w:rPr>
        <w:footnoteReference w:id="16"/>
      </w:r>
      <w:r w:rsidR="004667CE" w:rsidRPr="00207DC2">
        <w:rPr>
          <w:lang w:val="en-AU"/>
        </w:rPr>
        <w:t>,</w:t>
      </w:r>
      <w:r w:rsidR="00FF22D6" w:rsidRPr="00207DC2">
        <w:rPr>
          <w:lang w:val="en-AU"/>
        </w:rPr>
        <w:t xml:space="preserve"> i</w:t>
      </w:r>
      <w:r w:rsidR="00931361" w:rsidRPr="00207DC2">
        <w:rPr>
          <w:lang w:val="en-AU"/>
        </w:rPr>
        <w:t>ncreased mi</w:t>
      </w:r>
      <w:r w:rsidR="00FF7C29" w:rsidRPr="00207DC2">
        <w:rPr>
          <w:lang w:val="en-AU"/>
        </w:rPr>
        <w:t xml:space="preserve">gration </w:t>
      </w:r>
      <w:r w:rsidR="00665FE1" w:rsidRPr="00207DC2">
        <w:rPr>
          <w:lang w:val="en-AU"/>
        </w:rPr>
        <w:t xml:space="preserve">of young adults </w:t>
      </w:r>
      <w:r w:rsidR="00931361" w:rsidRPr="00207DC2">
        <w:rPr>
          <w:lang w:val="en-AU"/>
        </w:rPr>
        <w:t xml:space="preserve">to non-remote </w:t>
      </w:r>
      <w:r w:rsidR="0002136F" w:rsidRPr="00207DC2">
        <w:rPr>
          <w:lang w:val="en-AU"/>
        </w:rPr>
        <w:t>areas</w:t>
      </w:r>
      <w:r w:rsidR="00931361" w:rsidRPr="00207DC2">
        <w:rPr>
          <w:lang w:val="en-AU"/>
        </w:rPr>
        <w:t>, and t</w:t>
      </w:r>
      <w:r w:rsidR="00FF7C29" w:rsidRPr="00207DC2">
        <w:rPr>
          <w:lang w:val="en-AU"/>
        </w:rPr>
        <w:t>he changing</w:t>
      </w:r>
      <w:r w:rsidR="00931361" w:rsidRPr="00207DC2">
        <w:rPr>
          <w:lang w:val="en-AU"/>
        </w:rPr>
        <w:t xml:space="preserve"> </w:t>
      </w:r>
      <w:r w:rsidR="00BA7089" w:rsidRPr="00207DC2">
        <w:rPr>
          <w:lang w:val="en-AU"/>
        </w:rPr>
        <w:t xml:space="preserve">age </w:t>
      </w:r>
      <w:r w:rsidR="00931361" w:rsidRPr="00207DC2">
        <w:rPr>
          <w:lang w:val="en-AU"/>
        </w:rPr>
        <w:t>profile of the remote population</w:t>
      </w:r>
      <w:r w:rsidR="0002136F" w:rsidRPr="00207DC2">
        <w:rPr>
          <w:lang w:val="en-AU"/>
        </w:rPr>
        <w:t>. B</w:t>
      </w:r>
      <w:r w:rsidR="00931361" w:rsidRPr="00207DC2">
        <w:rPr>
          <w:lang w:val="en-AU"/>
        </w:rPr>
        <w:t xml:space="preserve">etween the last two </w:t>
      </w:r>
      <w:r w:rsidR="00E62B37">
        <w:rPr>
          <w:lang w:val="en-AU"/>
        </w:rPr>
        <w:t>Census</w:t>
      </w:r>
      <w:r w:rsidR="008F488A" w:rsidRPr="00207DC2">
        <w:rPr>
          <w:lang w:val="en-AU"/>
        </w:rPr>
        <w:t>es</w:t>
      </w:r>
      <w:r w:rsidR="00931361" w:rsidRPr="00207DC2">
        <w:rPr>
          <w:lang w:val="en-AU"/>
        </w:rPr>
        <w:t xml:space="preserve">, there was a decline in the </w:t>
      </w:r>
      <w:r w:rsidR="00BA7089" w:rsidRPr="00207DC2">
        <w:rPr>
          <w:lang w:val="en-AU"/>
        </w:rPr>
        <w:t>Census count</w:t>
      </w:r>
      <w:r w:rsidR="00931361" w:rsidRPr="00207DC2">
        <w:rPr>
          <w:lang w:val="en-AU"/>
        </w:rPr>
        <w:t xml:space="preserve"> of people</w:t>
      </w:r>
      <w:r w:rsidR="0002136F" w:rsidRPr="00207DC2">
        <w:rPr>
          <w:lang w:val="en-AU"/>
        </w:rPr>
        <w:t xml:space="preserve"> </w:t>
      </w:r>
      <w:r w:rsidR="00A073A7" w:rsidRPr="00207DC2">
        <w:rPr>
          <w:lang w:val="en-AU"/>
        </w:rPr>
        <w:t>living</w:t>
      </w:r>
      <w:r w:rsidR="0002136F" w:rsidRPr="00207DC2">
        <w:rPr>
          <w:lang w:val="en-AU"/>
        </w:rPr>
        <w:t xml:space="preserve"> in remote areas</w:t>
      </w:r>
      <w:r w:rsidR="00931361" w:rsidRPr="00207DC2">
        <w:rPr>
          <w:lang w:val="en-AU"/>
        </w:rPr>
        <w:t xml:space="preserve"> in every age group under 50, </w:t>
      </w:r>
      <w:r w:rsidR="002E358E" w:rsidRPr="00207DC2">
        <w:rPr>
          <w:lang w:val="en-AU"/>
        </w:rPr>
        <w:t>and</w:t>
      </w:r>
      <w:r w:rsidR="00142D85" w:rsidRPr="00207DC2">
        <w:rPr>
          <w:lang w:val="en-AU"/>
        </w:rPr>
        <w:t xml:space="preserve"> an</w:t>
      </w:r>
      <w:r w:rsidR="002E358E" w:rsidRPr="00207DC2">
        <w:rPr>
          <w:lang w:val="en-AU"/>
        </w:rPr>
        <w:t xml:space="preserve"> increase</w:t>
      </w:r>
      <w:r w:rsidR="00FF7C29" w:rsidRPr="00207DC2">
        <w:rPr>
          <w:lang w:val="en-AU"/>
        </w:rPr>
        <w:t xml:space="preserve"> in the number </w:t>
      </w:r>
      <w:r w:rsidR="002E358E" w:rsidRPr="00207DC2">
        <w:rPr>
          <w:lang w:val="en-AU"/>
        </w:rPr>
        <w:t xml:space="preserve">aged over 50, </w:t>
      </w:r>
      <w:r w:rsidR="00931361" w:rsidRPr="00207DC2">
        <w:rPr>
          <w:lang w:val="en-AU"/>
        </w:rPr>
        <w:t xml:space="preserve">consistent with the pattern for CDP </w:t>
      </w:r>
      <w:r w:rsidR="00773EF9" w:rsidRPr="00207DC2">
        <w:rPr>
          <w:lang w:val="en-AU"/>
        </w:rPr>
        <w:t>participants</w:t>
      </w:r>
      <w:r w:rsidR="002E358E" w:rsidRPr="00207DC2">
        <w:rPr>
          <w:lang w:val="en-AU"/>
        </w:rPr>
        <w:t xml:space="preserve">. In addition, more </w:t>
      </w:r>
      <w:r w:rsidR="0002136F" w:rsidRPr="00207DC2">
        <w:rPr>
          <w:lang w:val="en-AU"/>
        </w:rPr>
        <w:t xml:space="preserve">people migrated out of remote areas than into remote areas, </w:t>
      </w:r>
      <w:r w:rsidR="002E358E" w:rsidRPr="00207DC2">
        <w:rPr>
          <w:lang w:val="en-AU"/>
        </w:rPr>
        <w:t>with net migration ou</w:t>
      </w:r>
      <w:r w:rsidR="00FF22D6" w:rsidRPr="00207DC2">
        <w:rPr>
          <w:lang w:val="en-AU"/>
        </w:rPr>
        <w:t xml:space="preserve">t being </w:t>
      </w:r>
      <w:r w:rsidR="002E358E" w:rsidRPr="00207DC2">
        <w:rPr>
          <w:lang w:val="en-AU"/>
        </w:rPr>
        <w:t>higher</w:t>
      </w:r>
      <w:r w:rsidR="0002136F" w:rsidRPr="00207DC2">
        <w:rPr>
          <w:lang w:val="en-AU"/>
        </w:rPr>
        <w:t xml:space="preserve"> among </w:t>
      </w:r>
      <w:r w:rsidR="00773EF9" w:rsidRPr="00207DC2">
        <w:rPr>
          <w:lang w:val="en-AU"/>
        </w:rPr>
        <w:t xml:space="preserve">those </w:t>
      </w:r>
      <w:r w:rsidR="005C72BF" w:rsidRPr="00207DC2">
        <w:rPr>
          <w:lang w:val="en-AU"/>
        </w:rPr>
        <w:t>aged 22 or under</w:t>
      </w:r>
      <w:r w:rsidR="002E358E" w:rsidRPr="00207DC2">
        <w:rPr>
          <w:lang w:val="en-AU"/>
        </w:rPr>
        <w:t xml:space="preserve"> (unpublished </w:t>
      </w:r>
      <w:r w:rsidR="00E62B37">
        <w:rPr>
          <w:lang w:val="en-AU"/>
        </w:rPr>
        <w:t>Census</w:t>
      </w:r>
      <w:r w:rsidR="002E358E" w:rsidRPr="00207DC2">
        <w:rPr>
          <w:lang w:val="en-AU"/>
        </w:rPr>
        <w:t xml:space="preserve"> data)</w:t>
      </w:r>
      <w:r w:rsidR="00C961F8" w:rsidRPr="00207DC2">
        <w:rPr>
          <w:lang w:val="en-AU"/>
        </w:rPr>
        <w:t>.</w:t>
      </w:r>
      <w:r w:rsidR="0002136F" w:rsidRPr="00207DC2">
        <w:rPr>
          <w:lang w:val="en-AU"/>
        </w:rPr>
        <w:t xml:space="preserve"> </w:t>
      </w:r>
    </w:p>
    <w:p w14:paraId="55FD5BE0" w14:textId="004A3289" w:rsidR="009C1811" w:rsidRPr="00207DC2" w:rsidRDefault="00142D85" w:rsidP="00FB626D">
      <w:pPr>
        <w:pStyle w:val="Table"/>
        <w:outlineLvl w:val="9"/>
      </w:pPr>
      <w:r w:rsidRPr="00587744">
        <w:rPr>
          <w:rStyle w:val="FiguresChar"/>
        </w:rPr>
        <w:t xml:space="preserve">Figure </w:t>
      </w:r>
      <w:r w:rsidR="00905D1A">
        <w:rPr>
          <w:rStyle w:val="FiguresChar"/>
        </w:rPr>
        <w:t>2</w:t>
      </w:r>
      <w:r w:rsidR="00EF1B43" w:rsidRPr="00587744">
        <w:rPr>
          <w:rStyle w:val="FiguresChar"/>
        </w:rPr>
        <w:t>.</w:t>
      </w:r>
      <w:r w:rsidR="00905D1A">
        <w:rPr>
          <w:rStyle w:val="FiguresChar"/>
        </w:rPr>
        <w:t>1</w:t>
      </w:r>
      <w:r w:rsidR="00905D1A" w:rsidRPr="00587744">
        <w:rPr>
          <w:rStyle w:val="FiguresChar"/>
        </w:rPr>
        <w:t xml:space="preserve"> </w:t>
      </w:r>
      <w:r w:rsidR="00060BF4" w:rsidRPr="00587744">
        <w:rPr>
          <w:rStyle w:val="FiguresChar"/>
        </w:rPr>
        <w:t xml:space="preserve">The number of participants has </w:t>
      </w:r>
      <w:r w:rsidR="00677F32" w:rsidRPr="00587744">
        <w:rPr>
          <w:rStyle w:val="FiguresChar"/>
        </w:rPr>
        <w:t xml:space="preserve">declined </w:t>
      </w:r>
      <w:r w:rsidR="00060BF4" w:rsidRPr="00587744">
        <w:rPr>
          <w:rStyle w:val="FiguresChar"/>
        </w:rPr>
        <w:t xml:space="preserve">since the introduction </w:t>
      </w:r>
      <w:r w:rsidR="00060BF4" w:rsidRPr="00170AFA">
        <w:rPr>
          <w:rStyle w:val="FiguresChar"/>
        </w:rPr>
        <w:t>of the CDP</w:t>
      </w:r>
      <w:r w:rsidR="00FB626D" w:rsidRPr="00170AFA">
        <w:rPr>
          <w:rStyle w:val="FiguresChar"/>
          <w:vertAlign w:val="superscript"/>
        </w:rPr>
        <w:t>a,b</w:t>
      </w:r>
      <w:r w:rsidR="00B225BF">
        <w:pict w14:anchorId="487FD18D">
          <v:rect id="_x0000_i1029" style="width:0;height:1.5pt" o:hralign="center" o:hrstd="t" o:hr="t" fillcolor="#a0a0a0" stroked="f"/>
        </w:pict>
      </w:r>
    </w:p>
    <w:p w14:paraId="50E6A1A7" w14:textId="6A4436F6" w:rsidR="009C1811" w:rsidRPr="00207DC2" w:rsidRDefault="009C1811" w:rsidP="00D57D1D">
      <w:pPr>
        <w:pStyle w:val="tablenotes"/>
        <w:rPr>
          <w:i/>
        </w:rPr>
      </w:pPr>
      <w:r w:rsidRPr="00207DC2">
        <w:drawing>
          <wp:inline distT="0" distB="0" distL="0" distR="0" wp14:anchorId="3CDCC91E" wp14:editId="509ECB2D">
            <wp:extent cx="5637530" cy="3164840"/>
            <wp:effectExtent l="0" t="0" r="1270" b="0"/>
            <wp:docPr id="27" name="Picture 27" descr="The figure is a stacked area chart showing changes in numbers of RJCP and CDP participants between January 2014 and July 2017. The number of participants declined from around 37,000 in July 2015 to 33,000 in June 2017.&#10;&#10;The figure also breaks down changes into the number of participants who were: &#10;- activity tested and required to attend Work for the Dole;&#10;- activity tested but not required to attend Work for the Dole; or&#10;- volunteers.&#10;&#10;Among activity tested participants, there has been a decrease in the number of participants who are required to attend Work for the Dole and a corresponding increase in the number who are not required to attend Work for the Dole." title="The number of participants has declined since the introduction of the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530" cy="3164840"/>
                    </a:xfrm>
                    <a:prstGeom prst="rect">
                      <a:avLst/>
                    </a:prstGeom>
                    <a:noFill/>
                    <a:ln>
                      <a:noFill/>
                    </a:ln>
                  </pic:spPr>
                </pic:pic>
              </a:graphicData>
            </a:graphic>
          </wp:inline>
        </w:drawing>
      </w:r>
    </w:p>
    <w:p w14:paraId="781459E9" w14:textId="70A37C4D" w:rsidR="00C83E06" w:rsidRPr="00207DC2" w:rsidRDefault="00B225BF" w:rsidP="00D57D1D">
      <w:pPr>
        <w:pStyle w:val="tablenotes"/>
        <w:rPr>
          <w:i/>
        </w:rPr>
      </w:pPr>
      <w:r>
        <w:pict w14:anchorId="5E7CB11D">
          <v:rect id="_x0000_i1030" style="width:0;height:1.5pt" o:hralign="center" o:hrstd="t" o:hr="t" fillcolor="#a0a0a0" stroked="f"/>
        </w:pict>
      </w:r>
    </w:p>
    <w:p w14:paraId="221FC15B" w14:textId="23AB276E" w:rsidR="00DF7D3E" w:rsidRPr="00207DC2" w:rsidRDefault="00060BF4" w:rsidP="00D57D1D">
      <w:pPr>
        <w:pStyle w:val="tablenotes"/>
      </w:pPr>
      <w:r w:rsidRPr="00207DC2">
        <w:rPr>
          <w:i/>
        </w:rPr>
        <w:t>Source:</w:t>
      </w:r>
      <w:r w:rsidRPr="00207DC2">
        <w:t> </w:t>
      </w:r>
      <w:r w:rsidR="0057565A" w:rsidRPr="00207DC2">
        <w:t>PMC</w:t>
      </w:r>
      <w:r w:rsidRPr="00207DC2">
        <w:t xml:space="preserve"> estimates based on unpublished </w:t>
      </w:r>
      <w:r w:rsidR="00B33ADD" w:rsidRPr="00207DC2">
        <w:t>Employment Services System (</w:t>
      </w:r>
      <w:r w:rsidRPr="00207DC2">
        <w:t>ESS</w:t>
      </w:r>
      <w:r w:rsidR="00B33ADD" w:rsidRPr="00207DC2">
        <w:t>)</w:t>
      </w:r>
      <w:r w:rsidRPr="00207DC2">
        <w:t xml:space="preserve"> operational data (extracted on 5 September 2017). </w:t>
      </w:r>
    </w:p>
    <w:p w14:paraId="37497974" w14:textId="2A6C95D0" w:rsidR="00060BF4" w:rsidRPr="00207DC2" w:rsidRDefault="00060BF4" w:rsidP="00D57D1D">
      <w:pPr>
        <w:pStyle w:val="tablenotes"/>
      </w:pPr>
      <w:r w:rsidRPr="00207DC2">
        <w:rPr>
          <w:i/>
        </w:rPr>
        <w:t>Notes:</w:t>
      </w:r>
      <w:r w:rsidRPr="00207DC2">
        <w:t xml:space="preserve"> </w:t>
      </w:r>
      <w:r w:rsidR="00F45704" w:rsidRPr="00207DC2">
        <w:t>(a)</w:t>
      </w:r>
      <w:r w:rsidRPr="00207DC2">
        <w:t xml:space="preserve"> A small number (between 500 and 1,200 people per fortnight) of CDP participants </w:t>
      </w:r>
      <w:r w:rsidR="00850E0D" w:rsidRPr="00207DC2">
        <w:t>we</w:t>
      </w:r>
      <w:r w:rsidRPr="00207DC2">
        <w:t>re excluded because there was insufficient information to determine their participation requirements.</w:t>
      </w:r>
      <w:r w:rsidR="006D54AF" w:rsidRPr="00207DC2">
        <w:rPr>
          <w:color w:val="262626"/>
          <w:sz w:val="20"/>
          <w:szCs w:val="20"/>
        </w:rPr>
        <w:t xml:space="preserve"> </w:t>
      </w:r>
      <w:r w:rsidR="00F45704" w:rsidRPr="00207DC2">
        <w:rPr>
          <w:color w:val="262626"/>
          <w:sz w:val="20"/>
          <w:szCs w:val="20"/>
        </w:rPr>
        <w:t xml:space="preserve">(b) </w:t>
      </w:r>
      <w:r w:rsidR="008D737B" w:rsidRPr="00207DC2">
        <w:t>S</w:t>
      </w:r>
      <w:r w:rsidR="009D1C60" w:rsidRPr="00207DC2">
        <w:t>pikes in</w:t>
      </w:r>
      <w:r w:rsidR="00DC7DE9" w:rsidRPr="00207DC2">
        <w:t xml:space="preserve"> </w:t>
      </w:r>
      <w:r w:rsidR="00BC2E4C" w:rsidRPr="00207DC2">
        <w:t xml:space="preserve">the </w:t>
      </w:r>
      <w:r w:rsidR="00DC7DE9" w:rsidRPr="00207DC2">
        <w:t>number of</w:t>
      </w:r>
      <w:r w:rsidR="009D1C60" w:rsidRPr="00207DC2">
        <w:t xml:space="preserve"> </w:t>
      </w:r>
      <w:r w:rsidR="00BC2E4C" w:rsidRPr="00207DC2">
        <w:t xml:space="preserve">participants </w:t>
      </w:r>
      <w:r w:rsidR="00DC7DE9" w:rsidRPr="00207DC2">
        <w:rPr>
          <w:i/>
        </w:rPr>
        <w:t xml:space="preserve">required to attend </w:t>
      </w:r>
      <w:r w:rsidR="009D1C60" w:rsidRPr="00207DC2">
        <w:rPr>
          <w:i/>
        </w:rPr>
        <w:t>Work for the Dole</w:t>
      </w:r>
      <w:r w:rsidR="006D54AF" w:rsidRPr="00207DC2">
        <w:t xml:space="preserve"> </w:t>
      </w:r>
      <w:r w:rsidR="009D1C60" w:rsidRPr="00207DC2">
        <w:t>reflect</w:t>
      </w:r>
      <w:r w:rsidR="008661F4" w:rsidRPr="00207DC2">
        <w:t xml:space="preserve"> </w:t>
      </w:r>
      <w:r w:rsidR="009D1C60" w:rsidRPr="00207DC2">
        <w:t xml:space="preserve">changes in the level of </w:t>
      </w:r>
      <w:r w:rsidR="006D54AF" w:rsidRPr="00207DC2">
        <w:t>compliance action</w:t>
      </w:r>
      <w:r w:rsidR="009D1C60" w:rsidRPr="00207DC2">
        <w:t xml:space="preserve">. </w:t>
      </w:r>
      <w:r w:rsidR="00C10F07" w:rsidRPr="00207DC2">
        <w:t>Specifi</w:t>
      </w:r>
      <w:r w:rsidR="00A073A7" w:rsidRPr="00207DC2">
        <w:t>c</w:t>
      </w:r>
      <w:r w:rsidR="00C10F07" w:rsidRPr="00207DC2">
        <w:t>ally,</w:t>
      </w:r>
      <w:r w:rsidR="009D1C60" w:rsidRPr="00207DC2">
        <w:t xml:space="preserve"> </w:t>
      </w:r>
      <w:r w:rsidR="00D237C7" w:rsidRPr="00207DC2">
        <w:t>when</w:t>
      </w:r>
      <w:r w:rsidR="006D54AF" w:rsidRPr="00207DC2">
        <w:t xml:space="preserve"> compliance action result</w:t>
      </w:r>
      <w:r w:rsidR="00773EF9" w:rsidRPr="00207DC2">
        <w:t>s</w:t>
      </w:r>
      <w:r w:rsidR="006D54AF" w:rsidRPr="00207DC2">
        <w:t xml:space="preserve"> in the suspension of income support, </w:t>
      </w:r>
      <w:r w:rsidR="00D237C7" w:rsidRPr="00207DC2">
        <w:t>a</w:t>
      </w:r>
      <w:r w:rsidR="00DC7DE9" w:rsidRPr="00207DC2">
        <w:t xml:space="preserve">n </w:t>
      </w:r>
      <w:r w:rsidR="00903A7A">
        <w:t>activity-tested</w:t>
      </w:r>
      <w:r w:rsidR="00D237C7" w:rsidRPr="00207DC2">
        <w:t xml:space="preserve"> partic</w:t>
      </w:r>
      <w:r w:rsidR="00773EF9" w:rsidRPr="00207DC2">
        <w:t>i</w:t>
      </w:r>
      <w:r w:rsidR="00D237C7" w:rsidRPr="00207DC2">
        <w:t>pant</w:t>
      </w:r>
      <w:r w:rsidR="00F45704" w:rsidRPr="00207DC2">
        <w:t>’s st</w:t>
      </w:r>
      <w:r w:rsidR="00773EF9" w:rsidRPr="00207DC2">
        <w:t>a</w:t>
      </w:r>
      <w:r w:rsidR="00C77F24" w:rsidRPr="00207DC2">
        <w:t>tus</w:t>
      </w:r>
      <w:r w:rsidR="006D54AF" w:rsidRPr="00207DC2">
        <w:t xml:space="preserve"> </w:t>
      </w:r>
      <w:r w:rsidR="00D237C7" w:rsidRPr="00207DC2">
        <w:t>can</w:t>
      </w:r>
      <w:r w:rsidR="0042738F" w:rsidRPr="00207DC2">
        <w:t xml:space="preserve"> tempor</w:t>
      </w:r>
      <w:r w:rsidR="00773EF9" w:rsidRPr="00207DC2">
        <w:t>ari</w:t>
      </w:r>
      <w:r w:rsidR="0042738F" w:rsidRPr="00207DC2">
        <w:t>ly</w:t>
      </w:r>
      <w:r w:rsidR="00D237C7" w:rsidRPr="00207DC2">
        <w:t xml:space="preserve"> change</w:t>
      </w:r>
      <w:r w:rsidR="00C10F07" w:rsidRPr="00207DC2">
        <w:t xml:space="preserve"> from</w:t>
      </w:r>
      <w:r w:rsidR="00A019D8" w:rsidRPr="00207DC2">
        <w:t xml:space="preserve"> </w:t>
      </w:r>
      <w:r w:rsidR="00A019D8" w:rsidRPr="00207DC2">
        <w:rPr>
          <w:i/>
        </w:rPr>
        <w:t xml:space="preserve">required </w:t>
      </w:r>
      <w:r w:rsidR="00C10F07" w:rsidRPr="00207DC2">
        <w:t xml:space="preserve">to </w:t>
      </w:r>
      <w:r w:rsidR="00C10F07" w:rsidRPr="00207DC2">
        <w:rPr>
          <w:i/>
        </w:rPr>
        <w:t>no</w:t>
      </w:r>
      <w:r w:rsidR="00A019D8" w:rsidRPr="00207DC2">
        <w:rPr>
          <w:i/>
        </w:rPr>
        <w:t xml:space="preserve">t required to </w:t>
      </w:r>
      <w:r w:rsidR="00DC7DE9" w:rsidRPr="00207DC2">
        <w:rPr>
          <w:i/>
        </w:rPr>
        <w:t>attend</w:t>
      </w:r>
      <w:r w:rsidR="00D237C7" w:rsidRPr="00207DC2">
        <w:t xml:space="preserve">. </w:t>
      </w:r>
      <w:r w:rsidR="001C2029" w:rsidRPr="00207DC2">
        <w:t>Temporary</w:t>
      </w:r>
      <w:r w:rsidR="00383C30" w:rsidRPr="00207DC2">
        <w:t xml:space="preserve"> c</w:t>
      </w:r>
      <w:r w:rsidR="00F45704" w:rsidRPr="00207DC2">
        <w:t xml:space="preserve">hanges in the </w:t>
      </w:r>
      <w:r w:rsidR="00383C30" w:rsidRPr="00207DC2">
        <w:t xml:space="preserve">number </w:t>
      </w:r>
      <w:r w:rsidR="00A019D8" w:rsidRPr="00207DC2">
        <w:t xml:space="preserve">of participants </w:t>
      </w:r>
      <w:r w:rsidR="00A019D8" w:rsidRPr="00207DC2">
        <w:rPr>
          <w:i/>
        </w:rPr>
        <w:t xml:space="preserve">required to </w:t>
      </w:r>
      <w:r w:rsidR="00DC7DE9" w:rsidRPr="00207DC2">
        <w:rPr>
          <w:i/>
        </w:rPr>
        <w:t>attend</w:t>
      </w:r>
      <w:r w:rsidR="00A019D8" w:rsidRPr="00207DC2">
        <w:t xml:space="preserve"> </w:t>
      </w:r>
      <w:r w:rsidR="00F45704" w:rsidRPr="00207DC2">
        <w:t>occu</w:t>
      </w:r>
      <w:r w:rsidR="00773EF9" w:rsidRPr="00207DC2">
        <w:t>r</w:t>
      </w:r>
      <w:r w:rsidR="00F45704" w:rsidRPr="00207DC2">
        <w:t>red during</w:t>
      </w:r>
      <w:r w:rsidR="006D54AF" w:rsidRPr="00207DC2">
        <w:t xml:space="preserve"> Christmas period</w:t>
      </w:r>
      <w:r w:rsidR="008661F4" w:rsidRPr="00207DC2">
        <w:t>s</w:t>
      </w:r>
      <w:r w:rsidR="006D54AF" w:rsidRPr="00207DC2">
        <w:t xml:space="preserve"> (when compliance action</w:t>
      </w:r>
      <w:r w:rsidR="001C2029" w:rsidRPr="00207DC2">
        <w:t xml:space="preserve"> declined</w:t>
      </w:r>
      <w:r w:rsidR="006D54AF" w:rsidRPr="00207DC2">
        <w:t>) and in August 2016 (</w:t>
      </w:r>
      <w:r w:rsidR="00F45704" w:rsidRPr="00207DC2">
        <w:t>when,</w:t>
      </w:r>
      <w:r w:rsidR="006D54AF" w:rsidRPr="00207DC2">
        <w:t xml:space="preserve"> six months after the </w:t>
      </w:r>
      <w:r w:rsidR="00F45704" w:rsidRPr="00207DC2">
        <w:t>introd</w:t>
      </w:r>
      <w:r w:rsidR="00773EF9" w:rsidRPr="00207DC2">
        <w:t>u</w:t>
      </w:r>
      <w:r w:rsidR="00F45704" w:rsidRPr="00207DC2">
        <w:t xml:space="preserve">ction </w:t>
      </w:r>
      <w:r w:rsidR="00773EF9" w:rsidRPr="00207DC2">
        <w:t>of</w:t>
      </w:r>
      <w:r w:rsidR="00F45704" w:rsidRPr="00207DC2">
        <w:t xml:space="preserve"> the </w:t>
      </w:r>
      <w:r w:rsidR="006D54AF" w:rsidRPr="00207DC2">
        <w:t>revised provider payment model, comprehensive compliance assessments</w:t>
      </w:r>
      <w:r w:rsidR="001C2029" w:rsidRPr="00207DC2">
        <w:t xml:space="preserve"> increased</w:t>
      </w:r>
      <w:r w:rsidR="006D54AF" w:rsidRPr="00207DC2">
        <w:t>).</w:t>
      </w:r>
    </w:p>
    <w:p w14:paraId="42A9BE37" w14:textId="77777777" w:rsidR="002E4701" w:rsidRPr="00207DC2" w:rsidRDefault="002E4701" w:rsidP="00D57D1D">
      <w:pPr>
        <w:pStyle w:val="tablenotes"/>
      </w:pPr>
    </w:p>
    <w:p w14:paraId="60BE15CD" w14:textId="60D06C2F" w:rsidR="00060BF4" w:rsidRPr="00207DC2" w:rsidRDefault="00060BF4" w:rsidP="00FB626D">
      <w:pPr>
        <w:pStyle w:val="Table"/>
        <w:outlineLvl w:val="9"/>
      </w:pPr>
      <w:r w:rsidRPr="00207DC2">
        <w:t xml:space="preserve">Table </w:t>
      </w:r>
      <w:r w:rsidR="002A49AA" w:rsidRPr="00207DC2">
        <w:t>2</w:t>
      </w:r>
      <w:r w:rsidRPr="00207DC2">
        <w:t>.</w:t>
      </w:r>
      <w:r w:rsidRPr="00207DC2">
        <w:fldChar w:fldCharType="begin"/>
      </w:r>
      <w:r w:rsidRPr="00207DC2">
        <w:instrText xml:space="preserve"> SEQ Table \* ARABIC \s 1 </w:instrText>
      </w:r>
      <w:r w:rsidRPr="00207DC2">
        <w:fldChar w:fldCharType="separate"/>
      </w:r>
      <w:r w:rsidR="0010545D">
        <w:rPr>
          <w:noProof/>
        </w:rPr>
        <w:t>1</w:t>
      </w:r>
      <w:r w:rsidRPr="00207DC2">
        <w:fldChar w:fldCharType="end"/>
      </w:r>
      <w:r w:rsidRPr="00207DC2">
        <w:t xml:space="preserve"> Characteristics of CDP participants, 1 January 2016</w:t>
      </w:r>
      <w:r w:rsidRPr="00207DC2">
        <w:rPr>
          <w:b/>
          <w:vertAlign w:val="superscript"/>
        </w:rPr>
        <w:t>a</w:t>
      </w:r>
      <w:r w:rsidR="00A35FF6" w:rsidRPr="00207DC2">
        <w:rPr>
          <w:b/>
          <w:vertAlign w:val="superscript"/>
        </w:rPr>
        <w:t>,b</w:t>
      </w:r>
    </w:p>
    <w:tbl>
      <w:tblPr>
        <w:tblW w:w="8946" w:type="dxa"/>
        <w:tblInd w:w="93" w:type="dxa"/>
        <w:tblBorders>
          <w:top w:val="single" w:sz="4" w:space="0" w:color="auto"/>
          <w:bottom w:val="single" w:sz="4" w:space="0" w:color="auto"/>
        </w:tblBorders>
        <w:tblLayout w:type="fixed"/>
        <w:tblLook w:val="04A0" w:firstRow="1" w:lastRow="0" w:firstColumn="1" w:lastColumn="0" w:noHBand="0" w:noVBand="1"/>
        <w:tblCaption w:val="Characteristics of CDP participants, 1 January 2018"/>
        <w:tblDescription w:val="This table shows total numbers of CDP participants, by Indigenous status, on 1 January 2016. &#10;&#10;It also shows, by Indigenous status, the proportions of participants by gender, remoteness, age groups, and time on income support over the past two decades (based on the duration on income support since 1998).&#10;"/>
      </w:tblPr>
      <w:tblGrid>
        <w:gridCol w:w="1856"/>
        <w:gridCol w:w="6"/>
        <w:gridCol w:w="2263"/>
        <w:gridCol w:w="15"/>
        <w:gridCol w:w="1829"/>
        <w:gridCol w:w="1701"/>
        <w:gridCol w:w="7"/>
        <w:gridCol w:w="1269"/>
      </w:tblGrid>
      <w:tr w:rsidR="00060BF4" w:rsidRPr="00207DC2" w14:paraId="0650BEBE" w14:textId="77777777" w:rsidTr="008322C3">
        <w:trPr>
          <w:trHeight w:val="303"/>
        </w:trPr>
        <w:tc>
          <w:tcPr>
            <w:tcW w:w="1862" w:type="dxa"/>
            <w:gridSpan w:val="2"/>
            <w:tcBorders>
              <w:top w:val="single" w:sz="4" w:space="0" w:color="auto"/>
              <w:bottom w:val="single" w:sz="4" w:space="0" w:color="auto"/>
            </w:tcBorders>
          </w:tcPr>
          <w:p w14:paraId="7757454B" w14:textId="77777777" w:rsidR="00060BF4" w:rsidRPr="00207DC2" w:rsidRDefault="00060BF4" w:rsidP="00FB626D">
            <w:pPr>
              <w:keepNext/>
              <w:keepLines/>
              <w:spacing w:before="0" w:after="0" w:line="240" w:lineRule="auto"/>
              <w:ind w:left="142" w:right="142"/>
              <w:jc w:val="center"/>
              <w:rPr>
                <w:lang w:val="en-AU"/>
              </w:rPr>
            </w:pPr>
          </w:p>
        </w:tc>
        <w:tc>
          <w:tcPr>
            <w:tcW w:w="2278" w:type="dxa"/>
            <w:gridSpan w:val="2"/>
            <w:tcBorders>
              <w:top w:val="single" w:sz="4" w:space="0" w:color="auto"/>
              <w:bottom w:val="single" w:sz="4" w:space="0" w:color="auto"/>
            </w:tcBorders>
            <w:shd w:val="clear" w:color="auto" w:fill="auto"/>
            <w:hideMark/>
          </w:tcPr>
          <w:p w14:paraId="6A0A36B2" w14:textId="77777777" w:rsidR="00060BF4" w:rsidRPr="00207DC2" w:rsidRDefault="00060BF4" w:rsidP="00FB626D">
            <w:pPr>
              <w:keepNext/>
              <w:keepLines/>
              <w:spacing w:before="0" w:after="0" w:line="240" w:lineRule="auto"/>
              <w:ind w:left="142" w:right="142"/>
              <w:jc w:val="center"/>
              <w:rPr>
                <w:lang w:val="en-AU"/>
              </w:rPr>
            </w:pPr>
          </w:p>
        </w:tc>
        <w:tc>
          <w:tcPr>
            <w:tcW w:w="1829" w:type="dxa"/>
            <w:tcBorders>
              <w:top w:val="single" w:sz="4" w:space="0" w:color="auto"/>
              <w:bottom w:val="single" w:sz="4" w:space="0" w:color="auto"/>
            </w:tcBorders>
            <w:shd w:val="clear" w:color="auto" w:fill="auto"/>
            <w:vAlign w:val="center"/>
            <w:hideMark/>
          </w:tcPr>
          <w:p w14:paraId="24E12C99" w14:textId="77777777" w:rsidR="00060BF4" w:rsidRPr="00207DC2" w:rsidRDefault="00060BF4" w:rsidP="00FB626D">
            <w:pPr>
              <w:pStyle w:val="TableText"/>
              <w:keepNext/>
              <w:keepLines/>
              <w:spacing w:before="0" w:after="0"/>
              <w:ind w:left="142" w:right="142"/>
              <w:jc w:val="right"/>
              <w:rPr>
                <w:b/>
                <w:szCs w:val="20"/>
                <w:lang w:val="en-AU"/>
              </w:rPr>
            </w:pPr>
            <w:r w:rsidRPr="00207DC2">
              <w:rPr>
                <w:b/>
                <w:szCs w:val="20"/>
                <w:lang w:val="en-AU"/>
              </w:rPr>
              <w:t>Identified as</w:t>
            </w:r>
          </w:p>
          <w:p w14:paraId="6D78AC91" w14:textId="77777777" w:rsidR="00060BF4" w:rsidRPr="00207DC2" w:rsidRDefault="00060BF4" w:rsidP="00FB626D">
            <w:pPr>
              <w:pStyle w:val="TableText"/>
              <w:keepNext/>
              <w:keepLines/>
              <w:spacing w:before="0" w:after="0"/>
              <w:ind w:left="142" w:right="142"/>
              <w:jc w:val="right"/>
              <w:rPr>
                <w:b/>
                <w:szCs w:val="20"/>
                <w:lang w:val="en-AU"/>
              </w:rPr>
            </w:pPr>
            <w:r w:rsidRPr="00207DC2">
              <w:rPr>
                <w:b/>
                <w:szCs w:val="20"/>
                <w:lang w:val="en-AU"/>
              </w:rPr>
              <w:t>Indigenous</w:t>
            </w:r>
          </w:p>
        </w:tc>
        <w:tc>
          <w:tcPr>
            <w:tcW w:w="1708" w:type="dxa"/>
            <w:gridSpan w:val="2"/>
            <w:tcBorders>
              <w:top w:val="single" w:sz="4" w:space="0" w:color="auto"/>
              <w:bottom w:val="single" w:sz="4" w:space="0" w:color="auto"/>
            </w:tcBorders>
            <w:shd w:val="clear" w:color="auto" w:fill="auto"/>
            <w:vAlign w:val="center"/>
          </w:tcPr>
          <w:p w14:paraId="49811F5A" w14:textId="77777777" w:rsidR="00060BF4" w:rsidRPr="00207DC2" w:rsidRDefault="00060BF4" w:rsidP="00FB626D">
            <w:pPr>
              <w:pStyle w:val="TableText"/>
              <w:keepNext/>
              <w:keepLines/>
              <w:spacing w:before="0" w:after="0"/>
              <w:ind w:left="142" w:right="142"/>
              <w:jc w:val="right"/>
              <w:rPr>
                <w:b/>
                <w:szCs w:val="20"/>
                <w:lang w:val="en-AU"/>
              </w:rPr>
            </w:pPr>
            <w:r w:rsidRPr="00207DC2">
              <w:rPr>
                <w:b/>
                <w:szCs w:val="20"/>
                <w:lang w:val="en-AU"/>
              </w:rPr>
              <w:t>Non-Indigenous</w:t>
            </w:r>
          </w:p>
        </w:tc>
        <w:tc>
          <w:tcPr>
            <w:tcW w:w="1269" w:type="dxa"/>
            <w:tcBorders>
              <w:top w:val="single" w:sz="4" w:space="0" w:color="auto"/>
              <w:bottom w:val="single" w:sz="4" w:space="0" w:color="auto"/>
            </w:tcBorders>
            <w:shd w:val="clear" w:color="auto" w:fill="auto"/>
            <w:vAlign w:val="center"/>
          </w:tcPr>
          <w:p w14:paraId="799C9017" w14:textId="77777777" w:rsidR="00060BF4" w:rsidRPr="00207DC2" w:rsidRDefault="00060BF4" w:rsidP="00FB626D">
            <w:pPr>
              <w:pStyle w:val="TableText"/>
              <w:keepNext/>
              <w:keepLines/>
              <w:spacing w:before="0" w:after="0"/>
              <w:ind w:left="0" w:right="142" w:firstLine="142"/>
              <w:jc w:val="right"/>
              <w:rPr>
                <w:b/>
                <w:szCs w:val="20"/>
                <w:lang w:val="en-AU"/>
              </w:rPr>
            </w:pPr>
            <w:r w:rsidRPr="00207DC2">
              <w:rPr>
                <w:b/>
                <w:szCs w:val="20"/>
                <w:lang w:val="en-AU"/>
              </w:rPr>
              <w:t>Total</w:t>
            </w:r>
          </w:p>
        </w:tc>
      </w:tr>
      <w:tr w:rsidR="00060BF4" w:rsidRPr="00207DC2" w14:paraId="24D3C32A" w14:textId="77777777" w:rsidTr="008322C3">
        <w:trPr>
          <w:trHeight w:val="301"/>
        </w:trPr>
        <w:tc>
          <w:tcPr>
            <w:tcW w:w="4140" w:type="dxa"/>
            <w:gridSpan w:val="4"/>
            <w:tcBorders>
              <w:top w:val="single" w:sz="4" w:space="0" w:color="auto"/>
              <w:bottom w:val="dashSmallGap" w:sz="4" w:space="0" w:color="auto"/>
            </w:tcBorders>
            <w:vAlign w:val="center"/>
          </w:tcPr>
          <w:p w14:paraId="62B22037" w14:textId="6AB010B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 xml:space="preserve">Total </w:t>
            </w:r>
            <w:r w:rsidR="00C07BBA" w:rsidRPr="00207DC2">
              <w:rPr>
                <w:b/>
                <w:szCs w:val="20"/>
                <w:lang w:val="en-AU" w:eastAsia="en-AU"/>
              </w:rPr>
              <w:t>participants</w:t>
            </w:r>
          </w:p>
        </w:tc>
        <w:tc>
          <w:tcPr>
            <w:tcW w:w="1829" w:type="dxa"/>
            <w:tcBorders>
              <w:top w:val="single" w:sz="4" w:space="0" w:color="auto"/>
              <w:bottom w:val="dashSmallGap" w:sz="4" w:space="0" w:color="auto"/>
            </w:tcBorders>
            <w:shd w:val="clear" w:color="auto" w:fill="auto"/>
            <w:noWrap/>
            <w:vAlign w:val="center"/>
          </w:tcPr>
          <w:p w14:paraId="668AC9BA"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28,971</w:t>
            </w:r>
          </w:p>
        </w:tc>
        <w:tc>
          <w:tcPr>
            <w:tcW w:w="1708" w:type="dxa"/>
            <w:gridSpan w:val="2"/>
            <w:tcBorders>
              <w:top w:val="single" w:sz="4" w:space="0" w:color="auto"/>
              <w:bottom w:val="dashSmallGap" w:sz="4" w:space="0" w:color="auto"/>
            </w:tcBorders>
            <w:shd w:val="clear" w:color="auto" w:fill="auto"/>
            <w:vAlign w:val="center"/>
          </w:tcPr>
          <w:p w14:paraId="7569C60D"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5,952</w:t>
            </w:r>
          </w:p>
        </w:tc>
        <w:tc>
          <w:tcPr>
            <w:tcW w:w="1269" w:type="dxa"/>
            <w:tcBorders>
              <w:top w:val="single" w:sz="4" w:space="0" w:color="auto"/>
              <w:bottom w:val="dashSmallGap" w:sz="4" w:space="0" w:color="auto"/>
            </w:tcBorders>
            <w:shd w:val="clear" w:color="auto" w:fill="auto"/>
            <w:vAlign w:val="center"/>
          </w:tcPr>
          <w:p w14:paraId="75DFC69F"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34,923</w:t>
            </w:r>
          </w:p>
        </w:tc>
      </w:tr>
      <w:tr w:rsidR="00060BF4" w:rsidRPr="00207DC2" w14:paraId="6BB78F26" w14:textId="77777777" w:rsidTr="008322C3">
        <w:trPr>
          <w:trHeight w:val="301"/>
        </w:trPr>
        <w:tc>
          <w:tcPr>
            <w:tcW w:w="1856" w:type="dxa"/>
            <w:tcBorders>
              <w:top w:val="single" w:sz="4" w:space="0" w:color="262626"/>
              <w:bottom w:val="nil"/>
            </w:tcBorders>
            <w:shd w:val="clear" w:color="auto" w:fill="D0D2D3" w:themeFill="background2"/>
            <w:vAlign w:val="center"/>
          </w:tcPr>
          <w:p w14:paraId="6AF2F068" w14:textId="77777777" w:rsidR="00060BF4" w:rsidRPr="00207DC2" w:rsidRDefault="00060BF4" w:rsidP="00FB626D">
            <w:pPr>
              <w:keepNext/>
              <w:keepLines/>
              <w:spacing w:before="60" w:after="60" w:line="240" w:lineRule="auto"/>
              <w:rPr>
                <w:b/>
                <w:szCs w:val="20"/>
                <w:lang w:val="en-AU" w:eastAsia="en-US"/>
              </w:rPr>
            </w:pPr>
            <w:r w:rsidRPr="00207DC2">
              <w:rPr>
                <w:b/>
                <w:szCs w:val="20"/>
                <w:lang w:val="en-AU" w:eastAsia="en-US"/>
              </w:rPr>
              <w:t>Gender:</w:t>
            </w:r>
          </w:p>
        </w:tc>
        <w:tc>
          <w:tcPr>
            <w:tcW w:w="2269" w:type="dxa"/>
            <w:gridSpan w:val="2"/>
            <w:tcBorders>
              <w:top w:val="single" w:sz="4" w:space="0" w:color="262626"/>
              <w:bottom w:val="nil"/>
            </w:tcBorders>
            <w:shd w:val="clear" w:color="auto" w:fill="D0D2D3" w:themeFill="background2"/>
            <w:noWrap/>
            <w:vAlign w:val="center"/>
          </w:tcPr>
          <w:p w14:paraId="04FDB0EF" w14:textId="77777777" w:rsidR="00060BF4" w:rsidRPr="00207DC2" w:rsidRDefault="00060BF4" w:rsidP="00FB626D">
            <w:pPr>
              <w:keepNext/>
              <w:keepLines/>
              <w:spacing w:before="0" w:after="0" w:line="240" w:lineRule="auto"/>
              <w:ind w:left="142" w:right="142"/>
              <w:rPr>
                <w:b/>
                <w:szCs w:val="20"/>
                <w:lang w:val="en-AU" w:eastAsia="en-AU"/>
              </w:rPr>
            </w:pPr>
          </w:p>
        </w:tc>
        <w:tc>
          <w:tcPr>
            <w:tcW w:w="1844" w:type="dxa"/>
            <w:gridSpan w:val="2"/>
            <w:tcBorders>
              <w:top w:val="single" w:sz="4" w:space="0" w:color="262626"/>
              <w:bottom w:val="nil"/>
            </w:tcBorders>
            <w:shd w:val="clear" w:color="auto" w:fill="D0D2D3" w:themeFill="background2"/>
            <w:noWrap/>
            <w:vAlign w:val="center"/>
          </w:tcPr>
          <w:p w14:paraId="13796AB6"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701" w:type="dxa"/>
            <w:tcBorders>
              <w:top w:val="single" w:sz="4" w:space="0" w:color="262626"/>
              <w:bottom w:val="nil"/>
            </w:tcBorders>
            <w:shd w:val="clear" w:color="auto" w:fill="D0D2D3" w:themeFill="background2"/>
            <w:vAlign w:val="center"/>
          </w:tcPr>
          <w:p w14:paraId="33FF9033"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276" w:type="dxa"/>
            <w:gridSpan w:val="2"/>
            <w:tcBorders>
              <w:top w:val="single" w:sz="4" w:space="0" w:color="262626"/>
              <w:bottom w:val="nil"/>
            </w:tcBorders>
            <w:shd w:val="clear" w:color="auto" w:fill="D0D2D3" w:themeFill="background2"/>
            <w:vAlign w:val="center"/>
          </w:tcPr>
          <w:p w14:paraId="6E4BC453" w14:textId="77777777" w:rsidR="00060BF4" w:rsidRPr="00207DC2" w:rsidRDefault="00060BF4" w:rsidP="00FB626D">
            <w:pPr>
              <w:pStyle w:val="TableText"/>
              <w:keepNext/>
              <w:keepLines/>
              <w:spacing w:before="0" w:after="0"/>
              <w:ind w:left="142" w:right="142"/>
              <w:jc w:val="right"/>
              <w:rPr>
                <w:szCs w:val="20"/>
                <w:lang w:val="en-AU" w:eastAsia="en-AU"/>
              </w:rPr>
            </w:pPr>
          </w:p>
        </w:tc>
      </w:tr>
      <w:tr w:rsidR="00060BF4" w:rsidRPr="00207DC2" w14:paraId="35D90AC1" w14:textId="77777777" w:rsidTr="008322C3">
        <w:trPr>
          <w:trHeight w:val="295"/>
        </w:trPr>
        <w:tc>
          <w:tcPr>
            <w:tcW w:w="1856" w:type="dxa"/>
            <w:tcBorders>
              <w:top w:val="dashSmallGap" w:sz="4" w:space="0" w:color="auto"/>
            </w:tcBorders>
            <w:vAlign w:val="center"/>
          </w:tcPr>
          <w:p w14:paraId="7BFB8D54"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Male</w:t>
            </w:r>
          </w:p>
        </w:tc>
        <w:tc>
          <w:tcPr>
            <w:tcW w:w="2269" w:type="dxa"/>
            <w:gridSpan w:val="2"/>
            <w:tcBorders>
              <w:top w:val="dashSmallGap" w:sz="4" w:space="0" w:color="auto"/>
              <w:bottom w:val="nil"/>
            </w:tcBorders>
            <w:shd w:val="clear" w:color="auto" w:fill="auto"/>
            <w:noWrap/>
            <w:vAlign w:val="center"/>
          </w:tcPr>
          <w:p w14:paraId="7C69B856" w14:textId="77777777" w:rsidR="00060BF4" w:rsidRPr="00207DC2" w:rsidRDefault="00060BF4" w:rsidP="00FB626D">
            <w:pPr>
              <w:keepNext/>
              <w:keepLines/>
              <w:spacing w:before="0" w:after="0" w:line="240" w:lineRule="auto"/>
              <w:ind w:right="142"/>
              <w:rPr>
                <w:b/>
                <w:szCs w:val="20"/>
                <w:lang w:val="en-AU" w:eastAsia="en-AU"/>
              </w:rPr>
            </w:pPr>
          </w:p>
        </w:tc>
        <w:tc>
          <w:tcPr>
            <w:tcW w:w="1844" w:type="dxa"/>
            <w:gridSpan w:val="2"/>
            <w:tcBorders>
              <w:top w:val="dashSmallGap" w:sz="4" w:space="0" w:color="auto"/>
              <w:bottom w:val="nil"/>
            </w:tcBorders>
            <w:shd w:val="clear" w:color="auto" w:fill="auto"/>
            <w:noWrap/>
            <w:vAlign w:val="center"/>
          </w:tcPr>
          <w:p w14:paraId="7ED1BFF0"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56%</w:t>
            </w:r>
          </w:p>
        </w:tc>
        <w:tc>
          <w:tcPr>
            <w:tcW w:w="1701" w:type="dxa"/>
            <w:tcBorders>
              <w:top w:val="dashSmallGap" w:sz="4" w:space="0" w:color="auto"/>
              <w:bottom w:val="nil"/>
            </w:tcBorders>
            <w:shd w:val="clear" w:color="auto" w:fill="auto"/>
            <w:vAlign w:val="center"/>
          </w:tcPr>
          <w:p w14:paraId="4FBD4E67"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58%</w:t>
            </w:r>
          </w:p>
        </w:tc>
        <w:tc>
          <w:tcPr>
            <w:tcW w:w="1276" w:type="dxa"/>
            <w:gridSpan w:val="2"/>
            <w:tcBorders>
              <w:top w:val="dashSmallGap" w:sz="4" w:space="0" w:color="auto"/>
              <w:bottom w:val="nil"/>
            </w:tcBorders>
            <w:shd w:val="clear" w:color="auto" w:fill="auto"/>
            <w:vAlign w:val="center"/>
          </w:tcPr>
          <w:p w14:paraId="2C7594C5"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56%</w:t>
            </w:r>
          </w:p>
        </w:tc>
      </w:tr>
      <w:tr w:rsidR="00060BF4" w:rsidRPr="00207DC2" w14:paraId="72290A95" w14:textId="77777777" w:rsidTr="008322C3">
        <w:trPr>
          <w:trHeight w:val="295"/>
        </w:trPr>
        <w:tc>
          <w:tcPr>
            <w:tcW w:w="1856" w:type="dxa"/>
            <w:tcBorders>
              <w:bottom w:val="dashSmallGap" w:sz="4" w:space="0" w:color="auto"/>
            </w:tcBorders>
            <w:vAlign w:val="center"/>
          </w:tcPr>
          <w:p w14:paraId="627E6900"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Female</w:t>
            </w:r>
          </w:p>
        </w:tc>
        <w:tc>
          <w:tcPr>
            <w:tcW w:w="2269" w:type="dxa"/>
            <w:gridSpan w:val="2"/>
            <w:tcBorders>
              <w:top w:val="nil"/>
              <w:bottom w:val="dashSmallGap" w:sz="4" w:space="0" w:color="auto"/>
            </w:tcBorders>
            <w:shd w:val="clear" w:color="auto" w:fill="auto"/>
            <w:noWrap/>
            <w:vAlign w:val="center"/>
          </w:tcPr>
          <w:p w14:paraId="268F0B81" w14:textId="77777777" w:rsidR="00060BF4" w:rsidRPr="00207DC2" w:rsidRDefault="00060BF4" w:rsidP="00FB626D">
            <w:pPr>
              <w:keepNext/>
              <w:keepLines/>
              <w:spacing w:before="0" w:after="0" w:line="240" w:lineRule="auto"/>
              <w:ind w:left="142" w:right="142"/>
              <w:rPr>
                <w:b/>
                <w:szCs w:val="20"/>
                <w:lang w:val="en-AU" w:eastAsia="en-AU"/>
              </w:rPr>
            </w:pPr>
          </w:p>
        </w:tc>
        <w:tc>
          <w:tcPr>
            <w:tcW w:w="1844" w:type="dxa"/>
            <w:gridSpan w:val="2"/>
            <w:tcBorders>
              <w:top w:val="nil"/>
              <w:bottom w:val="dashSmallGap" w:sz="4" w:space="0" w:color="auto"/>
            </w:tcBorders>
            <w:shd w:val="clear" w:color="auto" w:fill="auto"/>
            <w:noWrap/>
            <w:vAlign w:val="center"/>
          </w:tcPr>
          <w:p w14:paraId="58B919EC"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44%</w:t>
            </w:r>
          </w:p>
        </w:tc>
        <w:tc>
          <w:tcPr>
            <w:tcW w:w="1701" w:type="dxa"/>
            <w:tcBorders>
              <w:top w:val="nil"/>
              <w:bottom w:val="dashSmallGap" w:sz="4" w:space="0" w:color="auto"/>
            </w:tcBorders>
            <w:shd w:val="clear" w:color="auto" w:fill="auto"/>
            <w:vAlign w:val="center"/>
          </w:tcPr>
          <w:p w14:paraId="50244634"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42%</w:t>
            </w:r>
          </w:p>
        </w:tc>
        <w:tc>
          <w:tcPr>
            <w:tcW w:w="1276" w:type="dxa"/>
            <w:gridSpan w:val="2"/>
            <w:tcBorders>
              <w:top w:val="nil"/>
              <w:bottom w:val="dashSmallGap" w:sz="4" w:space="0" w:color="auto"/>
            </w:tcBorders>
            <w:shd w:val="clear" w:color="auto" w:fill="auto"/>
            <w:vAlign w:val="center"/>
          </w:tcPr>
          <w:p w14:paraId="1AA62012"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44%</w:t>
            </w:r>
          </w:p>
        </w:tc>
      </w:tr>
      <w:tr w:rsidR="00060BF4" w:rsidRPr="00207DC2" w14:paraId="515E7F6D" w14:textId="77777777" w:rsidTr="008322C3">
        <w:trPr>
          <w:trHeight w:val="301"/>
        </w:trPr>
        <w:tc>
          <w:tcPr>
            <w:tcW w:w="1856" w:type="dxa"/>
            <w:tcBorders>
              <w:top w:val="dashSmallGap" w:sz="4" w:space="0" w:color="auto"/>
              <w:bottom w:val="dashSmallGap" w:sz="4" w:space="0" w:color="auto"/>
            </w:tcBorders>
            <w:shd w:val="clear" w:color="auto" w:fill="D0D2D3" w:themeFill="background2"/>
            <w:vAlign w:val="center"/>
          </w:tcPr>
          <w:p w14:paraId="2B87F13D" w14:textId="77777777" w:rsidR="00060BF4" w:rsidRPr="00207DC2" w:rsidRDefault="00060BF4" w:rsidP="00FB626D">
            <w:pPr>
              <w:keepNext/>
              <w:keepLines/>
              <w:spacing w:before="60" w:after="60" w:line="240" w:lineRule="auto"/>
              <w:rPr>
                <w:b/>
                <w:szCs w:val="20"/>
                <w:lang w:val="en-AU" w:eastAsia="en-US"/>
              </w:rPr>
            </w:pPr>
            <w:r w:rsidRPr="00207DC2">
              <w:rPr>
                <w:b/>
                <w:szCs w:val="20"/>
                <w:lang w:val="en-AU" w:eastAsia="en-US"/>
              </w:rPr>
              <w:t>Remoteness</w:t>
            </w:r>
            <w:r w:rsidR="004F017E" w:rsidRPr="00207DC2">
              <w:rPr>
                <w:b/>
                <w:szCs w:val="20"/>
                <w:lang w:val="en-AU" w:eastAsia="en-US"/>
              </w:rPr>
              <w:t>:</w:t>
            </w:r>
            <w:r w:rsidR="00A35FF6" w:rsidRPr="00207DC2">
              <w:rPr>
                <w:b/>
                <w:szCs w:val="20"/>
                <w:vertAlign w:val="superscript"/>
                <w:lang w:val="en-AU" w:eastAsia="en-US"/>
              </w:rPr>
              <w:t>c</w:t>
            </w:r>
          </w:p>
        </w:tc>
        <w:tc>
          <w:tcPr>
            <w:tcW w:w="2269" w:type="dxa"/>
            <w:gridSpan w:val="2"/>
            <w:tcBorders>
              <w:top w:val="dashSmallGap" w:sz="4" w:space="0" w:color="auto"/>
              <w:bottom w:val="dashSmallGap" w:sz="4" w:space="0" w:color="auto"/>
            </w:tcBorders>
            <w:shd w:val="clear" w:color="auto" w:fill="D0D2D3" w:themeFill="background2"/>
            <w:noWrap/>
            <w:vAlign w:val="center"/>
          </w:tcPr>
          <w:p w14:paraId="193E756C" w14:textId="77777777" w:rsidR="00060BF4" w:rsidRPr="00207DC2" w:rsidRDefault="00060BF4" w:rsidP="00FB626D">
            <w:pPr>
              <w:keepNext/>
              <w:keepLines/>
              <w:spacing w:before="0" w:after="0" w:line="240" w:lineRule="auto"/>
              <w:ind w:left="142" w:right="142"/>
              <w:rPr>
                <w:b/>
                <w:szCs w:val="20"/>
                <w:lang w:val="en-AU" w:eastAsia="en-AU"/>
              </w:rPr>
            </w:pPr>
          </w:p>
        </w:tc>
        <w:tc>
          <w:tcPr>
            <w:tcW w:w="1844" w:type="dxa"/>
            <w:gridSpan w:val="2"/>
            <w:tcBorders>
              <w:top w:val="dashSmallGap" w:sz="4" w:space="0" w:color="auto"/>
              <w:bottom w:val="dashSmallGap" w:sz="4" w:space="0" w:color="auto"/>
            </w:tcBorders>
            <w:shd w:val="clear" w:color="auto" w:fill="D0D2D3" w:themeFill="background2"/>
            <w:noWrap/>
            <w:vAlign w:val="center"/>
          </w:tcPr>
          <w:p w14:paraId="0C2B75EC"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701" w:type="dxa"/>
            <w:tcBorders>
              <w:top w:val="dashSmallGap" w:sz="4" w:space="0" w:color="auto"/>
              <w:bottom w:val="dashSmallGap" w:sz="4" w:space="0" w:color="auto"/>
            </w:tcBorders>
            <w:shd w:val="clear" w:color="auto" w:fill="D0D2D3" w:themeFill="background2"/>
            <w:vAlign w:val="center"/>
          </w:tcPr>
          <w:p w14:paraId="7A578F5C"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276" w:type="dxa"/>
            <w:gridSpan w:val="2"/>
            <w:tcBorders>
              <w:top w:val="dashSmallGap" w:sz="4" w:space="0" w:color="auto"/>
              <w:bottom w:val="dashSmallGap" w:sz="4" w:space="0" w:color="auto"/>
            </w:tcBorders>
            <w:shd w:val="clear" w:color="auto" w:fill="D0D2D3" w:themeFill="background2"/>
            <w:vAlign w:val="center"/>
          </w:tcPr>
          <w:p w14:paraId="0C23B835" w14:textId="77777777" w:rsidR="00060BF4" w:rsidRPr="00207DC2" w:rsidRDefault="00060BF4" w:rsidP="00FB626D">
            <w:pPr>
              <w:pStyle w:val="TableText"/>
              <w:keepNext/>
              <w:keepLines/>
              <w:spacing w:before="0" w:after="0"/>
              <w:ind w:left="142" w:right="142"/>
              <w:jc w:val="right"/>
              <w:rPr>
                <w:szCs w:val="20"/>
                <w:lang w:val="en-AU" w:eastAsia="en-AU"/>
              </w:rPr>
            </w:pPr>
          </w:p>
        </w:tc>
      </w:tr>
      <w:tr w:rsidR="00060BF4" w:rsidRPr="00207DC2" w14:paraId="05EA2AC3" w14:textId="77777777" w:rsidTr="008322C3">
        <w:trPr>
          <w:trHeight w:val="301"/>
        </w:trPr>
        <w:tc>
          <w:tcPr>
            <w:tcW w:w="4125" w:type="dxa"/>
            <w:gridSpan w:val="3"/>
            <w:tcBorders>
              <w:top w:val="dashSmallGap" w:sz="4" w:space="0" w:color="auto"/>
            </w:tcBorders>
            <w:vAlign w:val="center"/>
          </w:tcPr>
          <w:p w14:paraId="314B5EF3"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Very remote Australia</w:t>
            </w:r>
          </w:p>
        </w:tc>
        <w:tc>
          <w:tcPr>
            <w:tcW w:w="1844" w:type="dxa"/>
            <w:gridSpan w:val="2"/>
            <w:tcBorders>
              <w:top w:val="dashSmallGap" w:sz="4" w:space="0" w:color="auto"/>
              <w:bottom w:val="nil"/>
            </w:tcBorders>
            <w:shd w:val="clear" w:color="auto" w:fill="auto"/>
            <w:noWrap/>
            <w:vAlign w:val="center"/>
          </w:tcPr>
          <w:p w14:paraId="33866EC3"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76%</w:t>
            </w:r>
          </w:p>
        </w:tc>
        <w:tc>
          <w:tcPr>
            <w:tcW w:w="1701" w:type="dxa"/>
            <w:tcBorders>
              <w:top w:val="dashSmallGap" w:sz="4" w:space="0" w:color="auto"/>
              <w:bottom w:val="nil"/>
            </w:tcBorders>
            <w:shd w:val="clear" w:color="auto" w:fill="auto"/>
            <w:vAlign w:val="center"/>
          </w:tcPr>
          <w:p w14:paraId="47540A8D"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35%</w:t>
            </w:r>
          </w:p>
        </w:tc>
        <w:tc>
          <w:tcPr>
            <w:tcW w:w="1276" w:type="dxa"/>
            <w:gridSpan w:val="2"/>
            <w:tcBorders>
              <w:top w:val="dashSmallGap" w:sz="4" w:space="0" w:color="auto"/>
              <w:bottom w:val="nil"/>
            </w:tcBorders>
            <w:shd w:val="clear" w:color="auto" w:fill="auto"/>
            <w:vAlign w:val="center"/>
          </w:tcPr>
          <w:p w14:paraId="7E25A9A5"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69%</w:t>
            </w:r>
          </w:p>
        </w:tc>
      </w:tr>
      <w:tr w:rsidR="00060BF4" w:rsidRPr="00207DC2" w14:paraId="394C277F" w14:textId="77777777" w:rsidTr="008322C3">
        <w:trPr>
          <w:trHeight w:val="301"/>
        </w:trPr>
        <w:tc>
          <w:tcPr>
            <w:tcW w:w="4125" w:type="dxa"/>
            <w:gridSpan w:val="3"/>
            <w:vAlign w:val="center"/>
          </w:tcPr>
          <w:p w14:paraId="03772C39"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Remote Australia</w:t>
            </w:r>
          </w:p>
        </w:tc>
        <w:tc>
          <w:tcPr>
            <w:tcW w:w="1844" w:type="dxa"/>
            <w:gridSpan w:val="2"/>
            <w:tcBorders>
              <w:top w:val="nil"/>
              <w:bottom w:val="nil"/>
            </w:tcBorders>
            <w:shd w:val="clear" w:color="auto" w:fill="auto"/>
            <w:noWrap/>
            <w:vAlign w:val="center"/>
          </w:tcPr>
          <w:p w14:paraId="0DE82EB9"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21%</w:t>
            </w:r>
          </w:p>
        </w:tc>
        <w:tc>
          <w:tcPr>
            <w:tcW w:w="1701" w:type="dxa"/>
            <w:tcBorders>
              <w:top w:val="nil"/>
              <w:bottom w:val="nil"/>
            </w:tcBorders>
            <w:shd w:val="clear" w:color="auto" w:fill="auto"/>
            <w:vAlign w:val="center"/>
          </w:tcPr>
          <w:p w14:paraId="1F552289"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36%</w:t>
            </w:r>
          </w:p>
        </w:tc>
        <w:tc>
          <w:tcPr>
            <w:tcW w:w="1276" w:type="dxa"/>
            <w:gridSpan w:val="2"/>
            <w:tcBorders>
              <w:top w:val="nil"/>
              <w:bottom w:val="nil"/>
            </w:tcBorders>
            <w:shd w:val="clear" w:color="auto" w:fill="auto"/>
            <w:vAlign w:val="center"/>
          </w:tcPr>
          <w:p w14:paraId="201AA582"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23%</w:t>
            </w:r>
          </w:p>
        </w:tc>
      </w:tr>
      <w:tr w:rsidR="00060BF4" w:rsidRPr="00207DC2" w14:paraId="7A00ACE9" w14:textId="77777777" w:rsidTr="008322C3">
        <w:trPr>
          <w:trHeight w:val="301"/>
        </w:trPr>
        <w:tc>
          <w:tcPr>
            <w:tcW w:w="4125" w:type="dxa"/>
            <w:gridSpan w:val="3"/>
            <w:tcBorders>
              <w:bottom w:val="dashSmallGap" w:sz="4" w:space="0" w:color="auto"/>
            </w:tcBorders>
            <w:vAlign w:val="center"/>
          </w:tcPr>
          <w:p w14:paraId="3994009D"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Outer regional or other</w:t>
            </w:r>
          </w:p>
        </w:tc>
        <w:tc>
          <w:tcPr>
            <w:tcW w:w="1844" w:type="dxa"/>
            <w:gridSpan w:val="2"/>
            <w:tcBorders>
              <w:top w:val="nil"/>
              <w:bottom w:val="dashSmallGap" w:sz="4" w:space="0" w:color="auto"/>
            </w:tcBorders>
            <w:shd w:val="clear" w:color="auto" w:fill="auto"/>
            <w:noWrap/>
            <w:vAlign w:val="center"/>
          </w:tcPr>
          <w:p w14:paraId="7DE859D4"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w:t>
            </w:r>
          </w:p>
        </w:tc>
        <w:tc>
          <w:tcPr>
            <w:tcW w:w="1701" w:type="dxa"/>
            <w:tcBorders>
              <w:top w:val="nil"/>
              <w:bottom w:val="dashSmallGap" w:sz="4" w:space="0" w:color="auto"/>
            </w:tcBorders>
            <w:shd w:val="clear" w:color="auto" w:fill="auto"/>
            <w:vAlign w:val="center"/>
          </w:tcPr>
          <w:p w14:paraId="55CB0F34"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29%</w:t>
            </w:r>
          </w:p>
        </w:tc>
        <w:tc>
          <w:tcPr>
            <w:tcW w:w="1276" w:type="dxa"/>
            <w:gridSpan w:val="2"/>
            <w:tcBorders>
              <w:top w:val="nil"/>
              <w:bottom w:val="dashSmallGap" w:sz="4" w:space="0" w:color="auto"/>
            </w:tcBorders>
            <w:shd w:val="clear" w:color="auto" w:fill="auto"/>
            <w:vAlign w:val="center"/>
          </w:tcPr>
          <w:p w14:paraId="6A131B06"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8%</w:t>
            </w:r>
          </w:p>
        </w:tc>
      </w:tr>
      <w:tr w:rsidR="00060BF4" w:rsidRPr="00207DC2" w14:paraId="2FA664BC" w14:textId="77777777" w:rsidTr="008322C3">
        <w:trPr>
          <w:trHeight w:val="301"/>
        </w:trPr>
        <w:tc>
          <w:tcPr>
            <w:tcW w:w="1856" w:type="dxa"/>
            <w:tcBorders>
              <w:top w:val="single" w:sz="4" w:space="0" w:color="262626"/>
              <w:bottom w:val="nil"/>
            </w:tcBorders>
            <w:shd w:val="clear" w:color="auto" w:fill="D0D2D3" w:themeFill="background2"/>
            <w:vAlign w:val="center"/>
          </w:tcPr>
          <w:p w14:paraId="06F670E4" w14:textId="77777777" w:rsidR="00060BF4" w:rsidRPr="00207DC2" w:rsidRDefault="00060BF4" w:rsidP="00FB626D">
            <w:pPr>
              <w:keepNext/>
              <w:keepLines/>
              <w:spacing w:before="60" w:after="60" w:line="240" w:lineRule="auto"/>
              <w:rPr>
                <w:b/>
                <w:szCs w:val="20"/>
                <w:lang w:val="en-AU" w:eastAsia="en-US"/>
              </w:rPr>
            </w:pPr>
            <w:r w:rsidRPr="00207DC2">
              <w:rPr>
                <w:b/>
                <w:szCs w:val="20"/>
                <w:lang w:val="en-AU" w:eastAsia="en-US"/>
              </w:rPr>
              <w:t>Age:</w:t>
            </w:r>
          </w:p>
        </w:tc>
        <w:tc>
          <w:tcPr>
            <w:tcW w:w="2269" w:type="dxa"/>
            <w:gridSpan w:val="2"/>
            <w:tcBorders>
              <w:top w:val="single" w:sz="4" w:space="0" w:color="262626"/>
              <w:bottom w:val="nil"/>
            </w:tcBorders>
            <w:shd w:val="clear" w:color="auto" w:fill="D0D2D3" w:themeFill="background2"/>
            <w:noWrap/>
            <w:vAlign w:val="center"/>
          </w:tcPr>
          <w:p w14:paraId="37559340" w14:textId="77777777" w:rsidR="00060BF4" w:rsidRPr="00207DC2" w:rsidRDefault="00060BF4" w:rsidP="00FB626D">
            <w:pPr>
              <w:keepNext/>
              <w:keepLines/>
              <w:spacing w:before="0" w:after="0" w:line="240" w:lineRule="auto"/>
              <w:ind w:left="142" w:right="142"/>
              <w:rPr>
                <w:b/>
                <w:szCs w:val="20"/>
                <w:lang w:val="en-AU" w:eastAsia="en-AU"/>
              </w:rPr>
            </w:pPr>
          </w:p>
        </w:tc>
        <w:tc>
          <w:tcPr>
            <w:tcW w:w="1844" w:type="dxa"/>
            <w:gridSpan w:val="2"/>
            <w:tcBorders>
              <w:top w:val="single" w:sz="4" w:space="0" w:color="262626"/>
              <w:bottom w:val="nil"/>
            </w:tcBorders>
            <w:shd w:val="clear" w:color="auto" w:fill="D0D2D3" w:themeFill="background2"/>
            <w:noWrap/>
            <w:vAlign w:val="center"/>
          </w:tcPr>
          <w:p w14:paraId="68FECF78"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701" w:type="dxa"/>
            <w:tcBorders>
              <w:top w:val="single" w:sz="4" w:space="0" w:color="262626"/>
              <w:bottom w:val="nil"/>
            </w:tcBorders>
            <w:shd w:val="clear" w:color="auto" w:fill="D0D2D3" w:themeFill="background2"/>
            <w:vAlign w:val="center"/>
          </w:tcPr>
          <w:p w14:paraId="126A2AE7" w14:textId="77777777" w:rsidR="00060BF4" w:rsidRPr="00207DC2" w:rsidRDefault="00060BF4" w:rsidP="00FB626D">
            <w:pPr>
              <w:pStyle w:val="TableText"/>
              <w:keepNext/>
              <w:keepLines/>
              <w:spacing w:before="0" w:after="0"/>
              <w:ind w:left="142" w:right="142"/>
              <w:jc w:val="right"/>
              <w:rPr>
                <w:szCs w:val="20"/>
                <w:lang w:val="en-AU" w:eastAsia="en-AU"/>
              </w:rPr>
            </w:pPr>
          </w:p>
        </w:tc>
        <w:tc>
          <w:tcPr>
            <w:tcW w:w="1276" w:type="dxa"/>
            <w:gridSpan w:val="2"/>
            <w:tcBorders>
              <w:top w:val="single" w:sz="4" w:space="0" w:color="262626"/>
              <w:bottom w:val="nil"/>
            </w:tcBorders>
            <w:shd w:val="clear" w:color="auto" w:fill="D0D2D3" w:themeFill="background2"/>
            <w:vAlign w:val="center"/>
          </w:tcPr>
          <w:p w14:paraId="0DFCA082" w14:textId="77777777" w:rsidR="00060BF4" w:rsidRPr="00207DC2" w:rsidRDefault="00060BF4" w:rsidP="00FB626D">
            <w:pPr>
              <w:pStyle w:val="TableText"/>
              <w:keepNext/>
              <w:keepLines/>
              <w:spacing w:before="0" w:after="0"/>
              <w:ind w:left="142" w:right="142"/>
              <w:jc w:val="right"/>
              <w:rPr>
                <w:szCs w:val="20"/>
                <w:lang w:val="en-AU" w:eastAsia="en-AU"/>
              </w:rPr>
            </w:pPr>
          </w:p>
        </w:tc>
      </w:tr>
      <w:tr w:rsidR="00060BF4" w:rsidRPr="00207DC2" w14:paraId="73E7D823" w14:textId="77777777" w:rsidTr="008322C3">
        <w:trPr>
          <w:trHeight w:val="301"/>
        </w:trPr>
        <w:tc>
          <w:tcPr>
            <w:tcW w:w="4125" w:type="dxa"/>
            <w:gridSpan w:val="3"/>
            <w:tcBorders>
              <w:top w:val="dashSmallGap" w:sz="4" w:space="0" w:color="auto"/>
            </w:tcBorders>
            <w:vAlign w:val="center"/>
          </w:tcPr>
          <w:p w14:paraId="1D733B0B"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Less than 18 years old</w:t>
            </w:r>
          </w:p>
        </w:tc>
        <w:tc>
          <w:tcPr>
            <w:tcW w:w="1844" w:type="dxa"/>
            <w:gridSpan w:val="2"/>
            <w:tcBorders>
              <w:top w:val="dashSmallGap" w:sz="4" w:space="0" w:color="auto"/>
              <w:bottom w:val="nil"/>
            </w:tcBorders>
            <w:shd w:val="clear" w:color="auto" w:fill="auto"/>
            <w:noWrap/>
            <w:vAlign w:val="center"/>
          </w:tcPr>
          <w:p w14:paraId="68ACD80E"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w:t>
            </w:r>
          </w:p>
        </w:tc>
        <w:tc>
          <w:tcPr>
            <w:tcW w:w="1701" w:type="dxa"/>
            <w:tcBorders>
              <w:top w:val="dashSmallGap" w:sz="4" w:space="0" w:color="auto"/>
              <w:bottom w:val="nil"/>
            </w:tcBorders>
            <w:shd w:val="clear" w:color="auto" w:fill="auto"/>
            <w:vAlign w:val="center"/>
          </w:tcPr>
          <w:p w14:paraId="49E980BB"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w:t>
            </w:r>
          </w:p>
        </w:tc>
        <w:tc>
          <w:tcPr>
            <w:tcW w:w="1276" w:type="dxa"/>
            <w:gridSpan w:val="2"/>
            <w:tcBorders>
              <w:top w:val="dashSmallGap" w:sz="4" w:space="0" w:color="auto"/>
              <w:bottom w:val="nil"/>
            </w:tcBorders>
            <w:shd w:val="clear" w:color="auto" w:fill="auto"/>
            <w:vAlign w:val="center"/>
          </w:tcPr>
          <w:p w14:paraId="1DFC5223"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w:t>
            </w:r>
          </w:p>
        </w:tc>
      </w:tr>
      <w:tr w:rsidR="00060BF4" w:rsidRPr="00207DC2" w14:paraId="33B8B66A" w14:textId="77777777" w:rsidTr="008322C3">
        <w:trPr>
          <w:trHeight w:val="301"/>
        </w:trPr>
        <w:tc>
          <w:tcPr>
            <w:tcW w:w="4125" w:type="dxa"/>
            <w:gridSpan w:val="3"/>
            <w:vAlign w:val="center"/>
          </w:tcPr>
          <w:p w14:paraId="205BA53D"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18 to 22 years</w:t>
            </w:r>
          </w:p>
        </w:tc>
        <w:tc>
          <w:tcPr>
            <w:tcW w:w="1844" w:type="dxa"/>
            <w:gridSpan w:val="2"/>
            <w:tcBorders>
              <w:top w:val="nil"/>
              <w:bottom w:val="nil"/>
            </w:tcBorders>
            <w:shd w:val="clear" w:color="auto" w:fill="auto"/>
            <w:noWrap/>
            <w:vAlign w:val="center"/>
          </w:tcPr>
          <w:p w14:paraId="76DEC5A3"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17%</w:t>
            </w:r>
          </w:p>
        </w:tc>
        <w:tc>
          <w:tcPr>
            <w:tcW w:w="1701" w:type="dxa"/>
            <w:tcBorders>
              <w:top w:val="nil"/>
              <w:bottom w:val="nil"/>
            </w:tcBorders>
            <w:shd w:val="clear" w:color="auto" w:fill="auto"/>
            <w:vAlign w:val="center"/>
          </w:tcPr>
          <w:p w14:paraId="5B50EC0F"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11%</w:t>
            </w:r>
          </w:p>
        </w:tc>
        <w:tc>
          <w:tcPr>
            <w:tcW w:w="1276" w:type="dxa"/>
            <w:gridSpan w:val="2"/>
            <w:tcBorders>
              <w:top w:val="nil"/>
              <w:bottom w:val="nil"/>
            </w:tcBorders>
            <w:shd w:val="clear" w:color="auto" w:fill="auto"/>
            <w:vAlign w:val="center"/>
          </w:tcPr>
          <w:p w14:paraId="4A7CE061"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16%</w:t>
            </w:r>
          </w:p>
        </w:tc>
      </w:tr>
      <w:tr w:rsidR="00060BF4" w:rsidRPr="00207DC2" w14:paraId="4EC3F334" w14:textId="77777777" w:rsidTr="008322C3">
        <w:trPr>
          <w:trHeight w:val="301"/>
        </w:trPr>
        <w:tc>
          <w:tcPr>
            <w:tcW w:w="4125" w:type="dxa"/>
            <w:gridSpan w:val="3"/>
            <w:vAlign w:val="center"/>
          </w:tcPr>
          <w:p w14:paraId="503ADDCB"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23 to 29 years</w:t>
            </w:r>
          </w:p>
        </w:tc>
        <w:tc>
          <w:tcPr>
            <w:tcW w:w="1844" w:type="dxa"/>
            <w:gridSpan w:val="2"/>
            <w:tcBorders>
              <w:top w:val="nil"/>
              <w:bottom w:val="nil"/>
            </w:tcBorders>
            <w:shd w:val="clear" w:color="auto" w:fill="auto"/>
            <w:noWrap/>
            <w:vAlign w:val="center"/>
          </w:tcPr>
          <w:p w14:paraId="7D5B940D"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21%</w:t>
            </w:r>
          </w:p>
        </w:tc>
        <w:tc>
          <w:tcPr>
            <w:tcW w:w="1701" w:type="dxa"/>
            <w:tcBorders>
              <w:top w:val="nil"/>
              <w:bottom w:val="nil"/>
            </w:tcBorders>
            <w:shd w:val="clear" w:color="auto" w:fill="auto"/>
            <w:vAlign w:val="center"/>
          </w:tcPr>
          <w:p w14:paraId="3D4BB8B9"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11%</w:t>
            </w:r>
          </w:p>
        </w:tc>
        <w:tc>
          <w:tcPr>
            <w:tcW w:w="1276" w:type="dxa"/>
            <w:gridSpan w:val="2"/>
            <w:tcBorders>
              <w:top w:val="nil"/>
              <w:bottom w:val="nil"/>
            </w:tcBorders>
            <w:shd w:val="clear" w:color="auto" w:fill="auto"/>
            <w:vAlign w:val="center"/>
          </w:tcPr>
          <w:p w14:paraId="1CFA70BE"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20%</w:t>
            </w:r>
          </w:p>
        </w:tc>
      </w:tr>
      <w:tr w:rsidR="00060BF4" w:rsidRPr="00207DC2" w14:paraId="2EA64828" w14:textId="77777777" w:rsidTr="008322C3">
        <w:trPr>
          <w:trHeight w:val="301"/>
        </w:trPr>
        <w:tc>
          <w:tcPr>
            <w:tcW w:w="4125" w:type="dxa"/>
            <w:gridSpan w:val="3"/>
            <w:vAlign w:val="center"/>
          </w:tcPr>
          <w:p w14:paraId="4E55E4FC"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30 to 49 years</w:t>
            </w:r>
          </w:p>
        </w:tc>
        <w:tc>
          <w:tcPr>
            <w:tcW w:w="1844" w:type="dxa"/>
            <w:gridSpan w:val="2"/>
            <w:tcBorders>
              <w:top w:val="nil"/>
              <w:bottom w:val="nil"/>
            </w:tcBorders>
            <w:shd w:val="clear" w:color="auto" w:fill="auto"/>
            <w:noWrap/>
            <w:vAlign w:val="center"/>
          </w:tcPr>
          <w:p w14:paraId="503E823E"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46%</w:t>
            </w:r>
          </w:p>
        </w:tc>
        <w:tc>
          <w:tcPr>
            <w:tcW w:w="1701" w:type="dxa"/>
            <w:tcBorders>
              <w:top w:val="nil"/>
              <w:bottom w:val="nil"/>
            </w:tcBorders>
            <w:shd w:val="clear" w:color="auto" w:fill="auto"/>
            <w:vAlign w:val="center"/>
          </w:tcPr>
          <w:p w14:paraId="0917778B"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39%</w:t>
            </w:r>
          </w:p>
        </w:tc>
        <w:tc>
          <w:tcPr>
            <w:tcW w:w="1276" w:type="dxa"/>
            <w:gridSpan w:val="2"/>
            <w:tcBorders>
              <w:top w:val="nil"/>
              <w:bottom w:val="nil"/>
            </w:tcBorders>
            <w:shd w:val="clear" w:color="auto" w:fill="auto"/>
            <w:vAlign w:val="center"/>
          </w:tcPr>
          <w:p w14:paraId="6451BC00"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45%</w:t>
            </w:r>
          </w:p>
        </w:tc>
      </w:tr>
      <w:tr w:rsidR="00060BF4" w:rsidRPr="00207DC2" w14:paraId="670C9432" w14:textId="77777777" w:rsidTr="008322C3">
        <w:trPr>
          <w:trHeight w:val="301"/>
        </w:trPr>
        <w:tc>
          <w:tcPr>
            <w:tcW w:w="4125" w:type="dxa"/>
            <w:gridSpan w:val="3"/>
            <w:tcBorders>
              <w:bottom w:val="dashSmallGap" w:sz="4" w:space="0" w:color="auto"/>
            </w:tcBorders>
            <w:vAlign w:val="center"/>
          </w:tcPr>
          <w:p w14:paraId="3C2AFF8C"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50 years or older</w:t>
            </w:r>
          </w:p>
        </w:tc>
        <w:tc>
          <w:tcPr>
            <w:tcW w:w="1844" w:type="dxa"/>
            <w:gridSpan w:val="2"/>
            <w:tcBorders>
              <w:top w:val="nil"/>
              <w:bottom w:val="dashSmallGap" w:sz="4" w:space="0" w:color="auto"/>
            </w:tcBorders>
            <w:shd w:val="clear" w:color="auto" w:fill="auto"/>
            <w:noWrap/>
            <w:vAlign w:val="center"/>
          </w:tcPr>
          <w:p w14:paraId="589A6F9B"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13%</w:t>
            </w:r>
          </w:p>
        </w:tc>
        <w:tc>
          <w:tcPr>
            <w:tcW w:w="1701" w:type="dxa"/>
            <w:tcBorders>
              <w:top w:val="nil"/>
              <w:bottom w:val="dashSmallGap" w:sz="4" w:space="0" w:color="auto"/>
            </w:tcBorders>
            <w:shd w:val="clear" w:color="auto" w:fill="auto"/>
            <w:vAlign w:val="center"/>
          </w:tcPr>
          <w:p w14:paraId="37B86DAB"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38%</w:t>
            </w:r>
          </w:p>
        </w:tc>
        <w:tc>
          <w:tcPr>
            <w:tcW w:w="1276" w:type="dxa"/>
            <w:gridSpan w:val="2"/>
            <w:tcBorders>
              <w:top w:val="nil"/>
              <w:bottom w:val="dashSmallGap" w:sz="4" w:space="0" w:color="auto"/>
            </w:tcBorders>
            <w:shd w:val="clear" w:color="auto" w:fill="auto"/>
            <w:vAlign w:val="center"/>
          </w:tcPr>
          <w:p w14:paraId="3954033A"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17%</w:t>
            </w:r>
          </w:p>
        </w:tc>
      </w:tr>
      <w:tr w:rsidR="005C3FB0" w:rsidRPr="00207DC2" w14:paraId="17C9FFD4" w14:textId="77777777" w:rsidTr="00B15965">
        <w:trPr>
          <w:trHeight w:val="301"/>
        </w:trPr>
        <w:tc>
          <w:tcPr>
            <w:tcW w:w="8946" w:type="dxa"/>
            <w:gridSpan w:val="8"/>
            <w:tcBorders>
              <w:top w:val="dashSmallGap" w:sz="4" w:space="0" w:color="auto"/>
              <w:bottom w:val="nil"/>
            </w:tcBorders>
            <w:shd w:val="clear" w:color="auto" w:fill="D0D2D3" w:themeFill="background2"/>
            <w:vAlign w:val="center"/>
          </w:tcPr>
          <w:p w14:paraId="689E30FB" w14:textId="77777777" w:rsidR="005C3FB0" w:rsidRPr="00207DC2" w:rsidRDefault="005C3FB0" w:rsidP="00FB626D">
            <w:pPr>
              <w:pStyle w:val="TableText"/>
              <w:keepNext/>
              <w:keepLines/>
              <w:spacing w:before="0" w:after="0"/>
              <w:ind w:left="142" w:right="142"/>
              <w:rPr>
                <w:szCs w:val="20"/>
                <w:lang w:val="en-AU" w:eastAsia="en-AU"/>
              </w:rPr>
            </w:pPr>
            <w:r w:rsidRPr="00207DC2">
              <w:rPr>
                <w:b/>
                <w:szCs w:val="20"/>
                <w:lang w:val="en-AU" w:eastAsia="en-AU"/>
              </w:rPr>
              <w:t>Time on income support over the past two decades</w:t>
            </w:r>
            <w:r w:rsidR="004F017E" w:rsidRPr="00207DC2">
              <w:rPr>
                <w:b/>
                <w:szCs w:val="20"/>
                <w:lang w:val="en-AU" w:eastAsia="en-AU"/>
              </w:rPr>
              <w:t>:</w:t>
            </w:r>
            <w:r w:rsidR="00A35FF6" w:rsidRPr="00207DC2">
              <w:rPr>
                <w:b/>
                <w:szCs w:val="20"/>
                <w:vertAlign w:val="superscript"/>
                <w:lang w:val="en-AU" w:eastAsia="en-AU"/>
              </w:rPr>
              <w:t>d</w:t>
            </w:r>
          </w:p>
        </w:tc>
      </w:tr>
      <w:tr w:rsidR="00060BF4" w:rsidRPr="00207DC2" w14:paraId="513BBFBE" w14:textId="77777777" w:rsidTr="008322C3">
        <w:trPr>
          <w:trHeight w:val="301"/>
        </w:trPr>
        <w:tc>
          <w:tcPr>
            <w:tcW w:w="4125" w:type="dxa"/>
            <w:gridSpan w:val="3"/>
            <w:tcBorders>
              <w:top w:val="dashSmallGap" w:sz="4" w:space="0" w:color="auto"/>
            </w:tcBorders>
            <w:vAlign w:val="center"/>
          </w:tcPr>
          <w:p w14:paraId="3B68180C"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Less than one year</w:t>
            </w:r>
          </w:p>
        </w:tc>
        <w:tc>
          <w:tcPr>
            <w:tcW w:w="1844" w:type="dxa"/>
            <w:gridSpan w:val="2"/>
            <w:tcBorders>
              <w:top w:val="dashSmallGap" w:sz="4" w:space="0" w:color="auto"/>
            </w:tcBorders>
            <w:shd w:val="clear" w:color="auto" w:fill="auto"/>
            <w:noWrap/>
            <w:vAlign w:val="center"/>
          </w:tcPr>
          <w:p w14:paraId="236F4865"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8%</w:t>
            </w:r>
          </w:p>
        </w:tc>
        <w:tc>
          <w:tcPr>
            <w:tcW w:w="1701" w:type="dxa"/>
            <w:tcBorders>
              <w:top w:val="dashSmallGap" w:sz="4" w:space="0" w:color="auto"/>
            </w:tcBorders>
            <w:shd w:val="clear" w:color="auto" w:fill="auto"/>
            <w:vAlign w:val="center"/>
          </w:tcPr>
          <w:p w14:paraId="7F3921D4"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11%</w:t>
            </w:r>
          </w:p>
        </w:tc>
        <w:tc>
          <w:tcPr>
            <w:tcW w:w="1276" w:type="dxa"/>
            <w:gridSpan w:val="2"/>
            <w:tcBorders>
              <w:top w:val="dashSmallGap" w:sz="4" w:space="0" w:color="auto"/>
            </w:tcBorders>
            <w:shd w:val="clear" w:color="auto" w:fill="auto"/>
            <w:vAlign w:val="center"/>
          </w:tcPr>
          <w:p w14:paraId="4DD3CBBC"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8%</w:t>
            </w:r>
          </w:p>
        </w:tc>
      </w:tr>
      <w:tr w:rsidR="00060BF4" w:rsidRPr="00207DC2" w14:paraId="68C7A2E7" w14:textId="77777777" w:rsidTr="008322C3">
        <w:trPr>
          <w:trHeight w:val="301"/>
        </w:trPr>
        <w:tc>
          <w:tcPr>
            <w:tcW w:w="4125" w:type="dxa"/>
            <w:gridSpan w:val="3"/>
            <w:vAlign w:val="center"/>
          </w:tcPr>
          <w:p w14:paraId="7C37AAB2"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From one to less than two years</w:t>
            </w:r>
          </w:p>
        </w:tc>
        <w:tc>
          <w:tcPr>
            <w:tcW w:w="1844" w:type="dxa"/>
            <w:gridSpan w:val="2"/>
            <w:shd w:val="clear" w:color="auto" w:fill="auto"/>
            <w:noWrap/>
            <w:vAlign w:val="center"/>
          </w:tcPr>
          <w:p w14:paraId="7E9C6439"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6%</w:t>
            </w:r>
          </w:p>
        </w:tc>
        <w:tc>
          <w:tcPr>
            <w:tcW w:w="1701" w:type="dxa"/>
            <w:shd w:val="clear" w:color="auto" w:fill="auto"/>
            <w:vAlign w:val="center"/>
          </w:tcPr>
          <w:p w14:paraId="50BDDEC2"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8%</w:t>
            </w:r>
          </w:p>
        </w:tc>
        <w:tc>
          <w:tcPr>
            <w:tcW w:w="1276" w:type="dxa"/>
            <w:gridSpan w:val="2"/>
            <w:shd w:val="clear" w:color="auto" w:fill="auto"/>
            <w:vAlign w:val="center"/>
          </w:tcPr>
          <w:p w14:paraId="1F17A2A7" w14:textId="77777777" w:rsidR="00060BF4" w:rsidRPr="00207DC2" w:rsidDel="000E4291"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6%</w:t>
            </w:r>
          </w:p>
        </w:tc>
      </w:tr>
      <w:tr w:rsidR="00060BF4" w:rsidRPr="00207DC2" w14:paraId="3BC2C3D4" w14:textId="77777777" w:rsidTr="008322C3">
        <w:trPr>
          <w:trHeight w:val="301"/>
        </w:trPr>
        <w:tc>
          <w:tcPr>
            <w:tcW w:w="4125" w:type="dxa"/>
            <w:gridSpan w:val="3"/>
            <w:vAlign w:val="center"/>
          </w:tcPr>
          <w:p w14:paraId="4DC167A3"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From two to less than five years</w:t>
            </w:r>
          </w:p>
        </w:tc>
        <w:tc>
          <w:tcPr>
            <w:tcW w:w="1844" w:type="dxa"/>
            <w:gridSpan w:val="2"/>
            <w:tcBorders>
              <w:bottom w:val="nil"/>
            </w:tcBorders>
            <w:shd w:val="clear" w:color="auto" w:fill="auto"/>
            <w:noWrap/>
            <w:vAlign w:val="center"/>
          </w:tcPr>
          <w:p w14:paraId="0FB1AB63"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16%</w:t>
            </w:r>
          </w:p>
        </w:tc>
        <w:tc>
          <w:tcPr>
            <w:tcW w:w="1701" w:type="dxa"/>
            <w:tcBorders>
              <w:bottom w:val="nil"/>
            </w:tcBorders>
            <w:shd w:val="clear" w:color="auto" w:fill="auto"/>
            <w:vAlign w:val="center"/>
          </w:tcPr>
          <w:p w14:paraId="2E08C045"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21%</w:t>
            </w:r>
          </w:p>
        </w:tc>
        <w:tc>
          <w:tcPr>
            <w:tcW w:w="1276" w:type="dxa"/>
            <w:gridSpan w:val="2"/>
            <w:tcBorders>
              <w:bottom w:val="nil"/>
            </w:tcBorders>
            <w:shd w:val="clear" w:color="auto" w:fill="auto"/>
            <w:vAlign w:val="center"/>
          </w:tcPr>
          <w:p w14:paraId="20C4DF99"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17%</w:t>
            </w:r>
          </w:p>
        </w:tc>
      </w:tr>
      <w:tr w:rsidR="00060BF4" w:rsidRPr="00207DC2" w14:paraId="5B99AB4C" w14:textId="77777777" w:rsidTr="00B15965">
        <w:trPr>
          <w:trHeight w:val="301"/>
        </w:trPr>
        <w:tc>
          <w:tcPr>
            <w:tcW w:w="4125" w:type="dxa"/>
            <w:gridSpan w:val="3"/>
            <w:tcBorders>
              <w:bottom w:val="single" w:sz="4" w:space="0" w:color="auto"/>
            </w:tcBorders>
            <w:vAlign w:val="center"/>
          </w:tcPr>
          <w:p w14:paraId="39DF6E4A" w14:textId="77777777" w:rsidR="00060BF4" w:rsidRPr="00207DC2" w:rsidRDefault="00060BF4" w:rsidP="00FB626D">
            <w:pPr>
              <w:keepNext/>
              <w:keepLines/>
              <w:spacing w:before="0" w:after="0" w:line="240" w:lineRule="auto"/>
              <w:ind w:left="142" w:right="142"/>
              <w:rPr>
                <w:b/>
                <w:szCs w:val="20"/>
                <w:lang w:val="en-AU" w:eastAsia="en-AU"/>
              </w:rPr>
            </w:pPr>
            <w:r w:rsidRPr="00207DC2">
              <w:rPr>
                <w:b/>
                <w:szCs w:val="20"/>
                <w:lang w:val="en-AU" w:eastAsia="en-AU"/>
              </w:rPr>
              <w:t>Five years or more</w:t>
            </w:r>
          </w:p>
        </w:tc>
        <w:tc>
          <w:tcPr>
            <w:tcW w:w="1844" w:type="dxa"/>
            <w:gridSpan w:val="2"/>
            <w:tcBorders>
              <w:top w:val="nil"/>
              <w:bottom w:val="single" w:sz="4" w:space="0" w:color="auto"/>
            </w:tcBorders>
            <w:shd w:val="clear" w:color="auto" w:fill="auto"/>
            <w:noWrap/>
            <w:vAlign w:val="center"/>
          </w:tcPr>
          <w:p w14:paraId="4B96D14B"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70%</w:t>
            </w:r>
          </w:p>
        </w:tc>
        <w:tc>
          <w:tcPr>
            <w:tcW w:w="1701" w:type="dxa"/>
            <w:tcBorders>
              <w:top w:val="nil"/>
              <w:bottom w:val="single" w:sz="4" w:space="0" w:color="auto"/>
            </w:tcBorders>
            <w:shd w:val="clear" w:color="auto" w:fill="auto"/>
            <w:vAlign w:val="center"/>
          </w:tcPr>
          <w:p w14:paraId="73E7FDDD"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60%</w:t>
            </w:r>
          </w:p>
        </w:tc>
        <w:tc>
          <w:tcPr>
            <w:tcW w:w="1276" w:type="dxa"/>
            <w:gridSpan w:val="2"/>
            <w:tcBorders>
              <w:top w:val="nil"/>
              <w:bottom w:val="single" w:sz="4" w:space="0" w:color="auto"/>
            </w:tcBorders>
            <w:shd w:val="clear" w:color="auto" w:fill="auto"/>
            <w:vAlign w:val="center"/>
          </w:tcPr>
          <w:p w14:paraId="2602FC66" w14:textId="77777777" w:rsidR="00060BF4" w:rsidRPr="00207DC2" w:rsidRDefault="00060BF4" w:rsidP="00FB626D">
            <w:pPr>
              <w:pStyle w:val="TableText"/>
              <w:keepNext/>
              <w:keepLines/>
              <w:spacing w:before="0" w:after="0"/>
              <w:ind w:left="142" w:right="142"/>
              <w:jc w:val="right"/>
              <w:rPr>
                <w:szCs w:val="20"/>
                <w:lang w:val="en-AU" w:eastAsia="en-AU"/>
              </w:rPr>
            </w:pPr>
            <w:r w:rsidRPr="00207DC2">
              <w:rPr>
                <w:szCs w:val="20"/>
                <w:lang w:val="en-AU" w:eastAsia="en-AU"/>
              </w:rPr>
              <w:t>69%</w:t>
            </w:r>
          </w:p>
        </w:tc>
      </w:tr>
    </w:tbl>
    <w:p w14:paraId="314D5F12" w14:textId="77777777" w:rsidR="00DF7D3E" w:rsidRPr="00207DC2" w:rsidRDefault="00060BF4" w:rsidP="00FB626D">
      <w:pPr>
        <w:pStyle w:val="tablenotes"/>
      </w:pPr>
      <w:r w:rsidRPr="00207DC2">
        <w:rPr>
          <w:i/>
        </w:rPr>
        <w:t>Source:</w:t>
      </w:r>
      <w:r w:rsidRPr="00207DC2">
        <w:t xml:space="preserve"> </w:t>
      </w:r>
      <w:r w:rsidR="0057565A" w:rsidRPr="00207DC2">
        <w:t>PMC</w:t>
      </w:r>
      <w:r w:rsidRPr="00207DC2">
        <w:t xml:space="preserve"> estimates based on unpublished ESS operational data (extracted on 5 September 2017)</w:t>
      </w:r>
      <w:r w:rsidR="001E5608" w:rsidRPr="00207DC2">
        <w:t xml:space="preserve"> and DHS operational data (extracted on 9 October 2017)</w:t>
      </w:r>
      <w:r w:rsidRPr="00207DC2">
        <w:t>. </w:t>
      </w:r>
    </w:p>
    <w:p w14:paraId="004514ED" w14:textId="08170DCA" w:rsidR="00060BF4" w:rsidRPr="00207DC2" w:rsidRDefault="00060BF4" w:rsidP="00FB626D">
      <w:pPr>
        <w:pStyle w:val="tablenotes"/>
      </w:pPr>
      <w:r w:rsidRPr="00207DC2">
        <w:rPr>
          <w:i/>
        </w:rPr>
        <w:t>Notes:</w:t>
      </w:r>
      <w:r w:rsidRPr="00207DC2" w:rsidDel="0065374A">
        <w:t xml:space="preserve"> </w:t>
      </w:r>
      <w:r w:rsidRPr="00207DC2">
        <w:t xml:space="preserve">(a) Around 380 participants were missing on remoteness of home address, 300 participants were missing on the JSCI, 170 </w:t>
      </w:r>
      <w:r w:rsidR="00EA2264">
        <w:t>we</w:t>
      </w:r>
      <w:r w:rsidRPr="00207DC2">
        <w:t xml:space="preserve">re missing on income support duration and 500 participants </w:t>
      </w:r>
      <w:r w:rsidR="00EA2264">
        <w:t>we</w:t>
      </w:r>
      <w:r w:rsidRPr="00207DC2">
        <w:t xml:space="preserve">re missing participation requirements. (b) </w:t>
      </w:r>
      <w:r w:rsidR="00A35FF6" w:rsidRPr="00207DC2">
        <w:t xml:space="preserve">Percentages do not always add to 100 due to rounding. (c) </w:t>
      </w:r>
      <w:r w:rsidRPr="00207DC2">
        <w:t xml:space="preserve">Remoteness </w:t>
      </w:r>
      <w:r w:rsidR="00850E0D" w:rsidRPr="00207DC2">
        <w:t xml:space="preserve">is </w:t>
      </w:r>
      <w:r w:rsidRPr="00207DC2">
        <w:t xml:space="preserve">based on </w:t>
      </w:r>
      <w:r w:rsidR="00D06964" w:rsidRPr="00207DC2">
        <w:t xml:space="preserve">participant’s </w:t>
      </w:r>
      <w:r w:rsidRPr="00207DC2">
        <w:t xml:space="preserve">home address and the ABS Australian Statistical Geography Standard. </w:t>
      </w:r>
      <w:r w:rsidR="00A35FF6" w:rsidRPr="00207DC2">
        <w:t>(d</w:t>
      </w:r>
      <w:r w:rsidRPr="00207DC2">
        <w:t xml:space="preserve">) Time on income support is based on the </w:t>
      </w:r>
      <w:r w:rsidR="001E5608" w:rsidRPr="00207DC2">
        <w:t>duration on income support since 1998</w:t>
      </w:r>
      <w:r w:rsidRPr="00207DC2">
        <w:t xml:space="preserve">. </w:t>
      </w:r>
    </w:p>
    <w:p w14:paraId="75408456" w14:textId="2EEB9A2E" w:rsidR="00060BF4" w:rsidRPr="00587744" w:rsidRDefault="00060BF4" w:rsidP="00F35F78">
      <w:pPr>
        <w:pStyle w:val="ZED5"/>
        <w:outlineLvl w:val="3"/>
        <w:rPr>
          <w:sz w:val="20"/>
        </w:rPr>
      </w:pPr>
      <w:bookmarkStart w:id="168" w:name="_Toc535935042"/>
      <w:r w:rsidRPr="00170AFA">
        <w:rPr>
          <w:sz w:val="20"/>
        </w:rPr>
        <w:t>CDP participants face high barriers to employment</w:t>
      </w:r>
      <w:bookmarkEnd w:id="168"/>
    </w:p>
    <w:p w14:paraId="4721D8F2" w14:textId="77777777" w:rsidR="001961F5" w:rsidRPr="00207DC2" w:rsidRDefault="001E11A2" w:rsidP="00060BF4">
      <w:pPr>
        <w:jc w:val="both"/>
        <w:rPr>
          <w:lang w:val="en-AU"/>
        </w:rPr>
      </w:pPr>
      <w:r w:rsidRPr="00207DC2">
        <w:rPr>
          <w:lang w:val="en-AU"/>
        </w:rPr>
        <w:t>M</w:t>
      </w:r>
      <w:r w:rsidR="00BF7BEE" w:rsidRPr="00207DC2">
        <w:rPr>
          <w:lang w:val="en-AU"/>
        </w:rPr>
        <w:t>any CDP participants face significant barriers to employment</w:t>
      </w:r>
      <w:r w:rsidR="00F73CA0" w:rsidRPr="00207DC2">
        <w:rPr>
          <w:lang w:val="en-AU"/>
        </w:rPr>
        <w:t xml:space="preserve">. Some </w:t>
      </w:r>
      <w:r w:rsidR="001343FB" w:rsidRPr="00207DC2">
        <w:rPr>
          <w:lang w:val="en-AU"/>
        </w:rPr>
        <w:t>70</w:t>
      </w:r>
      <w:r w:rsidR="00BF7BEE" w:rsidRPr="00207DC2">
        <w:rPr>
          <w:lang w:val="en-AU"/>
        </w:rPr>
        <w:t> </w:t>
      </w:r>
      <w:r w:rsidR="001343FB" w:rsidRPr="00207DC2">
        <w:rPr>
          <w:lang w:val="en-AU"/>
        </w:rPr>
        <w:t>per</w:t>
      </w:r>
      <w:r w:rsidR="00BF7BEE" w:rsidRPr="00207DC2">
        <w:rPr>
          <w:lang w:val="en-AU"/>
        </w:rPr>
        <w:t> </w:t>
      </w:r>
      <w:r w:rsidR="001343FB" w:rsidRPr="00207DC2">
        <w:rPr>
          <w:lang w:val="en-AU"/>
        </w:rPr>
        <w:t xml:space="preserve">cent of CDP participants </w:t>
      </w:r>
      <w:r w:rsidR="00F73CA0" w:rsidRPr="00207DC2">
        <w:rPr>
          <w:lang w:val="en-AU"/>
        </w:rPr>
        <w:t>have received</w:t>
      </w:r>
      <w:r w:rsidR="001343FB" w:rsidRPr="00207DC2">
        <w:rPr>
          <w:lang w:val="en-AU"/>
        </w:rPr>
        <w:t xml:space="preserve"> income support for more than five </w:t>
      </w:r>
      <w:r w:rsidR="00F73CA0" w:rsidRPr="00207DC2">
        <w:rPr>
          <w:lang w:val="en-AU"/>
        </w:rPr>
        <w:t xml:space="preserve">out of the past twenty </w:t>
      </w:r>
      <w:r w:rsidR="001343FB" w:rsidRPr="00207DC2">
        <w:rPr>
          <w:lang w:val="en-AU"/>
        </w:rPr>
        <w:t>years (Table 2.</w:t>
      </w:r>
      <w:r w:rsidR="009C6BAF" w:rsidRPr="00207DC2">
        <w:rPr>
          <w:lang w:val="en-AU"/>
        </w:rPr>
        <w:t>1</w:t>
      </w:r>
      <w:r w:rsidR="001343FB" w:rsidRPr="00207DC2">
        <w:rPr>
          <w:lang w:val="en-AU"/>
        </w:rPr>
        <w:t>).</w:t>
      </w:r>
      <w:r w:rsidR="001961F5" w:rsidRPr="00207DC2">
        <w:rPr>
          <w:lang w:val="en-AU"/>
        </w:rPr>
        <w:t xml:space="preserve"> </w:t>
      </w:r>
    </w:p>
    <w:p w14:paraId="788C8DF5" w14:textId="77777777" w:rsidR="006357C6" w:rsidRPr="00207DC2" w:rsidRDefault="008145AE" w:rsidP="00060BF4">
      <w:pPr>
        <w:jc w:val="both"/>
        <w:rPr>
          <w:lang w:val="en-AU"/>
        </w:rPr>
      </w:pPr>
      <w:r w:rsidRPr="00207DC2">
        <w:rPr>
          <w:lang w:val="en-AU"/>
        </w:rPr>
        <w:t>T</w:t>
      </w:r>
      <w:r w:rsidR="0071210C" w:rsidRPr="00207DC2">
        <w:rPr>
          <w:lang w:val="en-AU"/>
        </w:rPr>
        <w:t xml:space="preserve">he Job Seeker Classification Instrument (JSCI) </w:t>
      </w:r>
      <w:r w:rsidR="00A149A9" w:rsidRPr="00207DC2">
        <w:rPr>
          <w:lang w:val="en-AU"/>
        </w:rPr>
        <w:t xml:space="preserve">looks at </w:t>
      </w:r>
      <w:r w:rsidR="00B46766" w:rsidRPr="00207DC2">
        <w:rPr>
          <w:lang w:val="en-AU"/>
        </w:rPr>
        <w:t xml:space="preserve">a </w:t>
      </w:r>
      <w:r w:rsidR="00A149A9" w:rsidRPr="00207DC2">
        <w:rPr>
          <w:lang w:val="en-AU"/>
        </w:rPr>
        <w:t>broader</w:t>
      </w:r>
      <w:r w:rsidR="007B7EC6" w:rsidRPr="00207DC2">
        <w:rPr>
          <w:lang w:val="en-AU"/>
        </w:rPr>
        <w:t xml:space="preserve"> range of indicators</w:t>
      </w:r>
      <w:r w:rsidRPr="00207DC2">
        <w:rPr>
          <w:lang w:val="en-AU"/>
        </w:rPr>
        <w:t xml:space="preserve"> to determine a participant’s barriers to employment and the level of support they need to find work</w:t>
      </w:r>
      <w:r w:rsidR="007B7EC6" w:rsidRPr="00207DC2">
        <w:rPr>
          <w:lang w:val="en-AU"/>
        </w:rPr>
        <w:t>. These indictors include the time a participant has spent on income support as well as</w:t>
      </w:r>
      <w:r w:rsidR="00B46766" w:rsidRPr="00207DC2">
        <w:rPr>
          <w:lang w:val="en-AU"/>
        </w:rPr>
        <w:t xml:space="preserve"> a</w:t>
      </w:r>
      <w:r w:rsidR="00CE2B6B" w:rsidRPr="00207DC2">
        <w:rPr>
          <w:lang w:val="en-AU"/>
        </w:rPr>
        <w:t xml:space="preserve"> number of other factors </w:t>
      </w:r>
      <w:r w:rsidR="008A0053" w:rsidRPr="00207DC2">
        <w:rPr>
          <w:lang w:val="en-AU"/>
        </w:rPr>
        <w:t>such as</w:t>
      </w:r>
      <w:r w:rsidR="007B7EC6" w:rsidRPr="00207DC2">
        <w:rPr>
          <w:lang w:val="en-AU"/>
        </w:rPr>
        <w:t xml:space="preserve"> </w:t>
      </w:r>
      <w:r w:rsidR="00AF7942" w:rsidRPr="00207DC2">
        <w:rPr>
          <w:lang w:val="en-AU"/>
        </w:rPr>
        <w:t xml:space="preserve">proximity to a labour market, age, </w:t>
      </w:r>
      <w:r w:rsidR="007B7EC6" w:rsidRPr="00207DC2">
        <w:rPr>
          <w:lang w:val="en-AU"/>
        </w:rPr>
        <w:t xml:space="preserve">English proficiency, access to transport, </w:t>
      </w:r>
      <w:r w:rsidR="0060303D" w:rsidRPr="00207DC2">
        <w:rPr>
          <w:lang w:val="en-AU"/>
        </w:rPr>
        <w:t>whether contactable by phone</w:t>
      </w:r>
      <w:r w:rsidR="007B7EC6" w:rsidRPr="00207DC2">
        <w:rPr>
          <w:lang w:val="en-AU"/>
        </w:rPr>
        <w:t>, disability, stability of residence, criminal convictions and personal</w:t>
      </w:r>
      <w:r w:rsidR="008A0053" w:rsidRPr="00207DC2">
        <w:rPr>
          <w:lang w:val="en-AU"/>
        </w:rPr>
        <w:t xml:space="preserve"> </w:t>
      </w:r>
      <w:r w:rsidR="00715A23" w:rsidRPr="00207DC2">
        <w:rPr>
          <w:lang w:val="en-AU"/>
        </w:rPr>
        <w:t xml:space="preserve">factors </w:t>
      </w:r>
      <w:r w:rsidR="00AF7942" w:rsidRPr="00207DC2">
        <w:rPr>
          <w:lang w:val="en-AU"/>
        </w:rPr>
        <w:t>(DJSB 2018)</w:t>
      </w:r>
      <w:r w:rsidR="007B7EC6" w:rsidRPr="00207DC2">
        <w:rPr>
          <w:lang w:val="en-AU"/>
        </w:rPr>
        <w:t xml:space="preserve">. </w:t>
      </w:r>
    </w:p>
    <w:p w14:paraId="432EEC3C" w14:textId="33CADF17" w:rsidR="008805AF" w:rsidRPr="00207DC2" w:rsidRDefault="00CE4324" w:rsidP="008805AF">
      <w:pPr>
        <w:jc w:val="both"/>
        <w:rPr>
          <w:lang w:val="en-AU"/>
        </w:rPr>
      </w:pPr>
      <w:r w:rsidRPr="00207DC2">
        <w:rPr>
          <w:lang w:val="en-AU"/>
        </w:rPr>
        <w:t xml:space="preserve">Close to three in four participants were classified under the JSCI as having </w:t>
      </w:r>
      <w:r w:rsidRPr="00207DC2">
        <w:rPr>
          <w:i/>
          <w:iCs/>
          <w:lang w:val="en-AU"/>
        </w:rPr>
        <w:t>moderate to extreme</w:t>
      </w:r>
      <w:r w:rsidRPr="00207DC2">
        <w:rPr>
          <w:lang w:val="en-AU"/>
        </w:rPr>
        <w:t xml:space="preserve"> barriers to employment in March 2016</w:t>
      </w:r>
      <w:r w:rsidR="008638CB" w:rsidRPr="00207DC2">
        <w:rPr>
          <w:lang w:val="en-AU"/>
        </w:rPr>
        <w:t>,</w:t>
      </w:r>
      <w:r w:rsidR="00060BF4" w:rsidRPr="00207DC2">
        <w:rPr>
          <w:vertAlign w:val="superscript"/>
          <w:lang w:val="en-AU"/>
        </w:rPr>
        <w:footnoteReference w:id="17"/>
      </w:r>
      <w:r w:rsidR="00060BF4" w:rsidRPr="00207DC2">
        <w:rPr>
          <w:lang w:val="en-AU"/>
        </w:rPr>
        <w:t xml:space="preserve"> </w:t>
      </w:r>
      <w:r w:rsidRPr="00207DC2">
        <w:rPr>
          <w:lang w:val="en-AU"/>
        </w:rPr>
        <w:t xml:space="preserve">including 77 per cent of </w:t>
      </w:r>
      <w:r w:rsidR="00CE2B6B" w:rsidRPr="00207DC2">
        <w:rPr>
          <w:lang w:val="en-AU"/>
        </w:rPr>
        <w:t xml:space="preserve">those identifying as </w:t>
      </w:r>
      <w:r w:rsidR="002E4F2F" w:rsidRPr="00207DC2">
        <w:rPr>
          <w:lang w:val="en-AU"/>
        </w:rPr>
        <w:t>Aboriginal and/or Torres Strait Islander</w:t>
      </w:r>
      <w:r w:rsidR="00CE2B6B" w:rsidRPr="00207DC2">
        <w:rPr>
          <w:lang w:val="en-AU"/>
        </w:rPr>
        <w:t xml:space="preserve"> </w:t>
      </w:r>
      <w:r w:rsidRPr="00207DC2">
        <w:rPr>
          <w:lang w:val="en-AU"/>
        </w:rPr>
        <w:t>and 43 per cent of non-Indigen</w:t>
      </w:r>
      <w:r w:rsidR="00850E0D" w:rsidRPr="00207DC2">
        <w:rPr>
          <w:lang w:val="en-AU"/>
        </w:rPr>
        <w:t>ous participants</w:t>
      </w:r>
      <w:r w:rsidR="00FD0469" w:rsidRPr="00207DC2">
        <w:rPr>
          <w:lang w:val="en-AU"/>
        </w:rPr>
        <w:t xml:space="preserve"> (Figure 2.</w:t>
      </w:r>
      <w:r w:rsidR="00F8193F" w:rsidRPr="00207DC2">
        <w:rPr>
          <w:lang w:val="en-AU"/>
        </w:rPr>
        <w:t>2</w:t>
      </w:r>
      <w:r w:rsidR="00FD0469" w:rsidRPr="00207DC2">
        <w:rPr>
          <w:lang w:val="en-AU"/>
        </w:rPr>
        <w:t>)</w:t>
      </w:r>
      <w:r w:rsidR="00850E0D" w:rsidRPr="00207DC2">
        <w:rPr>
          <w:lang w:val="en-AU"/>
        </w:rPr>
        <w:t>. Only five per </w:t>
      </w:r>
      <w:r w:rsidRPr="00207DC2">
        <w:rPr>
          <w:lang w:val="en-AU"/>
        </w:rPr>
        <w:t xml:space="preserve">cent of CDP participants were classified as having </w:t>
      </w:r>
      <w:r w:rsidRPr="00207DC2">
        <w:rPr>
          <w:i/>
          <w:lang w:val="en-AU"/>
        </w:rPr>
        <w:t>low</w:t>
      </w:r>
      <w:r w:rsidRPr="00207DC2">
        <w:rPr>
          <w:lang w:val="en-AU"/>
        </w:rPr>
        <w:t xml:space="preserve"> barriers to employment. In comparison, under jobactive, 44 per cent of participants were classified as having </w:t>
      </w:r>
      <w:r w:rsidRPr="00207DC2">
        <w:rPr>
          <w:i/>
          <w:lang w:val="en-AU"/>
        </w:rPr>
        <w:t>moderate to extreme</w:t>
      </w:r>
      <w:r w:rsidRPr="00207DC2">
        <w:rPr>
          <w:lang w:val="en-AU"/>
        </w:rPr>
        <w:t xml:space="preserve"> barriers to employment (in March 2016), including 65 per cent of </w:t>
      </w:r>
      <w:r w:rsidR="002E4F2F" w:rsidRPr="00207DC2">
        <w:rPr>
          <w:lang w:val="en-AU"/>
        </w:rPr>
        <w:t>Aboriginal and/or Torres Strait Islander</w:t>
      </w:r>
      <w:r w:rsidR="002E4F2F" w:rsidRPr="00207DC2" w:rsidDel="002E4F2F">
        <w:rPr>
          <w:lang w:val="en-AU"/>
        </w:rPr>
        <w:t xml:space="preserve"> </w:t>
      </w:r>
      <w:r w:rsidRPr="00207DC2">
        <w:rPr>
          <w:lang w:val="en-AU"/>
        </w:rPr>
        <w:t>and 42 per cent of non</w:t>
      </w:r>
      <w:r w:rsidR="00565ACE">
        <w:rPr>
          <w:lang w:val="en-AU"/>
        </w:rPr>
        <w:noBreakHyphen/>
      </w:r>
      <w:r w:rsidRPr="00207DC2">
        <w:rPr>
          <w:lang w:val="en-AU"/>
        </w:rPr>
        <w:t xml:space="preserve">Indigenous </w:t>
      </w:r>
      <w:r w:rsidR="00EA2264">
        <w:rPr>
          <w:lang w:val="en-AU"/>
        </w:rPr>
        <w:t>pa</w:t>
      </w:r>
      <w:r w:rsidRPr="00207DC2">
        <w:rPr>
          <w:lang w:val="en-AU"/>
        </w:rPr>
        <w:t>r</w:t>
      </w:r>
      <w:r w:rsidR="00EA2264">
        <w:rPr>
          <w:lang w:val="en-AU"/>
        </w:rPr>
        <w:t>ticipant</w:t>
      </w:r>
      <w:r w:rsidRPr="00207DC2">
        <w:rPr>
          <w:lang w:val="en-AU"/>
        </w:rPr>
        <w:t>s</w:t>
      </w:r>
      <w:r w:rsidR="00CE2B6B" w:rsidRPr="00207DC2">
        <w:rPr>
          <w:lang w:val="en-AU"/>
        </w:rPr>
        <w:t xml:space="preserve"> (</w:t>
      </w:r>
      <w:r w:rsidR="00F52BD8" w:rsidRPr="00207DC2">
        <w:rPr>
          <w:lang w:val="en-AU"/>
        </w:rPr>
        <w:t>u</w:t>
      </w:r>
      <w:r w:rsidR="00CE2B6B" w:rsidRPr="00207DC2">
        <w:rPr>
          <w:lang w:val="en-AU"/>
        </w:rPr>
        <w:t>npublished</w:t>
      </w:r>
      <w:r w:rsidR="00B815F3" w:rsidRPr="00207DC2">
        <w:rPr>
          <w:lang w:val="en-AU"/>
        </w:rPr>
        <w:t xml:space="preserve"> DJSB</w:t>
      </w:r>
      <w:r w:rsidR="00CE2B6B" w:rsidRPr="00207DC2">
        <w:rPr>
          <w:lang w:val="en-AU"/>
        </w:rPr>
        <w:t xml:space="preserve"> data)</w:t>
      </w:r>
      <w:r w:rsidRPr="00207DC2">
        <w:rPr>
          <w:lang w:val="en-AU"/>
        </w:rPr>
        <w:t xml:space="preserve">. </w:t>
      </w:r>
    </w:p>
    <w:p w14:paraId="7A2999ED" w14:textId="6297CDA2" w:rsidR="008805AF" w:rsidRPr="00207DC2" w:rsidRDefault="002B26F8" w:rsidP="008805AF">
      <w:pPr>
        <w:jc w:val="both"/>
        <w:rPr>
          <w:lang w:val="en-AU"/>
        </w:rPr>
      </w:pPr>
      <w:r w:rsidRPr="00207DC2">
        <w:rPr>
          <w:lang w:val="en-AU"/>
        </w:rPr>
        <w:t>One of the reasons for t</w:t>
      </w:r>
      <w:r w:rsidR="00CE4324" w:rsidRPr="00207DC2">
        <w:rPr>
          <w:lang w:val="en-AU"/>
        </w:rPr>
        <w:t xml:space="preserve">he high prevalence of CDP participants with </w:t>
      </w:r>
      <w:r w:rsidR="00CE4324" w:rsidRPr="00207DC2">
        <w:rPr>
          <w:i/>
          <w:iCs/>
          <w:lang w:val="en-AU"/>
        </w:rPr>
        <w:t>moderate to extreme</w:t>
      </w:r>
      <w:r w:rsidR="00CE4324" w:rsidRPr="00207DC2">
        <w:rPr>
          <w:lang w:val="en-AU"/>
        </w:rPr>
        <w:t xml:space="preserve"> barriers to employment is </w:t>
      </w:r>
      <w:r w:rsidRPr="00207DC2">
        <w:rPr>
          <w:lang w:val="en-AU"/>
        </w:rPr>
        <w:t>their</w:t>
      </w:r>
      <w:r w:rsidR="00CE4324" w:rsidRPr="00207DC2">
        <w:rPr>
          <w:lang w:val="en-AU"/>
        </w:rPr>
        <w:t xml:space="preserve"> geographical location</w:t>
      </w:r>
      <w:r w:rsidRPr="00207DC2">
        <w:rPr>
          <w:lang w:val="en-AU"/>
        </w:rPr>
        <w:t xml:space="preserve"> of </w:t>
      </w:r>
      <w:r w:rsidR="00F97B5F" w:rsidRPr="00207DC2">
        <w:rPr>
          <w:lang w:val="en-AU"/>
        </w:rPr>
        <w:t>residence, which</w:t>
      </w:r>
      <w:r w:rsidRPr="00207DC2">
        <w:rPr>
          <w:lang w:val="en-AU"/>
        </w:rPr>
        <w:t xml:space="preserve"> </w:t>
      </w:r>
      <w:r w:rsidR="00CE4324" w:rsidRPr="00207DC2">
        <w:rPr>
          <w:lang w:val="en-AU"/>
        </w:rPr>
        <w:t xml:space="preserve">is one of the factors that determine an individual’s likelihood of obtaining employment. </w:t>
      </w:r>
      <w:r w:rsidR="0046778D" w:rsidRPr="00207DC2">
        <w:rPr>
          <w:lang w:val="en-AU"/>
        </w:rPr>
        <w:t xml:space="preserve">Close to </w:t>
      </w:r>
      <w:r w:rsidR="00CE4324" w:rsidRPr="00207DC2">
        <w:rPr>
          <w:lang w:val="en-AU"/>
        </w:rPr>
        <w:t xml:space="preserve">70 per cent of CDP participants live in very remote Australia, with this proportion being much larger for </w:t>
      </w:r>
      <w:r w:rsidR="002E4F2F" w:rsidRPr="00207DC2">
        <w:rPr>
          <w:lang w:val="en-AU"/>
        </w:rPr>
        <w:t>Aboriginal and/or Torres Strait Islander</w:t>
      </w:r>
      <w:r w:rsidR="00CE4324" w:rsidRPr="00207DC2">
        <w:rPr>
          <w:lang w:val="en-AU"/>
        </w:rPr>
        <w:t xml:space="preserve"> participants</w:t>
      </w:r>
      <w:r w:rsidR="00396552">
        <w:rPr>
          <w:lang w:val="en-AU"/>
        </w:rPr>
        <w:t xml:space="preserve"> – </w:t>
      </w:r>
      <w:r w:rsidR="00CE4324" w:rsidRPr="00207DC2">
        <w:rPr>
          <w:lang w:val="en-AU"/>
        </w:rPr>
        <w:t>76</w:t>
      </w:r>
      <w:r w:rsidR="00C339E9" w:rsidRPr="00207DC2">
        <w:rPr>
          <w:lang w:val="en-AU"/>
        </w:rPr>
        <w:t> </w:t>
      </w:r>
      <w:r w:rsidR="00CE4324" w:rsidRPr="00207DC2">
        <w:rPr>
          <w:lang w:val="en-AU"/>
        </w:rPr>
        <w:t>per</w:t>
      </w:r>
      <w:r w:rsidR="00C339E9" w:rsidRPr="00207DC2">
        <w:rPr>
          <w:lang w:val="en-AU"/>
        </w:rPr>
        <w:t> </w:t>
      </w:r>
      <w:r w:rsidR="00CE4324" w:rsidRPr="00207DC2">
        <w:rPr>
          <w:lang w:val="en-AU"/>
        </w:rPr>
        <w:t>cent compared to 35</w:t>
      </w:r>
      <w:r w:rsidR="004D58CF" w:rsidRPr="00207DC2">
        <w:rPr>
          <w:lang w:val="en-AU"/>
        </w:rPr>
        <w:t> </w:t>
      </w:r>
      <w:r w:rsidR="00CE4324" w:rsidRPr="00207DC2">
        <w:rPr>
          <w:lang w:val="en-AU"/>
        </w:rPr>
        <w:t>per</w:t>
      </w:r>
      <w:r w:rsidR="004D58CF" w:rsidRPr="00207DC2">
        <w:rPr>
          <w:lang w:val="en-AU"/>
        </w:rPr>
        <w:t> </w:t>
      </w:r>
      <w:r w:rsidR="00CE4324" w:rsidRPr="00207DC2">
        <w:rPr>
          <w:lang w:val="en-AU"/>
        </w:rPr>
        <w:t>cent of non-Indigenous participants (Table 2.1).</w:t>
      </w:r>
      <w:r w:rsidR="004D58CF" w:rsidRPr="00207DC2">
        <w:rPr>
          <w:lang w:val="en-AU"/>
        </w:rPr>
        <w:t xml:space="preserve"> </w:t>
      </w:r>
      <w:r w:rsidR="00CE4324" w:rsidRPr="00207DC2">
        <w:rPr>
          <w:lang w:val="en-AU"/>
        </w:rPr>
        <w:t>Those living in more remote locations are</w:t>
      </w:r>
      <w:r w:rsidR="00CE4324" w:rsidRPr="00207DC2" w:rsidDel="002E4F2F">
        <w:rPr>
          <w:lang w:val="en-AU"/>
        </w:rPr>
        <w:t xml:space="preserve"> </w:t>
      </w:r>
      <w:r w:rsidR="00CE4324" w:rsidRPr="00207DC2">
        <w:rPr>
          <w:lang w:val="en-AU"/>
        </w:rPr>
        <w:t xml:space="preserve">likely to have </w:t>
      </w:r>
      <w:r w:rsidR="009C2846" w:rsidRPr="00207DC2">
        <w:rPr>
          <w:lang w:val="en-AU"/>
        </w:rPr>
        <w:t xml:space="preserve">limited labour market opportunities and </w:t>
      </w:r>
      <w:r w:rsidR="00CE4324" w:rsidRPr="00207DC2">
        <w:rPr>
          <w:lang w:val="en-AU"/>
        </w:rPr>
        <w:t>more limited access to services</w:t>
      </w:r>
      <w:r w:rsidR="003D5A9C" w:rsidRPr="00207DC2">
        <w:rPr>
          <w:lang w:val="en-AU"/>
        </w:rPr>
        <w:t>,</w:t>
      </w:r>
      <w:r w:rsidR="00CE4324" w:rsidRPr="00207DC2">
        <w:rPr>
          <w:lang w:val="en-AU"/>
        </w:rPr>
        <w:t xml:space="preserve"> including health services</w:t>
      </w:r>
      <w:r w:rsidR="00071AD1" w:rsidRPr="00207DC2">
        <w:rPr>
          <w:lang w:val="en-AU"/>
        </w:rPr>
        <w:t xml:space="preserve"> (AIHW </w:t>
      </w:r>
      <w:r w:rsidR="00DC2B24" w:rsidRPr="00207DC2">
        <w:rPr>
          <w:lang w:val="en-AU"/>
        </w:rPr>
        <w:t>201</w:t>
      </w:r>
      <w:r w:rsidR="00F53318" w:rsidRPr="00207DC2">
        <w:rPr>
          <w:lang w:val="en-AU"/>
        </w:rPr>
        <w:t>6</w:t>
      </w:r>
      <w:r w:rsidR="00071AD1" w:rsidRPr="00207DC2">
        <w:rPr>
          <w:lang w:val="en-AU"/>
        </w:rPr>
        <w:t>; PC</w:t>
      </w:r>
      <w:r w:rsidR="007709AE" w:rsidRPr="00207DC2">
        <w:rPr>
          <w:lang w:val="en-AU"/>
        </w:rPr>
        <w:t> </w:t>
      </w:r>
      <w:r w:rsidR="00071AD1" w:rsidRPr="00207DC2">
        <w:rPr>
          <w:lang w:val="en-AU"/>
        </w:rPr>
        <w:t>2017a)</w:t>
      </w:r>
      <w:r w:rsidR="00CE4324" w:rsidRPr="00207DC2">
        <w:rPr>
          <w:lang w:val="en-AU"/>
        </w:rPr>
        <w:t>.</w:t>
      </w:r>
    </w:p>
    <w:p w14:paraId="14FD418A" w14:textId="14BCA612" w:rsidR="00B90F41" w:rsidRPr="00207DC2" w:rsidRDefault="008E46B1" w:rsidP="00FB626D">
      <w:pPr>
        <w:pStyle w:val="Table"/>
        <w:outlineLvl w:val="9"/>
      </w:pPr>
      <w:r w:rsidRPr="00587744">
        <w:rPr>
          <w:rStyle w:val="FiguresChar"/>
        </w:rPr>
        <w:t xml:space="preserve">Figure </w:t>
      </w:r>
      <w:r w:rsidR="00905D1A">
        <w:rPr>
          <w:rStyle w:val="FiguresChar"/>
        </w:rPr>
        <w:t>2</w:t>
      </w:r>
      <w:r w:rsidR="00EF1B43" w:rsidRPr="00587744">
        <w:rPr>
          <w:rStyle w:val="FiguresChar"/>
        </w:rPr>
        <w:t>.</w:t>
      </w:r>
      <w:r w:rsidR="00905D1A">
        <w:rPr>
          <w:rStyle w:val="FiguresChar"/>
        </w:rPr>
        <w:t>2</w:t>
      </w:r>
      <w:r w:rsidR="00060BF4" w:rsidRPr="00587744">
        <w:rPr>
          <w:rStyle w:val="FiguresChar"/>
        </w:rPr>
        <w:t xml:space="preserve"> Distribution of CDP participants on the Job Seeker Classification Instrument (JSCI), by Indigenous status</w:t>
      </w:r>
      <w:r w:rsidR="00FD0469" w:rsidRPr="00587744">
        <w:rPr>
          <w:rStyle w:val="FiguresChar"/>
        </w:rPr>
        <w:t>, March 2016</w:t>
      </w:r>
      <w:r w:rsidR="00301E67" w:rsidRPr="00FB626D">
        <w:rPr>
          <w:rStyle w:val="FiguresChar"/>
          <w:vertAlign w:val="superscript"/>
        </w:rPr>
        <w:t>a</w:t>
      </w:r>
      <w:r w:rsidR="00B225BF">
        <w:pict w14:anchorId="189FD746">
          <v:rect id="_x0000_i1031" style="width:0;height:1.5pt" o:hralign="center" o:hrstd="t" o:hr="t" fillcolor="#a0a0a0" stroked="f"/>
        </w:pict>
      </w:r>
    </w:p>
    <w:p w14:paraId="57B3D870" w14:textId="0D8A7D80" w:rsidR="001F19C4" w:rsidRPr="00207DC2" w:rsidRDefault="001F19C4" w:rsidP="00FB626D">
      <w:pPr>
        <w:pStyle w:val="tablenotes"/>
        <w:rPr>
          <w:i/>
        </w:rPr>
      </w:pPr>
      <w:r w:rsidRPr="00207DC2">
        <w:drawing>
          <wp:inline distT="0" distB="0" distL="0" distR="0" wp14:anchorId="4F011E99" wp14:editId="26AC3C42">
            <wp:extent cx="5639749" cy="3042877"/>
            <wp:effectExtent l="0" t="0" r="0" b="5715"/>
            <wp:docPr id="31" name="Picture 1" descr="This figure is a bar chart showing the numbers of CDP participants in March 2016 by JSCI score. The distribution of JSCI scores is presented for: all CDP participants; those identifying as Indigenous; and non-Indigenous participants.&#10;&#10;Based on the JSCI score, the figures shows that:&#10;- close to three in four participants were classified as having ‘moderate to extreme’ barriers to employment (including 77 per cent of those identifying as Aboriginal and/or Torres Strait Islander and 43 per cent of non-Indigenous participants); and &#10;- only five per cent of CDP participants were classified as having ’low’ barriers to employment. &#10;" title="Distribution of CDP participants on the Job Seeker Classification Instrument (JSCI), by Indigenou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95" b="2403"/>
                    <a:stretch/>
                  </pic:blipFill>
                  <pic:spPr bwMode="auto">
                    <a:xfrm>
                      <a:off x="0" y="0"/>
                      <a:ext cx="5640705" cy="3043393"/>
                    </a:xfrm>
                    <a:prstGeom prst="rect">
                      <a:avLst/>
                    </a:prstGeom>
                    <a:noFill/>
                    <a:ln>
                      <a:noFill/>
                    </a:ln>
                    <a:extLst>
                      <a:ext uri="{53640926-AAD7-44D8-BBD7-CCE9431645EC}">
                        <a14:shadowObscured xmlns:a14="http://schemas.microsoft.com/office/drawing/2010/main"/>
                      </a:ext>
                    </a:extLst>
                  </pic:spPr>
                </pic:pic>
              </a:graphicData>
            </a:graphic>
          </wp:inline>
        </w:drawing>
      </w:r>
    </w:p>
    <w:p w14:paraId="761EF761" w14:textId="1D7477F3" w:rsidR="001F19C4" w:rsidRPr="00207DC2" w:rsidRDefault="00B225BF" w:rsidP="00FB626D">
      <w:pPr>
        <w:pStyle w:val="tablenotes"/>
        <w:rPr>
          <w:i/>
        </w:rPr>
      </w:pPr>
      <w:r>
        <w:pict w14:anchorId="00C8410E">
          <v:rect id="_x0000_i1032" style="width:0;height:1.5pt" o:hralign="center" o:hrstd="t" o:hr="t" fillcolor="#a0a0a0" stroked="f"/>
        </w:pict>
      </w:r>
    </w:p>
    <w:p w14:paraId="2DDFEAB3" w14:textId="472BCB31" w:rsidR="00DF7D3E" w:rsidRPr="00207DC2" w:rsidRDefault="00060BF4" w:rsidP="00FB626D">
      <w:pPr>
        <w:pStyle w:val="tablenotes"/>
      </w:pPr>
      <w:r w:rsidRPr="00207DC2">
        <w:rPr>
          <w:i/>
        </w:rPr>
        <w:t xml:space="preserve">Source: </w:t>
      </w:r>
      <w:r w:rsidRPr="00207DC2">
        <w:t xml:space="preserve">Unpublished ESS operational data provided by DJSB (April 2018). </w:t>
      </w:r>
    </w:p>
    <w:p w14:paraId="023BAB33" w14:textId="78BE5986" w:rsidR="00060BF4" w:rsidRPr="00207DC2" w:rsidRDefault="00060BF4" w:rsidP="00FB626D">
      <w:pPr>
        <w:pStyle w:val="tablenotes"/>
      </w:pPr>
      <w:r w:rsidRPr="00207DC2">
        <w:rPr>
          <w:i/>
        </w:rPr>
        <w:t>Notes:</w:t>
      </w:r>
      <w:r w:rsidRPr="00207DC2">
        <w:t xml:space="preserve"> </w:t>
      </w:r>
      <w:r w:rsidR="00301E67" w:rsidRPr="00207DC2">
        <w:t>(a)</w:t>
      </w:r>
      <w:r w:rsidRPr="00207DC2">
        <w:t xml:space="preserve"> Data are for CDP Participants on 31 March 2016, excluding 169 Indigenous and 40</w:t>
      </w:r>
      <w:r w:rsidR="00FD0469" w:rsidRPr="00207DC2">
        <w:t> </w:t>
      </w:r>
      <w:r w:rsidRPr="00207DC2">
        <w:t>non-Indigenous participants with a JSCI score of zero.</w:t>
      </w:r>
    </w:p>
    <w:p w14:paraId="462372A8" w14:textId="77777777" w:rsidR="00060BF4" w:rsidRPr="00207DC2" w:rsidRDefault="00060BF4" w:rsidP="00F35F78">
      <w:pPr>
        <w:pStyle w:val="ZED5"/>
        <w:outlineLvl w:val="3"/>
      </w:pPr>
      <w:bookmarkStart w:id="169" w:name="_Toc535935043"/>
      <w:r w:rsidRPr="00207DC2">
        <w:t xml:space="preserve">Participant’s status </w:t>
      </w:r>
      <w:r w:rsidR="00610752" w:rsidRPr="00207DC2">
        <w:t xml:space="preserve">in </w:t>
      </w:r>
      <w:r w:rsidRPr="00207DC2">
        <w:t>the CDP</w:t>
      </w:r>
      <w:bookmarkEnd w:id="169"/>
    </w:p>
    <w:p w14:paraId="58F27A8A" w14:textId="77777777" w:rsidR="00001D8E" w:rsidRPr="00207DC2" w:rsidRDefault="00060BF4" w:rsidP="00060BF4">
      <w:pPr>
        <w:jc w:val="both"/>
        <w:rPr>
          <w:lang w:val="en-AU"/>
        </w:rPr>
      </w:pPr>
      <w:r w:rsidRPr="00207DC2">
        <w:rPr>
          <w:lang w:val="en-AU"/>
        </w:rPr>
        <w:t xml:space="preserve">At any point in time, some CDP (and RJCP) participants will not be actively participating in the program (Figure </w:t>
      </w:r>
      <w:r w:rsidR="002A49AA" w:rsidRPr="00207DC2">
        <w:rPr>
          <w:lang w:val="en-AU"/>
        </w:rPr>
        <w:t>2.3</w:t>
      </w:r>
      <w:r w:rsidRPr="00207DC2">
        <w:rPr>
          <w:lang w:val="en-AU"/>
        </w:rPr>
        <w:t>).</w:t>
      </w:r>
    </w:p>
    <w:p w14:paraId="6953D300" w14:textId="4A7FD9DC" w:rsidR="00001D8E" w:rsidRPr="00207DC2" w:rsidRDefault="00060BF4" w:rsidP="00F90446">
      <w:pPr>
        <w:pStyle w:val="ListBullet"/>
        <w:numPr>
          <w:ilvl w:val="0"/>
          <w:numId w:val="20"/>
        </w:numPr>
        <w:jc w:val="both"/>
        <w:rPr>
          <w:lang w:val="en-AU"/>
        </w:rPr>
      </w:pPr>
      <w:r w:rsidRPr="00207DC2">
        <w:rPr>
          <w:lang w:val="en-AU"/>
        </w:rPr>
        <w:t xml:space="preserve">A small proportion </w:t>
      </w:r>
      <w:r w:rsidR="00001D8E" w:rsidRPr="00207DC2">
        <w:rPr>
          <w:lang w:val="en-AU"/>
        </w:rPr>
        <w:t xml:space="preserve">of participants </w:t>
      </w:r>
      <w:r w:rsidRPr="00207DC2">
        <w:rPr>
          <w:lang w:val="en-AU"/>
        </w:rPr>
        <w:t>will be completing their assessment process (</w:t>
      </w:r>
      <w:r w:rsidR="00ED51B0" w:rsidRPr="00207DC2">
        <w:rPr>
          <w:lang w:val="en-AU"/>
        </w:rPr>
        <w:t>referred to as</w:t>
      </w:r>
      <w:r w:rsidR="00A965CA" w:rsidRPr="00207DC2">
        <w:rPr>
          <w:lang w:val="en-AU"/>
        </w:rPr>
        <w:t xml:space="preserve"> </w:t>
      </w:r>
      <w:r w:rsidRPr="00207DC2">
        <w:rPr>
          <w:i/>
          <w:lang w:val="en-AU"/>
        </w:rPr>
        <w:t>pending</w:t>
      </w:r>
      <w:r w:rsidRPr="00207DC2">
        <w:rPr>
          <w:lang w:val="en-AU"/>
        </w:rPr>
        <w:t xml:space="preserve">). Since the introduction of the CDP, at any given time typically around seven per cent of those registered with a CDP provider are </w:t>
      </w:r>
      <w:r w:rsidR="00973DE0">
        <w:rPr>
          <w:lang w:val="en-AU"/>
        </w:rPr>
        <w:t>pending</w:t>
      </w:r>
      <w:r w:rsidRPr="00207DC2">
        <w:rPr>
          <w:lang w:val="en-AU"/>
        </w:rPr>
        <w:t>. This is much lower, o</w:t>
      </w:r>
      <w:r w:rsidR="00BB6A0F" w:rsidRPr="00207DC2">
        <w:rPr>
          <w:lang w:val="en-AU"/>
        </w:rPr>
        <w:t>n average, than under the RJCP</w:t>
      </w:r>
      <w:r w:rsidR="00480D0F" w:rsidRPr="00207DC2">
        <w:rPr>
          <w:lang w:val="en-AU"/>
        </w:rPr>
        <w:t xml:space="preserve">. The higher rate </w:t>
      </w:r>
      <w:r w:rsidR="00EA2264">
        <w:rPr>
          <w:lang w:val="en-AU"/>
        </w:rPr>
        <w:t>of</w:t>
      </w:r>
      <w:r w:rsidR="00EA2264" w:rsidRPr="00207DC2">
        <w:rPr>
          <w:lang w:val="en-AU"/>
        </w:rPr>
        <w:t xml:space="preserve"> </w:t>
      </w:r>
      <w:r w:rsidR="00480D0F" w:rsidRPr="00207DC2">
        <w:rPr>
          <w:i/>
          <w:lang w:val="en-AU"/>
        </w:rPr>
        <w:t>pending</w:t>
      </w:r>
      <w:r w:rsidR="00480D0F" w:rsidRPr="00207DC2">
        <w:rPr>
          <w:lang w:val="en-AU"/>
        </w:rPr>
        <w:t xml:space="preserve"> participants </w:t>
      </w:r>
      <w:r w:rsidR="00EA2264">
        <w:rPr>
          <w:lang w:val="en-AU"/>
        </w:rPr>
        <w:t xml:space="preserve">under </w:t>
      </w:r>
      <w:r w:rsidR="00480D0F" w:rsidRPr="00207DC2">
        <w:rPr>
          <w:lang w:val="en-AU"/>
        </w:rPr>
        <w:t xml:space="preserve">the RJCP </w:t>
      </w:r>
      <w:r w:rsidR="00024595" w:rsidRPr="00207DC2">
        <w:rPr>
          <w:lang w:val="en-AU"/>
        </w:rPr>
        <w:t xml:space="preserve">may </w:t>
      </w:r>
      <w:r w:rsidRPr="00207DC2">
        <w:rPr>
          <w:lang w:val="en-AU"/>
        </w:rPr>
        <w:t>reflect the time</w:t>
      </w:r>
      <w:r w:rsidR="002E4F2F" w:rsidRPr="00207DC2">
        <w:rPr>
          <w:lang w:val="en-AU"/>
        </w:rPr>
        <w:t xml:space="preserve"> taken</w:t>
      </w:r>
      <w:r w:rsidRPr="00207DC2">
        <w:rPr>
          <w:lang w:val="en-AU"/>
        </w:rPr>
        <w:t xml:space="preserve"> to transition participants from the mainstream, disability and CDEP </w:t>
      </w:r>
      <w:r w:rsidR="00480D0F" w:rsidRPr="00207DC2">
        <w:rPr>
          <w:lang w:val="en-AU"/>
        </w:rPr>
        <w:t xml:space="preserve">employment </w:t>
      </w:r>
      <w:r w:rsidRPr="00207DC2">
        <w:rPr>
          <w:lang w:val="en-AU"/>
        </w:rPr>
        <w:t xml:space="preserve">services to the RJCP. </w:t>
      </w:r>
    </w:p>
    <w:p w14:paraId="4FD2A328" w14:textId="0BB92A97" w:rsidR="00001D8E" w:rsidRPr="00207DC2" w:rsidRDefault="00CF5E49" w:rsidP="00F90446">
      <w:pPr>
        <w:pStyle w:val="ListBullet"/>
        <w:numPr>
          <w:ilvl w:val="0"/>
          <w:numId w:val="20"/>
        </w:numPr>
        <w:jc w:val="both"/>
        <w:rPr>
          <w:lang w:val="en-AU"/>
        </w:rPr>
      </w:pPr>
      <w:r w:rsidRPr="00207DC2">
        <w:rPr>
          <w:lang w:val="en-AU"/>
        </w:rPr>
        <w:t xml:space="preserve">Other participants </w:t>
      </w:r>
      <w:r w:rsidR="000A0EDB" w:rsidRPr="00207DC2">
        <w:rPr>
          <w:lang w:val="en-AU"/>
        </w:rPr>
        <w:t xml:space="preserve">may be </w:t>
      </w:r>
      <w:r w:rsidR="00001D8E" w:rsidRPr="00207DC2">
        <w:rPr>
          <w:lang w:val="en-AU"/>
        </w:rPr>
        <w:t xml:space="preserve">temporarily exempt from their activity test requirements. The Department of Human Services can provide an exemption in response to various situations or circumstances that impact an individual’s ability to participate in </w:t>
      </w:r>
      <w:r w:rsidR="004B0490" w:rsidRPr="00207DC2">
        <w:rPr>
          <w:lang w:val="en-AU"/>
        </w:rPr>
        <w:t xml:space="preserve">the program </w:t>
      </w:r>
      <w:r w:rsidR="00001D8E" w:rsidRPr="00207DC2">
        <w:rPr>
          <w:lang w:val="en-AU"/>
        </w:rPr>
        <w:t>(</w:t>
      </w:r>
      <w:r w:rsidR="00AA7656" w:rsidRPr="00207DC2">
        <w:rPr>
          <w:lang w:val="en-AU"/>
        </w:rPr>
        <w:t>DSS</w:t>
      </w:r>
      <w:r w:rsidR="00F53318" w:rsidRPr="00207DC2">
        <w:rPr>
          <w:lang w:val="en-AU"/>
        </w:rPr>
        <w:t xml:space="preserve"> 2018</w:t>
      </w:r>
      <w:r w:rsidR="007A7763" w:rsidRPr="00207DC2">
        <w:rPr>
          <w:lang w:val="en-AU"/>
        </w:rPr>
        <w:t>a</w:t>
      </w:r>
      <w:r w:rsidR="00F53318" w:rsidRPr="00207DC2">
        <w:rPr>
          <w:lang w:val="en-AU"/>
        </w:rPr>
        <w:t xml:space="preserve">, </w:t>
      </w:r>
      <w:r w:rsidR="00BF09CA" w:rsidRPr="00207DC2">
        <w:rPr>
          <w:lang w:val="en-AU"/>
        </w:rPr>
        <w:t>s</w:t>
      </w:r>
      <w:r w:rsidR="00EB1997" w:rsidRPr="00207DC2">
        <w:rPr>
          <w:lang w:val="en-AU"/>
        </w:rPr>
        <w:t>ec.</w:t>
      </w:r>
      <w:r w:rsidR="00F53318" w:rsidRPr="00207DC2">
        <w:rPr>
          <w:lang w:val="en-AU"/>
        </w:rPr>
        <w:t xml:space="preserve"> 3.2.11.40</w:t>
      </w:r>
      <w:r w:rsidR="00001D8E" w:rsidRPr="00207DC2">
        <w:rPr>
          <w:lang w:val="en-AU"/>
        </w:rPr>
        <w:t>).</w:t>
      </w:r>
    </w:p>
    <w:p w14:paraId="2A4DAA48" w14:textId="687DDCD0" w:rsidR="00EA2264" w:rsidRPr="00207DC2" w:rsidRDefault="00EA2264" w:rsidP="00EA2264">
      <w:pPr>
        <w:pStyle w:val="Table"/>
        <w:outlineLvl w:val="9"/>
      </w:pPr>
      <w:r w:rsidRPr="00587744">
        <w:rPr>
          <w:rStyle w:val="FiguresChar"/>
        </w:rPr>
        <w:t xml:space="preserve">Figure </w:t>
      </w:r>
      <w:r w:rsidR="00905D1A">
        <w:rPr>
          <w:rStyle w:val="FiguresChar"/>
        </w:rPr>
        <w:t>2</w:t>
      </w:r>
      <w:r w:rsidRPr="00587744">
        <w:rPr>
          <w:rStyle w:val="FiguresChar"/>
        </w:rPr>
        <w:t>.</w:t>
      </w:r>
      <w:r w:rsidR="00905D1A">
        <w:rPr>
          <w:rStyle w:val="FiguresChar"/>
        </w:rPr>
        <w:t>3</w:t>
      </w:r>
      <w:r w:rsidR="00905D1A" w:rsidRPr="00587744">
        <w:rPr>
          <w:rStyle w:val="FiguresChar"/>
        </w:rPr>
        <w:t xml:space="preserve"> </w:t>
      </w:r>
      <w:r w:rsidRPr="00587744">
        <w:rPr>
          <w:rStyle w:val="FiguresChar"/>
        </w:rPr>
        <w:t>An increasing share of remote participants are exempt from undertaking activities</w:t>
      </w:r>
      <w:r w:rsidRPr="00973DE0">
        <w:rPr>
          <w:rStyle w:val="FiguresChar"/>
          <w:vertAlign w:val="superscript"/>
        </w:rPr>
        <w:t>a</w:t>
      </w:r>
      <w:r w:rsidR="00B225BF">
        <w:pict w14:anchorId="1732D099">
          <v:rect id="_x0000_i1033" style="width:0;height:1.5pt" o:hralign="center" o:hrstd="t" o:hr="t" fillcolor="#a0a0a0" stroked="f"/>
        </w:pict>
      </w:r>
    </w:p>
    <w:p w14:paraId="008A42EF" w14:textId="77777777" w:rsidR="00EA2264" w:rsidRPr="00207DC2" w:rsidRDefault="00EA2264" w:rsidP="00EA2264">
      <w:pPr>
        <w:pStyle w:val="tablenotes"/>
        <w:rPr>
          <w:i/>
        </w:rPr>
      </w:pPr>
      <w:r w:rsidRPr="00207DC2">
        <w:drawing>
          <wp:inline distT="0" distB="0" distL="0" distR="0" wp14:anchorId="4B69407B" wp14:editId="1FDB7F15">
            <wp:extent cx="5637307" cy="3035193"/>
            <wp:effectExtent l="0" t="0" r="1905" b="0"/>
            <wp:docPr id="7" name="Picture 7" descr="The figure is a stacked area chart showing changes in numbers of RJCP and CDP participants, by their status, between January 2014 and July 2017. &#10;&#10;At any point in time, some CDP (and RJCP) participants will not be actively participating in the program; and the figure shows changes in the number of participants that are: &#10;- commenced;&#10;- pending; or&#10;- temporarily exempt.&#10;&#10;The figure shows that following the introduction of the CDP the number of participants temporarily exempt increased from around 2,000 in June 2015 to around 3,000 in June 2017.&#10;" title="An increasing share of remote participants are exempt from undertak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a:extLst>
                        <a:ext uri="{28A0092B-C50C-407E-A947-70E740481C1C}">
                          <a14:useLocalDpi xmlns:a14="http://schemas.microsoft.com/office/drawing/2010/main" val="0"/>
                        </a:ext>
                      </a:extLst>
                    </a:blip>
                    <a:srcRect t="1942" b="2151"/>
                    <a:stretch/>
                  </pic:blipFill>
                  <pic:spPr bwMode="auto">
                    <a:xfrm>
                      <a:off x="0" y="0"/>
                      <a:ext cx="5637530" cy="3035313"/>
                    </a:xfrm>
                    <a:prstGeom prst="rect">
                      <a:avLst/>
                    </a:prstGeom>
                    <a:noFill/>
                    <a:ln>
                      <a:noFill/>
                    </a:ln>
                    <a:extLst>
                      <a:ext uri="{53640926-AAD7-44D8-BBD7-CCE9431645EC}">
                        <a14:shadowObscured xmlns:a14="http://schemas.microsoft.com/office/drawing/2010/main"/>
                      </a:ext>
                    </a:extLst>
                  </pic:spPr>
                </pic:pic>
              </a:graphicData>
            </a:graphic>
          </wp:inline>
        </w:drawing>
      </w:r>
    </w:p>
    <w:p w14:paraId="533675D5" w14:textId="77777777" w:rsidR="00EA2264" w:rsidRPr="00207DC2" w:rsidRDefault="00B225BF" w:rsidP="00EA2264">
      <w:pPr>
        <w:pStyle w:val="tablenotes"/>
        <w:rPr>
          <w:i/>
        </w:rPr>
      </w:pPr>
      <w:r>
        <w:pict w14:anchorId="13792A04">
          <v:rect id="_x0000_i1034" style="width:0;height:1.5pt" o:hralign="center" o:hrstd="t" o:hr="t" fillcolor="#a0a0a0" stroked="f"/>
        </w:pict>
      </w:r>
    </w:p>
    <w:p w14:paraId="6B535042" w14:textId="77777777" w:rsidR="00EA2264" w:rsidRPr="00207DC2" w:rsidRDefault="00EA2264" w:rsidP="00EA2264">
      <w:pPr>
        <w:pStyle w:val="tablenotes"/>
      </w:pPr>
      <w:r w:rsidRPr="00207DC2">
        <w:rPr>
          <w:i/>
        </w:rPr>
        <w:t>Source:</w:t>
      </w:r>
      <w:r w:rsidRPr="00207DC2">
        <w:t xml:space="preserve"> PMC estimates based on unpublished ESS operational data (extracted on 5 September 2017). </w:t>
      </w:r>
    </w:p>
    <w:p w14:paraId="24ABE385" w14:textId="4C1F8613" w:rsidR="00EA2264" w:rsidRPr="00207DC2" w:rsidRDefault="00EA2264" w:rsidP="00C803C1">
      <w:pPr>
        <w:pStyle w:val="tablenotes"/>
      </w:pPr>
      <w:r w:rsidRPr="00207DC2">
        <w:rPr>
          <w:i/>
        </w:rPr>
        <w:t>Notes:</w:t>
      </w:r>
      <w:r w:rsidRPr="00207DC2">
        <w:t xml:space="preserve"> (a) Commenced are those who have completed the assessment process and signed an activity agreement (they are enrolled and expected to be actively engaged in the program), pending are those who have not yet completed the assessment process or signed an activity agreement, and temporarily exempt are those CDP participants on activity</w:t>
      </w:r>
      <w:r>
        <w:t>-</w:t>
      </w:r>
      <w:r w:rsidRPr="00207DC2">
        <w:t xml:space="preserve">tested payments who DHS has classified as currently exempt or temporarily not required to attend Work for the Dole. </w:t>
      </w:r>
    </w:p>
    <w:p w14:paraId="235C0A02" w14:textId="39A4D1F3" w:rsidR="00973DE0" w:rsidRDefault="00973DE0" w:rsidP="00973DE0">
      <w:pPr>
        <w:spacing w:before="240"/>
        <w:jc w:val="both"/>
        <w:rPr>
          <w:lang w:val="en-AU"/>
        </w:rPr>
      </w:pPr>
      <w:r w:rsidRPr="00207DC2">
        <w:rPr>
          <w:lang w:val="en-AU"/>
        </w:rPr>
        <w:t>Following the introduction of the CDP the number of participants temporarily exempt increased from around 2,000 in June 2015 to around 3,000 in June 2017 (Figure 2.3). (Due partly to the decline in the total number of CDP participants, the share of temporarily exempt increased from around five per cent of participants in June 2015 to ten per cent in June 2017.) This increase has occurred for a range of reasons, including</w:t>
      </w:r>
      <w:r w:rsidRPr="00207DC2" w:rsidDel="00AA5FCA">
        <w:rPr>
          <w:lang w:val="en-AU"/>
        </w:rPr>
        <w:t xml:space="preserve"> </w:t>
      </w:r>
      <w:r w:rsidRPr="00207DC2">
        <w:rPr>
          <w:lang w:val="en-AU"/>
        </w:rPr>
        <w:t xml:space="preserve">an increase in the number of participants who are meeting their mutual obligations through some paid work and an increase in exemptions for medical reasons (discussed further in Section 2.3) (Appendix A, Table A.5). </w:t>
      </w:r>
    </w:p>
    <w:p w14:paraId="49ECC160" w14:textId="371C75B5" w:rsidR="00EA2264" w:rsidRPr="00207DC2" w:rsidRDefault="00453C1C" w:rsidP="003E64F6">
      <w:pPr>
        <w:spacing w:before="240"/>
        <w:jc w:val="both"/>
      </w:pPr>
      <w:r w:rsidRPr="00207DC2">
        <w:rPr>
          <w:lang w:val="en-AU"/>
        </w:rPr>
        <w:t>Analysis in this report examines outcomes for all program participants including those who were commenced, temporarily exempt or pending. This approach captures any changes in the number and composition of people participating in the program, including due to policy and program changes. However,</w:t>
      </w:r>
      <w:r w:rsidRPr="00207DC2" w:rsidDel="00B46766">
        <w:rPr>
          <w:lang w:val="en-AU"/>
        </w:rPr>
        <w:t xml:space="preserve"> </w:t>
      </w:r>
      <w:r w:rsidRPr="00207DC2">
        <w:rPr>
          <w:lang w:val="en-AU"/>
        </w:rPr>
        <w:t>estimates in this report</w:t>
      </w:r>
      <w:r w:rsidRPr="00207DC2" w:rsidDel="00B46766">
        <w:rPr>
          <w:lang w:val="en-AU"/>
        </w:rPr>
        <w:t xml:space="preserve"> </w:t>
      </w:r>
      <w:r w:rsidRPr="00207DC2">
        <w:rPr>
          <w:lang w:val="en-AU"/>
        </w:rPr>
        <w:t>(such as activity and job placement rates) may not be consistent with those reported in routine monitoring of program outcomes.</w:t>
      </w:r>
      <w:r w:rsidR="00EA2264" w:rsidRPr="00207DC2">
        <w:t xml:space="preserve"> </w:t>
      </w:r>
    </w:p>
    <w:p w14:paraId="1FFB5E78" w14:textId="70D76CC1" w:rsidR="00453C1C" w:rsidRPr="00207DC2" w:rsidRDefault="005631B4" w:rsidP="008055FF">
      <w:pPr>
        <w:pStyle w:val="ZED4"/>
        <w:outlineLvl w:val="2"/>
      </w:pPr>
      <w:bookmarkStart w:id="170" w:name="_Toc518468051"/>
      <w:bookmarkStart w:id="171" w:name="_Toc518487831"/>
      <w:bookmarkStart w:id="172" w:name="_Toc518558795"/>
      <w:bookmarkStart w:id="173" w:name="_Toc518565318"/>
      <w:bookmarkStart w:id="174" w:name="_Toc518565562"/>
      <w:bookmarkStart w:id="175" w:name="_Toc519504733"/>
      <w:bookmarkStart w:id="176" w:name="_Toc519505957"/>
      <w:bookmarkStart w:id="177" w:name="_Toc519844063"/>
      <w:bookmarkStart w:id="178" w:name="_Toc521068565"/>
      <w:bookmarkStart w:id="179" w:name="_Toc521391079"/>
      <w:bookmarkStart w:id="180" w:name="_Toc522013248"/>
      <w:bookmarkStart w:id="181" w:name="_Toc534965158"/>
      <w:bookmarkStart w:id="182" w:name="_Toc535935044"/>
      <w:r>
        <w:t>2.2</w:t>
      </w:r>
      <w:r>
        <w:tab/>
      </w:r>
      <w:r w:rsidR="00453C1C" w:rsidRPr="00207DC2">
        <w:t>Enrolment in activities</w:t>
      </w:r>
      <w:bookmarkEnd w:id="170"/>
      <w:bookmarkEnd w:id="171"/>
      <w:bookmarkEnd w:id="172"/>
      <w:bookmarkEnd w:id="173"/>
      <w:bookmarkEnd w:id="174"/>
      <w:bookmarkEnd w:id="175"/>
      <w:bookmarkEnd w:id="176"/>
      <w:bookmarkEnd w:id="177"/>
      <w:bookmarkEnd w:id="178"/>
      <w:bookmarkEnd w:id="179"/>
      <w:bookmarkEnd w:id="180"/>
      <w:bookmarkEnd w:id="181"/>
      <w:bookmarkEnd w:id="182"/>
    </w:p>
    <w:p w14:paraId="0963F54B" w14:textId="5E86FD5E" w:rsidR="00453C1C" w:rsidRPr="00207DC2" w:rsidRDefault="00453C1C" w:rsidP="00453C1C">
      <w:pPr>
        <w:jc w:val="both"/>
        <w:rPr>
          <w:lang w:val="en-AU"/>
        </w:rPr>
      </w:pPr>
      <w:r w:rsidRPr="00207DC2">
        <w:rPr>
          <w:bCs/>
          <w:lang w:val="en-AU"/>
        </w:rPr>
        <w:t>Th</w:t>
      </w:r>
      <w:r w:rsidRPr="00207DC2">
        <w:rPr>
          <w:lang w:val="en-AU"/>
        </w:rPr>
        <w:t xml:space="preserve">e proportion of total program participants enrolled in any type of activity </w:t>
      </w:r>
      <w:r w:rsidRPr="00207DC2">
        <w:rPr>
          <w:bCs/>
          <w:lang w:val="en-AU"/>
        </w:rPr>
        <w:t>steadily</w:t>
      </w:r>
      <w:r w:rsidRPr="00207DC2">
        <w:rPr>
          <w:lang w:val="en-AU"/>
        </w:rPr>
        <w:t xml:space="preserve"> increased </w:t>
      </w:r>
      <w:r w:rsidRPr="00207DC2">
        <w:rPr>
          <w:bCs/>
          <w:lang w:val="en-AU"/>
        </w:rPr>
        <w:t>under RJCP and has further increased since the CDP commenced</w:t>
      </w:r>
      <w:r w:rsidR="00396552">
        <w:rPr>
          <w:bCs/>
          <w:lang w:val="en-AU"/>
        </w:rPr>
        <w:t xml:space="preserve"> – </w:t>
      </w:r>
      <w:r w:rsidRPr="00207DC2">
        <w:rPr>
          <w:lang w:val="en-AU"/>
        </w:rPr>
        <w:t>from 57 per</w:t>
      </w:r>
      <w:r w:rsidRPr="00207DC2">
        <w:rPr>
          <w:bCs/>
          <w:lang w:val="en-AU"/>
        </w:rPr>
        <w:t> cent on 12 June 2015 to 76</w:t>
      </w:r>
      <w:r w:rsidR="00973DE0">
        <w:rPr>
          <w:bCs/>
          <w:lang w:val="en-AU"/>
        </w:rPr>
        <w:t> </w:t>
      </w:r>
      <w:r w:rsidRPr="00207DC2">
        <w:rPr>
          <w:bCs/>
          <w:lang w:val="en-AU"/>
        </w:rPr>
        <w:t>per</w:t>
      </w:r>
      <w:r w:rsidR="00973DE0">
        <w:rPr>
          <w:bCs/>
          <w:lang w:val="en-AU"/>
        </w:rPr>
        <w:t> </w:t>
      </w:r>
      <w:r w:rsidRPr="00207DC2">
        <w:rPr>
          <w:bCs/>
          <w:lang w:val="en-AU"/>
        </w:rPr>
        <w:t>cent by 9</w:t>
      </w:r>
      <w:r w:rsidR="00973DE0">
        <w:rPr>
          <w:bCs/>
          <w:lang w:val="en-AU"/>
        </w:rPr>
        <w:t> </w:t>
      </w:r>
      <w:r w:rsidRPr="00207DC2">
        <w:rPr>
          <w:bCs/>
          <w:lang w:val="en-AU"/>
        </w:rPr>
        <w:t>June 2017.</w:t>
      </w:r>
      <w:r w:rsidRPr="00207DC2">
        <w:rPr>
          <w:lang w:val="en-AU"/>
        </w:rPr>
        <w:t xml:space="preserve"> </w:t>
      </w:r>
      <w:r w:rsidR="007E12B6" w:rsidRPr="00207DC2">
        <w:rPr>
          <w:lang w:val="en-AU"/>
        </w:rPr>
        <w:t>T</w:t>
      </w:r>
      <w:r w:rsidRPr="00207DC2">
        <w:rPr>
          <w:lang w:val="en-AU"/>
        </w:rPr>
        <w:t>he activity</w:t>
      </w:r>
      <w:r w:rsidRPr="00207DC2" w:rsidDel="000E37B9">
        <w:rPr>
          <w:lang w:val="en-AU"/>
        </w:rPr>
        <w:t xml:space="preserve"> </w:t>
      </w:r>
      <w:r w:rsidRPr="00207DC2">
        <w:rPr>
          <w:lang w:val="en-AU"/>
        </w:rPr>
        <w:t xml:space="preserve">enrolment rate is highest for participants who were required to attend Work for the Dole, and has further increased for this group since </w:t>
      </w:r>
      <w:r w:rsidRPr="00207DC2" w:rsidDel="004C1868">
        <w:rPr>
          <w:lang w:val="en-AU"/>
        </w:rPr>
        <w:t xml:space="preserve">the </w:t>
      </w:r>
      <w:r w:rsidRPr="00207DC2">
        <w:rPr>
          <w:bCs/>
          <w:lang w:val="en-AU"/>
        </w:rPr>
        <w:t>introduction of the CDP</w:t>
      </w:r>
      <w:r w:rsidR="00396552">
        <w:rPr>
          <w:lang w:val="en-AU"/>
        </w:rPr>
        <w:t xml:space="preserve"> – </w:t>
      </w:r>
      <w:r w:rsidRPr="00207DC2">
        <w:rPr>
          <w:bCs/>
          <w:lang w:val="en-AU"/>
        </w:rPr>
        <w:t>from 59</w:t>
      </w:r>
      <w:r w:rsidR="00973DE0">
        <w:rPr>
          <w:bCs/>
          <w:lang w:val="en-AU"/>
        </w:rPr>
        <w:t> </w:t>
      </w:r>
      <w:r w:rsidRPr="00207DC2">
        <w:rPr>
          <w:bCs/>
          <w:lang w:val="en-AU"/>
        </w:rPr>
        <w:t>per</w:t>
      </w:r>
      <w:r w:rsidR="00973DE0">
        <w:rPr>
          <w:bCs/>
          <w:lang w:val="en-AU"/>
        </w:rPr>
        <w:t> </w:t>
      </w:r>
      <w:r w:rsidRPr="00207DC2">
        <w:rPr>
          <w:bCs/>
          <w:lang w:val="en-AU"/>
        </w:rPr>
        <w:t>cent in June 2015 to around 85 per cent in June 2017 (Figure</w:t>
      </w:r>
      <w:r w:rsidR="00973DE0">
        <w:rPr>
          <w:bCs/>
          <w:lang w:val="en-AU"/>
        </w:rPr>
        <w:t> </w:t>
      </w:r>
      <w:r w:rsidRPr="00207DC2">
        <w:rPr>
          <w:bCs/>
          <w:lang w:val="en-AU"/>
        </w:rPr>
        <w:t>2.4)</w:t>
      </w:r>
      <w:r w:rsidRPr="00207DC2">
        <w:rPr>
          <w:rStyle w:val="FootnoteReference"/>
          <w:bCs/>
          <w:lang w:val="en-AU"/>
        </w:rPr>
        <w:footnoteReference w:id="18"/>
      </w:r>
      <w:r w:rsidR="007E12B6" w:rsidRPr="00207DC2">
        <w:rPr>
          <w:bCs/>
          <w:lang w:val="en-AU"/>
        </w:rPr>
        <w:t>.</w:t>
      </w:r>
      <w:r w:rsidRPr="00207DC2">
        <w:rPr>
          <w:bCs/>
          <w:lang w:val="en-AU"/>
        </w:rPr>
        <w:t xml:space="preserve"> </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14:paraId="1958541E" w14:textId="1B90409B" w:rsidR="00A46397" w:rsidRPr="00207DC2" w:rsidRDefault="00A46397" w:rsidP="00FB626D">
      <w:pPr>
        <w:jc w:val="both"/>
        <w:rPr>
          <w:bCs/>
          <w:lang w:val="en-AU"/>
        </w:rPr>
      </w:pPr>
      <w:r w:rsidRPr="00207DC2">
        <w:rPr>
          <w:bCs/>
          <w:lang w:val="en-AU"/>
        </w:rPr>
        <w:t xml:space="preserve">The increase in the </w:t>
      </w:r>
      <w:r w:rsidR="00B5429E" w:rsidRPr="00207DC2">
        <w:rPr>
          <w:bCs/>
          <w:lang w:val="en-AU"/>
        </w:rPr>
        <w:t xml:space="preserve">total </w:t>
      </w:r>
      <w:r w:rsidRPr="00207DC2">
        <w:rPr>
          <w:bCs/>
          <w:lang w:val="en-AU"/>
        </w:rPr>
        <w:t xml:space="preserve">activity </w:t>
      </w:r>
      <w:r w:rsidR="006479BB" w:rsidRPr="00207DC2">
        <w:rPr>
          <w:bCs/>
          <w:lang w:val="en-AU"/>
        </w:rPr>
        <w:t xml:space="preserve">enrolment </w:t>
      </w:r>
      <w:r w:rsidRPr="00207DC2">
        <w:rPr>
          <w:bCs/>
          <w:lang w:val="en-AU"/>
        </w:rPr>
        <w:t xml:space="preserve">rate may </w:t>
      </w:r>
      <w:r w:rsidR="00003BA0" w:rsidRPr="00207DC2">
        <w:rPr>
          <w:bCs/>
          <w:lang w:val="en-AU"/>
        </w:rPr>
        <w:t>be driven by</w:t>
      </w:r>
      <w:r w:rsidRPr="00207DC2" w:rsidDel="006479BB">
        <w:rPr>
          <w:bCs/>
          <w:lang w:val="en-AU"/>
        </w:rPr>
        <w:t xml:space="preserve"> the new</w:t>
      </w:r>
      <w:r w:rsidRPr="00207DC2">
        <w:rPr>
          <w:bCs/>
          <w:lang w:val="en-AU"/>
        </w:rPr>
        <w:t xml:space="preserve"> provider payment structure </w:t>
      </w:r>
      <w:r w:rsidR="00B5429E" w:rsidRPr="00207DC2">
        <w:rPr>
          <w:bCs/>
          <w:lang w:val="en-AU"/>
        </w:rPr>
        <w:t xml:space="preserve">and reporting requirements </w:t>
      </w:r>
      <w:r w:rsidRPr="00207DC2">
        <w:rPr>
          <w:bCs/>
          <w:lang w:val="en-AU"/>
        </w:rPr>
        <w:t>as well as the Work for the Dole policy change. Under the CDP payment structure</w:t>
      </w:r>
      <w:r w:rsidR="006479BB" w:rsidRPr="00207DC2">
        <w:rPr>
          <w:bCs/>
          <w:lang w:val="en-AU"/>
        </w:rPr>
        <w:t>,</w:t>
      </w:r>
      <w:r w:rsidRPr="00207DC2">
        <w:rPr>
          <w:bCs/>
          <w:lang w:val="en-AU"/>
        </w:rPr>
        <w:t xml:space="preserve"> providers </w:t>
      </w:r>
      <w:r w:rsidR="00425033" w:rsidRPr="00207DC2">
        <w:rPr>
          <w:bCs/>
          <w:lang w:val="en-AU"/>
        </w:rPr>
        <w:t>receive</w:t>
      </w:r>
      <w:r w:rsidR="00B81F2A" w:rsidRPr="00207DC2">
        <w:rPr>
          <w:bCs/>
          <w:lang w:val="en-AU"/>
        </w:rPr>
        <w:t xml:space="preserve"> </w:t>
      </w:r>
      <w:r w:rsidR="00425033" w:rsidRPr="00207DC2">
        <w:rPr>
          <w:bCs/>
          <w:lang w:val="en-AU"/>
        </w:rPr>
        <w:t>a</w:t>
      </w:r>
      <w:r w:rsidR="00B5429E" w:rsidRPr="00207DC2">
        <w:rPr>
          <w:bCs/>
          <w:lang w:val="en-AU"/>
        </w:rPr>
        <w:t>n</w:t>
      </w:r>
      <w:r w:rsidR="00B81F2A" w:rsidRPr="00207DC2">
        <w:rPr>
          <w:bCs/>
          <w:lang w:val="en-AU"/>
        </w:rPr>
        <w:t xml:space="preserve"> </w:t>
      </w:r>
      <w:r w:rsidR="00E47197" w:rsidRPr="00207DC2">
        <w:rPr>
          <w:bCs/>
          <w:lang w:val="en-AU"/>
        </w:rPr>
        <w:t xml:space="preserve">activity </w:t>
      </w:r>
      <w:r w:rsidR="00425033" w:rsidRPr="00207DC2">
        <w:rPr>
          <w:bCs/>
          <w:lang w:val="en-AU"/>
        </w:rPr>
        <w:t>payment</w:t>
      </w:r>
      <w:r w:rsidRPr="00207DC2">
        <w:rPr>
          <w:lang w:val="en-AU"/>
        </w:rPr>
        <w:t xml:space="preserve"> for each</w:t>
      </w:r>
      <w:r w:rsidR="00425033" w:rsidRPr="00207DC2">
        <w:rPr>
          <w:lang w:val="en-AU"/>
        </w:rPr>
        <w:t xml:space="preserve"> Work for the Dole</w:t>
      </w:r>
      <w:r w:rsidRPr="00207DC2">
        <w:rPr>
          <w:lang w:val="en-AU"/>
        </w:rPr>
        <w:t xml:space="preserve"> participant</w:t>
      </w:r>
      <w:r w:rsidR="00425033" w:rsidRPr="00207DC2">
        <w:rPr>
          <w:lang w:val="en-AU"/>
        </w:rPr>
        <w:t xml:space="preserve"> </w:t>
      </w:r>
      <w:r w:rsidR="000F0E95" w:rsidRPr="00207DC2">
        <w:rPr>
          <w:lang w:val="en-AU"/>
        </w:rPr>
        <w:t>enrolled</w:t>
      </w:r>
      <w:r w:rsidR="00425033" w:rsidRPr="00207DC2">
        <w:rPr>
          <w:lang w:val="en-AU"/>
        </w:rPr>
        <w:t xml:space="preserve"> in Work for the Dole activities (</w:t>
      </w:r>
      <w:r w:rsidRPr="00207DC2">
        <w:rPr>
          <w:bCs/>
          <w:lang w:val="en-AU"/>
        </w:rPr>
        <w:t>conditional on the</w:t>
      </w:r>
      <w:r w:rsidR="00425033" w:rsidRPr="00207DC2">
        <w:rPr>
          <w:bCs/>
          <w:lang w:val="en-AU"/>
        </w:rPr>
        <w:t xml:space="preserve"> participa</w:t>
      </w:r>
      <w:r w:rsidR="009E47D7" w:rsidRPr="00207DC2">
        <w:rPr>
          <w:bCs/>
          <w:lang w:val="en-AU"/>
        </w:rPr>
        <w:t>n</w:t>
      </w:r>
      <w:r w:rsidR="00425033" w:rsidRPr="00207DC2">
        <w:rPr>
          <w:bCs/>
          <w:lang w:val="en-AU"/>
        </w:rPr>
        <w:t>t attending these</w:t>
      </w:r>
      <w:r w:rsidRPr="00207DC2">
        <w:rPr>
          <w:bCs/>
          <w:lang w:val="en-AU"/>
        </w:rPr>
        <w:t xml:space="preserve"> activities</w:t>
      </w:r>
      <w:r w:rsidR="00425033" w:rsidRPr="00207DC2">
        <w:rPr>
          <w:bCs/>
          <w:lang w:val="en-AU"/>
        </w:rPr>
        <w:t>)</w:t>
      </w:r>
      <w:r w:rsidR="00BE5BF9" w:rsidRPr="00207DC2">
        <w:rPr>
          <w:bCs/>
          <w:lang w:val="en-AU"/>
        </w:rPr>
        <w:t>. Th</w:t>
      </w:r>
      <w:r w:rsidR="000E37B9" w:rsidRPr="00207DC2">
        <w:rPr>
          <w:bCs/>
          <w:lang w:val="en-AU"/>
        </w:rPr>
        <w:t>e</w:t>
      </w:r>
      <w:r w:rsidR="00BE5BF9" w:rsidRPr="00207DC2">
        <w:rPr>
          <w:bCs/>
          <w:lang w:val="en-AU"/>
        </w:rPr>
        <w:t xml:space="preserve"> </w:t>
      </w:r>
      <w:r w:rsidR="00BE5BF9" w:rsidRPr="00207DC2">
        <w:rPr>
          <w:lang w:val="en-AU"/>
        </w:rPr>
        <w:t xml:space="preserve">activity </w:t>
      </w:r>
      <w:r w:rsidR="00BE5BF9" w:rsidRPr="00207DC2">
        <w:rPr>
          <w:bCs/>
          <w:lang w:val="en-AU"/>
        </w:rPr>
        <w:t>payment is higher under the CDP compared to the RJCP</w:t>
      </w:r>
      <w:r w:rsidRPr="00207DC2">
        <w:rPr>
          <w:bCs/>
          <w:lang w:val="en-AU"/>
        </w:rPr>
        <w:t xml:space="preserve"> (</w:t>
      </w:r>
      <w:r w:rsidR="006F795D" w:rsidRPr="00207DC2">
        <w:rPr>
          <w:bCs/>
          <w:lang w:val="en-AU"/>
        </w:rPr>
        <w:t>C</w:t>
      </w:r>
      <w:r w:rsidRPr="00207DC2">
        <w:rPr>
          <w:bCs/>
          <w:lang w:val="en-AU"/>
        </w:rPr>
        <w:t xml:space="preserve">hapter 1, </w:t>
      </w:r>
      <w:r w:rsidR="006F795D" w:rsidRPr="00207DC2">
        <w:rPr>
          <w:bCs/>
          <w:lang w:val="en-AU"/>
        </w:rPr>
        <w:t>F</w:t>
      </w:r>
      <w:r w:rsidRPr="00207DC2">
        <w:rPr>
          <w:bCs/>
          <w:lang w:val="en-AU"/>
        </w:rPr>
        <w:t>igure </w:t>
      </w:r>
      <w:r w:rsidR="005A0BFD" w:rsidRPr="00207DC2">
        <w:rPr>
          <w:bCs/>
          <w:lang w:val="en-AU"/>
        </w:rPr>
        <w:t>1.2</w:t>
      </w:r>
      <w:r w:rsidRPr="00207DC2">
        <w:rPr>
          <w:bCs/>
          <w:lang w:val="en-AU"/>
        </w:rPr>
        <w:t xml:space="preserve">). RJCP providers were also expected to </w:t>
      </w:r>
      <w:r w:rsidR="00D11C84" w:rsidRPr="00207DC2">
        <w:rPr>
          <w:bCs/>
          <w:lang w:val="en-AU"/>
        </w:rPr>
        <w:t>enrol</w:t>
      </w:r>
      <w:r w:rsidR="000E37B9" w:rsidRPr="00207DC2">
        <w:rPr>
          <w:bCs/>
          <w:lang w:val="en-AU"/>
        </w:rPr>
        <w:t xml:space="preserve"> </w:t>
      </w:r>
      <w:r w:rsidRPr="00207DC2">
        <w:rPr>
          <w:bCs/>
          <w:lang w:val="en-AU"/>
        </w:rPr>
        <w:t>participants in activities</w:t>
      </w:r>
      <w:r w:rsidR="00EF5DA1" w:rsidRPr="00207DC2">
        <w:rPr>
          <w:bCs/>
          <w:lang w:val="en-AU"/>
        </w:rPr>
        <w:t>,</w:t>
      </w:r>
      <w:r w:rsidRPr="00207DC2">
        <w:rPr>
          <w:bCs/>
          <w:lang w:val="en-AU"/>
        </w:rPr>
        <w:t xml:space="preserve"> </w:t>
      </w:r>
      <w:r w:rsidR="00182441">
        <w:rPr>
          <w:bCs/>
          <w:lang w:val="en-AU"/>
        </w:rPr>
        <w:t>however</w:t>
      </w:r>
      <w:r w:rsidRPr="00207DC2">
        <w:rPr>
          <w:bCs/>
          <w:lang w:val="en-AU"/>
        </w:rPr>
        <w:t xml:space="preserve"> the payment structure was not directly linked to this outcome.</w:t>
      </w:r>
      <w:r w:rsidR="00060FB8" w:rsidRPr="00207DC2">
        <w:rPr>
          <w:bCs/>
          <w:lang w:val="en-AU"/>
        </w:rPr>
        <w:t xml:space="preserve"> </w:t>
      </w:r>
    </w:p>
    <w:p w14:paraId="6C9FCF53" w14:textId="77777777" w:rsidR="000A4DC4" w:rsidRPr="00207DC2" w:rsidRDefault="00A963A2" w:rsidP="00FB626D">
      <w:pPr>
        <w:spacing w:before="240"/>
        <w:jc w:val="both"/>
        <w:rPr>
          <w:lang w:val="en-AU"/>
        </w:rPr>
      </w:pPr>
      <w:r w:rsidRPr="00207DC2">
        <w:rPr>
          <w:lang w:val="en-AU"/>
        </w:rPr>
        <w:t xml:space="preserve">The introduction of the CDP saw changes in the share of people </w:t>
      </w:r>
      <w:r w:rsidR="000F0E95" w:rsidRPr="00207DC2">
        <w:rPr>
          <w:lang w:val="en-AU"/>
        </w:rPr>
        <w:t>enrolled</w:t>
      </w:r>
      <w:r w:rsidRPr="00207DC2">
        <w:rPr>
          <w:lang w:val="en-AU"/>
        </w:rPr>
        <w:t xml:space="preserve"> in activities, </w:t>
      </w:r>
      <w:r w:rsidR="008C3C6E" w:rsidRPr="00207DC2">
        <w:rPr>
          <w:lang w:val="en-AU"/>
        </w:rPr>
        <w:t>and</w:t>
      </w:r>
      <w:r w:rsidRPr="00207DC2">
        <w:rPr>
          <w:lang w:val="en-AU"/>
        </w:rPr>
        <w:t xml:space="preserve"> a shift </w:t>
      </w:r>
      <w:r w:rsidR="007122BE" w:rsidRPr="00207DC2">
        <w:rPr>
          <w:lang w:val="en-AU"/>
        </w:rPr>
        <w:t>in the</w:t>
      </w:r>
      <w:r w:rsidRPr="00207DC2">
        <w:rPr>
          <w:lang w:val="en-AU"/>
        </w:rPr>
        <w:t xml:space="preserve"> types of activities undertaken by participants.</w:t>
      </w:r>
      <w:r w:rsidR="007122BE" w:rsidRPr="00207DC2">
        <w:rPr>
          <w:lang w:val="en-AU"/>
        </w:rPr>
        <w:t xml:space="preserve"> </w:t>
      </w:r>
    </w:p>
    <w:p w14:paraId="48FA1838" w14:textId="4F46751C" w:rsidR="002E4F2F" w:rsidRPr="00207DC2" w:rsidRDefault="008C5E72" w:rsidP="00FB626D">
      <w:pPr>
        <w:spacing w:before="240"/>
        <w:jc w:val="both"/>
        <w:rPr>
          <w:bCs/>
          <w:lang w:val="en-AU"/>
        </w:rPr>
      </w:pPr>
      <w:r w:rsidRPr="00207DC2">
        <w:rPr>
          <w:bCs/>
          <w:lang w:val="en-AU"/>
        </w:rPr>
        <w:t>While RJCP</w:t>
      </w:r>
      <w:r w:rsidRPr="00207DC2" w:rsidDel="00B57623">
        <w:rPr>
          <w:bCs/>
          <w:lang w:val="en-AU"/>
        </w:rPr>
        <w:t xml:space="preserve"> providers had discretion </w:t>
      </w:r>
      <w:r w:rsidRPr="00207DC2">
        <w:rPr>
          <w:bCs/>
          <w:lang w:val="en-AU"/>
        </w:rPr>
        <w:t>over the type of activi</w:t>
      </w:r>
      <w:r w:rsidR="008A3944" w:rsidRPr="00207DC2">
        <w:rPr>
          <w:bCs/>
          <w:lang w:val="en-AU"/>
        </w:rPr>
        <w:t>ti</w:t>
      </w:r>
      <w:r w:rsidRPr="00207DC2">
        <w:rPr>
          <w:bCs/>
          <w:lang w:val="en-AU"/>
        </w:rPr>
        <w:t xml:space="preserve">es </w:t>
      </w:r>
      <w:r w:rsidRPr="00207DC2" w:rsidDel="00B57623">
        <w:rPr>
          <w:bCs/>
          <w:lang w:val="en-AU"/>
        </w:rPr>
        <w:t xml:space="preserve">participants </w:t>
      </w:r>
      <w:r w:rsidR="00B32CA7" w:rsidRPr="00207DC2">
        <w:rPr>
          <w:bCs/>
          <w:lang w:val="en-AU"/>
        </w:rPr>
        <w:t>w</w:t>
      </w:r>
      <w:r w:rsidRPr="00207DC2">
        <w:rPr>
          <w:bCs/>
          <w:lang w:val="en-AU"/>
        </w:rPr>
        <w:t xml:space="preserve">ere </w:t>
      </w:r>
      <w:r w:rsidR="000F0E95" w:rsidRPr="00207DC2">
        <w:rPr>
          <w:lang w:val="en-AU"/>
        </w:rPr>
        <w:t>enrolled</w:t>
      </w:r>
      <w:r w:rsidRPr="00207DC2">
        <w:rPr>
          <w:bCs/>
          <w:lang w:val="en-AU"/>
        </w:rPr>
        <w:t xml:space="preserve"> in, </w:t>
      </w:r>
      <w:r w:rsidR="000A53B7" w:rsidRPr="00207DC2" w:rsidDel="00B57623">
        <w:rPr>
          <w:bCs/>
          <w:lang w:val="en-AU"/>
        </w:rPr>
        <w:t>Work for the Dole</w:t>
      </w:r>
      <w:r w:rsidR="007122BE" w:rsidRPr="00207DC2">
        <w:rPr>
          <w:bCs/>
          <w:lang w:val="en-AU"/>
        </w:rPr>
        <w:t xml:space="preserve"> became </w:t>
      </w:r>
      <w:r w:rsidR="000A53B7" w:rsidRPr="00207DC2" w:rsidDel="00B57623">
        <w:rPr>
          <w:bCs/>
          <w:lang w:val="en-AU"/>
        </w:rPr>
        <w:t xml:space="preserve">the main activity through which participants </w:t>
      </w:r>
      <w:r w:rsidR="008C3C6E" w:rsidRPr="00207DC2">
        <w:rPr>
          <w:bCs/>
          <w:lang w:val="en-AU"/>
        </w:rPr>
        <w:t>meet</w:t>
      </w:r>
      <w:r w:rsidR="008C3C6E" w:rsidRPr="00207DC2" w:rsidDel="00B57623">
        <w:rPr>
          <w:bCs/>
          <w:lang w:val="en-AU"/>
        </w:rPr>
        <w:t xml:space="preserve"> </w:t>
      </w:r>
      <w:r w:rsidR="000A53B7" w:rsidRPr="00207DC2" w:rsidDel="00B57623">
        <w:rPr>
          <w:bCs/>
          <w:lang w:val="en-AU"/>
        </w:rPr>
        <w:t>their mutual obligation requirement</w:t>
      </w:r>
      <w:r w:rsidR="00060FB8" w:rsidRPr="00207DC2">
        <w:rPr>
          <w:bCs/>
          <w:lang w:val="en-AU"/>
        </w:rPr>
        <w:t>s</w:t>
      </w:r>
      <w:r w:rsidRPr="00207DC2">
        <w:rPr>
          <w:bCs/>
          <w:lang w:val="en-AU"/>
        </w:rPr>
        <w:t xml:space="preserve"> under the CDP</w:t>
      </w:r>
      <w:r w:rsidR="000A53B7" w:rsidRPr="00207DC2" w:rsidDel="00B57623">
        <w:rPr>
          <w:lang w:val="en-AU"/>
        </w:rPr>
        <w:t xml:space="preserve"> (</w:t>
      </w:r>
      <w:r w:rsidR="0057565A" w:rsidRPr="00207DC2">
        <w:rPr>
          <w:lang w:val="en-AU"/>
        </w:rPr>
        <w:t>PMC</w:t>
      </w:r>
      <w:r w:rsidR="001A4C6C" w:rsidRPr="00207DC2">
        <w:rPr>
          <w:lang w:val="en-AU"/>
        </w:rPr>
        <w:t xml:space="preserve"> 2014</w:t>
      </w:r>
      <w:r w:rsidR="003A4D07" w:rsidRPr="00207DC2">
        <w:rPr>
          <w:lang w:val="en-AU"/>
        </w:rPr>
        <w:t>b</w:t>
      </w:r>
      <w:r w:rsidR="000A53B7" w:rsidRPr="00207DC2" w:rsidDel="00B57623">
        <w:rPr>
          <w:lang w:val="en-AU"/>
        </w:rPr>
        <w:t>)</w:t>
      </w:r>
      <w:r w:rsidR="00AA2D3E" w:rsidRPr="00207DC2">
        <w:rPr>
          <w:lang w:val="en-AU"/>
        </w:rPr>
        <w:t>.</w:t>
      </w:r>
      <w:r w:rsidR="00C259CE" w:rsidRPr="00207DC2">
        <w:rPr>
          <w:lang w:val="en-AU"/>
        </w:rPr>
        <w:t xml:space="preserve"> </w:t>
      </w:r>
      <w:r w:rsidR="007122BE" w:rsidRPr="00207DC2">
        <w:rPr>
          <w:bCs/>
          <w:lang w:val="en-AU"/>
        </w:rPr>
        <w:t xml:space="preserve">Following the introduction of </w:t>
      </w:r>
      <w:r w:rsidR="00D02101" w:rsidRPr="00207DC2">
        <w:rPr>
          <w:bCs/>
          <w:lang w:val="en-AU"/>
        </w:rPr>
        <w:t>the</w:t>
      </w:r>
      <w:r w:rsidR="000A53B7" w:rsidRPr="00207DC2">
        <w:rPr>
          <w:bCs/>
          <w:lang w:val="en-AU"/>
        </w:rPr>
        <w:t xml:space="preserve"> CDP</w:t>
      </w:r>
      <w:r w:rsidR="007122BE" w:rsidRPr="00207DC2">
        <w:rPr>
          <w:bCs/>
          <w:lang w:val="en-AU"/>
        </w:rPr>
        <w:t>,</w:t>
      </w:r>
      <w:r w:rsidR="00D02101" w:rsidRPr="00207DC2">
        <w:rPr>
          <w:bCs/>
          <w:lang w:val="en-AU"/>
        </w:rPr>
        <w:t xml:space="preserve"> </w:t>
      </w:r>
      <w:r w:rsidR="000A53B7" w:rsidRPr="00207DC2">
        <w:rPr>
          <w:bCs/>
          <w:lang w:val="en-AU"/>
        </w:rPr>
        <w:t xml:space="preserve">the proportion of </w:t>
      </w:r>
      <w:r w:rsidR="008D3B70" w:rsidRPr="00207DC2">
        <w:rPr>
          <w:bCs/>
          <w:lang w:val="en-AU"/>
        </w:rPr>
        <w:t>p</w:t>
      </w:r>
      <w:r w:rsidR="009631B2" w:rsidRPr="00207DC2">
        <w:rPr>
          <w:bCs/>
          <w:lang w:val="en-AU"/>
        </w:rPr>
        <w:t>articipants</w:t>
      </w:r>
      <w:r w:rsidR="000A53B7" w:rsidRPr="00207DC2">
        <w:rPr>
          <w:bCs/>
          <w:lang w:val="en-AU"/>
        </w:rPr>
        <w:t xml:space="preserve"> </w:t>
      </w:r>
      <w:r w:rsidR="000F0E95" w:rsidRPr="00207DC2">
        <w:rPr>
          <w:lang w:val="en-AU"/>
        </w:rPr>
        <w:t>enrolled</w:t>
      </w:r>
      <w:r w:rsidR="000A53B7" w:rsidRPr="00207DC2">
        <w:rPr>
          <w:bCs/>
          <w:lang w:val="en-AU"/>
        </w:rPr>
        <w:t xml:space="preserve"> </w:t>
      </w:r>
      <w:r w:rsidR="007713B8" w:rsidRPr="00207DC2">
        <w:rPr>
          <w:bCs/>
          <w:lang w:val="en-AU"/>
        </w:rPr>
        <w:t>in Work for the Dole activities</w:t>
      </w:r>
      <w:r w:rsidR="000A53B7" w:rsidRPr="00207DC2">
        <w:rPr>
          <w:bCs/>
          <w:lang w:val="en-AU"/>
        </w:rPr>
        <w:t xml:space="preserve"> </w:t>
      </w:r>
      <w:r w:rsidR="007122BE" w:rsidRPr="00207DC2">
        <w:rPr>
          <w:bCs/>
          <w:lang w:val="en-AU"/>
        </w:rPr>
        <w:t xml:space="preserve">increased </w:t>
      </w:r>
      <w:r w:rsidR="000A53B7" w:rsidRPr="00207DC2">
        <w:rPr>
          <w:bCs/>
          <w:lang w:val="en-AU"/>
        </w:rPr>
        <w:t>from 35 per cent on 12 June 2015 to 74 per cent on 9</w:t>
      </w:r>
      <w:r w:rsidR="007122BE" w:rsidRPr="00207DC2">
        <w:rPr>
          <w:bCs/>
          <w:lang w:val="en-AU"/>
        </w:rPr>
        <w:t> </w:t>
      </w:r>
      <w:r w:rsidR="000A53B7" w:rsidRPr="00207DC2">
        <w:rPr>
          <w:bCs/>
          <w:lang w:val="en-AU"/>
        </w:rPr>
        <w:t>June 2017</w:t>
      </w:r>
      <w:r w:rsidR="00B5429E" w:rsidRPr="00207DC2">
        <w:rPr>
          <w:bCs/>
          <w:lang w:val="en-AU"/>
        </w:rPr>
        <w:t xml:space="preserve"> (unpublished </w:t>
      </w:r>
      <w:r w:rsidR="00B33ADD" w:rsidRPr="00207DC2">
        <w:rPr>
          <w:bCs/>
          <w:lang w:val="en-AU"/>
        </w:rPr>
        <w:t xml:space="preserve">Employment Services System </w:t>
      </w:r>
      <w:r w:rsidR="00B5429E" w:rsidRPr="00207DC2">
        <w:rPr>
          <w:bCs/>
          <w:lang w:val="en-AU"/>
        </w:rPr>
        <w:t>operational data)</w:t>
      </w:r>
      <w:r w:rsidR="004D01F7" w:rsidRPr="00207DC2">
        <w:rPr>
          <w:rStyle w:val="FootnoteReference"/>
          <w:bCs/>
          <w:lang w:val="en-AU"/>
        </w:rPr>
        <w:footnoteReference w:id="19"/>
      </w:r>
      <w:r w:rsidR="000A53B7" w:rsidRPr="00207DC2">
        <w:rPr>
          <w:bCs/>
          <w:lang w:val="en-AU"/>
        </w:rPr>
        <w:t xml:space="preserve">. </w:t>
      </w:r>
    </w:p>
    <w:p w14:paraId="27F29D10" w14:textId="332AFA4D" w:rsidR="00B90F41" w:rsidRPr="00207DC2" w:rsidRDefault="006E4A45" w:rsidP="00FB626D">
      <w:pPr>
        <w:pStyle w:val="Table"/>
        <w:outlineLvl w:val="9"/>
      </w:pPr>
      <w:bookmarkStart w:id="183" w:name="_1580891059"/>
      <w:bookmarkStart w:id="184" w:name="_1580900058"/>
      <w:bookmarkStart w:id="185" w:name="_Ref519164049"/>
      <w:bookmarkStart w:id="186" w:name="_Ref519164041"/>
      <w:bookmarkEnd w:id="183"/>
      <w:bookmarkEnd w:id="184"/>
      <w:r w:rsidRPr="00587744">
        <w:rPr>
          <w:rStyle w:val="FiguresChar"/>
        </w:rPr>
        <w:t xml:space="preserve">Figure </w:t>
      </w:r>
      <w:r w:rsidR="00905D1A">
        <w:rPr>
          <w:rStyle w:val="FiguresChar"/>
        </w:rPr>
        <w:t>2</w:t>
      </w:r>
      <w:r w:rsidR="00EF1B43" w:rsidRPr="00587744">
        <w:rPr>
          <w:rStyle w:val="FiguresChar"/>
        </w:rPr>
        <w:t>.</w:t>
      </w:r>
      <w:r w:rsidR="00905D1A">
        <w:rPr>
          <w:rStyle w:val="FiguresChar"/>
        </w:rPr>
        <w:t>4</w:t>
      </w:r>
      <w:bookmarkEnd w:id="185"/>
      <w:r w:rsidR="002A49AA" w:rsidRPr="00587744">
        <w:rPr>
          <w:rStyle w:val="FiguresChar"/>
        </w:rPr>
        <w:t xml:space="preserve"> </w:t>
      </w:r>
      <w:r w:rsidR="00A46397" w:rsidRPr="00587744">
        <w:rPr>
          <w:rStyle w:val="FiguresChar"/>
        </w:rPr>
        <w:t xml:space="preserve">Proportion of </w:t>
      </w:r>
      <w:r w:rsidR="00DA7C62" w:rsidRPr="00587744">
        <w:rPr>
          <w:rStyle w:val="FiguresChar"/>
        </w:rPr>
        <w:t>program participants</w:t>
      </w:r>
      <w:r w:rsidR="00A46397" w:rsidRPr="00587744">
        <w:rPr>
          <w:rStyle w:val="FiguresChar"/>
        </w:rPr>
        <w:t xml:space="preserve"> </w:t>
      </w:r>
      <w:r w:rsidR="000F0E95" w:rsidRPr="00587744">
        <w:rPr>
          <w:rStyle w:val="FiguresChar"/>
        </w:rPr>
        <w:t>enrolled</w:t>
      </w:r>
      <w:r w:rsidR="00A46397" w:rsidRPr="00587744">
        <w:rPr>
          <w:rStyle w:val="FiguresChar"/>
        </w:rPr>
        <w:t xml:space="preserve"> in a current activity by participation requirements</w:t>
      </w:r>
      <w:r w:rsidR="00747169" w:rsidRPr="00FB626D">
        <w:rPr>
          <w:rStyle w:val="FiguresChar"/>
          <w:vertAlign w:val="superscript"/>
        </w:rPr>
        <w:t>a,b</w:t>
      </w:r>
      <w:r w:rsidR="00465050" w:rsidRPr="00FB626D">
        <w:rPr>
          <w:rStyle w:val="FiguresChar"/>
          <w:vertAlign w:val="superscript"/>
        </w:rPr>
        <w:t>,c</w:t>
      </w:r>
      <w:bookmarkEnd w:id="186"/>
      <w:r w:rsidR="00B225BF">
        <w:pict w14:anchorId="78461488">
          <v:rect id="_x0000_i1035" style="width:0;height:1.5pt" o:hralign="center" o:hrstd="t" o:hr="t" fillcolor="#a0a0a0" stroked="f"/>
        </w:pict>
      </w:r>
    </w:p>
    <w:p w14:paraId="323181CE" w14:textId="6CFFAF3D" w:rsidR="001F19C4" w:rsidRPr="00207DC2" w:rsidRDefault="001F19C4" w:rsidP="00FB626D">
      <w:pPr>
        <w:pStyle w:val="tablenotes"/>
        <w:rPr>
          <w:rStyle w:val="tablenotesChar"/>
          <w:i/>
        </w:rPr>
      </w:pPr>
      <w:r w:rsidRPr="00207DC2">
        <w:drawing>
          <wp:inline distT="0" distB="0" distL="0" distR="0" wp14:anchorId="236659EF" wp14:editId="59718D9C">
            <wp:extent cx="5637423" cy="3035193"/>
            <wp:effectExtent l="0" t="0" r="1905" b="0"/>
            <wp:docPr id="29" name="Picture 29" descr="The figure is a line chart showing the increase in the proportions of participants, by participation requirements, enrolled in a current activity between January 2014 and July 2017. Specifically, the figure shows changes in the proportions of participants enrolled in a current activity that are: &#10;- activity tested and required to attend Work for the Dole;&#10;- activity tested but not required to attend Work for the Dole; or&#10;- volunteers.&#10;&#10;The figure shows that the:&#10;- proportion of total program participants enrolled in any type of activity steadily increased under RJCP and has further increased since the CDP commenced — from 57 per cent on 12 June 2015 to 76 per cent by 9 June 2017&#10;- activity enrolment rate is highest for participants who were required to attend Work for the Dole, and has further increased for this group since the introduction of the CDP — from 59 per cent in June 2015 to around 85 per cent in June 2017&#10;" title="Proportion of program participants enrolled in a current activity by participat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
                      <a:extLst>
                        <a:ext uri="{28A0092B-C50C-407E-A947-70E740481C1C}">
                          <a14:useLocalDpi xmlns:a14="http://schemas.microsoft.com/office/drawing/2010/main" val="0"/>
                        </a:ext>
                      </a:extLst>
                    </a:blip>
                    <a:srcRect t="2179" b="2145"/>
                    <a:stretch/>
                  </pic:blipFill>
                  <pic:spPr bwMode="auto">
                    <a:xfrm>
                      <a:off x="0" y="0"/>
                      <a:ext cx="5637530" cy="3035251"/>
                    </a:xfrm>
                    <a:prstGeom prst="rect">
                      <a:avLst/>
                    </a:prstGeom>
                    <a:noFill/>
                    <a:ln>
                      <a:noFill/>
                    </a:ln>
                    <a:extLst>
                      <a:ext uri="{53640926-AAD7-44D8-BBD7-CCE9431645EC}">
                        <a14:shadowObscured xmlns:a14="http://schemas.microsoft.com/office/drawing/2010/main"/>
                      </a:ext>
                    </a:extLst>
                  </pic:spPr>
                </pic:pic>
              </a:graphicData>
            </a:graphic>
          </wp:inline>
        </w:drawing>
      </w:r>
    </w:p>
    <w:p w14:paraId="285A8337" w14:textId="59850B82" w:rsidR="001F19C4" w:rsidRPr="00207DC2" w:rsidRDefault="00B225BF" w:rsidP="00FB626D">
      <w:pPr>
        <w:pStyle w:val="tablenotes"/>
        <w:rPr>
          <w:rStyle w:val="tablenotesChar"/>
          <w:i/>
        </w:rPr>
      </w:pPr>
      <w:r>
        <w:pict w14:anchorId="29706FFD">
          <v:rect id="_x0000_i1036" style="width:0;height:1.5pt" o:hralign="center" o:hrstd="t" o:hr="t" fillcolor="#a0a0a0" stroked="f"/>
        </w:pict>
      </w:r>
    </w:p>
    <w:p w14:paraId="40EAD05E" w14:textId="304D80FF" w:rsidR="00DF7D3E" w:rsidRPr="00207DC2" w:rsidRDefault="00A46397" w:rsidP="00FB626D">
      <w:pPr>
        <w:pStyle w:val="tablenotes"/>
        <w:rPr>
          <w:rStyle w:val="tablenotesChar"/>
        </w:rPr>
      </w:pPr>
      <w:r w:rsidRPr="00207DC2">
        <w:rPr>
          <w:rStyle w:val="tablenotesChar"/>
          <w:i/>
        </w:rPr>
        <w:t xml:space="preserve">Source: </w:t>
      </w:r>
      <w:r w:rsidR="0057565A" w:rsidRPr="00207DC2">
        <w:t>PMC</w:t>
      </w:r>
      <w:r w:rsidR="00D40D4B" w:rsidRPr="00207DC2">
        <w:t xml:space="preserve"> estimates based on u</w:t>
      </w:r>
      <w:r w:rsidRPr="00207DC2">
        <w:rPr>
          <w:rStyle w:val="tablenotesChar"/>
        </w:rPr>
        <w:t>npublished ESS operational data (extracted 5</w:t>
      </w:r>
      <w:r w:rsidR="00322E34" w:rsidRPr="00207DC2">
        <w:rPr>
          <w:rStyle w:val="tablenotesChar"/>
        </w:rPr>
        <w:t> </w:t>
      </w:r>
      <w:r w:rsidRPr="00207DC2">
        <w:rPr>
          <w:rStyle w:val="tablenotesChar"/>
        </w:rPr>
        <w:t>September</w:t>
      </w:r>
      <w:r w:rsidR="00322E34" w:rsidRPr="00207DC2">
        <w:rPr>
          <w:rStyle w:val="tablenotesChar"/>
        </w:rPr>
        <w:t> </w:t>
      </w:r>
      <w:r w:rsidRPr="00207DC2">
        <w:rPr>
          <w:rStyle w:val="tablenotesChar"/>
        </w:rPr>
        <w:t>2017).</w:t>
      </w:r>
      <w:r w:rsidR="00C21A87" w:rsidRPr="00207DC2">
        <w:rPr>
          <w:rStyle w:val="tablenotesChar"/>
        </w:rPr>
        <w:t xml:space="preserve"> </w:t>
      </w:r>
    </w:p>
    <w:p w14:paraId="0B488E9A" w14:textId="243D1012" w:rsidR="00A46397" w:rsidRPr="00207DC2" w:rsidRDefault="004D1E6E" w:rsidP="00FB626D">
      <w:pPr>
        <w:pStyle w:val="tablenotes"/>
        <w:rPr>
          <w:rStyle w:val="tablenotesChar"/>
        </w:rPr>
      </w:pPr>
      <w:r w:rsidRPr="00207DC2">
        <w:rPr>
          <w:rStyle w:val="tablenotesChar"/>
          <w:i/>
        </w:rPr>
        <w:t>Note</w:t>
      </w:r>
      <w:r w:rsidR="00C21A87" w:rsidRPr="00207DC2">
        <w:rPr>
          <w:rStyle w:val="tablenotesChar"/>
          <w:i/>
        </w:rPr>
        <w:t>s</w:t>
      </w:r>
      <w:r w:rsidRPr="00207DC2">
        <w:rPr>
          <w:rStyle w:val="tablenotesChar"/>
          <w:i/>
        </w:rPr>
        <w:t>:</w:t>
      </w:r>
      <w:r w:rsidRPr="00207DC2">
        <w:rPr>
          <w:rStyle w:val="tablenotesChar"/>
        </w:rPr>
        <w:t xml:space="preserve"> </w:t>
      </w:r>
      <w:r w:rsidR="00CF3E17" w:rsidRPr="00207DC2">
        <w:rPr>
          <w:rStyle w:val="tablenotesChar"/>
        </w:rPr>
        <w:t>(a)</w:t>
      </w:r>
      <w:r w:rsidRPr="00207DC2">
        <w:rPr>
          <w:rStyle w:val="tablenotesChar"/>
        </w:rPr>
        <w:t xml:space="preserve"> </w:t>
      </w:r>
      <w:r w:rsidR="00A46397" w:rsidRPr="00207DC2">
        <w:rPr>
          <w:rStyle w:val="tablenotesChar"/>
        </w:rPr>
        <w:t xml:space="preserve">The figure includes all RJCP and CDP participants (including those who were pending or </w:t>
      </w:r>
      <w:r w:rsidR="00465050" w:rsidRPr="00207DC2">
        <w:rPr>
          <w:rStyle w:val="tablenotesChar"/>
        </w:rPr>
        <w:t>temporarily exempt</w:t>
      </w:r>
      <w:r w:rsidR="00A46397" w:rsidRPr="00207DC2">
        <w:rPr>
          <w:rStyle w:val="tablenotesChar"/>
        </w:rPr>
        <w:t>) unless their participation requirements could not be det</w:t>
      </w:r>
      <w:r w:rsidRPr="00207DC2">
        <w:rPr>
          <w:rStyle w:val="tablenotesChar"/>
        </w:rPr>
        <w:t xml:space="preserve">ermined (due to missing data). </w:t>
      </w:r>
      <w:r w:rsidR="00465050" w:rsidRPr="00207DC2">
        <w:rPr>
          <w:rStyle w:val="tablenotesChar"/>
        </w:rPr>
        <w:t xml:space="preserve">(b) </w:t>
      </w:r>
      <w:r w:rsidR="00A46397" w:rsidRPr="00207DC2">
        <w:rPr>
          <w:rStyle w:val="tablenotesChar"/>
        </w:rPr>
        <w:t>Modelling indicates that the</w:t>
      </w:r>
      <w:r w:rsidR="00197613" w:rsidRPr="00207DC2">
        <w:rPr>
          <w:rStyle w:val="tablenotesChar"/>
        </w:rPr>
        <w:t xml:space="preserve"> total proportion did</w:t>
      </w:r>
      <w:r w:rsidR="009318DA" w:rsidRPr="00207DC2">
        <w:rPr>
          <w:rStyle w:val="tablenotesChar"/>
        </w:rPr>
        <w:t xml:space="preserve"> not</w:t>
      </w:r>
      <w:r w:rsidR="00197613" w:rsidRPr="00207DC2">
        <w:rPr>
          <w:rStyle w:val="tablenotesChar"/>
        </w:rPr>
        <w:t xml:space="preserve"> have a significantly different trend after </w:t>
      </w:r>
      <w:r w:rsidR="00610752" w:rsidRPr="00207DC2">
        <w:rPr>
          <w:rStyle w:val="tablenotesChar"/>
        </w:rPr>
        <w:t xml:space="preserve">the </w:t>
      </w:r>
      <w:r w:rsidR="00197613" w:rsidRPr="00207DC2">
        <w:rPr>
          <w:rStyle w:val="tablenotesChar"/>
        </w:rPr>
        <w:t>CDP.</w:t>
      </w:r>
      <w:r w:rsidR="005667BE" w:rsidRPr="00207DC2">
        <w:rPr>
          <w:rStyle w:val="tablenotesChar"/>
        </w:rPr>
        <w:t xml:space="preserve"> The </w:t>
      </w:r>
      <w:r w:rsidR="009318DA" w:rsidRPr="00207DC2">
        <w:rPr>
          <w:rStyle w:val="tablenotesChar"/>
        </w:rPr>
        <w:t xml:space="preserve">sharp fall in </w:t>
      </w:r>
      <w:r w:rsidR="00191A4E" w:rsidRPr="00207DC2">
        <w:rPr>
          <w:rStyle w:val="tablenotesChar"/>
        </w:rPr>
        <w:t>enrol</w:t>
      </w:r>
      <w:r w:rsidR="000E37B9" w:rsidRPr="00207DC2">
        <w:rPr>
          <w:rStyle w:val="tablenotesChar"/>
        </w:rPr>
        <w:t>ments</w:t>
      </w:r>
      <w:r w:rsidR="005667BE" w:rsidRPr="00207DC2">
        <w:rPr>
          <w:rStyle w:val="tablenotesChar"/>
        </w:rPr>
        <w:t xml:space="preserve"> </w:t>
      </w:r>
      <w:r w:rsidR="009318DA" w:rsidRPr="00207DC2">
        <w:rPr>
          <w:rStyle w:val="tablenotesChar"/>
        </w:rPr>
        <w:t>in July 2015 coincides with when</w:t>
      </w:r>
      <w:r w:rsidR="005667BE" w:rsidRPr="00207DC2">
        <w:rPr>
          <w:rStyle w:val="tablenotesChar"/>
        </w:rPr>
        <w:t xml:space="preserve"> </w:t>
      </w:r>
      <w:r w:rsidR="00610752" w:rsidRPr="00207DC2">
        <w:rPr>
          <w:rStyle w:val="tablenotesChar"/>
        </w:rPr>
        <w:t xml:space="preserve">the </w:t>
      </w:r>
      <w:r w:rsidR="005667BE" w:rsidRPr="00207DC2">
        <w:rPr>
          <w:rStyle w:val="tablenotesChar"/>
        </w:rPr>
        <w:t>CDP commenc</w:t>
      </w:r>
      <w:r w:rsidR="0070300B" w:rsidRPr="00207DC2">
        <w:rPr>
          <w:rStyle w:val="tablenotesChar"/>
        </w:rPr>
        <w:t>ed</w:t>
      </w:r>
      <w:r w:rsidR="009318DA" w:rsidRPr="00207DC2">
        <w:rPr>
          <w:rStyle w:val="tablenotesChar"/>
        </w:rPr>
        <w:t xml:space="preserve"> reflecting</w:t>
      </w:r>
      <w:r w:rsidR="005667BE" w:rsidRPr="00207DC2">
        <w:rPr>
          <w:rStyle w:val="tablenotesChar"/>
        </w:rPr>
        <w:t xml:space="preserve"> transition</w:t>
      </w:r>
      <w:r w:rsidR="009318DA" w:rsidRPr="00207DC2">
        <w:rPr>
          <w:rStyle w:val="tablenotesChar"/>
        </w:rPr>
        <w:t xml:space="preserve"> arrang</w:t>
      </w:r>
      <w:r w:rsidR="0014407B" w:rsidRPr="00207DC2">
        <w:rPr>
          <w:rStyle w:val="tablenotesChar"/>
        </w:rPr>
        <w:t>e</w:t>
      </w:r>
      <w:r w:rsidR="009318DA" w:rsidRPr="00207DC2">
        <w:rPr>
          <w:rStyle w:val="tablenotesChar"/>
        </w:rPr>
        <w:t xml:space="preserve">ments </w:t>
      </w:r>
      <w:r w:rsidR="0014407B" w:rsidRPr="00207DC2">
        <w:rPr>
          <w:rStyle w:val="tablenotesChar"/>
        </w:rPr>
        <w:t>from</w:t>
      </w:r>
      <w:r w:rsidR="009318DA" w:rsidRPr="00207DC2">
        <w:rPr>
          <w:rStyle w:val="tablenotesChar"/>
        </w:rPr>
        <w:t xml:space="preserve"> the RJCP to the CDP</w:t>
      </w:r>
      <w:r w:rsidR="005667BE" w:rsidRPr="00207DC2">
        <w:rPr>
          <w:rStyle w:val="tablenotesChar"/>
        </w:rPr>
        <w:t xml:space="preserve">. </w:t>
      </w:r>
      <w:r w:rsidR="00CF3E17" w:rsidRPr="00207DC2">
        <w:rPr>
          <w:rStyle w:val="tablenotesChar"/>
        </w:rPr>
        <w:t>(</w:t>
      </w:r>
      <w:r w:rsidR="00465050" w:rsidRPr="00207DC2">
        <w:rPr>
          <w:rStyle w:val="tablenotesChar"/>
        </w:rPr>
        <w:t>c</w:t>
      </w:r>
      <w:r w:rsidR="00CF3E17" w:rsidRPr="00207DC2">
        <w:rPr>
          <w:rStyle w:val="tablenotesChar"/>
        </w:rPr>
        <w:t>)</w:t>
      </w:r>
      <w:r w:rsidR="00CF3E17" w:rsidRPr="00207DC2">
        <w:rPr>
          <w:color w:val="262626"/>
          <w:sz w:val="20"/>
          <w:szCs w:val="20"/>
        </w:rPr>
        <w:t xml:space="preserve"> </w:t>
      </w:r>
      <w:r w:rsidR="007D4C75" w:rsidRPr="00207DC2">
        <w:t xml:space="preserve">Spikes in the number of participants </w:t>
      </w:r>
      <w:r w:rsidR="007D4C75" w:rsidRPr="00207DC2">
        <w:rPr>
          <w:i/>
        </w:rPr>
        <w:t>required to attend Work for the Dole</w:t>
      </w:r>
      <w:r w:rsidR="007D4C75" w:rsidRPr="00207DC2">
        <w:t xml:space="preserve"> reflect changes in the level of compliance action. Specifically, when compliance action results in the suspension of income support, an </w:t>
      </w:r>
      <w:r w:rsidR="00903A7A">
        <w:t>activity-tested</w:t>
      </w:r>
      <w:r w:rsidR="007D4C75" w:rsidRPr="00207DC2">
        <w:t xml:space="preserve"> participant’s status can temporarily change from </w:t>
      </w:r>
      <w:r w:rsidR="007D4C75" w:rsidRPr="00207DC2">
        <w:rPr>
          <w:i/>
        </w:rPr>
        <w:t xml:space="preserve">required </w:t>
      </w:r>
      <w:r w:rsidR="007D4C75" w:rsidRPr="00207DC2">
        <w:t xml:space="preserve">to </w:t>
      </w:r>
      <w:r w:rsidR="007D4C75" w:rsidRPr="00207DC2">
        <w:rPr>
          <w:i/>
        </w:rPr>
        <w:t>not required to attend</w:t>
      </w:r>
      <w:r w:rsidR="007D4C75" w:rsidRPr="00207DC2">
        <w:t xml:space="preserve">. Temporary changes in the number of participants </w:t>
      </w:r>
      <w:r w:rsidR="007D4C75" w:rsidRPr="00207DC2">
        <w:rPr>
          <w:i/>
        </w:rPr>
        <w:t>required to attend</w:t>
      </w:r>
      <w:r w:rsidR="007D4C75" w:rsidRPr="00207DC2">
        <w:t xml:space="preserve"> occurred during Christmas periods (when compliance action declined) and in August 2016 (when, six months after the introduction of the revised provider payment model, comprehensive compliance assessments increased)</w:t>
      </w:r>
      <w:r w:rsidR="00251994" w:rsidRPr="00207DC2">
        <w:t xml:space="preserve">. </w:t>
      </w:r>
    </w:p>
    <w:p w14:paraId="45A2B623" w14:textId="77777777" w:rsidR="00453C1C" w:rsidRPr="00207DC2" w:rsidRDefault="00453C1C" w:rsidP="00FB626D">
      <w:pPr>
        <w:spacing w:before="240"/>
        <w:jc w:val="both"/>
        <w:rPr>
          <w:bCs/>
          <w:lang w:val="en-AU"/>
        </w:rPr>
      </w:pPr>
      <w:bookmarkStart w:id="187" w:name="_Toc509412972"/>
      <w:bookmarkStart w:id="188" w:name="_Toc509587035"/>
      <w:bookmarkStart w:id="189" w:name="_Toc509588061"/>
      <w:bookmarkStart w:id="190" w:name="_Toc509588324"/>
      <w:bookmarkStart w:id="191" w:name="_Toc509589472"/>
      <w:bookmarkStart w:id="192" w:name="_Toc509926890"/>
      <w:bookmarkStart w:id="193" w:name="_Toc511661240"/>
      <w:bookmarkStart w:id="194" w:name="_Toc511826291"/>
      <w:bookmarkStart w:id="195" w:name="_Toc511940608"/>
      <w:bookmarkStart w:id="196" w:name="_Toc515185453"/>
      <w:bookmarkStart w:id="197" w:name="_Toc516219827"/>
      <w:bookmarkStart w:id="198" w:name="_Toc516220468"/>
      <w:bookmarkStart w:id="199" w:name="_Toc516223288"/>
      <w:bookmarkStart w:id="200" w:name="_Toc516225196"/>
      <w:bookmarkStart w:id="201" w:name="_Toc516228972"/>
      <w:bookmarkStart w:id="202" w:name="_Toc518468052"/>
      <w:bookmarkStart w:id="203" w:name="_Toc518487832"/>
      <w:bookmarkStart w:id="204" w:name="_Toc518558796"/>
      <w:bookmarkStart w:id="205" w:name="_Toc518565319"/>
      <w:bookmarkStart w:id="206" w:name="_Toc518565563"/>
      <w:bookmarkStart w:id="207" w:name="_Toc519504734"/>
      <w:bookmarkStart w:id="208" w:name="_Toc519505958"/>
      <w:bookmarkStart w:id="209" w:name="_Toc519844064"/>
      <w:bookmarkStart w:id="210" w:name="_Toc521068566"/>
      <w:bookmarkStart w:id="211" w:name="_Toc521391080"/>
      <w:bookmarkStart w:id="212" w:name="_Toc522013249"/>
      <w:r w:rsidRPr="00207DC2">
        <w:rPr>
          <w:bCs/>
          <w:lang w:val="en-AU"/>
        </w:rPr>
        <w:t xml:space="preserve">The type of Work for the Dole activities that CDP participants undertake varies. In June 2017, over half were </w:t>
      </w:r>
      <w:r w:rsidRPr="00207DC2">
        <w:rPr>
          <w:lang w:val="en-AU"/>
        </w:rPr>
        <w:t>enrolled</w:t>
      </w:r>
      <w:r w:rsidRPr="00207DC2">
        <w:rPr>
          <w:bCs/>
          <w:lang w:val="en-AU"/>
        </w:rPr>
        <w:t xml:space="preserve"> in a Work for the Dole arts, community and environment, health, support for remote housing or support for remote schooling related project. The remaining Work for the Dole participants were </w:t>
      </w:r>
      <w:r w:rsidRPr="00207DC2">
        <w:rPr>
          <w:lang w:val="en-AU"/>
        </w:rPr>
        <w:t>enrolled</w:t>
      </w:r>
      <w:r w:rsidRPr="00207DC2">
        <w:rPr>
          <w:bCs/>
          <w:lang w:val="en-AU"/>
        </w:rPr>
        <w:t xml:space="preserve"> in </w:t>
      </w:r>
      <w:r w:rsidRPr="00207DC2">
        <w:rPr>
          <w:lang w:val="en-AU"/>
        </w:rPr>
        <w:t>education or training</w:t>
      </w:r>
      <w:r w:rsidRPr="00207DC2" w:rsidDel="007D0F03">
        <w:rPr>
          <w:lang w:val="en-AU"/>
        </w:rPr>
        <w:t xml:space="preserve"> activities</w:t>
      </w:r>
      <w:r w:rsidRPr="00207DC2" w:rsidDel="00DE4941">
        <w:rPr>
          <w:lang w:val="en-AU"/>
        </w:rPr>
        <w:t>.</w:t>
      </w:r>
      <w:r w:rsidRPr="00207DC2" w:rsidDel="00DE4941">
        <w:rPr>
          <w:bCs/>
          <w:lang w:val="en-AU"/>
        </w:rPr>
        <w:t xml:space="preserve"> </w:t>
      </w:r>
    </w:p>
    <w:p w14:paraId="0E322AF1" w14:textId="70511A59" w:rsidR="00453C1C" w:rsidRDefault="00453C1C" w:rsidP="00FB626D">
      <w:pPr>
        <w:spacing w:before="240"/>
        <w:jc w:val="both"/>
        <w:rPr>
          <w:lang w:val="en-AU"/>
        </w:rPr>
      </w:pPr>
      <w:r w:rsidRPr="00207DC2">
        <w:rPr>
          <w:lang w:val="en-AU"/>
        </w:rPr>
        <w:t>Changes under the CDP meant that participants could only undertake vocational and non-vocational training as part of a Work for the Dole activity ‘if it is a necessary or a critical component of a Work for the Dole activity or a prerequisite for a job’ (PMC 2016, p.8). Overall, participation in education and training activities under the CDP appears to have increased. The proportion of</w:t>
      </w:r>
      <w:r w:rsidRPr="00207DC2" w:rsidDel="007D0F03">
        <w:rPr>
          <w:lang w:val="en-AU"/>
        </w:rPr>
        <w:t xml:space="preserve"> </w:t>
      </w:r>
      <w:r w:rsidRPr="00207DC2">
        <w:rPr>
          <w:lang w:val="en-AU"/>
        </w:rPr>
        <w:t>participants undertaking education and training</w:t>
      </w:r>
      <w:r w:rsidR="00396552">
        <w:rPr>
          <w:lang w:val="en-AU"/>
        </w:rPr>
        <w:t xml:space="preserve"> – </w:t>
      </w:r>
      <w:r w:rsidRPr="00207DC2">
        <w:rPr>
          <w:lang w:val="en-AU"/>
        </w:rPr>
        <w:t>e</w:t>
      </w:r>
      <w:r w:rsidR="00013355">
        <w:rPr>
          <w:lang w:val="en-AU"/>
        </w:rPr>
        <w:t>ither as a main activity or sub-</w:t>
      </w:r>
      <w:r w:rsidRPr="00207DC2">
        <w:rPr>
          <w:lang w:val="en-AU"/>
        </w:rPr>
        <w:t>activity of their Work for the Dole requirements</w:t>
      </w:r>
      <w:r w:rsidR="00396552">
        <w:rPr>
          <w:lang w:val="en-AU"/>
        </w:rPr>
        <w:t xml:space="preserve"> – </w:t>
      </w:r>
      <w:r w:rsidRPr="00207DC2">
        <w:rPr>
          <w:lang w:val="en-AU"/>
        </w:rPr>
        <w:t>increased from 12 per cent in June 2015 to 26 per cent in June 2017 (</w:t>
      </w:r>
      <w:r w:rsidRPr="00207DC2">
        <w:rPr>
          <w:bCs/>
          <w:lang w:val="en-AU"/>
        </w:rPr>
        <w:t>unpublished ESS operational data</w:t>
      </w:r>
      <w:r w:rsidRPr="00207DC2">
        <w:rPr>
          <w:lang w:val="en-AU"/>
        </w:rPr>
        <w:t xml:space="preserve">). </w:t>
      </w:r>
    </w:p>
    <w:p w14:paraId="726CB354" w14:textId="6BFE3BC9" w:rsidR="00285D97" w:rsidRPr="00207DC2" w:rsidRDefault="00285D97" w:rsidP="00973DE0">
      <w:pPr>
        <w:jc w:val="both"/>
        <w:rPr>
          <w:lang w:val="en-AU"/>
        </w:rPr>
      </w:pPr>
      <w:r w:rsidRPr="00207DC2">
        <w:rPr>
          <w:lang w:val="en-AU"/>
        </w:rPr>
        <w:t>The next section examines patterns of attendance at Work for the Dole activities and the factors that are associated with attendance.</w:t>
      </w:r>
    </w:p>
    <w:p w14:paraId="26A47C33" w14:textId="5C18F33F" w:rsidR="00CB6E7D" w:rsidRPr="00207DC2" w:rsidRDefault="004A108C" w:rsidP="008055FF">
      <w:pPr>
        <w:pStyle w:val="ZED4"/>
        <w:outlineLvl w:val="2"/>
      </w:pPr>
      <w:bookmarkStart w:id="213" w:name="_Toc534965159"/>
      <w:bookmarkStart w:id="214" w:name="_Toc535935045"/>
      <w:r w:rsidRPr="00207DC2">
        <w:t>2.</w:t>
      </w:r>
      <w:r w:rsidR="00103AA3" w:rsidRPr="00207DC2">
        <w:t>3</w:t>
      </w:r>
      <w:r w:rsidR="005631B4">
        <w:tab/>
      </w:r>
      <w:r w:rsidR="000A53B7" w:rsidRPr="00207DC2">
        <w:t xml:space="preserve">Attendance at </w:t>
      </w:r>
      <w:r w:rsidR="00052DC1" w:rsidRPr="00207DC2">
        <w:t>W</w:t>
      </w:r>
      <w:r w:rsidR="000A53B7" w:rsidRPr="00207DC2">
        <w:t xml:space="preserve">ork for the </w:t>
      </w:r>
      <w:r w:rsidR="00052DC1" w:rsidRPr="00207DC2">
        <w:t>D</w:t>
      </w:r>
      <w:r w:rsidR="000A53B7" w:rsidRPr="00207DC2">
        <w:t>ole</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11503ABB" w14:textId="6F7BDC52" w:rsidR="00BB477A" w:rsidRPr="00207DC2" w:rsidRDefault="000A53B7" w:rsidP="000A53B7">
      <w:pPr>
        <w:jc w:val="both"/>
        <w:rPr>
          <w:lang w:val="en-AU"/>
        </w:rPr>
      </w:pPr>
      <w:r w:rsidRPr="00207DC2">
        <w:rPr>
          <w:lang w:val="en-AU"/>
        </w:rPr>
        <w:t>Prior to the commencement of the CDP, RJCP providers were not required to record attendance at activities.</w:t>
      </w:r>
      <w:r w:rsidR="00553917" w:rsidRPr="00207DC2">
        <w:rPr>
          <w:bCs/>
          <w:lang w:val="en-AU"/>
        </w:rPr>
        <w:t xml:space="preserve"> </w:t>
      </w:r>
      <w:r w:rsidR="002715A5">
        <w:rPr>
          <w:lang w:val="en-AU"/>
        </w:rPr>
        <w:t>Focussing on the post-</w:t>
      </w:r>
      <w:r w:rsidR="00A03973" w:rsidRPr="00207DC2">
        <w:rPr>
          <w:lang w:val="en-AU"/>
        </w:rPr>
        <w:t>transition period,</w:t>
      </w:r>
      <w:r w:rsidR="00CB74C9" w:rsidRPr="00207DC2">
        <w:rPr>
          <w:lang w:val="en-AU"/>
        </w:rPr>
        <w:t xml:space="preserve"> since </w:t>
      </w:r>
      <w:r w:rsidR="00DA58D1" w:rsidRPr="00207DC2">
        <w:rPr>
          <w:lang w:val="en-AU"/>
        </w:rPr>
        <w:t>January 2016</w:t>
      </w:r>
      <w:r w:rsidR="002307CB" w:rsidRPr="00207DC2">
        <w:rPr>
          <w:lang w:val="en-AU"/>
        </w:rPr>
        <w:t>,</w:t>
      </w:r>
      <w:r w:rsidR="00CB74C9" w:rsidRPr="00207DC2">
        <w:rPr>
          <w:lang w:val="en-AU"/>
        </w:rPr>
        <w:t xml:space="preserve"> </w:t>
      </w:r>
      <w:r w:rsidR="000B1669" w:rsidRPr="00207DC2">
        <w:rPr>
          <w:lang w:val="en-AU"/>
        </w:rPr>
        <w:t xml:space="preserve">reported </w:t>
      </w:r>
      <w:r w:rsidRPr="00207DC2">
        <w:rPr>
          <w:lang w:val="en-AU"/>
        </w:rPr>
        <w:t xml:space="preserve">patterns of attendance have remained </w:t>
      </w:r>
      <w:r w:rsidR="004D58CF" w:rsidRPr="00207DC2">
        <w:rPr>
          <w:lang w:val="en-AU"/>
        </w:rPr>
        <w:t xml:space="preserve">generally </w:t>
      </w:r>
      <w:r w:rsidRPr="00207DC2">
        <w:rPr>
          <w:lang w:val="en-AU"/>
        </w:rPr>
        <w:t>stable</w:t>
      </w:r>
      <w:r w:rsidR="00903842" w:rsidRPr="00207DC2">
        <w:rPr>
          <w:lang w:val="en-AU"/>
        </w:rPr>
        <w:t xml:space="preserve"> for participants </w:t>
      </w:r>
      <w:r w:rsidR="000F0E95" w:rsidRPr="00207DC2">
        <w:rPr>
          <w:lang w:val="en-AU"/>
        </w:rPr>
        <w:t>enrolled</w:t>
      </w:r>
      <w:r w:rsidR="00903842" w:rsidRPr="00207DC2">
        <w:rPr>
          <w:lang w:val="en-AU"/>
        </w:rPr>
        <w:t xml:space="preserve"> in Work for the Dole activities</w:t>
      </w:r>
      <w:r w:rsidR="00B80199" w:rsidRPr="00207DC2">
        <w:rPr>
          <w:lang w:val="en-AU"/>
        </w:rPr>
        <w:t>.</w:t>
      </w:r>
      <w:r w:rsidR="00905C0C" w:rsidRPr="00207DC2">
        <w:rPr>
          <w:lang w:val="en-AU"/>
        </w:rPr>
        <w:t xml:space="preserve"> </w:t>
      </w:r>
    </w:p>
    <w:p w14:paraId="0F3D7B16" w14:textId="31176B40" w:rsidR="00C27646" w:rsidRPr="00207DC2" w:rsidRDefault="00905C0C" w:rsidP="000A53B7">
      <w:pPr>
        <w:jc w:val="both"/>
        <w:rPr>
          <w:lang w:val="en-AU"/>
        </w:rPr>
      </w:pPr>
      <w:r w:rsidRPr="00207DC2">
        <w:rPr>
          <w:lang w:val="en-AU"/>
        </w:rPr>
        <w:t>On any given day, the majority (between 70 and 80 per cent) of participants enrolled in Work for the Dole either attend</w:t>
      </w:r>
      <w:r w:rsidR="002307CB" w:rsidRPr="00207DC2">
        <w:rPr>
          <w:lang w:val="en-AU"/>
        </w:rPr>
        <w:t>ed</w:t>
      </w:r>
      <w:r w:rsidRPr="00207DC2">
        <w:rPr>
          <w:lang w:val="en-AU"/>
        </w:rPr>
        <w:t xml:space="preserve"> or provide</w:t>
      </w:r>
      <w:r w:rsidR="002307CB" w:rsidRPr="00207DC2">
        <w:rPr>
          <w:lang w:val="en-AU"/>
        </w:rPr>
        <w:t>d</w:t>
      </w:r>
      <w:r w:rsidRPr="00207DC2">
        <w:rPr>
          <w:lang w:val="en-AU"/>
        </w:rPr>
        <w:t xml:space="preserve"> a valid reason for not attending</w:t>
      </w:r>
      <w:r w:rsidR="00BE74D6" w:rsidRPr="00207DC2">
        <w:rPr>
          <w:lang w:val="en-AU"/>
        </w:rPr>
        <w:t xml:space="preserve"> (Figure 2.5)</w:t>
      </w:r>
      <w:r w:rsidR="00D02B1A" w:rsidRPr="00207DC2">
        <w:rPr>
          <w:lang w:val="en-AU"/>
        </w:rPr>
        <w:t>.</w:t>
      </w:r>
    </w:p>
    <w:p w14:paraId="44A7A434" w14:textId="7DB2881B" w:rsidR="00C27646" w:rsidRPr="00207DC2" w:rsidRDefault="002307CB" w:rsidP="00F90446">
      <w:pPr>
        <w:pStyle w:val="ListParagraph"/>
        <w:numPr>
          <w:ilvl w:val="0"/>
          <w:numId w:val="30"/>
        </w:numPr>
        <w:jc w:val="both"/>
        <w:rPr>
          <w:lang w:val="en-AU"/>
        </w:rPr>
      </w:pPr>
      <w:r w:rsidRPr="00207DC2">
        <w:rPr>
          <w:lang w:val="en-AU"/>
        </w:rPr>
        <w:t>T</w:t>
      </w:r>
      <w:r w:rsidR="000A53B7" w:rsidRPr="00207DC2">
        <w:rPr>
          <w:lang w:val="en-AU"/>
        </w:rPr>
        <w:t xml:space="preserve">he proportion who </w:t>
      </w:r>
      <w:r w:rsidR="000A53B7" w:rsidRPr="00207DC2">
        <w:rPr>
          <w:i/>
          <w:lang w:val="en-AU"/>
        </w:rPr>
        <w:t>attend</w:t>
      </w:r>
      <w:r w:rsidRPr="00207DC2">
        <w:rPr>
          <w:i/>
          <w:lang w:val="en-AU"/>
        </w:rPr>
        <w:t>ed</w:t>
      </w:r>
      <w:r w:rsidR="000A53B7" w:rsidRPr="00207DC2">
        <w:rPr>
          <w:lang w:val="en-AU"/>
        </w:rPr>
        <w:t xml:space="preserve"> </w:t>
      </w:r>
      <w:r w:rsidR="0023508C" w:rsidRPr="00207DC2">
        <w:rPr>
          <w:lang w:val="en-AU"/>
        </w:rPr>
        <w:t xml:space="preserve">(including partial attendance) </w:t>
      </w:r>
      <w:r w:rsidR="000A53B7" w:rsidRPr="00207DC2">
        <w:rPr>
          <w:lang w:val="en-AU"/>
        </w:rPr>
        <w:t>fluctuated between 40 and 50 per cent</w:t>
      </w:r>
    </w:p>
    <w:p w14:paraId="6E5334FB" w14:textId="241168E4" w:rsidR="00C27646" w:rsidRPr="00207DC2" w:rsidRDefault="00C822E5" w:rsidP="00F90446">
      <w:pPr>
        <w:pStyle w:val="ListParagraph"/>
        <w:numPr>
          <w:ilvl w:val="0"/>
          <w:numId w:val="30"/>
        </w:numPr>
        <w:jc w:val="both"/>
        <w:rPr>
          <w:lang w:val="en-AU"/>
        </w:rPr>
      </w:pPr>
      <w:r w:rsidRPr="00207DC2">
        <w:rPr>
          <w:lang w:val="en-AU"/>
        </w:rPr>
        <w:t>A</w:t>
      </w:r>
      <w:r w:rsidR="000A53B7" w:rsidRPr="00207DC2">
        <w:rPr>
          <w:lang w:val="en-AU"/>
        </w:rPr>
        <w:t xml:space="preserve"> further 30</w:t>
      </w:r>
      <w:r w:rsidR="003013EA" w:rsidRPr="00207DC2">
        <w:rPr>
          <w:lang w:val="en-AU"/>
        </w:rPr>
        <w:t xml:space="preserve"> to 40</w:t>
      </w:r>
      <w:r w:rsidR="00A37CFD" w:rsidRPr="00207DC2">
        <w:rPr>
          <w:lang w:val="en-AU"/>
        </w:rPr>
        <w:t> </w:t>
      </w:r>
      <w:r w:rsidR="000A53B7" w:rsidRPr="00207DC2">
        <w:rPr>
          <w:lang w:val="en-AU"/>
        </w:rPr>
        <w:t>per</w:t>
      </w:r>
      <w:r w:rsidR="00A37CFD" w:rsidRPr="00207DC2">
        <w:rPr>
          <w:lang w:val="en-AU"/>
        </w:rPr>
        <w:t> </w:t>
      </w:r>
      <w:r w:rsidR="000A53B7" w:rsidRPr="00207DC2">
        <w:rPr>
          <w:lang w:val="en-AU"/>
        </w:rPr>
        <w:t>cent of participants ha</w:t>
      </w:r>
      <w:r w:rsidR="00C27646" w:rsidRPr="00207DC2">
        <w:rPr>
          <w:lang w:val="en-AU"/>
        </w:rPr>
        <w:t>d</w:t>
      </w:r>
      <w:r w:rsidR="000A53B7" w:rsidRPr="00207DC2">
        <w:rPr>
          <w:lang w:val="en-AU"/>
        </w:rPr>
        <w:t xml:space="preserve"> a </w:t>
      </w:r>
      <w:r w:rsidR="00F21DC9" w:rsidRPr="00207DC2">
        <w:rPr>
          <w:lang w:val="en-AU"/>
        </w:rPr>
        <w:t xml:space="preserve">recorded </w:t>
      </w:r>
      <w:r w:rsidR="000A53B7" w:rsidRPr="00207DC2">
        <w:rPr>
          <w:lang w:val="en-AU"/>
        </w:rPr>
        <w:t>valid reason for no</w:t>
      </w:r>
      <w:r w:rsidR="00C27646" w:rsidRPr="00207DC2">
        <w:rPr>
          <w:lang w:val="en-AU"/>
        </w:rPr>
        <w:t xml:space="preserve">t </w:t>
      </w:r>
      <w:r w:rsidR="000A53B7" w:rsidRPr="00207DC2">
        <w:rPr>
          <w:lang w:val="en-AU"/>
        </w:rPr>
        <w:t>attend</w:t>
      </w:r>
      <w:r w:rsidR="00C27646" w:rsidRPr="00207DC2">
        <w:rPr>
          <w:lang w:val="en-AU"/>
        </w:rPr>
        <w:t>ing</w:t>
      </w:r>
      <w:r w:rsidR="00F21DC9" w:rsidRPr="00207DC2">
        <w:rPr>
          <w:lang w:val="en-AU"/>
        </w:rPr>
        <w:t xml:space="preserve"> (</w:t>
      </w:r>
      <w:r w:rsidR="00F21DC9" w:rsidRPr="00207DC2">
        <w:rPr>
          <w:i/>
          <w:lang w:val="en-AU"/>
        </w:rPr>
        <w:t>valid non-attendance</w:t>
      </w:r>
      <w:r w:rsidR="007A155F" w:rsidRPr="00207DC2" w:rsidDel="00BE74D6">
        <w:rPr>
          <w:lang w:val="en-AU"/>
        </w:rPr>
        <w:t>)</w:t>
      </w:r>
      <w:r w:rsidR="009C19B8" w:rsidRPr="00207DC2">
        <w:rPr>
          <w:lang w:val="en-AU"/>
        </w:rPr>
        <w:t>.</w:t>
      </w:r>
      <w:r w:rsidR="0017402D" w:rsidRPr="00207DC2">
        <w:rPr>
          <w:lang w:val="en-AU"/>
        </w:rPr>
        <w:t xml:space="preserve"> </w:t>
      </w:r>
    </w:p>
    <w:p w14:paraId="56D2782A" w14:textId="127C0C9F" w:rsidR="00320646" w:rsidRPr="00207DC2" w:rsidRDefault="00F21DC9" w:rsidP="005251CE">
      <w:pPr>
        <w:spacing w:after="120"/>
        <w:jc w:val="both"/>
        <w:rPr>
          <w:lang w:val="en-AU"/>
        </w:rPr>
      </w:pPr>
      <w:r w:rsidRPr="00207DC2">
        <w:rPr>
          <w:lang w:val="en-AU"/>
        </w:rPr>
        <w:t>The r</w:t>
      </w:r>
      <w:r w:rsidR="00D93A98" w:rsidRPr="00207DC2">
        <w:rPr>
          <w:lang w:val="en-AU"/>
        </w:rPr>
        <w:t>e</w:t>
      </w:r>
      <w:r w:rsidRPr="00207DC2">
        <w:rPr>
          <w:lang w:val="en-AU"/>
        </w:rPr>
        <w:t>m</w:t>
      </w:r>
      <w:r w:rsidR="00D93A98" w:rsidRPr="00207DC2">
        <w:rPr>
          <w:lang w:val="en-AU"/>
        </w:rPr>
        <w:t>a</w:t>
      </w:r>
      <w:r w:rsidRPr="00207DC2">
        <w:rPr>
          <w:lang w:val="en-AU"/>
        </w:rPr>
        <w:t>ining</w:t>
      </w:r>
      <w:r w:rsidR="000A53B7" w:rsidRPr="00207DC2" w:rsidDel="00F21DC9">
        <w:rPr>
          <w:lang w:val="en-AU"/>
        </w:rPr>
        <w:t xml:space="preserve"> </w:t>
      </w:r>
      <w:r w:rsidR="000A53B7" w:rsidRPr="00207DC2">
        <w:rPr>
          <w:lang w:val="en-AU"/>
        </w:rPr>
        <w:t>20 to 30 per cent of participants d</w:t>
      </w:r>
      <w:r w:rsidR="00073614" w:rsidRPr="00207DC2">
        <w:rPr>
          <w:lang w:val="en-AU"/>
        </w:rPr>
        <w:t>id</w:t>
      </w:r>
      <w:r w:rsidR="000A53B7" w:rsidRPr="00207DC2">
        <w:rPr>
          <w:lang w:val="en-AU"/>
        </w:rPr>
        <w:t xml:space="preserve"> not </w:t>
      </w:r>
      <w:r w:rsidR="0059319E" w:rsidRPr="00207DC2">
        <w:rPr>
          <w:lang w:val="en-AU"/>
        </w:rPr>
        <w:t>provide</w:t>
      </w:r>
      <w:r w:rsidR="0059319E" w:rsidRPr="00207DC2" w:rsidDel="00F252CF">
        <w:rPr>
          <w:lang w:val="en-AU"/>
        </w:rPr>
        <w:t xml:space="preserve"> </w:t>
      </w:r>
      <w:r w:rsidR="000A53B7" w:rsidRPr="00207DC2">
        <w:rPr>
          <w:lang w:val="en-AU"/>
        </w:rPr>
        <w:t>a valid reason</w:t>
      </w:r>
      <w:r w:rsidR="009F5C57" w:rsidRPr="00207DC2">
        <w:rPr>
          <w:lang w:val="en-AU"/>
        </w:rPr>
        <w:t xml:space="preserve"> for not attending</w:t>
      </w:r>
      <w:r w:rsidR="0023508C" w:rsidRPr="00207DC2">
        <w:rPr>
          <w:lang w:val="en-AU"/>
        </w:rPr>
        <w:t>. This group</w:t>
      </w:r>
      <w:r w:rsidR="007A155F" w:rsidRPr="00207DC2" w:rsidDel="00F21DC9">
        <w:rPr>
          <w:lang w:val="en-AU"/>
        </w:rPr>
        <w:t xml:space="preserve"> </w:t>
      </w:r>
      <w:r w:rsidR="00A821A8" w:rsidRPr="00207DC2">
        <w:rPr>
          <w:lang w:val="en-AU"/>
        </w:rPr>
        <w:t>can be further broken down into those who</w:t>
      </w:r>
      <w:r w:rsidR="00BA26F3" w:rsidRPr="00207DC2">
        <w:rPr>
          <w:lang w:val="en-AU"/>
        </w:rPr>
        <w:t>se non-attendance was</w:t>
      </w:r>
      <w:r w:rsidR="00D93A98" w:rsidRPr="00207DC2">
        <w:rPr>
          <w:lang w:val="en-AU"/>
        </w:rPr>
        <w:t xml:space="preserve"> recorded as</w:t>
      </w:r>
      <w:r w:rsidR="00320646" w:rsidRPr="00207DC2">
        <w:rPr>
          <w:lang w:val="en-AU"/>
        </w:rPr>
        <w:t xml:space="preserve">: </w:t>
      </w:r>
    </w:p>
    <w:p w14:paraId="6358C51D" w14:textId="1AE4EE95" w:rsidR="00320646" w:rsidRPr="00207DC2" w:rsidRDefault="00153136" w:rsidP="00F90446">
      <w:pPr>
        <w:pStyle w:val="ListParagraph"/>
        <w:numPr>
          <w:ilvl w:val="0"/>
          <w:numId w:val="17"/>
        </w:numPr>
        <w:tabs>
          <w:tab w:val="left" w:pos="8364"/>
        </w:tabs>
        <w:jc w:val="both"/>
        <w:rPr>
          <w:lang w:val="en-AU"/>
        </w:rPr>
      </w:pPr>
      <w:r w:rsidRPr="00207DC2">
        <w:rPr>
          <w:i/>
          <w:lang w:val="en-AU"/>
        </w:rPr>
        <w:t>i</w:t>
      </w:r>
      <w:r w:rsidR="007A155F" w:rsidRPr="00207DC2">
        <w:rPr>
          <w:i/>
          <w:lang w:val="en-AU"/>
        </w:rPr>
        <w:t>nvalid</w:t>
      </w:r>
      <w:r w:rsidR="00A821A8" w:rsidRPr="00207DC2">
        <w:rPr>
          <w:i/>
          <w:lang w:val="en-AU"/>
        </w:rPr>
        <w:t xml:space="preserve"> non</w:t>
      </w:r>
      <w:r w:rsidR="00A821A8" w:rsidRPr="00207DC2">
        <w:rPr>
          <w:i/>
          <w:lang w:val="en-AU"/>
        </w:rPr>
        <w:noBreakHyphen/>
        <w:t>attendance</w:t>
      </w:r>
      <w:r w:rsidRPr="00207DC2">
        <w:rPr>
          <w:i/>
          <w:lang w:val="en-AU"/>
        </w:rPr>
        <w:t>,</w:t>
      </w:r>
      <w:r w:rsidR="007A155F" w:rsidRPr="00207DC2">
        <w:rPr>
          <w:lang w:val="en-AU"/>
        </w:rPr>
        <w:t xml:space="preserve"> where the provider </w:t>
      </w:r>
      <w:r w:rsidR="00C27646" w:rsidRPr="00207DC2">
        <w:rPr>
          <w:lang w:val="en-AU"/>
        </w:rPr>
        <w:t>determined</w:t>
      </w:r>
      <w:r w:rsidR="0057437C" w:rsidRPr="00207DC2">
        <w:rPr>
          <w:lang w:val="en-AU"/>
        </w:rPr>
        <w:t xml:space="preserve"> that the participant did no</w:t>
      </w:r>
      <w:r w:rsidR="002307CB" w:rsidRPr="00207DC2">
        <w:rPr>
          <w:lang w:val="en-AU"/>
        </w:rPr>
        <w:t xml:space="preserve">t have a reasonable excuse, or could not make contact </w:t>
      </w:r>
      <w:r w:rsidR="0057437C" w:rsidRPr="00207DC2">
        <w:rPr>
          <w:lang w:val="en-AU"/>
        </w:rPr>
        <w:t xml:space="preserve">with the </w:t>
      </w:r>
      <w:r w:rsidR="002307CB" w:rsidRPr="00207DC2">
        <w:rPr>
          <w:lang w:val="en-AU"/>
        </w:rPr>
        <w:t>participant to determine if they had a</w:t>
      </w:r>
      <w:r w:rsidR="0057437C" w:rsidRPr="00207DC2">
        <w:rPr>
          <w:lang w:val="en-AU"/>
        </w:rPr>
        <w:t xml:space="preserve"> reasonable excuse, and </w:t>
      </w:r>
      <w:r w:rsidR="007A155F" w:rsidRPr="00207DC2">
        <w:rPr>
          <w:lang w:val="en-AU"/>
        </w:rPr>
        <w:t xml:space="preserve">initiated compliance action with </w:t>
      </w:r>
      <w:r w:rsidR="00D315EE" w:rsidRPr="00207DC2">
        <w:rPr>
          <w:lang w:val="en-AU"/>
        </w:rPr>
        <w:t>the Department of Human Services (DHS)</w:t>
      </w:r>
      <w:r w:rsidR="007A155F" w:rsidRPr="00207DC2">
        <w:rPr>
          <w:lang w:val="en-AU"/>
        </w:rPr>
        <w:t xml:space="preserve"> </w:t>
      </w:r>
    </w:p>
    <w:p w14:paraId="5F8ECBEA" w14:textId="00A1BBD6" w:rsidR="00320646" w:rsidRPr="00207DC2" w:rsidRDefault="00D315EE" w:rsidP="00F90446">
      <w:pPr>
        <w:pStyle w:val="ListParagraph"/>
        <w:numPr>
          <w:ilvl w:val="0"/>
          <w:numId w:val="17"/>
        </w:numPr>
        <w:jc w:val="both"/>
        <w:rPr>
          <w:lang w:val="en-AU"/>
        </w:rPr>
      </w:pPr>
      <w:r w:rsidRPr="00207DC2">
        <w:rPr>
          <w:i/>
          <w:lang w:val="en-AU"/>
        </w:rPr>
        <w:t>d</w:t>
      </w:r>
      <w:r w:rsidR="007A155F" w:rsidRPr="00207DC2">
        <w:rPr>
          <w:i/>
          <w:lang w:val="en-AU"/>
        </w:rPr>
        <w:t>id not attend discretionary</w:t>
      </w:r>
      <w:r w:rsidR="007A155F" w:rsidRPr="00207DC2">
        <w:rPr>
          <w:lang w:val="en-AU"/>
        </w:rPr>
        <w:t xml:space="preserve">, where the provider determined that the participant did not have </w:t>
      </w:r>
      <w:r w:rsidR="00C27646" w:rsidRPr="00207DC2">
        <w:rPr>
          <w:lang w:val="en-AU"/>
        </w:rPr>
        <w:t>reasonable excuse</w:t>
      </w:r>
      <w:r w:rsidR="007A155F" w:rsidRPr="00207DC2">
        <w:rPr>
          <w:lang w:val="en-AU"/>
        </w:rPr>
        <w:t xml:space="preserve"> but decided against using the compliance framework to re-engage the participant</w:t>
      </w:r>
    </w:p>
    <w:p w14:paraId="0431BCCF" w14:textId="77777777" w:rsidR="000A53B7" w:rsidRPr="00207DC2" w:rsidRDefault="00ED3229" w:rsidP="00F90446">
      <w:pPr>
        <w:pStyle w:val="ListParagraph"/>
        <w:numPr>
          <w:ilvl w:val="0"/>
          <w:numId w:val="17"/>
        </w:numPr>
        <w:jc w:val="both"/>
        <w:rPr>
          <w:lang w:val="en-AU"/>
        </w:rPr>
      </w:pPr>
      <w:r w:rsidRPr="00207DC2">
        <w:rPr>
          <w:i/>
          <w:lang w:val="en-AU"/>
        </w:rPr>
        <w:t>d</w:t>
      </w:r>
      <w:r w:rsidR="007A155F" w:rsidRPr="00207DC2">
        <w:rPr>
          <w:i/>
          <w:lang w:val="en-AU"/>
        </w:rPr>
        <w:t xml:space="preserve">id </w:t>
      </w:r>
      <w:r w:rsidR="00153136" w:rsidRPr="00207DC2">
        <w:rPr>
          <w:i/>
          <w:lang w:val="en-AU"/>
        </w:rPr>
        <w:t>n</w:t>
      </w:r>
      <w:r w:rsidR="007A155F" w:rsidRPr="00207DC2">
        <w:rPr>
          <w:i/>
          <w:lang w:val="en-AU"/>
        </w:rPr>
        <w:t xml:space="preserve">ot </w:t>
      </w:r>
      <w:r w:rsidR="00153136" w:rsidRPr="00207DC2">
        <w:rPr>
          <w:i/>
          <w:lang w:val="en-AU"/>
        </w:rPr>
        <w:t>a</w:t>
      </w:r>
      <w:r w:rsidR="007A155F" w:rsidRPr="00207DC2">
        <w:rPr>
          <w:i/>
          <w:lang w:val="en-AU"/>
        </w:rPr>
        <w:t>ttend</w:t>
      </w:r>
      <w:r w:rsidR="00153136" w:rsidRPr="00207DC2">
        <w:rPr>
          <w:i/>
          <w:lang w:val="en-AU"/>
        </w:rPr>
        <w:t>,</w:t>
      </w:r>
      <w:r w:rsidR="007A155F" w:rsidRPr="00207DC2">
        <w:rPr>
          <w:lang w:val="en-AU"/>
        </w:rPr>
        <w:t xml:space="preserve"> where it has not yet been established if the participant had a valid excuse</w:t>
      </w:r>
    </w:p>
    <w:p w14:paraId="0324FACA" w14:textId="689C1722" w:rsidR="00153136" w:rsidRPr="00207DC2" w:rsidRDefault="00153136" w:rsidP="00F90446">
      <w:pPr>
        <w:pStyle w:val="ListParagraph"/>
        <w:numPr>
          <w:ilvl w:val="0"/>
          <w:numId w:val="17"/>
        </w:numPr>
        <w:jc w:val="both"/>
        <w:rPr>
          <w:lang w:val="en-AU"/>
        </w:rPr>
      </w:pPr>
      <w:r w:rsidRPr="00207DC2">
        <w:rPr>
          <w:i/>
          <w:lang w:val="en-AU"/>
        </w:rPr>
        <w:t>mixed non-attendance</w:t>
      </w:r>
      <w:r w:rsidRPr="00207DC2">
        <w:rPr>
          <w:lang w:val="en-AU"/>
        </w:rPr>
        <w:t xml:space="preserve">, where the participant </w:t>
      </w:r>
      <w:r w:rsidR="00E31F09" w:rsidRPr="00207DC2">
        <w:rPr>
          <w:lang w:val="en-AU"/>
        </w:rPr>
        <w:t xml:space="preserve">had </w:t>
      </w:r>
      <w:r w:rsidR="00286310" w:rsidRPr="00207DC2">
        <w:rPr>
          <w:lang w:val="en-AU"/>
        </w:rPr>
        <w:t xml:space="preserve">a combination of the above </w:t>
      </w:r>
      <w:r w:rsidR="00E31F09" w:rsidRPr="00207DC2">
        <w:rPr>
          <w:lang w:val="en-AU"/>
        </w:rPr>
        <w:t>c</w:t>
      </w:r>
      <w:r w:rsidR="00E22F65" w:rsidRPr="00207DC2">
        <w:rPr>
          <w:lang w:val="en-AU"/>
        </w:rPr>
        <w:t>ategories</w:t>
      </w:r>
      <w:r w:rsidR="00E31F09" w:rsidRPr="00207DC2">
        <w:rPr>
          <w:lang w:val="en-AU"/>
        </w:rPr>
        <w:t xml:space="preserve"> applied </w:t>
      </w:r>
      <w:r w:rsidR="002307CB" w:rsidRPr="00207DC2">
        <w:rPr>
          <w:lang w:val="en-AU"/>
        </w:rPr>
        <w:t xml:space="preserve">for </w:t>
      </w:r>
      <w:r w:rsidR="00B70D3D" w:rsidRPr="00207DC2">
        <w:rPr>
          <w:lang w:val="en-AU"/>
        </w:rPr>
        <w:t xml:space="preserve">the </w:t>
      </w:r>
      <w:r w:rsidR="002307CB" w:rsidRPr="00207DC2">
        <w:rPr>
          <w:lang w:val="en-AU"/>
        </w:rPr>
        <w:t xml:space="preserve">different </w:t>
      </w:r>
      <w:r w:rsidR="00B70D3D" w:rsidRPr="00207DC2">
        <w:rPr>
          <w:lang w:val="en-AU"/>
        </w:rPr>
        <w:t xml:space="preserve">morning and afternoon </w:t>
      </w:r>
      <w:r w:rsidR="002307CB" w:rsidRPr="00207DC2">
        <w:rPr>
          <w:lang w:val="en-AU"/>
        </w:rPr>
        <w:t>sessions or activities</w:t>
      </w:r>
      <w:r w:rsidR="00E31F09" w:rsidRPr="00207DC2">
        <w:rPr>
          <w:lang w:val="en-AU"/>
        </w:rPr>
        <w:t>.</w:t>
      </w:r>
    </w:p>
    <w:p w14:paraId="3CB5C397" w14:textId="6A78CD42" w:rsidR="005C6E87" w:rsidRPr="00207DC2" w:rsidRDefault="00D02B1A" w:rsidP="00ED3229">
      <w:pPr>
        <w:jc w:val="both"/>
        <w:rPr>
          <w:lang w:val="en-AU"/>
        </w:rPr>
      </w:pPr>
      <w:r w:rsidRPr="00207DC2">
        <w:rPr>
          <w:i/>
          <w:lang w:val="en-AU"/>
        </w:rPr>
        <w:t>Invalid non</w:t>
      </w:r>
      <w:r w:rsidRPr="00207DC2">
        <w:rPr>
          <w:i/>
          <w:lang w:val="en-AU"/>
        </w:rPr>
        <w:noBreakHyphen/>
        <w:t>attendance</w:t>
      </w:r>
      <w:r w:rsidRPr="00207DC2">
        <w:rPr>
          <w:lang w:val="en-AU"/>
        </w:rPr>
        <w:t xml:space="preserve"> comprises t</w:t>
      </w:r>
      <w:r w:rsidR="000A48E4" w:rsidRPr="00207DC2">
        <w:rPr>
          <w:lang w:val="en-AU"/>
        </w:rPr>
        <w:t>he</w:t>
      </w:r>
      <w:r w:rsidR="00D74FA8" w:rsidRPr="00207DC2" w:rsidDel="004F16F5">
        <w:rPr>
          <w:lang w:val="en-AU"/>
        </w:rPr>
        <w:t xml:space="preserve"> vast majority </w:t>
      </w:r>
      <w:r w:rsidR="00C27646" w:rsidRPr="00207DC2">
        <w:rPr>
          <w:lang w:val="en-AU"/>
        </w:rPr>
        <w:t xml:space="preserve">(more than 98 per cent) </w:t>
      </w:r>
      <w:r w:rsidR="00D74FA8" w:rsidRPr="00207DC2" w:rsidDel="004F16F5">
        <w:rPr>
          <w:lang w:val="en-AU"/>
        </w:rPr>
        <w:t>of</w:t>
      </w:r>
      <w:r w:rsidR="00D74FA8" w:rsidRPr="00207DC2" w:rsidDel="004F16F5">
        <w:rPr>
          <w:i/>
          <w:lang w:val="en-AU"/>
        </w:rPr>
        <w:t xml:space="preserve"> other and mixed non-attendance </w:t>
      </w:r>
      <w:r w:rsidR="00D74FA8" w:rsidRPr="00207DC2" w:rsidDel="004F16F5">
        <w:rPr>
          <w:lang w:val="en-AU"/>
        </w:rPr>
        <w:t>in Figure</w:t>
      </w:r>
      <w:r w:rsidR="00BB477A" w:rsidRPr="00207DC2">
        <w:rPr>
          <w:lang w:val="en-AU"/>
        </w:rPr>
        <w:t> </w:t>
      </w:r>
      <w:r w:rsidR="00D74FA8" w:rsidRPr="00207DC2" w:rsidDel="004F16F5">
        <w:rPr>
          <w:lang w:val="en-AU"/>
        </w:rPr>
        <w:t>2.</w:t>
      </w:r>
      <w:r w:rsidR="004B31BA" w:rsidRPr="00207DC2" w:rsidDel="004F16F5">
        <w:rPr>
          <w:lang w:val="en-AU"/>
        </w:rPr>
        <w:t>5</w:t>
      </w:r>
      <w:r w:rsidR="0074785F" w:rsidRPr="00207DC2">
        <w:rPr>
          <w:lang w:val="en-AU"/>
        </w:rPr>
        <w:t>.</w:t>
      </w:r>
      <w:r w:rsidR="00D74FA8" w:rsidRPr="00207DC2" w:rsidDel="004F16F5">
        <w:rPr>
          <w:lang w:val="en-AU"/>
        </w:rPr>
        <w:t xml:space="preserve"> </w:t>
      </w:r>
      <w:r w:rsidR="004D58CF" w:rsidRPr="00207DC2">
        <w:rPr>
          <w:lang w:val="en-AU"/>
        </w:rPr>
        <w:t>P</w:t>
      </w:r>
      <w:r w:rsidR="00DB0B0A" w:rsidRPr="00207DC2">
        <w:rPr>
          <w:lang w:val="en-AU"/>
        </w:rPr>
        <w:t>roviders have some discretion as to whether to use the compliance framework to re</w:t>
      </w:r>
      <w:r w:rsidR="00DB0B0A" w:rsidRPr="00207DC2">
        <w:rPr>
          <w:lang w:val="en-AU"/>
        </w:rPr>
        <w:noBreakHyphen/>
        <w:t xml:space="preserve">engage </w:t>
      </w:r>
      <w:r w:rsidR="00DB0B0A" w:rsidRPr="00207DC2" w:rsidDel="0074785F">
        <w:rPr>
          <w:lang w:val="en-AU"/>
        </w:rPr>
        <w:t xml:space="preserve">participants </w:t>
      </w:r>
      <w:r w:rsidR="0074785F" w:rsidRPr="00207DC2">
        <w:rPr>
          <w:lang w:val="en-AU"/>
        </w:rPr>
        <w:t>when they</w:t>
      </w:r>
      <w:r w:rsidR="00DB0B0A" w:rsidRPr="00207DC2">
        <w:rPr>
          <w:lang w:val="en-AU"/>
        </w:rPr>
        <w:t xml:space="preserve"> fail to attend activities </w:t>
      </w:r>
      <w:r w:rsidR="00F8193F" w:rsidRPr="00207DC2">
        <w:rPr>
          <w:lang w:val="en-AU"/>
        </w:rPr>
        <w:t>without</w:t>
      </w:r>
      <w:r w:rsidR="004D58CF" w:rsidRPr="00207DC2">
        <w:rPr>
          <w:lang w:val="en-AU"/>
        </w:rPr>
        <w:t xml:space="preserve"> </w:t>
      </w:r>
      <w:r w:rsidR="00DB0B0A" w:rsidRPr="00207DC2">
        <w:rPr>
          <w:lang w:val="en-AU"/>
        </w:rPr>
        <w:t>a valid reason</w:t>
      </w:r>
      <w:r w:rsidR="004D58CF" w:rsidRPr="00207DC2">
        <w:rPr>
          <w:lang w:val="en-AU"/>
        </w:rPr>
        <w:t>. That said</w:t>
      </w:r>
      <w:r w:rsidR="00DB0B0A" w:rsidRPr="00207DC2" w:rsidDel="0074785F">
        <w:rPr>
          <w:lang w:val="en-AU"/>
        </w:rPr>
        <w:t>,</w:t>
      </w:r>
      <w:r w:rsidR="00DB0B0A" w:rsidRPr="00207DC2">
        <w:rPr>
          <w:lang w:val="en-AU"/>
        </w:rPr>
        <w:t xml:space="preserve"> provider</w:t>
      </w:r>
      <w:r w:rsidR="004D58CF" w:rsidRPr="00207DC2">
        <w:rPr>
          <w:lang w:val="en-AU"/>
        </w:rPr>
        <w:t>s</w:t>
      </w:r>
      <w:r w:rsidR="00DB0B0A" w:rsidRPr="00207DC2">
        <w:rPr>
          <w:lang w:val="en-AU"/>
        </w:rPr>
        <w:t xml:space="preserve"> </w:t>
      </w:r>
      <w:r w:rsidR="004D58CF" w:rsidRPr="00207DC2">
        <w:rPr>
          <w:lang w:val="en-AU"/>
        </w:rPr>
        <w:t xml:space="preserve">are </w:t>
      </w:r>
      <w:r w:rsidR="00DB0B0A" w:rsidRPr="00207DC2">
        <w:rPr>
          <w:lang w:val="en-AU"/>
        </w:rPr>
        <w:t xml:space="preserve">not be paid a full service fee unless they report the instance of non-attendance to the Department of Human Services and re-engage the participant within 14 days (PMC 2018a, pp.4-5). </w:t>
      </w:r>
    </w:p>
    <w:p w14:paraId="241D5825" w14:textId="2CA73279" w:rsidR="005C6E87" w:rsidRPr="00207DC2" w:rsidRDefault="005C6E87" w:rsidP="00587744">
      <w:pPr>
        <w:pStyle w:val="Figures"/>
        <w:rPr>
          <w:vertAlign w:val="superscript"/>
        </w:rPr>
      </w:pPr>
      <w:r w:rsidRPr="00207DC2">
        <w:t xml:space="preserve">Figure </w:t>
      </w:r>
      <w:r w:rsidR="00905D1A">
        <w:t>2</w:t>
      </w:r>
      <w:r w:rsidRPr="00207DC2">
        <w:t>.</w:t>
      </w:r>
      <w:r w:rsidR="00905D1A">
        <w:t>5</w:t>
      </w:r>
      <w:r w:rsidR="00905D1A" w:rsidRPr="00207DC2">
        <w:t xml:space="preserve"> </w:t>
      </w:r>
      <w:r w:rsidRPr="00207DC2">
        <w:t xml:space="preserve">Daily Work for the Dole attendance rates </w:t>
      </w:r>
      <w:r w:rsidRPr="00207DC2" w:rsidDel="009605CD">
        <w:t xml:space="preserve">have </w:t>
      </w:r>
      <w:r w:rsidRPr="00207DC2">
        <w:t>remained stable under the CDP</w:t>
      </w:r>
      <w:r w:rsidRPr="00207DC2">
        <w:rPr>
          <w:vertAlign w:val="superscript"/>
        </w:rPr>
        <w:t>a,b,c</w:t>
      </w:r>
    </w:p>
    <w:p w14:paraId="4E6EC479" w14:textId="148D6C7F" w:rsidR="001F19C4" w:rsidRPr="00207DC2" w:rsidRDefault="00B225BF" w:rsidP="00D57D1D">
      <w:pPr>
        <w:pStyle w:val="tablenotes"/>
      </w:pPr>
      <w:r>
        <w:pict w14:anchorId="00C3F479">
          <v:rect id="_x0000_i1037" style="width:0;height:1.5pt" o:hralign="center" o:hrstd="t" o:hr="t" fillcolor="#a0a0a0" stroked="f"/>
        </w:pict>
      </w:r>
      <w:r w:rsidR="001F19C4" w:rsidRPr="00207DC2">
        <w:drawing>
          <wp:inline distT="0" distB="0" distL="0" distR="0" wp14:anchorId="2E8579A0" wp14:editId="2B306A76">
            <wp:extent cx="5636963" cy="3050561"/>
            <wp:effectExtent l="0" t="0" r="1905" b="0"/>
            <wp:docPr id="17" name="Picture 17" descr="The figure is a stacked area chart showing proportions of Work for the Dole participants grouped by whether or not they attended their Work for the Dole activities between January 2016 and July 2017. Attendance rates are broken down by: &#10;- attendance and partial attendance;&#10;- valid non-attendance; and &#10;- other and mixed non-attendance. &#10;Valid non-attendance reaches 100 per cent around Christmas, Easter and on other public holidays when participants are not required to attend.&#10;&#10;The figure shows that, on any given day, the majority (between 70 and 80 per cent) of participants enrolled in Work for the Dole either attended or provided a valid reason for not attending.&#10;- The proportion who attended (including partial attendance) fluctuated between 40 and 50 per cent&#10;- A further 30 to 40 per cent of participants had a recorded valid reason for not attending (valid non-attendance). &#10;- The remaining 20 to 30 per cent of participants did not provide a valid reason for not attending. &#10;" title="Daily Work for the Dole attendance rates have remained stable under the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1212" b="2622"/>
                    <a:stretch/>
                  </pic:blipFill>
                  <pic:spPr bwMode="auto">
                    <a:xfrm>
                      <a:off x="0" y="0"/>
                      <a:ext cx="5637530" cy="3050868"/>
                    </a:xfrm>
                    <a:prstGeom prst="rect">
                      <a:avLst/>
                    </a:prstGeom>
                    <a:noFill/>
                    <a:ln>
                      <a:noFill/>
                    </a:ln>
                    <a:extLst>
                      <a:ext uri="{53640926-AAD7-44D8-BBD7-CCE9431645EC}">
                        <a14:shadowObscured xmlns:a14="http://schemas.microsoft.com/office/drawing/2010/main"/>
                      </a:ext>
                    </a:extLst>
                  </pic:spPr>
                </pic:pic>
              </a:graphicData>
            </a:graphic>
          </wp:inline>
        </w:drawing>
      </w:r>
    </w:p>
    <w:p w14:paraId="27A2280A" w14:textId="4C3B04C6" w:rsidR="001F19C4" w:rsidRPr="00207DC2" w:rsidRDefault="00B225BF" w:rsidP="00D57D1D">
      <w:pPr>
        <w:pStyle w:val="tablenotes"/>
        <w:rPr>
          <w:i/>
        </w:rPr>
      </w:pPr>
      <w:r>
        <w:pict w14:anchorId="6437D032">
          <v:rect id="_x0000_i1038" style="width:0;height:1.5pt" o:hralign="center" o:hrstd="t" o:hr="t" fillcolor="#a0a0a0" stroked="f"/>
        </w:pict>
      </w:r>
    </w:p>
    <w:p w14:paraId="7A5CD1F2" w14:textId="0A743857" w:rsidR="005C6E87" w:rsidRPr="00207DC2" w:rsidRDefault="005C6E87" w:rsidP="00D57D1D">
      <w:pPr>
        <w:pStyle w:val="tablenotes"/>
      </w:pPr>
      <w:r w:rsidRPr="00207DC2">
        <w:rPr>
          <w:i/>
        </w:rPr>
        <w:t xml:space="preserve">Source: </w:t>
      </w:r>
      <w:r w:rsidRPr="00207DC2">
        <w:t xml:space="preserve">PMC estimates based on unpublished ESS operational data (extracted on 2 July 2018). </w:t>
      </w:r>
    </w:p>
    <w:p w14:paraId="55EF2700" w14:textId="5AAC5BAC" w:rsidR="005C6E87" w:rsidRPr="00207DC2" w:rsidRDefault="005C6E87" w:rsidP="00D57D1D">
      <w:pPr>
        <w:pStyle w:val="tablenotes"/>
      </w:pPr>
      <w:r w:rsidRPr="00207DC2">
        <w:rPr>
          <w:i/>
        </w:rPr>
        <w:t>Notes:</w:t>
      </w:r>
      <w:r w:rsidRPr="00207DC2">
        <w:t xml:space="preserve"> (a) The first six months of the CDP are excluded as record keeping was not sufficient to accurately estimate attendance rates. (b) Estimates are based on (weekday) daily attendance data for all CDP participants with non</w:t>
      </w:r>
      <w:r w:rsidRPr="00207DC2">
        <w:noBreakHyphen/>
        <w:t>zero expected hours in Work for the Dole activities. Expected hours are assumed to be zero if the participant is, for example, temporarily exempt or not required to attend Work for the Dole and not volunteering. (c) Work for the Dole</w:t>
      </w:r>
      <w:r w:rsidRPr="00207DC2" w:rsidDel="007B09C2">
        <w:t xml:space="preserve"> </w:t>
      </w:r>
      <w:r w:rsidRPr="00207DC2">
        <w:t xml:space="preserve">attendance records include two sessions per day. Participants were recorded as having ‘partial attendance’ if they attended </w:t>
      </w:r>
      <w:r w:rsidR="001A1C4F" w:rsidRPr="00207DC2">
        <w:t>at least</w:t>
      </w:r>
      <w:r w:rsidRPr="00207DC2">
        <w:t xml:space="preserve"> one session or activit</w:t>
      </w:r>
      <w:r w:rsidR="008B3312" w:rsidRPr="00207DC2">
        <w:t>y on a given day</w:t>
      </w:r>
      <w:r w:rsidR="00013355">
        <w:t>. Partial attendance a</w:t>
      </w:r>
      <w:r w:rsidRPr="00207DC2">
        <w:t>ffect</w:t>
      </w:r>
      <w:r w:rsidR="00C03804" w:rsidRPr="00207DC2">
        <w:t>s</w:t>
      </w:r>
      <w:r w:rsidRPr="00207DC2">
        <w:t xml:space="preserve"> less than 0.2 per cent of records. </w:t>
      </w:r>
      <w:r w:rsidR="00F02D29" w:rsidRPr="00207DC2">
        <w:rPr>
          <w:i/>
        </w:rPr>
        <w:t>Valid non-attendance</w:t>
      </w:r>
      <w:r w:rsidR="00F02D29" w:rsidRPr="00207DC2">
        <w:t xml:space="preserve"> reaches 100 per cent around </w:t>
      </w:r>
      <w:r w:rsidR="003B6158" w:rsidRPr="00207DC2">
        <w:t>C</w:t>
      </w:r>
      <w:r w:rsidR="00F02D29" w:rsidRPr="00207DC2">
        <w:t>hristmas</w:t>
      </w:r>
      <w:r w:rsidR="008F1C29" w:rsidRPr="00207DC2">
        <w:t>, Easter</w:t>
      </w:r>
      <w:r w:rsidR="00F02D29" w:rsidRPr="00207DC2">
        <w:t xml:space="preserve"> and on other public holidays when participants are not required to attend. </w:t>
      </w:r>
    </w:p>
    <w:p w14:paraId="52B80F07" w14:textId="461BADAE" w:rsidR="00547B67" w:rsidRPr="00207DC2" w:rsidRDefault="00E2713E" w:rsidP="000B640E">
      <w:pPr>
        <w:tabs>
          <w:tab w:val="left" w:pos="5103"/>
        </w:tabs>
        <w:spacing w:before="240"/>
        <w:jc w:val="both"/>
        <w:rPr>
          <w:lang w:val="en-AU"/>
        </w:rPr>
      </w:pPr>
      <w:r w:rsidRPr="00207DC2">
        <w:rPr>
          <w:lang w:val="en-AU"/>
        </w:rPr>
        <w:t>T</w:t>
      </w:r>
      <w:r w:rsidR="00F25C03" w:rsidRPr="00207DC2">
        <w:rPr>
          <w:lang w:val="en-AU"/>
        </w:rPr>
        <w:t>wo</w:t>
      </w:r>
      <w:r w:rsidRPr="00207DC2">
        <w:rPr>
          <w:lang w:val="en-AU"/>
        </w:rPr>
        <w:t xml:space="preserve"> common</w:t>
      </w:r>
      <w:r w:rsidR="00F25C03" w:rsidRPr="00207DC2">
        <w:rPr>
          <w:lang w:val="en-AU"/>
        </w:rPr>
        <w:t>ly</w:t>
      </w:r>
      <w:r w:rsidRPr="00207DC2">
        <w:rPr>
          <w:lang w:val="en-AU"/>
        </w:rPr>
        <w:t xml:space="preserve"> reported reasons for </w:t>
      </w:r>
      <w:r w:rsidRPr="00207DC2">
        <w:rPr>
          <w:i/>
          <w:lang w:val="en-AU"/>
        </w:rPr>
        <w:t>valid non-attendance</w:t>
      </w:r>
      <w:r w:rsidRPr="00207DC2">
        <w:rPr>
          <w:lang w:val="en-AU"/>
        </w:rPr>
        <w:t xml:space="preserve"> were p</w:t>
      </w:r>
      <w:r w:rsidR="00D076B9" w:rsidRPr="00207DC2">
        <w:rPr>
          <w:lang w:val="en-AU"/>
        </w:rPr>
        <w:t>art</w:t>
      </w:r>
      <w:r w:rsidR="00D076B9" w:rsidRPr="00207DC2">
        <w:rPr>
          <w:lang w:val="en-AU"/>
        </w:rPr>
        <w:noBreakHyphen/>
        <w:t>time or casual employment (27 per cent</w:t>
      </w:r>
      <w:r w:rsidR="008A3944" w:rsidRPr="00207DC2">
        <w:rPr>
          <w:lang w:val="en-AU"/>
        </w:rPr>
        <w:t xml:space="preserve"> in June 2017</w:t>
      </w:r>
      <w:r w:rsidR="00D076B9" w:rsidRPr="00207DC2">
        <w:rPr>
          <w:lang w:val="en-AU"/>
        </w:rPr>
        <w:t>) and cultural commitments and obligations (</w:t>
      </w:r>
      <w:r w:rsidR="0063354A" w:rsidRPr="00207DC2">
        <w:rPr>
          <w:lang w:val="en-AU"/>
        </w:rPr>
        <w:t>ten</w:t>
      </w:r>
      <w:r w:rsidR="00AE089C" w:rsidRPr="00207DC2">
        <w:rPr>
          <w:lang w:val="en-AU"/>
        </w:rPr>
        <w:t> </w:t>
      </w:r>
      <w:r w:rsidR="00D076B9" w:rsidRPr="00207DC2">
        <w:rPr>
          <w:lang w:val="en-AU"/>
        </w:rPr>
        <w:t>per</w:t>
      </w:r>
      <w:r w:rsidR="00AE089C" w:rsidRPr="00207DC2">
        <w:rPr>
          <w:lang w:val="en-AU"/>
        </w:rPr>
        <w:t> </w:t>
      </w:r>
      <w:r w:rsidR="00D076B9" w:rsidRPr="00207DC2">
        <w:rPr>
          <w:lang w:val="en-AU"/>
        </w:rPr>
        <w:t>cent</w:t>
      </w:r>
      <w:r w:rsidR="008A3944" w:rsidRPr="00207DC2">
        <w:rPr>
          <w:lang w:val="en-AU"/>
        </w:rPr>
        <w:t xml:space="preserve"> in June 2</w:t>
      </w:r>
      <w:r w:rsidR="00811AB3" w:rsidRPr="00207DC2">
        <w:rPr>
          <w:lang w:val="en-AU"/>
        </w:rPr>
        <w:t>0</w:t>
      </w:r>
      <w:r w:rsidR="008A3944" w:rsidRPr="00207DC2">
        <w:rPr>
          <w:lang w:val="en-AU"/>
        </w:rPr>
        <w:t>17</w:t>
      </w:r>
      <w:r w:rsidR="00D076B9" w:rsidRPr="00207DC2">
        <w:rPr>
          <w:lang w:val="en-AU"/>
        </w:rPr>
        <w:t>)</w:t>
      </w:r>
      <w:r w:rsidR="00F25C03" w:rsidRPr="00207DC2">
        <w:rPr>
          <w:lang w:val="en-AU"/>
        </w:rPr>
        <w:t xml:space="preserve"> </w:t>
      </w:r>
      <w:r w:rsidR="00FC372E" w:rsidRPr="00207DC2">
        <w:rPr>
          <w:lang w:val="en-AU"/>
        </w:rPr>
        <w:t>(</w:t>
      </w:r>
      <w:r w:rsidR="00CA069A" w:rsidRPr="00207DC2">
        <w:rPr>
          <w:lang w:val="en-AU"/>
        </w:rPr>
        <w:t>Table</w:t>
      </w:r>
      <w:r w:rsidR="00FC372E" w:rsidRPr="00207DC2">
        <w:rPr>
          <w:lang w:val="en-AU"/>
        </w:rPr>
        <w:t xml:space="preserve"> 2.2)</w:t>
      </w:r>
      <w:r w:rsidR="00B6140E" w:rsidRPr="00207DC2">
        <w:rPr>
          <w:lang w:val="en-AU"/>
        </w:rPr>
        <w:t>.</w:t>
      </w:r>
      <w:r w:rsidR="008A3944" w:rsidRPr="00207DC2">
        <w:rPr>
          <w:lang w:val="en-AU"/>
        </w:rPr>
        <w:t xml:space="preserve"> </w:t>
      </w:r>
      <w:r w:rsidR="00D076B9" w:rsidRPr="00207DC2">
        <w:rPr>
          <w:lang w:val="en-AU"/>
        </w:rPr>
        <w:t xml:space="preserve">These indicators </w:t>
      </w:r>
      <w:r w:rsidR="00DA61F8" w:rsidRPr="00207DC2">
        <w:rPr>
          <w:lang w:val="en-AU"/>
        </w:rPr>
        <w:t>suggest</w:t>
      </w:r>
      <w:r w:rsidR="00D076B9" w:rsidRPr="00207DC2">
        <w:rPr>
          <w:lang w:val="en-AU"/>
        </w:rPr>
        <w:t xml:space="preserve"> that</w:t>
      </w:r>
      <w:r w:rsidR="00D076B9" w:rsidRPr="00207DC2" w:rsidDel="00C03804">
        <w:rPr>
          <w:lang w:val="en-AU"/>
        </w:rPr>
        <w:t xml:space="preserve"> </w:t>
      </w:r>
      <w:r w:rsidR="00D076B9" w:rsidRPr="00207DC2">
        <w:rPr>
          <w:lang w:val="en-AU"/>
        </w:rPr>
        <w:t>participant</w:t>
      </w:r>
      <w:r w:rsidR="00C03804" w:rsidRPr="00207DC2">
        <w:rPr>
          <w:lang w:val="en-AU"/>
        </w:rPr>
        <w:t>s were</w:t>
      </w:r>
      <w:r w:rsidR="00D076B9" w:rsidRPr="00207DC2">
        <w:rPr>
          <w:lang w:val="en-AU"/>
        </w:rPr>
        <w:t xml:space="preserve"> </w:t>
      </w:r>
      <w:r w:rsidR="00BF75F7" w:rsidRPr="00207DC2">
        <w:rPr>
          <w:lang w:val="en-AU"/>
        </w:rPr>
        <w:t>often</w:t>
      </w:r>
      <w:r w:rsidR="00D076B9" w:rsidRPr="00207DC2">
        <w:rPr>
          <w:lang w:val="en-AU"/>
        </w:rPr>
        <w:t xml:space="preserve"> engaged in other activities in their communities</w:t>
      </w:r>
      <w:r w:rsidR="00F90C15" w:rsidRPr="00207DC2">
        <w:rPr>
          <w:lang w:val="en-AU"/>
        </w:rPr>
        <w:t>.</w:t>
      </w:r>
    </w:p>
    <w:p w14:paraId="7A256C30" w14:textId="161883DA" w:rsidR="00361184" w:rsidRPr="00207DC2" w:rsidRDefault="00D076B9" w:rsidP="004A289D">
      <w:pPr>
        <w:jc w:val="both"/>
        <w:rPr>
          <w:lang w:val="en-AU"/>
        </w:rPr>
      </w:pPr>
      <w:r w:rsidRPr="00207DC2">
        <w:rPr>
          <w:lang w:val="en-AU"/>
        </w:rPr>
        <w:t xml:space="preserve">Barriers to participation were also </w:t>
      </w:r>
      <w:r w:rsidR="008E0662" w:rsidRPr="00207DC2">
        <w:rPr>
          <w:lang w:val="en-AU"/>
        </w:rPr>
        <w:t>commonly recorded</w:t>
      </w:r>
      <w:r w:rsidR="00B33ADD" w:rsidRPr="00207DC2">
        <w:rPr>
          <w:lang w:val="en-AU"/>
        </w:rPr>
        <w:t xml:space="preserve"> as</w:t>
      </w:r>
      <w:r w:rsidR="008E0662" w:rsidRPr="00207DC2">
        <w:rPr>
          <w:lang w:val="en-AU"/>
        </w:rPr>
        <w:t xml:space="preserve"> </w:t>
      </w:r>
      <w:r w:rsidRPr="00207DC2">
        <w:rPr>
          <w:lang w:val="en-AU"/>
        </w:rPr>
        <w:t>valid reasons for non</w:t>
      </w:r>
      <w:r w:rsidR="00341884" w:rsidRPr="00207DC2">
        <w:rPr>
          <w:lang w:val="en-AU"/>
        </w:rPr>
        <w:noBreakHyphen/>
      </w:r>
      <w:r w:rsidRPr="00207DC2">
        <w:rPr>
          <w:lang w:val="en-AU"/>
        </w:rPr>
        <w:t xml:space="preserve">attendance </w:t>
      </w:r>
      <w:r w:rsidR="00C03804" w:rsidRPr="00207DC2">
        <w:rPr>
          <w:lang w:val="en-AU"/>
        </w:rPr>
        <w:t>at</w:t>
      </w:r>
      <w:r w:rsidRPr="00207DC2">
        <w:rPr>
          <w:lang w:val="en-AU"/>
        </w:rPr>
        <w:t xml:space="preserve"> activities, including personal</w:t>
      </w:r>
      <w:r w:rsidR="00547B67" w:rsidRPr="00207DC2">
        <w:rPr>
          <w:lang w:val="en-AU"/>
        </w:rPr>
        <w:t xml:space="preserve"> or </w:t>
      </w:r>
      <w:r w:rsidRPr="00207DC2">
        <w:rPr>
          <w:lang w:val="en-AU"/>
        </w:rPr>
        <w:t>external reasons, medical</w:t>
      </w:r>
      <w:r w:rsidR="00547B67" w:rsidRPr="00207DC2">
        <w:rPr>
          <w:lang w:val="en-AU"/>
        </w:rPr>
        <w:t xml:space="preserve"> or </w:t>
      </w:r>
      <w:r w:rsidRPr="00207DC2">
        <w:rPr>
          <w:lang w:val="en-AU"/>
        </w:rPr>
        <w:t xml:space="preserve">health reasons, caring duties and transport issues (representing 14 per cent, </w:t>
      </w:r>
      <w:r w:rsidR="00805D3A" w:rsidRPr="00207DC2">
        <w:rPr>
          <w:lang w:val="en-AU"/>
        </w:rPr>
        <w:t>ten</w:t>
      </w:r>
      <w:r w:rsidRPr="00207DC2">
        <w:rPr>
          <w:lang w:val="en-AU"/>
        </w:rPr>
        <w:t xml:space="preserve"> per cent, </w:t>
      </w:r>
      <w:r w:rsidR="00805D3A" w:rsidRPr="00207DC2">
        <w:rPr>
          <w:lang w:val="en-AU"/>
        </w:rPr>
        <w:t>five</w:t>
      </w:r>
      <w:r w:rsidRPr="00207DC2">
        <w:rPr>
          <w:lang w:val="en-AU"/>
        </w:rPr>
        <w:t xml:space="preserve"> per cent and </w:t>
      </w:r>
      <w:r w:rsidR="00805D3A" w:rsidRPr="00207DC2">
        <w:rPr>
          <w:lang w:val="en-AU"/>
        </w:rPr>
        <w:t>two</w:t>
      </w:r>
      <w:r w:rsidRPr="00207DC2">
        <w:rPr>
          <w:lang w:val="en-AU"/>
        </w:rPr>
        <w:t xml:space="preserve"> per cent of reported </w:t>
      </w:r>
      <w:r w:rsidR="00271BBB" w:rsidRPr="00207DC2">
        <w:rPr>
          <w:lang w:val="en-AU"/>
        </w:rPr>
        <w:t xml:space="preserve">reasons for </w:t>
      </w:r>
      <w:r w:rsidRPr="00207DC2">
        <w:rPr>
          <w:i/>
          <w:lang w:val="en-AU"/>
        </w:rPr>
        <w:t>valid non-attendance</w:t>
      </w:r>
      <w:r w:rsidRPr="00207DC2">
        <w:rPr>
          <w:lang w:val="en-AU"/>
        </w:rPr>
        <w:t xml:space="preserve"> in June 2017 respectively).</w:t>
      </w:r>
      <w:r w:rsidR="004A289D" w:rsidRPr="00207DC2">
        <w:rPr>
          <w:rStyle w:val="FootnoteReference"/>
          <w:lang w:val="en-AU"/>
        </w:rPr>
        <w:footnoteReference w:id="20"/>
      </w:r>
    </w:p>
    <w:p w14:paraId="08B455D1" w14:textId="2AEB2CFB" w:rsidR="004A289D" w:rsidRPr="00207DC2" w:rsidRDefault="004A289D" w:rsidP="00FB626D">
      <w:pPr>
        <w:pStyle w:val="Table"/>
        <w:outlineLvl w:val="9"/>
        <w:rPr>
          <w:vertAlign w:val="superscript"/>
        </w:rPr>
      </w:pPr>
      <w:r w:rsidRPr="00207DC2">
        <w:t xml:space="preserve">Table </w:t>
      </w:r>
      <w:r w:rsidR="00905D1A">
        <w:t>2</w:t>
      </w:r>
      <w:r w:rsidRPr="00207DC2">
        <w:t>.2 Valid reasons provided for not attending Work for the Dole activities, June 2017</w:t>
      </w:r>
      <w:r w:rsidRPr="00207DC2">
        <w:rPr>
          <w:vertAlign w:val="superscript"/>
        </w:rPr>
        <w:t>a</w:t>
      </w:r>
    </w:p>
    <w:tbl>
      <w:tblPr>
        <w:tblW w:w="8833" w:type="dxa"/>
        <w:tblInd w:w="93" w:type="dxa"/>
        <w:tblLayout w:type="fixed"/>
        <w:tblLook w:val="04A0" w:firstRow="1" w:lastRow="0" w:firstColumn="1" w:lastColumn="0" w:noHBand="0" w:noVBand="1"/>
        <w:tblCaption w:val="Valid reasons provided for not attending Work for the Dole activities, June 2017"/>
        <w:tblDescription w:val="The table shows the breakdown of recorded reasons for valid non-attendance throughout June 2017.&#10;- ‘Work related’ reasons made up 27 per cent of these records, and 14 per cent were for personal or external related valid reasons. &#10;- Another 27 per cent of reasons were Medical or health related, cultural related, caring duties and transport issues. &#10;- ‘Other' (including public holidays, annual leave, and a range of other reasons the participant was not required to attend on the day) accounting for the remaining 32 per cent of valid non-attendance records.&#10;"/>
      </w:tblPr>
      <w:tblGrid>
        <w:gridCol w:w="5005"/>
        <w:gridCol w:w="3828"/>
      </w:tblGrid>
      <w:tr w:rsidR="004A289D" w:rsidRPr="00207DC2" w14:paraId="5B024936" w14:textId="77777777" w:rsidTr="00FC57AC">
        <w:trPr>
          <w:trHeight w:val="300"/>
        </w:trPr>
        <w:tc>
          <w:tcPr>
            <w:tcW w:w="5005" w:type="dxa"/>
            <w:tcBorders>
              <w:top w:val="single" w:sz="4" w:space="0" w:color="auto"/>
              <w:bottom w:val="single" w:sz="8" w:space="0" w:color="auto"/>
              <w:right w:val="nil"/>
            </w:tcBorders>
            <w:shd w:val="clear" w:color="auto" w:fill="auto"/>
            <w:vAlign w:val="center"/>
            <w:hideMark/>
          </w:tcPr>
          <w:p w14:paraId="094CE774" w14:textId="77777777" w:rsidR="004A289D" w:rsidRPr="00207DC2" w:rsidRDefault="004A289D" w:rsidP="00FB626D">
            <w:pPr>
              <w:keepNext/>
              <w:keepLines/>
              <w:spacing w:before="0" w:after="0" w:line="240" w:lineRule="auto"/>
              <w:rPr>
                <w:lang w:val="en-AU"/>
              </w:rPr>
            </w:pPr>
          </w:p>
        </w:tc>
        <w:tc>
          <w:tcPr>
            <w:tcW w:w="3828" w:type="dxa"/>
            <w:tcBorders>
              <w:top w:val="single" w:sz="4" w:space="0" w:color="auto"/>
              <w:left w:val="nil"/>
              <w:bottom w:val="single" w:sz="8" w:space="0" w:color="auto"/>
            </w:tcBorders>
            <w:shd w:val="clear" w:color="auto" w:fill="auto"/>
            <w:noWrap/>
            <w:hideMark/>
          </w:tcPr>
          <w:p w14:paraId="66580D47" w14:textId="77777777" w:rsidR="004A289D" w:rsidRPr="00207DC2" w:rsidRDefault="004A289D" w:rsidP="00FB626D">
            <w:pPr>
              <w:keepNext/>
              <w:keepLines/>
              <w:spacing w:before="0" w:after="0" w:line="240" w:lineRule="auto"/>
              <w:jc w:val="right"/>
              <w:rPr>
                <w:b/>
                <w:lang w:val="en-AU"/>
              </w:rPr>
            </w:pPr>
            <w:r w:rsidRPr="00207DC2">
              <w:rPr>
                <w:b/>
                <w:lang w:val="en-AU"/>
              </w:rPr>
              <w:t>Share of all valid non-attendance</w:t>
            </w:r>
          </w:p>
        </w:tc>
      </w:tr>
      <w:tr w:rsidR="004A289D" w:rsidRPr="00207DC2" w14:paraId="295A8F0E" w14:textId="77777777" w:rsidTr="00FC57AC">
        <w:trPr>
          <w:trHeight w:val="300"/>
        </w:trPr>
        <w:tc>
          <w:tcPr>
            <w:tcW w:w="5005" w:type="dxa"/>
            <w:tcBorders>
              <w:top w:val="nil"/>
              <w:right w:val="nil"/>
            </w:tcBorders>
            <w:shd w:val="clear" w:color="auto" w:fill="auto"/>
            <w:vAlign w:val="bottom"/>
          </w:tcPr>
          <w:p w14:paraId="01BF9674" w14:textId="77777777" w:rsidR="004A289D" w:rsidRPr="00207DC2" w:rsidRDefault="004A289D" w:rsidP="00FB626D">
            <w:pPr>
              <w:keepNext/>
              <w:keepLines/>
              <w:spacing w:before="0" w:after="0" w:line="240" w:lineRule="auto"/>
              <w:rPr>
                <w:bCs/>
                <w:lang w:val="en-AU"/>
              </w:rPr>
            </w:pPr>
            <w:r w:rsidRPr="00207DC2">
              <w:rPr>
                <w:rFonts w:cs="Calibri Light"/>
                <w:color w:val="010A11"/>
                <w:sz w:val="22"/>
                <w:szCs w:val="22"/>
                <w:lang w:val="en-AU"/>
              </w:rPr>
              <w:t>Work related</w:t>
            </w:r>
          </w:p>
        </w:tc>
        <w:tc>
          <w:tcPr>
            <w:tcW w:w="3828" w:type="dxa"/>
            <w:tcBorders>
              <w:top w:val="nil"/>
              <w:left w:val="nil"/>
            </w:tcBorders>
            <w:shd w:val="clear" w:color="auto" w:fill="auto"/>
            <w:noWrap/>
            <w:vAlign w:val="center"/>
          </w:tcPr>
          <w:p w14:paraId="2DFBA0F4" w14:textId="77777777" w:rsidR="004A289D" w:rsidRPr="00207DC2" w:rsidRDefault="004A289D" w:rsidP="00FB626D">
            <w:pPr>
              <w:keepNext/>
              <w:keepLines/>
              <w:spacing w:before="0" w:after="0" w:line="240" w:lineRule="auto"/>
              <w:jc w:val="right"/>
              <w:rPr>
                <w:lang w:val="en-AU"/>
              </w:rPr>
            </w:pPr>
            <w:r w:rsidRPr="00207DC2">
              <w:rPr>
                <w:rFonts w:cs="Calibri Light"/>
                <w:color w:val="010A11"/>
                <w:sz w:val="22"/>
                <w:szCs w:val="22"/>
                <w:lang w:val="en-AU"/>
              </w:rPr>
              <w:t>27</w:t>
            </w:r>
            <w:r w:rsidR="009F4A62" w:rsidRPr="00207DC2">
              <w:rPr>
                <w:rFonts w:cs="Calibri Light"/>
                <w:color w:val="010A11"/>
                <w:sz w:val="22"/>
                <w:szCs w:val="22"/>
                <w:lang w:val="en-AU"/>
              </w:rPr>
              <w:t>%</w:t>
            </w:r>
          </w:p>
        </w:tc>
      </w:tr>
      <w:tr w:rsidR="004A289D" w:rsidRPr="00207DC2" w14:paraId="502320CE" w14:textId="77777777" w:rsidTr="00FC57AC">
        <w:trPr>
          <w:trHeight w:val="300"/>
        </w:trPr>
        <w:tc>
          <w:tcPr>
            <w:tcW w:w="5005" w:type="dxa"/>
            <w:tcBorders>
              <w:top w:val="nil"/>
              <w:right w:val="nil"/>
            </w:tcBorders>
            <w:shd w:val="clear" w:color="auto" w:fill="auto"/>
            <w:vAlign w:val="bottom"/>
          </w:tcPr>
          <w:p w14:paraId="122ED179" w14:textId="77777777" w:rsidR="004A289D" w:rsidRPr="00207DC2" w:rsidRDefault="004A289D" w:rsidP="00FB626D">
            <w:pPr>
              <w:keepNext/>
              <w:keepLines/>
              <w:spacing w:before="0" w:after="0" w:line="240" w:lineRule="auto"/>
              <w:rPr>
                <w:bCs/>
                <w:i/>
                <w:lang w:val="en-AU"/>
              </w:rPr>
            </w:pPr>
            <w:r w:rsidRPr="00207DC2">
              <w:rPr>
                <w:rFonts w:cs="Calibri Light"/>
                <w:color w:val="010A11"/>
                <w:sz w:val="22"/>
                <w:szCs w:val="22"/>
                <w:lang w:val="en-AU"/>
              </w:rPr>
              <w:t>Personal or external related</w:t>
            </w:r>
          </w:p>
        </w:tc>
        <w:tc>
          <w:tcPr>
            <w:tcW w:w="3828" w:type="dxa"/>
            <w:tcBorders>
              <w:top w:val="nil"/>
              <w:left w:val="nil"/>
            </w:tcBorders>
            <w:shd w:val="clear" w:color="auto" w:fill="auto"/>
            <w:noWrap/>
            <w:vAlign w:val="center"/>
          </w:tcPr>
          <w:p w14:paraId="2926CA14" w14:textId="77777777" w:rsidR="004A289D" w:rsidRPr="00207DC2" w:rsidRDefault="004A289D" w:rsidP="00FB626D">
            <w:pPr>
              <w:keepNext/>
              <w:keepLines/>
              <w:spacing w:before="0" w:after="0" w:line="240" w:lineRule="auto"/>
              <w:jc w:val="right"/>
              <w:rPr>
                <w:i/>
                <w:lang w:val="en-AU"/>
              </w:rPr>
            </w:pPr>
            <w:r w:rsidRPr="00207DC2">
              <w:rPr>
                <w:rFonts w:cs="Calibri Light"/>
                <w:color w:val="010A11"/>
                <w:sz w:val="22"/>
                <w:szCs w:val="22"/>
                <w:lang w:val="en-AU"/>
              </w:rPr>
              <w:t>14</w:t>
            </w:r>
            <w:r w:rsidR="009F4A62" w:rsidRPr="00207DC2">
              <w:rPr>
                <w:rFonts w:cs="Calibri Light"/>
                <w:color w:val="010A11"/>
                <w:sz w:val="22"/>
                <w:szCs w:val="22"/>
                <w:lang w:val="en-AU"/>
              </w:rPr>
              <w:t>%</w:t>
            </w:r>
          </w:p>
        </w:tc>
      </w:tr>
      <w:tr w:rsidR="004A289D" w:rsidRPr="00207DC2" w14:paraId="62A9841B" w14:textId="77777777" w:rsidTr="00FC57AC">
        <w:trPr>
          <w:trHeight w:val="300"/>
        </w:trPr>
        <w:tc>
          <w:tcPr>
            <w:tcW w:w="5005" w:type="dxa"/>
            <w:tcBorders>
              <w:top w:val="nil"/>
              <w:right w:val="nil"/>
            </w:tcBorders>
            <w:shd w:val="clear" w:color="auto" w:fill="auto"/>
            <w:vAlign w:val="bottom"/>
          </w:tcPr>
          <w:p w14:paraId="6EAE59DF" w14:textId="77777777" w:rsidR="004A289D" w:rsidRPr="00207DC2" w:rsidRDefault="004A289D" w:rsidP="00FB626D">
            <w:pPr>
              <w:keepNext/>
              <w:keepLines/>
              <w:spacing w:before="0" w:after="0" w:line="240" w:lineRule="auto"/>
              <w:rPr>
                <w:bCs/>
                <w:i/>
                <w:lang w:val="en-AU"/>
              </w:rPr>
            </w:pPr>
            <w:r w:rsidRPr="00207DC2">
              <w:rPr>
                <w:rFonts w:cs="Calibri Light"/>
                <w:color w:val="010A11"/>
                <w:sz w:val="22"/>
                <w:szCs w:val="22"/>
                <w:lang w:val="en-AU"/>
              </w:rPr>
              <w:t>Medical or health related</w:t>
            </w:r>
          </w:p>
        </w:tc>
        <w:tc>
          <w:tcPr>
            <w:tcW w:w="3828" w:type="dxa"/>
            <w:tcBorders>
              <w:top w:val="nil"/>
              <w:left w:val="nil"/>
            </w:tcBorders>
            <w:shd w:val="clear" w:color="auto" w:fill="auto"/>
            <w:noWrap/>
            <w:vAlign w:val="center"/>
          </w:tcPr>
          <w:p w14:paraId="31BAB474" w14:textId="77777777" w:rsidR="004A289D" w:rsidRPr="00207DC2" w:rsidRDefault="004A289D" w:rsidP="00FB626D">
            <w:pPr>
              <w:keepNext/>
              <w:keepLines/>
              <w:spacing w:before="0" w:after="0" w:line="240" w:lineRule="auto"/>
              <w:jc w:val="right"/>
              <w:rPr>
                <w:i/>
                <w:lang w:val="en-AU"/>
              </w:rPr>
            </w:pPr>
            <w:r w:rsidRPr="00207DC2">
              <w:rPr>
                <w:rFonts w:cs="Calibri Light"/>
                <w:color w:val="010A11"/>
                <w:sz w:val="22"/>
                <w:szCs w:val="22"/>
                <w:lang w:val="en-AU"/>
              </w:rPr>
              <w:t>10</w:t>
            </w:r>
            <w:r w:rsidR="009F4A62" w:rsidRPr="00207DC2">
              <w:rPr>
                <w:rFonts w:cs="Calibri Light"/>
                <w:color w:val="010A11"/>
                <w:sz w:val="22"/>
                <w:szCs w:val="22"/>
                <w:lang w:val="en-AU"/>
              </w:rPr>
              <w:t>%</w:t>
            </w:r>
          </w:p>
        </w:tc>
      </w:tr>
      <w:tr w:rsidR="004A289D" w:rsidRPr="00207DC2" w14:paraId="1D75E813" w14:textId="77777777" w:rsidTr="00FC57AC">
        <w:trPr>
          <w:trHeight w:val="300"/>
        </w:trPr>
        <w:tc>
          <w:tcPr>
            <w:tcW w:w="5005" w:type="dxa"/>
            <w:tcBorders>
              <w:top w:val="nil"/>
              <w:right w:val="nil"/>
            </w:tcBorders>
            <w:shd w:val="clear" w:color="auto" w:fill="auto"/>
            <w:vAlign w:val="bottom"/>
          </w:tcPr>
          <w:p w14:paraId="1C3DE1F8" w14:textId="77777777" w:rsidR="004A289D" w:rsidRPr="00207DC2" w:rsidRDefault="004A289D" w:rsidP="00FB626D">
            <w:pPr>
              <w:keepNext/>
              <w:keepLines/>
              <w:spacing w:before="0" w:after="0" w:line="240" w:lineRule="auto"/>
              <w:rPr>
                <w:bCs/>
                <w:lang w:val="en-AU"/>
              </w:rPr>
            </w:pPr>
            <w:r w:rsidRPr="00207DC2">
              <w:rPr>
                <w:rFonts w:cs="Calibri Light"/>
                <w:color w:val="010A11"/>
                <w:sz w:val="22"/>
                <w:szCs w:val="22"/>
                <w:lang w:val="en-AU"/>
              </w:rPr>
              <w:t>Cultural related</w:t>
            </w:r>
          </w:p>
        </w:tc>
        <w:tc>
          <w:tcPr>
            <w:tcW w:w="3828" w:type="dxa"/>
            <w:tcBorders>
              <w:top w:val="nil"/>
              <w:left w:val="nil"/>
            </w:tcBorders>
            <w:shd w:val="clear" w:color="auto" w:fill="auto"/>
            <w:noWrap/>
            <w:vAlign w:val="center"/>
          </w:tcPr>
          <w:p w14:paraId="0D1298A0" w14:textId="77777777" w:rsidR="004A289D" w:rsidRPr="00207DC2" w:rsidRDefault="004A289D" w:rsidP="00FB626D">
            <w:pPr>
              <w:keepNext/>
              <w:keepLines/>
              <w:spacing w:before="0" w:after="0" w:line="240" w:lineRule="auto"/>
              <w:jc w:val="right"/>
              <w:rPr>
                <w:lang w:val="en-AU"/>
              </w:rPr>
            </w:pPr>
            <w:r w:rsidRPr="00207DC2">
              <w:rPr>
                <w:rFonts w:cs="Calibri Light"/>
                <w:color w:val="010A11"/>
                <w:sz w:val="22"/>
                <w:szCs w:val="22"/>
                <w:lang w:val="en-AU"/>
              </w:rPr>
              <w:t>10</w:t>
            </w:r>
            <w:r w:rsidR="009F4A62" w:rsidRPr="00207DC2">
              <w:rPr>
                <w:rFonts w:cs="Calibri Light"/>
                <w:color w:val="010A11"/>
                <w:sz w:val="22"/>
                <w:szCs w:val="22"/>
                <w:lang w:val="en-AU"/>
              </w:rPr>
              <w:t>%</w:t>
            </w:r>
          </w:p>
        </w:tc>
      </w:tr>
      <w:tr w:rsidR="004A289D" w:rsidRPr="00207DC2" w14:paraId="679F5E4C" w14:textId="77777777" w:rsidTr="00FC57AC">
        <w:trPr>
          <w:trHeight w:val="300"/>
        </w:trPr>
        <w:tc>
          <w:tcPr>
            <w:tcW w:w="5005" w:type="dxa"/>
            <w:tcBorders>
              <w:top w:val="nil"/>
              <w:right w:val="nil"/>
            </w:tcBorders>
            <w:shd w:val="clear" w:color="auto" w:fill="auto"/>
            <w:vAlign w:val="bottom"/>
          </w:tcPr>
          <w:p w14:paraId="4F54F259" w14:textId="77777777" w:rsidR="004A289D" w:rsidRPr="00207DC2" w:rsidRDefault="004A289D" w:rsidP="00FB626D">
            <w:pPr>
              <w:keepNext/>
              <w:keepLines/>
              <w:spacing w:before="0" w:after="0" w:line="240" w:lineRule="auto"/>
              <w:rPr>
                <w:bCs/>
                <w:lang w:val="en-AU"/>
              </w:rPr>
            </w:pPr>
            <w:r w:rsidRPr="00207DC2">
              <w:rPr>
                <w:rFonts w:cs="Calibri Light"/>
                <w:color w:val="010A11"/>
                <w:sz w:val="22"/>
                <w:szCs w:val="22"/>
                <w:lang w:val="en-AU"/>
              </w:rPr>
              <w:t>Caring duties</w:t>
            </w:r>
          </w:p>
        </w:tc>
        <w:tc>
          <w:tcPr>
            <w:tcW w:w="3828" w:type="dxa"/>
            <w:tcBorders>
              <w:top w:val="nil"/>
              <w:left w:val="nil"/>
            </w:tcBorders>
            <w:shd w:val="clear" w:color="auto" w:fill="auto"/>
            <w:noWrap/>
            <w:vAlign w:val="center"/>
          </w:tcPr>
          <w:p w14:paraId="08E22B2F" w14:textId="77777777" w:rsidR="004A289D" w:rsidRPr="00207DC2" w:rsidRDefault="004A289D" w:rsidP="00FB626D">
            <w:pPr>
              <w:keepNext/>
              <w:keepLines/>
              <w:spacing w:before="0" w:after="0" w:line="240" w:lineRule="auto"/>
              <w:jc w:val="right"/>
              <w:rPr>
                <w:lang w:val="en-AU"/>
              </w:rPr>
            </w:pPr>
            <w:r w:rsidRPr="00207DC2">
              <w:rPr>
                <w:rFonts w:cs="Calibri Light"/>
                <w:color w:val="010A11"/>
                <w:sz w:val="22"/>
                <w:szCs w:val="22"/>
                <w:lang w:val="en-AU"/>
              </w:rPr>
              <w:t>5</w:t>
            </w:r>
            <w:r w:rsidR="009F4A62" w:rsidRPr="00207DC2">
              <w:rPr>
                <w:rFonts w:cs="Calibri Light"/>
                <w:color w:val="010A11"/>
                <w:sz w:val="22"/>
                <w:szCs w:val="22"/>
                <w:lang w:val="en-AU"/>
              </w:rPr>
              <w:t>%</w:t>
            </w:r>
          </w:p>
        </w:tc>
      </w:tr>
      <w:tr w:rsidR="004A289D" w:rsidRPr="00207DC2" w14:paraId="35925962" w14:textId="77777777" w:rsidTr="00FC57AC">
        <w:trPr>
          <w:trHeight w:val="300"/>
        </w:trPr>
        <w:tc>
          <w:tcPr>
            <w:tcW w:w="5005" w:type="dxa"/>
            <w:tcBorders>
              <w:top w:val="nil"/>
              <w:right w:val="nil"/>
            </w:tcBorders>
            <w:shd w:val="clear" w:color="auto" w:fill="auto"/>
            <w:vAlign w:val="bottom"/>
          </w:tcPr>
          <w:p w14:paraId="67F17A99" w14:textId="77777777" w:rsidR="004A289D" w:rsidRPr="00207DC2" w:rsidRDefault="004A289D" w:rsidP="00FB626D">
            <w:pPr>
              <w:keepNext/>
              <w:keepLines/>
              <w:spacing w:before="0" w:after="0" w:line="240" w:lineRule="auto"/>
              <w:rPr>
                <w:bCs/>
                <w:lang w:val="en-AU"/>
              </w:rPr>
            </w:pPr>
            <w:r w:rsidRPr="00207DC2">
              <w:rPr>
                <w:rFonts w:cs="Calibri Light"/>
                <w:color w:val="010A11"/>
                <w:sz w:val="22"/>
                <w:szCs w:val="22"/>
                <w:lang w:val="en-AU"/>
              </w:rPr>
              <w:t>Transport issues</w:t>
            </w:r>
          </w:p>
        </w:tc>
        <w:tc>
          <w:tcPr>
            <w:tcW w:w="3828" w:type="dxa"/>
            <w:tcBorders>
              <w:top w:val="nil"/>
              <w:left w:val="nil"/>
            </w:tcBorders>
            <w:shd w:val="clear" w:color="auto" w:fill="auto"/>
            <w:noWrap/>
            <w:vAlign w:val="center"/>
          </w:tcPr>
          <w:p w14:paraId="35F93C7D" w14:textId="77777777" w:rsidR="004A289D" w:rsidRPr="00207DC2" w:rsidRDefault="004A289D" w:rsidP="00FB626D">
            <w:pPr>
              <w:keepNext/>
              <w:keepLines/>
              <w:spacing w:before="0" w:after="0" w:line="240" w:lineRule="auto"/>
              <w:jc w:val="right"/>
              <w:rPr>
                <w:lang w:val="en-AU"/>
              </w:rPr>
            </w:pPr>
            <w:r w:rsidRPr="00207DC2">
              <w:rPr>
                <w:rFonts w:cs="Calibri Light"/>
                <w:color w:val="010A11"/>
                <w:sz w:val="22"/>
                <w:szCs w:val="22"/>
                <w:lang w:val="en-AU"/>
              </w:rPr>
              <w:t>2</w:t>
            </w:r>
            <w:r w:rsidR="009F4A62" w:rsidRPr="00207DC2">
              <w:rPr>
                <w:rFonts w:cs="Calibri Light"/>
                <w:color w:val="010A11"/>
                <w:sz w:val="22"/>
                <w:szCs w:val="22"/>
                <w:lang w:val="en-AU"/>
              </w:rPr>
              <w:t>%</w:t>
            </w:r>
          </w:p>
        </w:tc>
      </w:tr>
      <w:tr w:rsidR="004A289D" w:rsidRPr="00207DC2" w14:paraId="0B763C90" w14:textId="77777777" w:rsidTr="00FC57AC">
        <w:trPr>
          <w:trHeight w:val="370"/>
        </w:trPr>
        <w:tc>
          <w:tcPr>
            <w:tcW w:w="5005" w:type="dxa"/>
            <w:tcBorders>
              <w:top w:val="nil"/>
              <w:bottom w:val="dashSmallGap" w:sz="4" w:space="0" w:color="auto"/>
              <w:right w:val="nil"/>
            </w:tcBorders>
            <w:shd w:val="clear" w:color="auto" w:fill="auto"/>
          </w:tcPr>
          <w:p w14:paraId="4A7BD380" w14:textId="0D2A9DD6" w:rsidR="004A289D" w:rsidRPr="00207DC2" w:rsidRDefault="004A289D" w:rsidP="00FB626D">
            <w:pPr>
              <w:keepNext/>
              <w:keepLines/>
              <w:spacing w:before="0" w:after="0" w:line="240" w:lineRule="auto"/>
              <w:rPr>
                <w:rFonts w:cs="Calibri Light"/>
                <w:color w:val="010A11"/>
                <w:sz w:val="22"/>
                <w:szCs w:val="22"/>
                <w:lang w:val="en-AU"/>
              </w:rPr>
            </w:pPr>
            <w:r w:rsidRPr="00207DC2">
              <w:rPr>
                <w:rFonts w:cs="Calibri Light"/>
                <w:color w:val="010A11"/>
                <w:sz w:val="22"/>
                <w:szCs w:val="22"/>
                <w:lang w:val="en-AU"/>
              </w:rPr>
              <w:t>Other</w:t>
            </w:r>
            <w:r w:rsidR="009B5F4B" w:rsidRPr="00207DC2">
              <w:rPr>
                <w:color w:val="010A11"/>
                <w:sz w:val="22"/>
                <w:vertAlign w:val="superscript"/>
                <w:lang w:val="en-AU"/>
              </w:rPr>
              <w:t>b</w:t>
            </w:r>
          </w:p>
        </w:tc>
        <w:tc>
          <w:tcPr>
            <w:tcW w:w="3828" w:type="dxa"/>
            <w:tcBorders>
              <w:top w:val="nil"/>
              <w:left w:val="nil"/>
              <w:bottom w:val="dashSmallGap" w:sz="4" w:space="0" w:color="auto"/>
            </w:tcBorders>
            <w:shd w:val="clear" w:color="auto" w:fill="auto"/>
            <w:noWrap/>
            <w:vAlign w:val="center"/>
          </w:tcPr>
          <w:p w14:paraId="0B6DB99C" w14:textId="77777777" w:rsidR="004A289D" w:rsidRPr="00207DC2" w:rsidRDefault="004A289D" w:rsidP="00FB626D">
            <w:pPr>
              <w:keepNext/>
              <w:keepLines/>
              <w:spacing w:before="0" w:after="0" w:line="240" w:lineRule="auto"/>
              <w:jc w:val="right"/>
              <w:rPr>
                <w:rFonts w:cs="Calibri Light"/>
                <w:color w:val="010A11"/>
                <w:sz w:val="22"/>
                <w:szCs w:val="22"/>
                <w:lang w:val="en-AU"/>
              </w:rPr>
            </w:pPr>
            <w:r w:rsidRPr="00207DC2">
              <w:rPr>
                <w:rFonts w:cs="Calibri Light"/>
                <w:color w:val="010A11"/>
                <w:sz w:val="22"/>
                <w:szCs w:val="22"/>
                <w:lang w:val="en-AU"/>
              </w:rPr>
              <w:t>32</w:t>
            </w:r>
            <w:r w:rsidR="009F4A62" w:rsidRPr="00207DC2">
              <w:rPr>
                <w:rFonts w:cs="Calibri Light"/>
                <w:color w:val="010A11"/>
                <w:sz w:val="22"/>
                <w:szCs w:val="22"/>
                <w:lang w:val="en-AU"/>
              </w:rPr>
              <w:t>%</w:t>
            </w:r>
          </w:p>
        </w:tc>
      </w:tr>
      <w:tr w:rsidR="004A289D" w:rsidRPr="00207DC2" w14:paraId="60DFB747" w14:textId="77777777" w:rsidTr="00FC57AC">
        <w:trPr>
          <w:trHeight w:val="300"/>
        </w:trPr>
        <w:tc>
          <w:tcPr>
            <w:tcW w:w="5005" w:type="dxa"/>
            <w:tcBorders>
              <w:top w:val="dashSmallGap" w:sz="4" w:space="0" w:color="auto"/>
              <w:bottom w:val="single" w:sz="4" w:space="0" w:color="auto"/>
              <w:right w:val="nil"/>
            </w:tcBorders>
            <w:shd w:val="clear" w:color="auto" w:fill="auto"/>
            <w:vAlign w:val="center"/>
          </w:tcPr>
          <w:p w14:paraId="51FE1E34" w14:textId="77777777" w:rsidR="004A289D" w:rsidRPr="00207DC2" w:rsidRDefault="004A289D" w:rsidP="00FB626D">
            <w:pPr>
              <w:keepNext/>
              <w:keepLines/>
              <w:spacing w:before="0" w:after="0" w:line="240" w:lineRule="auto"/>
              <w:rPr>
                <w:b/>
                <w:bCs/>
                <w:lang w:val="en-AU"/>
              </w:rPr>
            </w:pPr>
            <w:r w:rsidRPr="00207DC2">
              <w:rPr>
                <w:b/>
                <w:bCs/>
                <w:lang w:val="en-AU"/>
              </w:rPr>
              <w:t xml:space="preserve">Total number of valid non-attendance records </w:t>
            </w:r>
          </w:p>
        </w:tc>
        <w:tc>
          <w:tcPr>
            <w:tcW w:w="3828" w:type="dxa"/>
            <w:tcBorders>
              <w:top w:val="dashSmallGap" w:sz="4" w:space="0" w:color="auto"/>
              <w:left w:val="nil"/>
              <w:bottom w:val="single" w:sz="4" w:space="0" w:color="auto"/>
            </w:tcBorders>
            <w:shd w:val="clear" w:color="auto" w:fill="auto"/>
            <w:noWrap/>
            <w:vAlign w:val="center"/>
          </w:tcPr>
          <w:p w14:paraId="1CD98C15" w14:textId="77777777" w:rsidR="004A289D" w:rsidRPr="00207DC2" w:rsidRDefault="004A289D" w:rsidP="00FB626D">
            <w:pPr>
              <w:keepNext/>
              <w:keepLines/>
              <w:spacing w:before="0" w:after="0" w:line="240" w:lineRule="auto"/>
              <w:jc w:val="right"/>
              <w:rPr>
                <w:b/>
                <w:lang w:val="en-AU"/>
              </w:rPr>
            </w:pPr>
            <w:r w:rsidRPr="00207DC2">
              <w:rPr>
                <w:b/>
                <w:lang w:val="en-AU"/>
              </w:rPr>
              <w:t>157,013</w:t>
            </w:r>
          </w:p>
        </w:tc>
      </w:tr>
    </w:tbl>
    <w:p w14:paraId="0186FABC" w14:textId="77777777" w:rsidR="004A289D" w:rsidRPr="00207DC2" w:rsidRDefault="004A289D" w:rsidP="00FB626D">
      <w:pPr>
        <w:pStyle w:val="tablenotes"/>
        <w:rPr>
          <w:i/>
        </w:rPr>
      </w:pPr>
      <w:r w:rsidRPr="00207DC2">
        <w:rPr>
          <w:i/>
        </w:rPr>
        <w:t>Source:</w:t>
      </w:r>
      <w:r w:rsidRPr="00207DC2">
        <w:t xml:space="preserve"> PMC estimates based on unpublished ESS operational data (extracted in March 2018). </w:t>
      </w:r>
    </w:p>
    <w:p w14:paraId="324DACE7" w14:textId="3513B910" w:rsidR="004A289D" w:rsidRPr="00207DC2" w:rsidRDefault="004A289D" w:rsidP="00FB626D">
      <w:pPr>
        <w:pStyle w:val="tablenotes"/>
      </w:pPr>
      <w:r w:rsidRPr="00207DC2">
        <w:rPr>
          <w:i/>
        </w:rPr>
        <w:t>Notes:</w:t>
      </w:r>
      <w:r w:rsidRPr="00207DC2">
        <w:t xml:space="preserve"> (a) Based on CDP Work for the Dole attendance records throughout June 2017. DSS (2018 sec</w:t>
      </w:r>
      <w:r w:rsidR="005A590F" w:rsidRPr="00207DC2">
        <w:t>.</w:t>
      </w:r>
      <w:r w:rsidRPr="00207DC2">
        <w:t xml:space="preserve"> </w:t>
      </w:r>
      <w:r w:rsidRPr="00207DC2">
        <w:rPr>
          <w:rFonts w:eastAsiaTheme="minorEastAsia"/>
        </w:rPr>
        <w:t>3.1.13.90</w:t>
      </w:r>
      <w:r w:rsidR="00B1274D" w:rsidRPr="00207DC2">
        <w:rPr>
          <w:rFonts w:eastAsiaTheme="minorEastAsia"/>
        </w:rPr>
        <w:t>)</w:t>
      </w:r>
      <w:r w:rsidRPr="00207DC2">
        <w:t xml:space="preserve"> provides details on valid reasons for not attending. </w:t>
      </w:r>
      <w:r w:rsidR="009B5F4B" w:rsidRPr="00207DC2">
        <w:t>(</w:t>
      </w:r>
      <w:r w:rsidR="00F44AB6" w:rsidRPr="00207DC2">
        <w:t xml:space="preserve">b) </w:t>
      </w:r>
      <w:r w:rsidR="001E2EBC" w:rsidRPr="00207DC2">
        <w:t>Other includes public holidays, annual leave</w:t>
      </w:r>
      <w:r w:rsidR="0095233B" w:rsidRPr="00207DC2">
        <w:t>,</w:t>
      </w:r>
      <w:r w:rsidR="001E2EBC" w:rsidRPr="00207DC2">
        <w:t xml:space="preserve"> and a</w:t>
      </w:r>
      <w:r w:rsidR="00C77525" w:rsidRPr="00207DC2">
        <w:t xml:space="preserve"> ran</w:t>
      </w:r>
      <w:r w:rsidR="00F44AB6" w:rsidRPr="00207DC2">
        <w:t xml:space="preserve">ge of </w:t>
      </w:r>
      <w:r w:rsidR="001E2EBC" w:rsidRPr="00207DC2">
        <w:t xml:space="preserve">other </w:t>
      </w:r>
      <w:r w:rsidR="00F44AB6" w:rsidRPr="00207DC2">
        <w:t xml:space="preserve">reasons </w:t>
      </w:r>
      <w:r w:rsidR="001E2EBC" w:rsidRPr="00207DC2">
        <w:t>the participant was not required to attend on the day</w:t>
      </w:r>
      <w:r w:rsidR="0095233B" w:rsidRPr="00207DC2">
        <w:t xml:space="preserve"> (including, for example,</w:t>
      </w:r>
      <w:r w:rsidR="001E2EBC" w:rsidRPr="00207DC2">
        <w:t xml:space="preserve"> </w:t>
      </w:r>
      <w:r w:rsidR="000C65B8" w:rsidRPr="00207DC2">
        <w:t>activity c</w:t>
      </w:r>
      <w:r w:rsidR="00C77525" w:rsidRPr="00207DC2">
        <w:t>a</w:t>
      </w:r>
      <w:r w:rsidR="000C65B8" w:rsidRPr="00207DC2">
        <w:t>nc</w:t>
      </w:r>
      <w:r w:rsidR="00C77525" w:rsidRPr="00207DC2">
        <w:t>e</w:t>
      </w:r>
      <w:r w:rsidR="000C65B8" w:rsidRPr="00207DC2">
        <w:t>lled or absent</w:t>
      </w:r>
      <w:r w:rsidR="00F44AB6" w:rsidRPr="00207DC2">
        <w:t xml:space="preserve"> supervi</w:t>
      </w:r>
      <w:r w:rsidR="001E2EBC" w:rsidRPr="00207DC2">
        <w:t>sor, in court or prison</w:t>
      </w:r>
      <w:r w:rsidR="0032780B" w:rsidRPr="00207DC2">
        <w:t xml:space="preserve">, </w:t>
      </w:r>
      <w:r w:rsidR="0095233B" w:rsidRPr="00207DC2">
        <w:t xml:space="preserve">and </w:t>
      </w:r>
      <w:r w:rsidR="001E2EBC" w:rsidRPr="00207DC2">
        <w:t>moving</w:t>
      </w:r>
      <w:r w:rsidR="0095233B" w:rsidRPr="00207DC2">
        <w:t xml:space="preserve"> or </w:t>
      </w:r>
      <w:r w:rsidR="00C77525" w:rsidRPr="00207DC2">
        <w:t>relocated</w:t>
      </w:r>
      <w:r w:rsidR="0095233B" w:rsidRPr="00207DC2">
        <w:t>)</w:t>
      </w:r>
      <w:r w:rsidR="001E2EBC" w:rsidRPr="00207DC2">
        <w:t>.</w:t>
      </w:r>
    </w:p>
    <w:p w14:paraId="68EEF302" w14:textId="1CE32C2A" w:rsidR="000D7625" w:rsidRPr="00207DC2" w:rsidRDefault="0000527E" w:rsidP="00FB626D">
      <w:pPr>
        <w:jc w:val="both"/>
        <w:rPr>
          <w:bCs/>
          <w:lang w:val="en-AU"/>
        </w:rPr>
      </w:pPr>
      <w:r w:rsidRPr="00207DC2">
        <w:rPr>
          <w:lang w:val="en-AU"/>
        </w:rPr>
        <w:t xml:space="preserve">While </w:t>
      </w:r>
      <w:r w:rsidR="00B1274D" w:rsidRPr="00207DC2">
        <w:rPr>
          <w:lang w:val="en-AU"/>
        </w:rPr>
        <w:t>most</w:t>
      </w:r>
      <w:r w:rsidR="000D3DED" w:rsidRPr="00207DC2">
        <w:rPr>
          <w:lang w:val="en-AU"/>
        </w:rPr>
        <w:t xml:space="preserve"> </w:t>
      </w:r>
      <w:r w:rsidRPr="00207DC2">
        <w:rPr>
          <w:lang w:val="en-AU"/>
        </w:rPr>
        <w:t>Work for the Dole participants are required to participate in</w:t>
      </w:r>
      <w:r w:rsidR="00B1274D" w:rsidRPr="00207DC2">
        <w:rPr>
          <w:lang w:val="en-AU"/>
        </w:rPr>
        <w:t xml:space="preserve"> </w:t>
      </w:r>
      <w:r w:rsidRPr="00207DC2">
        <w:rPr>
          <w:lang w:val="en-AU"/>
        </w:rPr>
        <w:t>activities five days per week (depending on their assessed capacity), a</w:t>
      </w:r>
      <w:r w:rsidR="000D7625" w:rsidRPr="00207DC2">
        <w:rPr>
          <w:lang w:val="en-AU"/>
        </w:rPr>
        <w:t>ttendance at Wo</w:t>
      </w:r>
      <w:r w:rsidRPr="00207DC2">
        <w:rPr>
          <w:lang w:val="en-AU"/>
        </w:rPr>
        <w:t>rk for the Dole activities varies</w:t>
      </w:r>
      <w:r w:rsidR="000D7625" w:rsidRPr="00207DC2">
        <w:rPr>
          <w:lang w:val="en-AU"/>
        </w:rPr>
        <w:t xml:space="preserve"> through the week and at certain times of the year. Over the course of the week, </w:t>
      </w:r>
      <w:r w:rsidR="00833FCE" w:rsidRPr="00207DC2">
        <w:rPr>
          <w:lang w:val="en-AU"/>
        </w:rPr>
        <w:t xml:space="preserve">actual </w:t>
      </w:r>
      <w:r w:rsidR="000D7625" w:rsidRPr="00207DC2">
        <w:rPr>
          <w:lang w:val="en-AU"/>
        </w:rPr>
        <w:t>attendance (</w:t>
      </w:r>
      <w:r w:rsidR="00833FCE" w:rsidRPr="00207DC2">
        <w:rPr>
          <w:lang w:val="en-AU"/>
        </w:rPr>
        <w:t>excluding</w:t>
      </w:r>
      <w:r w:rsidR="000D7625" w:rsidRPr="00207DC2">
        <w:rPr>
          <w:lang w:val="en-AU"/>
        </w:rPr>
        <w:t xml:space="preserve"> </w:t>
      </w:r>
      <w:r w:rsidR="000D7625" w:rsidRPr="00207DC2">
        <w:rPr>
          <w:i/>
          <w:lang w:val="en-AU"/>
        </w:rPr>
        <w:t>valid non-attendance</w:t>
      </w:r>
      <w:r w:rsidR="000D7625" w:rsidRPr="00207DC2">
        <w:rPr>
          <w:lang w:val="en-AU"/>
        </w:rPr>
        <w:t>) is typically higher on Tuesdays and Wednesdays, with a marked dip on Fridays.</w:t>
      </w:r>
      <w:r w:rsidR="000D7625" w:rsidRPr="00207DC2">
        <w:rPr>
          <w:rStyle w:val="FootnoteReference"/>
          <w:lang w:val="en-AU"/>
        </w:rPr>
        <w:footnoteReference w:id="21"/>
      </w:r>
      <w:r w:rsidR="000D7625" w:rsidRPr="00207DC2">
        <w:rPr>
          <w:lang w:val="en-AU"/>
        </w:rPr>
        <w:t xml:space="preserve"> </w:t>
      </w:r>
      <w:r w:rsidR="003D0BD3" w:rsidRPr="00207DC2">
        <w:rPr>
          <w:lang w:val="en-AU"/>
        </w:rPr>
        <w:t>A</w:t>
      </w:r>
      <w:r w:rsidR="000D7625" w:rsidRPr="00207DC2">
        <w:rPr>
          <w:lang w:val="en-AU"/>
        </w:rPr>
        <w:t xml:space="preserve">ttendance drops and </w:t>
      </w:r>
      <w:r w:rsidR="000D7625" w:rsidRPr="00207DC2">
        <w:rPr>
          <w:i/>
          <w:lang w:val="en-AU"/>
        </w:rPr>
        <w:t>valid non-attendance</w:t>
      </w:r>
      <w:r w:rsidR="000D7625" w:rsidRPr="00207DC2">
        <w:rPr>
          <w:lang w:val="en-AU"/>
        </w:rPr>
        <w:t xml:space="preserve"> increases around Christmas, Easter and other </w:t>
      </w:r>
      <w:r w:rsidR="009B06A2" w:rsidRPr="00207DC2">
        <w:rPr>
          <w:lang w:val="en-AU"/>
        </w:rPr>
        <w:t xml:space="preserve">public </w:t>
      </w:r>
      <w:r w:rsidR="000D7625" w:rsidRPr="00207DC2">
        <w:rPr>
          <w:lang w:val="en-AU"/>
        </w:rPr>
        <w:t>holidays</w:t>
      </w:r>
      <w:r w:rsidR="00E2713E" w:rsidRPr="00207DC2">
        <w:rPr>
          <w:lang w:val="en-AU"/>
        </w:rPr>
        <w:t xml:space="preserve"> (Figure</w:t>
      </w:r>
      <w:r w:rsidR="00341884" w:rsidRPr="00207DC2">
        <w:rPr>
          <w:lang w:val="en-AU"/>
        </w:rPr>
        <w:t> </w:t>
      </w:r>
      <w:r w:rsidR="00E2713E" w:rsidRPr="00207DC2">
        <w:rPr>
          <w:lang w:val="en-AU"/>
        </w:rPr>
        <w:t>2.</w:t>
      </w:r>
      <w:r w:rsidR="002A49AA" w:rsidRPr="00207DC2">
        <w:rPr>
          <w:lang w:val="en-AU"/>
        </w:rPr>
        <w:t>5</w:t>
      </w:r>
      <w:r w:rsidR="00E2713E" w:rsidRPr="00207DC2">
        <w:rPr>
          <w:lang w:val="en-AU"/>
        </w:rPr>
        <w:t>)</w:t>
      </w:r>
      <w:r w:rsidR="000D7625" w:rsidRPr="00207DC2">
        <w:rPr>
          <w:lang w:val="en-AU"/>
        </w:rPr>
        <w:t xml:space="preserve">. </w:t>
      </w:r>
    </w:p>
    <w:p w14:paraId="31ED77F2" w14:textId="77777777" w:rsidR="000D7625" w:rsidRPr="00207DC2" w:rsidRDefault="002369CA" w:rsidP="00FB626D">
      <w:pPr>
        <w:jc w:val="both"/>
        <w:rPr>
          <w:lang w:val="en-AU"/>
        </w:rPr>
      </w:pPr>
      <w:r w:rsidRPr="00207DC2">
        <w:rPr>
          <w:lang w:val="en-AU"/>
        </w:rPr>
        <w:t xml:space="preserve">In a given week, more than half of all </w:t>
      </w:r>
      <w:r w:rsidR="0000527E" w:rsidRPr="00207DC2">
        <w:rPr>
          <w:lang w:val="en-AU"/>
        </w:rPr>
        <w:t xml:space="preserve">full-time </w:t>
      </w:r>
      <w:r w:rsidRPr="00207DC2">
        <w:rPr>
          <w:lang w:val="en-AU"/>
        </w:rPr>
        <w:t xml:space="preserve">Work for the Dole </w:t>
      </w:r>
      <w:r w:rsidR="001C2851" w:rsidRPr="00207DC2">
        <w:rPr>
          <w:lang w:val="en-AU"/>
        </w:rPr>
        <w:t>participants</w:t>
      </w:r>
      <w:r w:rsidRPr="00207DC2">
        <w:rPr>
          <w:lang w:val="en-AU"/>
        </w:rPr>
        <w:t xml:space="preserve"> attend</w:t>
      </w:r>
      <w:r w:rsidR="009C2A45" w:rsidRPr="00207DC2">
        <w:rPr>
          <w:lang w:val="en-AU"/>
        </w:rPr>
        <w:t xml:space="preserve"> or have a </w:t>
      </w:r>
      <w:r w:rsidR="00A97AC5" w:rsidRPr="00207DC2">
        <w:rPr>
          <w:lang w:val="en-AU"/>
        </w:rPr>
        <w:t xml:space="preserve">valid reason for not attending </w:t>
      </w:r>
      <w:r w:rsidRPr="00207DC2">
        <w:rPr>
          <w:lang w:val="en-AU"/>
        </w:rPr>
        <w:t>a</w:t>
      </w:r>
      <w:r w:rsidR="0000527E" w:rsidRPr="00207DC2">
        <w:rPr>
          <w:lang w:val="en-AU"/>
        </w:rPr>
        <w:t>cross</w:t>
      </w:r>
      <w:r w:rsidRPr="00207DC2">
        <w:rPr>
          <w:lang w:val="en-AU"/>
        </w:rPr>
        <w:t xml:space="preserve"> the week. </w:t>
      </w:r>
      <w:r w:rsidR="001C2851" w:rsidRPr="00207DC2">
        <w:rPr>
          <w:lang w:val="en-AU"/>
        </w:rPr>
        <w:t>Specifically</w:t>
      </w:r>
      <w:r w:rsidR="000D7625" w:rsidRPr="00207DC2">
        <w:rPr>
          <w:lang w:val="en-AU"/>
        </w:rPr>
        <w:t>:</w:t>
      </w:r>
    </w:p>
    <w:p w14:paraId="7E1F4365" w14:textId="12D77540" w:rsidR="000D7625" w:rsidRPr="00207DC2" w:rsidRDefault="000D7625" w:rsidP="00F90446">
      <w:pPr>
        <w:pStyle w:val="ListBullet"/>
        <w:numPr>
          <w:ilvl w:val="0"/>
          <w:numId w:val="21"/>
        </w:numPr>
        <w:rPr>
          <w:lang w:val="en-AU"/>
        </w:rPr>
      </w:pPr>
      <w:r w:rsidRPr="00207DC2">
        <w:rPr>
          <w:lang w:val="en-AU"/>
        </w:rPr>
        <w:t>60 to 70 per cent</w:t>
      </w:r>
      <w:r w:rsidR="00D73A40">
        <w:rPr>
          <w:lang w:val="en-AU"/>
        </w:rPr>
        <w:t xml:space="preserve"> </w:t>
      </w:r>
      <w:r w:rsidRPr="00207DC2">
        <w:rPr>
          <w:lang w:val="en-AU"/>
        </w:rPr>
        <w:t xml:space="preserve">attend or </w:t>
      </w:r>
      <w:r w:rsidR="00D73A40">
        <w:rPr>
          <w:lang w:val="en-AU"/>
        </w:rPr>
        <w:t>provide</w:t>
      </w:r>
      <w:r w:rsidR="00D73A40" w:rsidRPr="00207DC2">
        <w:rPr>
          <w:lang w:val="en-AU"/>
        </w:rPr>
        <w:t xml:space="preserve"> </w:t>
      </w:r>
      <w:r w:rsidRPr="00207DC2">
        <w:rPr>
          <w:lang w:val="en-AU"/>
        </w:rPr>
        <w:t>a valid reason for no</w:t>
      </w:r>
      <w:r w:rsidR="00AC2AFD" w:rsidRPr="00207DC2">
        <w:rPr>
          <w:lang w:val="en-AU"/>
        </w:rPr>
        <w:t>t</w:t>
      </w:r>
      <w:r w:rsidR="00FD5CD6" w:rsidRPr="00207DC2">
        <w:rPr>
          <w:lang w:val="en-AU"/>
        </w:rPr>
        <w:t xml:space="preserve"> </w:t>
      </w:r>
      <w:r w:rsidRPr="00207DC2">
        <w:rPr>
          <w:lang w:val="en-AU"/>
        </w:rPr>
        <w:t>attend</w:t>
      </w:r>
      <w:r w:rsidR="00FD5CD6" w:rsidRPr="00207DC2">
        <w:rPr>
          <w:lang w:val="en-AU"/>
        </w:rPr>
        <w:t>ing</w:t>
      </w:r>
      <w:r w:rsidRPr="00207DC2">
        <w:rPr>
          <w:lang w:val="en-AU"/>
        </w:rPr>
        <w:t xml:space="preserve"> </w:t>
      </w:r>
      <w:r w:rsidR="00D73A40">
        <w:rPr>
          <w:lang w:val="en-AU"/>
        </w:rPr>
        <w:t xml:space="preserve">each </w:t>
      </w:r>
      <w:r w:rsidR="00C27646" w:rsidRPr="00207DC2">
        <w:rPr>
          <w:lang w:val="en-AU"/>
        </w:rPr>
        <w:t>day</w:t>
      </w:r>
      <w:r w:rsidRPr="00207DC2">
        <w:rPr>
          <w:lang w:val="en-AU"/>
        </w:rPr>
        <w:t xml:space="preserve"> </w:t>
      </w:r>
    </w:p>
    <w:p w14:paraId="10697AA5" w14:textId="6357A21D" w:rsidR="000D7625" w:rsidRPr="00207DC2" w:rsidRDefault="000D7625" w:rsidP="00F90446">
      <w:pPr>
        <w:pStyle w:val="ListBullet"/>
        <w:numPr>
          <w:ilvl w:val="0"/>
          <w:numId w:val="21"/>
        </w:numPr>
        <w:rPr>
          <w:lang w:val="en-AU"/>
        </w:rPr>
      </w:pPr>
      <w:r w:rsidRPr="00207DC2">
        <w:rPr>
          <w:lang w:val="en-AU"/>
        </w:rPr>
        <w:t xml:space="preserve">20 to 25 per cent have </w:t>
      </w:r>
      <w:r w:rsidRPr="00207DC2">
        <w:rPr>
          <w:i/>
          <w:lang w:val="en-AU"/>
        </w:rPr>
        <w:t>mixed attendance</w:t>
      </w:r>
      <w:r w:rsidRPr="00207DC2">
        <w:rPr>
          <w:lang w:val="en-AU"/>
        </w:rPr>
        <w:t xml:space="preserve"> (between </w:t>
      </w:r>
      <w:r w:rsidR="00C03568" w:rsidRPr="00207DC2">
        <w:rPr>
          <w:lang w:val="en-AU"/>
        </w:rPr>
        <w:t>one</w:t>
      </w:r>
      <w:r w:rsidRPr="00207DC2">
        <w:rPr>
          <w:lang w:val="en-AU"/>
        </w:rPr>
        <w:t xml:space="preserve"> and </w:t>
      </w:r>
      <w:r w:rsidR="00C03568" w:rsidRPr="00207DC2">
        <w:rPr>
          <w:lang w:val="en-AU"/>
        </w:rPr>
        <w:t>four</w:t>
      </w:r>
      <w:r w:rsidRPr="00207DC2">
        <w:rPr>
          <w:lang w:val="en-AU"/>
        </w:rPr>
        <w:t xml:space="preserve"> days)</w:t>
      </w:r>
    </w:p>
    <w:p w14:paraId="3992D6A5" w14:textId="77777777" w:rsidR="000D7625" w:rsidRPr="00207DC2" w:rsidRDefault="00FD5CD6" w:rsidP="00F90446">
      <w:pPr>
        <w:pStyle w:val="ListBullet"/>
        <w:numPr>
          <w:ilvl w:val="0"/>
          <w:numId w:val="21"/>
        </w:numPr>
        <w:rPr>
          <w:lang w:val="en-AU"/>
        </w:rPr>
      </w:pPr>
      <w:r w:rsidRPr="00207DC2">
        <w:rPr>
          <w:lang w:val="en-AU"/>
        </w:rPr>
        <w:t>10</w:t>
      </w:r>
      <w:r w:rsidR="000D7625" w:rsidRPr="00207DC2">
        <w:rPr>
          <w:lang w:val="en-AU"/>
        </w:rPr>
        <w:t xml:space="preserve"> to 15 per cent of participants do not attend at all (Figure 2.</w:t>
      </w:r>
      <w:r w:rsidR="002B38A3" w:rsidRPr="00207DC2">
        <w:rPr>
          <w:lang w:val="en-AU"/>
        </w:rPr>
        <w:t>6</w:t>
      </w:r>
      <w:r w:rsidR="000D7625" w:rsidRPr="00207DC2">
        <w:rPr>
          <w:lang w:val="en-AU"/>
        </w:rPr>
        <w:t>)</w:t>
      </w:r>
      <w:r w:rsidR="00733488" w:rsidRPr="00207DC2">
        <w:rPr>
          <w:lang w:val="en-AU"/>
        </w:rPr>
        <w:t>.</w:t>
      </w:r>
    </w:p>
    <w:p w14:paraId="51415574" w14:textId="77777777" w:rsidR="003E6B33" w:rsidRPr="00207DC2" w:rsidRDefault="00690210" w:rsidP="00FB626D">
      <w:pPr>
        <w:spacing w:before="240"/>
        <w:jc w:val="both"/>
        <w:rPr>
          <w:lang w:val="en-AU"/>
        </w:rPr>
      </w:pPr>
      <w:r w:rsidRPr="00207DC2">
        <w:rPr>
          <w:lang w:val="en-AU"/>
        </w:rPr>
        <w:t>T</w:t>
      </w:r>
      <w:r w:rsidR="002369CA" w:rsidRPr="00207DC2">
        <w:rPr>
          <w:lang w:val="en-AU"/>
        </w:rPr>
        <w:t>his analysis</w:t>
      </w:r>
      <w:r w:rsidRPr="00207DC2">
        <w:rPr>
          <w:lang w:val="en-AU"/>
        </w:rPr>
        <w:t xml:space="preserve"> </w:t>
      </w:r>
      <w:r w:rsidR="001C2851" w:rsidRPr="00207DC2">
        <w:rPr>
          <w:lang w:val="en-AU"/>
        </w:rPr>
        <w:t xml:space="preserve">only captures how the attendance of individual CDP participants changes over a given week. </w:t>
      </w:r>
      <w:r w:rsidR="003E6B33" w:rsidRPr="00207DC2">
        <w:rPr>
          <w:lang w:val="en-AU"/>
        </w:rPr>
        <w:t>Examining cohor</w:t>
      </w:r>
      <w:r w:rsidR="001C2851" w:rsidRPr="00207DC2">
        <w:rPr>
          <w:lang w:val="en-AU"/>
        </w:rPr>
        <w:t>ts of CDP participants over a year</w:t>
      </w:r>
      <w:r w:rsidR="003E6B33" w:rsidRPr="00207DC2">
        <w:rPr>
          <w:lang w:val="en-AU"/>
        </w:rPr>
        <w:t>,</w:t>
      </w:r>
      <w:r w:rsidR="003E6B33" w:rsidRPr="00207DC2" w:rsidDel="00993F60">
        <w:rPr>
          <w:lang w:val="en-AU"/>
        </w:rPr>
        <w:t xml:space="preserve"> </w:t>
      </w:r>
      <w:r w:rsidR="003E6B33" w:rsidRPr="00207DC2">
        <w:rPr>
          <w:lang w:val="en-AU"/>
        </w:rPr>
        <w:t>those with initially high attendance typically continued to have above average attendance, and those who initially have zero attendance continued to have below average attendance.</w:t>
      </w:r>
      <w:r w:rsidR="005C6E87" w:rsidRPr="00207DC2">
        <w:rPr>
          <w:lang w:val="en-AU"/>
        </w:rPr>
        <w:t xml:space="preserve"> </w:t>
      </w:r>
      <w:r w:rsidR="009F4A62" w:rsidRPr="00207DC2">
        <w:rPr>
          <w:lang w:val="en-AU"/>
        </w:rPr>
        <w:t>F</w:t>
      </w:r>
      <w:r w:rsidR="003E6B33" w:rsidRPr="00207DC2">
        <w:rPr>
          <w:lang w:val="en-AU"/>
        </w:rPr>
        <w:t xml:space="preserve">or both groups, there appears to be a general trend towards the average over time. </w:t>
      </w:r>
    </w:p>
    <w:p w14:paraId="527810FE" w14:textId="3B0D8196" w:rsidR="00A67D0B" w:rsidRPr="00207DC2" w:rsidRDefault="004B31BA" w:rsidP="00FB626D">
      <w:pPr>
        <w:pStyle w:val="Figures"/>
        <w:rPr>
          <w:rFonts w:eastAsiaTheme="minorHAnsi"/>
        </w:rPr>
      </w:pPr>
      <w:r w:rsidRPr="00207DC2">
        <w:t xml:space="preserve">Figure </w:t>
      </w:r>
      <w:r w:rsidR="00905D1A">
        <w:t>2</w:t>
      </w:r>
      <w:r w:rsidR="00EF1B43" w:rsidRPr="00207DC2">
        <w:t>.</w:t>
      </w:r>
      <w:r w:rsidR="00905D1A">
        <w:t>6</w:t>
      </w:r>
      <w:r w:rsidR="002A49AA" w:rsidRPr="00207DC2">
        <w:t xml:space="preserve"> </w:t>
      </w:r>
      <w:r w:rsidR="00862832" w:rsidRPr="00207DC2">
        <w:t>In a given week, o</w:t>
      </w:r>
      <w:r w:rsidR="00807B6B" w:rsidRPr="00207DC2">
        <w:t>ver half</w:t>
      </w:r>
      <w:r w:rsidR="001E1BA6" w:rsidRPr="00207DC2">
        <w:t xml:space="preserve"> of </w:t>
      </w:r>
      <w:r w:rsidR="00767570" w:rsidRPr="00207DC2">
        <w:t xml:space="preserve">full-time </w:t>
      </w:r>
      <w:r w:rsidR="001E1BA6" w:rsidRPr="00207DC2">
        <w:t>Work for the Dole participant</w:t>
      </w:r>
      <w:r w:rsidR="006E4216" w:rsidRPr="00207DC2">
        <w:t>s</w:t>
      </w:r>
      <w:r w:rsidR="001E1BA6" w:rsidRPr="00207DC2">
        <w:t xml:space="preserve"> attend </w:t>
      </w:r>
      <w:r w:rsidR="00802F6A" w:rsidRPr="00207DC2">
        <w:t>daily</w:t>
      </w:r>
      <w:r w:rsidR="00A67D0B" w:rsidRPr="00207DC2">
        <w:rPr>
          <w:b/>
          <w:vertAlign w:val="superscript"/>
        </w:rPr>
        <w:t>a,b</w:t>
      </w:r>
      <w:r w:rsidR="001E1BA6" w:rsidRPr="00207DC2">
        <w:t xml:space="preserve"> </w:t>
      </w:r>
    </w:p>
    <w:p w14:paraId="6330AF8C" w14:textId="08674E84" w:rsidR="00802F6A" w:rsidRPr="00207DC2" w:rsidRDefault="00767570" w:rsidP="00FB626D">
      <w:pPr>
        <w:pStyle w:val="TableText"/>
        <w:keepNext/>
        <w:keepLines/>
        <w:ind w:left="0"/>
        <w:rPr>
          <w:lang w:val="en-AU" w:eastAsia="en-AU"/>
        </w:rPr>
      </w:pPr>
      <w:r w:rsidRPr="00207DC2">
        <w:rPr>
          <w:lang w:val="en-AU"/>
        </w:rPr>
        <w:t>A</w:t>
      </w:r>
      <w:r w:rsidR="009307B8" w:rsidRPr="00207DC2">
        <w:rPr>
          <w:lang w:val="en-AU"/>
        </w:rPr>
        <w:t>ttendance</w:t>
      </w:r>
      <w:r w:rsidR="001E1BA6" w:rsidRPr="00207DC2">
        <w:rPr>
          <w:lang w:val="en-AU"/>
        </w:rPr>
        <w:t xml:space="preserve"> rates</w:t>
      </w:r>
      <w:r w:rsidR="00CD72C6" w:rsidRPr="00207DC2">
        <w:rPr>
          <w:lang w:val="en-AU"/>
        </w:rPr>
        <w:t xml:space="preserve">, including </w:t>
      </w:r>
      <w:r w:rsidR="00CD72C6" w:rsidRPr="00207DC2">
        <w:rPr>
          <w:i/>
          <w:lang w:val="en-AU"/>
        </w:rPr>
        <w:t>valid non-attendance</w:t>
      </w:r>
      <w:r w:rsidR="00CD72C6" w:rsidRPr="00207DC2">
        <w:rPr>
          <w:lang w:val="en-AU"/>
        </w:rPr>
        <w:t>,</w:t>
      </w:r>
      <w:r w:rsidR="004119C6" w:rsidRPr="00207DC2">
        <w:rPr>
          <w:lang w:val="en-AU"/>
        </w:rPr>
        <w:t xml:space="preserve"> in selected weeks</w:t>
      </w:r>
      <w:r w:rsidR="00A67D0B" w:rsidRPr="00207DC2">
        <w:rPr>
          <w:lang w:val="en-AU"/>
        </w:rPr>
        <w:t>.</w:t>
      </w:r>
      <w:r w:rsidR="00CD72C6" w:rsidRPr="00207DC2" w:rsidDel="00CD72C6">
        <w:rPr>
          <w:lang w:val="en-AU"/>
        </w:rPr>
        <w:t xml:space="preserve"> </w:t>
      </w:r>
    </w:p>
    <w:p w14:paraId="6A0A2F2F" w14:textId="12A5E4BA" w:rsidR="001F19C4" w:rsidRPr="00207DC2" w:rsidRDefault="00B225BF" w:rsidP="00FB626D">
      <w:pPr>
        <w:pStyle w:val="tablenotes"/>
      </w:pPr>
      <w:r>
        <w:pict w14:anchorId="0124CCBC">
          <v:rect id="_x0000_i1039" style="width:0;height:1.5pt" o:hralign="center" o:hrstd="t" o:hr="t" fillcolor="#a0a0a0" stroked="f"/>
        </w:pict>
      </w:r>
    </w:p>
    <w:p w14:paraId="1FDB6B3C" w14:textId="17170AE8" w:rsidR="001F19C4" w:rsidRPr="00207DC2" w:rsidRDefault="001F19C4" w:rsidP="00FB626D">
      <w:pPr>
        <w:pStyle w:val="tablenotes"/>
        <w:rPr>
          <w:rStyle w:val="tablenotesChar"/>
          <w:i/>
        </w:rPr>
      </w:pPr>
      <w:r w:rsidRPr="00207DC2">
        <w:drawing>
          <wp:inline distT="0" distB="0" distL="0" distR="0" wp14:anchorId="2D3BB627" wp14:editId="3E7560C2">
            <wp:extent cx="5576239" cy="3064702"/>
            <wp:effectExtent l="0" t="0" r="5715" b="2540"/>
            <wp:docPr id="24" name="Picture 24" descr="The figure is a stacked area chart showing attendance patters across with five days of Work for the Dole attendance records in selected weeks between February 2016 and June 2017. Specifically, it shows the proportions of participants who, in the selected week, attended:&#10;- no days; &#10;- one to two days;&#10;- three to four days; or &#10;- all five days. &#10;&#10;The figures shows that, in a given week, more than half of all full-time Work for the Dole participants attend or have a valid reason for not attending across the week. Specifically:&#10;- 60 to 70 per cent attend or have a valid reason for not attending every day of the week; &#10;- 20 to 25 per cent have mixed attendance (between one and four days); and&#10;- 10 to 15 per cent of participants do not attend at all. &#10;" title="In a given week, over half of Work for the Dole participants attend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a:extLst>
                        <a:ext uri="{28A0092B-C50C-407E-A947-70E740481C1C}">
                          <a14:useLocalDpi xmlns:a14="http://schemas.microsoft.com/office/drawing/2010/main" val="0"/>
                        </a:ext>
                      </a:extLst>
                    </a:blip>
                    <a:srcRect t="969" r="1066" b="2367"/>
                    <a:stretch/>
                  </pic:blipFill>
                  <pic:spPr bwMode="auto">
                    <a:xfrm>
                      <a:off x="0" y="0"/>
                      <a:ext cx="5578609" cy="3066005"/>
                    </a:xfrm>
                    <a:prstGeom prst="rect">
                      <a:avLst/>
                    </a:prstGeom>
                    <a:noFill/>
                    <a:ln>
                      <a:noFill/>
                    </a:ln>
                    <a:extLst>
                      <a:ext uri="{53640926-AAD7-44D8-BBD7-CCE9431645EC}">
                        <a14:shadowObscured xmlns:a14="http://schemas.microsoft.com/office/drawing/2010/main"/>
                      </a:ext>
                    </a:extLst>
                  </pic:spPr>
                </pic:pic>
              </a:graphicData>
            </a:graphic>
          </wp:inline>
        </w:drawing>
      </w:r>
      <w:r w:rsidR="00B225BF">
        <w:pict w14:anchorId="2973B0EB">
          <v:rect id="_x0000_i1040" style="width:0;height:1.5pt" o:hralign="center" o:hrstd="t" o:hr="t" fillcolor="#a0a0a0" stroked="f"/>
        </w:pict>
      </w:r>
    </w:p>
    <w:p w14:paraId="48665994" w14:textId="001AD148" w:rsidR="00DF7D3E" w:rsidRPr="00207DC2" w:rsidRDefault="000A53B7" w:rsidP="00FB626D">
      <w:pPr>
        <w:pStyle w:val="tablenotes"/>
        <w:rPr>
          <w:rStyle w:val="tablenotesChar"/>
        </w:rPr>
      </w:pPr>
      <w:r w:rsidRPr="00207DC2">
        <w:rPr>
          <w:rStyle w:val="tablenotesChar"/>
          <w:i/>
        </w:rPr>
        <w:t>Source:</w:t>
      </w:r>
      <w:r w:rsidRPr="00207DC2">
        <w:rPr>
          <w:rStyle w:val="tablenotesChar"/>
        </w:rPr>
        <w:t xml:space="preserve"> </w:t>
      </w:r>
      <w:r w:rsidR="0057565A" w:rsidRPr="00207DC2">
        <w:t>PMC</w:t>
      </w:r>
      <w:r w:rsidR="00AA0B97" w:rsidRPr="00207DC2">
        <w:t xml:space="preserve"> estimates based on u</w:t>
      </w:r>
      <w:r w:rsidR="00360ABB" w:rsidRPr="00207DC2">
        <w:rPr>
          <w:rStyle w:val="tablenotesChar"/>
        </w:rPr>
        <w:t xml:space="preserve">npublished </w:t>
      </w:r>
      <w:r w:rsidRPr="00207DC2">
        <w:rPr>
          <w:rStyle w:val="tablenotesChar"/>
        </w:rPr>
        <w:t>ESS</w:t>
      </w:r>
      <w:r w:rsidR="00360ABB" w:rsidRPr="00207DC2">
        <w:rPr>
          <w:rStyle w:val="tablenotesChar"/>
        </w:rPr>
        <w:t xml:space="preserve"> operational data</w:t>
      </w:r>
      <w:r w:rsidRPr="00207DC2">
        <w:rPr>
          <w:rStyle w:val="tablenotesChar"/>
        </w:rPr>
        <w:t xml:space="preserve"> </w:t>
      </w:r>
      <w:r w:rsidR="00360ABB" w:rsidRPr="00207DC2">
        <w:rPr>
          <w:rStyle w:val="tablenotesChar"/>
        </w:rPr>
        <w:t>(</w:t>
      </w:r>
      <w:r w:rsidR="00AA0B97" w:rsidRPr="00207DC2">
        <w:rPr>
          <w:rStyle w:val="tablenotesChar"/>
        </w:rPr>
        <w:t>extracted on 7 November </w:t>
      </w:r>
      <w:r w:rsidRPr="00207DC2">
        <w:rPr>
          <w:rStyle w:val="tablenotesChar"/>
        </w:rPr>
        <w:t>2017</w:t>
      </w:r>
      <w:r w:rsidR="00360ABB" w:rsidRPr="00207DC2">
        <w:rPr>
          <w:rStyle w:val="tablenotesChar"/>
        </w:rPr>
        <w:t>)</w:t>
      </w:r>
      <w:r w:rsidRPr="00207DC2">
        <w:rPr>
          <w:rStyle w:val="tablenotesChar"/>
        </w:rPr>
        <w:t>.</w:t>
      </w:r>
      <w:r w:rsidR="003532EC" w:rsidRPr="00207DC2">
        <w:rPr>
          <w:rStyle w:val="tablenotesChar"/>
        </w:rPr>
        <w:t xml:space="preserve"> </w:t>
      </w:r>
    </w:p>
    <w:p w14:paraId="19874C59" w14:textId="6648C9FF" w:rsidR="000A53B7" w:rsidRPr="00207DC2" w:rsidRDefault="000A53B7" w:rsidP="00FB626D">
      <w:pPr>
        <w:pStyle w:val="tablenotes"/>
      </w:pPr>
      <w:r w:rsidRPr="00207DC2">
        <w:rPr>
          <w:i/>
        </w:rPr>
        <w:t>Notes:</w:t>
      </w:r>
      <w:r w:rsidRPr="00207DC2">
        <w:t xml:space="preserve"> </w:t>
      </w:r>
      <w:r w:rsidR="001E1BA6" w:rsidRPr="00207DC2">
        <w:t>(a)</w:t>
      </w:r>
      <w:r w:rsidRPr="00207DC2">
        <w:t xml:space="preserve"> </w:t>
      </w:r>
      <w:r w:rsidR="00C41AB1" w:rsidRPr="00207DC2">
        <w:t xml:space="preserve">The first </w:t>
      </w:r>
      <w:r w:rsidR="004119C6" w:rsidRPr="00207DC2">
        <w:t>six</w:t>
      </w:r>
      <w:r w:rsidR="00C41AB1" w:rsidRPr="00207DC2">
        <w:t xml:space="preserve"> months of</w:t>
      </w:r>
      <w:r w:rsidR="00610752" w:rsidRPr="00207DC2">
        <w:t xml:space="preserve"> the</w:t>
      </w:r>
      <w:r w:rsidR="00C41AB1" w:rsidRPr="00207DC2">
        <w:t xml:space="preserve"> CDP are excluded as record keeping was not sufficient to accurately estimate attendance rates. Estimates are based on daily attendance data for all CDP participants with </w:t>
      </w:r>
      <w:r w:rsidR="00FD13FF" w:rsidRPr="00207DC2">
        <w:t>non</w:t>
      </w:r>
      <w:r w:rsidR="00FD13FF" w:rsidRPr="00207DC2">
        <w:noBreakHyphen/>
        <w:t>zero expected hours in Work for the Dole activities. Expected hours are assumed to be zero if the participant is</w:t>
      </w:r>
      <w:r w:rsidR="00945ACC" w:rsidRPr="00207DC2">
        <w:t>, for example,</w:t>
      </w:r>
      <w:r w:rsidR="00FD13FF" w:rsidRPr="00207DC2">
        <w:t xml:space="preserve"> </w:t>
      </w:r>
      <w:r w:rsidR="00D56D1D" w:rsidRPr="00207DC2">
        <w:t>temporarily exempt</w:t>
      </w:r>
      <w:r w:rsidR="00945ACC" w:rsidRPr="00207DC2">
        <w:t>, or</w:t>
      </w:r>
      <w:r w:rsidR="00FD13FF" w:rsidRPr="00207DC2">
        <w:t xml:space="preserve"> not </w:t>
      </w:r>
      <w:r w:rsidR="000D3DED" w:rsidRPr="00207DC2">
        <w:t xml:space="preserve">required to attend </w:t>
      </w:r>
      <w:r w:rsidR="00FD13FF" w:rsidRPr="00207DC2">
        <w:t xml:space="preserve">Work for the Dole </w:t>
      </w:r>
      <w:r w:rsidR="00945ACC" w:rsidRPr="00207DC2">
        <w:t>and not</w:t>
      </w:r>
      <w:r w:rsidR="00FD13FF" w:rsidRPr="00207DC2">
        <w:t xml:space="preserve"> volunteering. Work for the Dole </w:t>
      </w:r>
      <w:r w:rsidR="001A1C4F" w:rsidRPr="00207DC2">
        <w:t xml:space="preserve">activity </w:t>
      </w:r>
      <w:r w:rsidR="00FD13FF" w:rsidRPr="00207DC2">
        <w:t xml:space="preserve">records include two sessions per day. Participants </w:t>
      </w:r>
      <w:r w:rsidR="00945ACC" w:rsidRPr="00207DC2">
        <w:t>were</w:t>
      </w:r>
      <w:r w:rsidR="00FD13FF" w:rsidRPr="00207DC2">
        <w:t xml:space="preserve"> recor</w:t>
      </w:r>
      <w:r w:rsidR="00945ACC" w:rsidRPr="00207DC2">
        <w:t>d</w:t>
      </w:r>
      <w:r w:rsidR="00FD13FF" w:rsidRPr="00207DC2">
        <w:t xml:space="preserve">ed as having </w:t>
      </w:r>
      <w:r w:rsidR="00FD13FF" w:rsidRPr="00207DC2">
        <w:rPr>
          <w:i/>
        </w:rPr>
        <w:t>partial attendance</w:t>
      </w:r>
      <w:r w:rsidR="00FD13FF" w:rsidRPr="00207DC2">
        <w:t xml:space="preserve"> if they attended </w:t>
      </w:r>
      <w:r w:rsidR="001A1C4F" w:rsidRPr="00207DC2">
        <w:t xml:space="preserve">at least </w:t>
      </w:r>
      <w:r w:rsidR="00FD13FF" w:rsidRPr="00207DC2">
        <w:t>one session</w:t>
      </w:r>
      <w:r w:rsidR="001A1C4F" w:rsidRPr="00207DC2">
        <w:t xml:space="preserve"> or activit</w:t>
      </w:r>
      <w:r w:rsidR="008B3312" w:rsidRPr="00207DC2">
        <w:t>y</w:t>
      </w:r>
      <w:r w:rsidR="009338F0" w:rsidRPr="00207DC2">
        <w:t xml:space="preserve"> on a given day</w:t>
      </w:r>
      <w:r w:rsidR="00FD13FF" w:rsidRPr="00207DC2">
        <w:t xml:space="preserve">. </w:t>
      </w:r>
      <w:r w:rsidR="00FD13FF" w:rsidRPr="00207DC2">
        <w:rPr>
          <w:i/>
        </w:rPr>
        <w:t>Partial attendance</w:t>
      </w:r>
      <w:r w:rsidR="00013355">
        <w:t xml:space="preserve"> a</w:t>
      </w:r>
      <w:r w:rsidR="00FD13FF" w:rsidRPr="00207DC2">
        <w:t>ffect</w:t>
      </w:r>
      <w:r w:rsidR="00406B9F" w:rsidRPr="00207DC2">
        <w:t>s only</w:t>
      </w:r>
      <w:r w:rsidR="00FD13FF" w:rsidRPr="00207DC2">
        <w:t xml:space="preserve"> a small number of records.</w:t>
      </w:r>
      <w:r w:rsidR="00945ACC" w:rsidRPr="00207DC2">
        <w:t xml:space="preserve"> </w:t>
      </w:r>
      <w:r w:rsidR="00807B6B" w:rsidRPr="00207DC2">
        <w:t>(b)</w:t>
      </w:r>
      <w:r w:rsidR="00094380" w:rsidRPr="00207DC2">
        <w:t xml:space="preserve"> </w:t>
      </w:r>
      <w:r w:rsidRPr="00207DC2">
        <w:t xml:space="preserve">Selected weeks are </w:t>
      </w:r>
      <w:r w:rsidR="000B640E" w:rsidRPr="00207DC2">
        <w:t xml:space="preserve">around </w:t>
      </w:r>
      <w:r w:rsidR="002D53AE" w:rsidRPr="00207DC2">
        <w:t>two months apa</w:t>
      </w:r>
      <w:r w:rsidR="00B15965" w:rsidRPr="00207DC2">
        <w:t>r</w:t>
      </w:r>
      <w:r w:rsidR="002D53AE" w:rsidRPr="00207DC2">
        <w:t>t (avoiding public holidays)</w:t>
      </w:r>
      <w:r w:rsidRPr="00207DC2">
        <w:t>.</w:t>
      </w:r>
      <w:r w:rsidR="004729D1" w:rsidRPr="00207DC2">
        <w:t xml:space="preserve"> </w:t>
      </w:r>
      <w:r w:rsidR="00406B9F" w:rsidRPr="00207DC2">
        <w:t>H</w:t>
      </w:r>
      <w:r w:rsidR="00807B6B" w:rsidRPr="00207DC2">
        <w:t>igh</w:t>
      </w:r>
      <w:r w:rsidR="007F398B" w:rsidRPr="00207DC2">
        <w:t xml:space="preserve"> attendance in December</w:t>
      </w:r>
      <w:r w:rsidR="00DA5657" w:rsidRPr="00207DC2">
        <w:t> </w:t>
      </w:r>
      <w:r w:rsidR="007F398B" w:rsidRPr="00207DC2">
        <w:t>2016 is due to</w:t>
      </w:r>
      <w:r w:rsidR="00D91C9B" w:rsidRPr="00207DC2">
        <w:t xml:space="preserve"> a</w:t>
      </w:r>
      <w:r w:rsidR="007F398B" w:rsidRPr="00207DC2">
        <w:t xml:space="preserve"> </w:t>
      </w:r>
      <w:r w:rsidR="00D91C9B" w:rsidRPr="00207DC2">
        <w:t xml:space="preserve">high level of </w:t>
      </w:r>
      <w:r w:rsidR="007F398B" w:rsidRPr="00207DC2">
        <w:rPr>
          <w:i/>
        </w:rPr>
        <w:t xml:space="preserve">valid </w:t>
      </w:r>
      <w:r w:rsidR="00C80A44" w:rsidRPr="00207DC2">
        <w:rPr>
          <w:i/>
        </w:rPr>
        <w:t>non-attendance</w:t>
      </w:r>
      <w:r w:rsidR="00C80A44" w:rsidRPr="00207DC2">
        <w:t xml:space="preserve"> </w:t>
      </w:r>
      <w:r w:rsidR="00406B9F" w:rsidRPr="00207DC2">
        <w:t>(approved leave) during this period</w:t>
      </w:r>
      <w:r w:rsidR="007F398B" w:rsidRPr="00207DC2">
        <w:t>.</w:t>
      </w:r>
      <w:r w:rsidR="00406B9F" w:rsidRPr="00207DC2">
        <w:t xml:space="preserve"> </w:t>
      </w:r>
    </w:p>
    <w:p w14:paraId="7688B40B" w14:textId="77777777" w:rsidR="00A430E4" w:rsidRPr="00207DC2" w:rsidRDefault="00A430E4" w:rsidP="00F35F78">
      <w:pPr>
        <w:pStyle w:val="ZED5"/>
        <w:outlineLvl w:val="3"/>
      </w:pPr>
      <w:bookmarkStart w:id="215" w:name="_Toc509412973"/>
      <w:bookmarkStart w:id="216" w:name="_Toc509587036"/>
      <w:bookmarkStart w:id="217" w:name="_Toc509588062"/>
      <w:bookmarkStart w:id="218" w:name="_Toc509588325"/>
      <w:bookmarkStart w:id="219" w:name="_Toc509589473"/>
      <w:bookmarkStart w:id="220" w:name="_Toc509926891"/>
      <w:bookmarkStart w:id="221" w:name="_Toc511661241"/>
      <w:bookmarkStart w:id="222" w:name="_Toc511826292"/>
      <w:bookmarkStart w:id="223" w:name="_Toc511940609"/>
      <w:bookmarkStart w:id="224" w:name="_Toc515185454"/>
      <w:bookmarkStart w:id="225" w:name="_Toc516219828"/>
      <w:bookmarkStart w:id="226" w:name="_Toc516220469"/>
      <w:bookmarkStart w:id="227" w:name="_Toc516223289"/>
      <w:bookmarkStart w:id="228" w:name="_Toc516225197"/>
      <w:bookmarkStart w:id="229" w:name="_Toc516228973"/>
      <w:bookmarkStart w:id="230" w:name="_Toc535935046"/>
      <w:r w:rsidRPr="00207DC2">
        <w:t>Factors that affect attendance at Work for</w:t>
      </w:r>
      <w:r w:rsidR="009F4A62" w:rsidRPr="00207DC2">
        <w:t xml:space="preserve"> the</w:t>
      </w:r>
      <w:r w:rsidRPr="00207DC2">
        <w:t xml:space="preserve"> Dole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07DC2">
        <w:t xml:space="preserve"> </w:t>
      </w:r>
    </w:p>
    <w:p w14:paraId="756FEF4C" w14:textId="77777777" w:rsidR="00B9412F" w:rsidRPr="00207DC2" w:rsidRDefault="00B9412F" w:rsidP="00B9412F">
      <w:pPr>
        <w:jc w:val="both"/>
        <w:rPr>
          <w:bCs/>
          <w:lang w:val="en-AU"/>
        </w:rPr>
      </w:pPr>
      <w:r w:rsidRPr="00207DC2">
        <w:rPr>
          <w:lang w:val="en-AU"/>
        </w:rPr>
        <w:t xml:space="preserve">While the overall attendance rate at Work for the Dole activities is stable over time, there is considerable variation in attendance </w:t>
      </w:r>
      <w:r w:rsidR="008E4F5D" w:rsidRPr="00207DC2">
        <w:rPr>
          <w:lang w:val="en-AU"/>
        </w:rPr>
        <w:t xml:space="preserve">between </w:t>
      </w:r>
      <w:r w:rsidRPr="00207DC2">
        <w:rPr>
          <w:lang w:val="en-AU"/>
        </w:rPr>
        <w:t>region</w:t>
      </w:r>
      <w:r w:rsidR="008E4F5D" w:rsidRPr="00207DC2">
        <w:rPr>
          <w:lang w:val="en-AU"/>
        </w:rPr>
        <w:t>s</w:t>
      </w:r>
      <w:r w:rsidRPr="00207DC2">
        <w:rPr>
          <w:lang w:val="en-AU"/>
        </w:rPr>
        <w:t xml:space="preserve"> and</w:t>
      </w:r>
      <w:r w:rsidR="008E4F5D" w:rsidRPr="00207DC2">
        <w:rPr>
          <w:lang w:val="en-AU"/>
        </w:rPr>
        <w:t xml:space="preserve"> between</w:t>
      </w:r>
      <w:r w:rsidRPr="00207DC2">
        <w:rPr>
          <w:lang w:val="en-AU"/>
        </w:rPr>
        <w:t xml:space="preserve"> individual</w:t>
      </w:r>
      <w:r w:rsidR="007F34B7" w:rsidRPr="00207DC2">
        <w:rPr>
          <w:lang w:val="en-AU"/>
        </w:rPr>
        <w:t>s</w:t>
      </w:r>
      <w:r w:rsidRPr="00207DC2">
        <w:rPr>
          <w:lang w:val="en-AU"/>
        </w:rPr>
        <w:t xml:space="preserve">. </w:t>
      </w:r>
    </w:p>
    <w:p w14:paraId="623C26A0" w14:textId="169D1F94" w:rsidR="00D35242" w:rsidRPr="00207DC2" w:rsidRDefault="000A53B7" w:rsidP="00D35242">
      <w:pPr>
        <w:jc w:val="both"/>
        <w:rPr>
          <w:lang w:val="en-AU"/>
        </w:rPr>
      </w:pPr>
      <w:r w:rsidRPr="00207DC2">
        <w:rPr>
          <w:lang w:val="en-AU"/>
        </w:rPr>
        <w:t xml:space="preserve">A range of factors </w:t>
      </w:r>
      <w:r w:rsidR="008E4F5D" w:rsidRPr="00207DC2">
        <w:rPr>
          <w:lang w:val="en-AU"/>
        </w:rPr>
        <w:t>are likely</w:t>
      </w:r>
      <w:r w:rsidRPr="00207DC2">
        <w:rPr>
          <w:lang w:val="en-AU"/>
        </w:rPr>
        <w:t xml:space="preserve"> to affect</w:t>
      </w:r>
      <w:r w:rsidR="009F4A62" w:rsidRPr="00207DC2">
        <w:rPr>
          <w:lang w:val="en-AU"/>
        </w:rPr>
        <w:t xml:space="preserve"> an</w:t>
      </w:r>
      <w:r w:rsidRPr="00207DC2">
        <w:rPr>
          <w:lang w:val="en-AU"/>
        </w:rPr>
        <w:t xml:space="preserve"> </w:t>
      </w:r>
      <w:r w:rsidR="002331D3" w:rsidRPr="00207DC2">
        <w:rPr>
          <w:lang w:val="en-AU"/>
        </w:rPr>
        <w:t>individual</w:t>
      </w:r>
      <w:r w:rsidR="00F8193F" w:rsidRPr="00207DC2">
        <w:rPr>
          <w:lang w:val="en-AU"/>
        </w:rPr>
        <w:t>’</w:t>
      </w:r>
      <w:r w:rsidR="00B9412F" w:rsidRPr="00207DC2">
        <w:rPr>
          <w:lang w:val="en-AU"/>
        </w:rPr>
        <w:t xml:space="preserve">s </w:t>
      </w:r>
      <w:r w:rsidR="00D00871" w:rsidRPr="00207DC2">
        <w:rPr>
          <w:lang w:val="en-AU"/>
        </w:rPr>
        <w:t xml:space="preserve">attendance and </w:t>
      </w:r>
      <w:r w:rsidRPr="00207DC2">
        <w:rPr>
          <w:lang w:val="en-AU"/>
        </w:rPr>
        <w:t xml:space="preserve">participation in </w:t>
      </w:r>
      <w:r w:rsidR="00856464" w:rsidRPr="00207DC2">
        <w:rPr>
          <w:lang w:val="en-AU"/>
        </w:rPr>
        <w:t xml:space="preserve">Work for </w:t>
      </w:r>
      <w:r w:rsidR="009F4A62" w:rsidRPr="00207DC2">
        <w:rPr>
          <w:lang w:val="en-AU"/>
        </w:rPr>
        <w:t xml:space="preserve">the </w:t>
      </w:r>
      <w:r w:rsidR="00856464" w:rsidRPr="00207DC2">
        <w:rPr>
          <w:lang w:val="en-AU"/>
        </w:rPr>
        <w:t>Dole</w:t>
      </w:r>
      <w:r w:rsidRPr="00207DC2">
        <w:rPr>
          <w:lang w:val="en-AU"/>
        </w:rPr>
        <w:t xml:space="preserve">. </w:t>
      </w:r>
      <w:r w:rsidR="00D35242" w:rsidRPr="00207DC2">
        <w:rPr>
          <w:bCs/>
          <w:lang w:val="en-AU"/>
        </w:rPr>
        <w:t>The quality of</w:t>
      </w:r>
      <w:r w:rsidR="00D35242" w:rsidRPr="00207DC2" w:rsidDel="00935BD1">
        <w:rPr>
          <w:bCs/>
          <w:lang w:val="en-AU"/>
        </w:rPr>
        <w:t xml:space="preserve"> </w:t>
      </w:r>
      <w:r w:rsidR="00D35242" w:rsidRPr="00207DC2">
        <w:rPr>
          <w:bCs/>
          <w:lang w:val="en-AU"/>
        </w:rPr>
        <w:t>activities,</w:t>
      </w:r>
      <w:r w:rsidR="00D35242" w:rsidRPr="00207DC2" w:rsidDel="00935BD1">
        <w:rPr>
          <w:bCs/>
          <w:lang w:val="en-AU"/>
        </w:rPr>
        <w:t xml:space="preserve"> and </w:t>
      </w:r>
      <w:r w:rsidR="00D35242" w:rsidRPr="00207DC2">
        <w:rPr>
          <w:bCs/>
          <w:lang w:val="en-AU"/>
        </w:rPr>
        <w:t xml:space="preserve">how well activities are </w:t>
      </w:r>
      <w:r w:rsidR="00D35242" w:rsidRPr="00207DC2">
        <w:rPr>
          <w:lang w:val="en-AU"/>
        </w:rPr>
        <w:t>matched with participant’s skills, interests, motivations and circumstances, can</w:t>
      </w:r>
      <w:r w:rsidR="00D35242" w:rsidRPr="00207DC2" w:rsidDel="00935BD1">
        <w:rPr>
          <w:lang w:val="en-AU"/>
        </w:rPr>
        <w:t xml:space="preserve"> </w:t>
      </w:r>
      <w:r w:rsidR="00013355">
        <w:rPr>
          <w:lang w:val="en-AU"/>
        </w:rPr>
        <w:t>a</w:t>
      </w:r>
      <w:r w:rsidR="00D35242" w:rsidRPr="00207DC2">
        <w:rPr>
          <w:lang w:val="en-AU"/>
        </w:rPr>
        <w:t xml:space="preserve">ffect </w:t>
      </w:r>
      <w:r w:rsidR="00E339CF" w:rsidRPr="00207DC2">
        <w:rPr>
          <w:lang w:val="en-AU"/>
        </w:rPr>
        <w:t>attendance and participation</w:t>
      </w:r>
      <w:r w:rsidR="00D35242" w:rsidRPr="00207DC2">
        <w:rPr>
          <w:bCs/>
          <w:lang w:val="en-AU"/>
        </w:rPr>
        <w:t xml:space="preserve"> in Work for the Dole </w:t>
      </w:r>
      <w:r w:rsidR="00D35242" w:rsidRPr="00207DC2">
        <w:rPr>
          <w:lang w:val="en-AU"/>
        </w:rPr>
        <w:t>(Social Research Centre 2015</w:t>
      </w:r>
      <w:r w:rsidR="00D35242" w:rsidRPr="00207DC2">
        <w:rPr>
          <w:bCs/>
          <w:lang w:val="en-AU"/>
        </w:rPr>
        <w:t>).</w:t>
      </w:r>
      <w:r w:rsidR="00D35242" w:rsidRPr="00207DC2">
        <w:rPr>
          <w:lang w:val="en-AU"/>
        </w:rPr>
        <w:t xml:space="preserve"> </w:t>
      </w:r>
    </w:p>
    <w:p w14:paraId="38A2B73F" w14:textId="2B21E781" w:rsidR="00134BED" w:rsidRPr="00207DC2" w:rsidRDefault="000A53B7" w:rsidP="000E71E9">
      <w:pPr>
        <w:jc w:val="both"/>
        <w:rPr>
          <w:lang w:val="en-AU"/>
        </w:rPr>
      </w:pPr>
      <w:r w:rsidRPr="00207DC2">
        <w:rPr>
          <w:lang w:val="en-AU"/>
        </w:rPr>
        <w:t xml:space="preserve">Barriers to employment such as </w:t>
      </w:r>
      <w:r w:rsidR="00C50FD7" w:rsidRPr="00207DC2">
        <w:rPr>
          <w:lang w:val="en-AU"/>
        </w:rPr>
        <w:t xml:space="preserve">disability, </w:t>
      </w:r>
      <w:r w:rsidRPr="00207DC2">
        <w:rPr>
          <w:bCs/>
          <w:lang w:val="en-AU"/>
        </w:rPr>
        <w:t>poor physical and mental health</w:t>
      </w:r>
      <w:r w:rsidR="00853E19" w:rsidRPr="00207DC2">
        <w:rPr>
          <w:bCs/>
          <w:lang w:val="en-AU"/>
        </w:rPr>
        <w:t>,</w:t>
      </w:r>
      <w:r w:rsidRPr="00207DC2">
        <w:rPr>
          <w:bCs/>
          <w:lang w:val="en-AU"/>
        </w:rPr>
        <w:t xml:space="preserve"> caring responsibilities</w:t>
      </w:r>
      <w:r w:rsidR="00C50FD7" w:rsidRPr="00207DC2">
        <w:rPr>
          <w:bCs/>
          <w:lang w:val="en-AU"/>
        </w:rPr>
        <w:t xml:space="preserve"> </w:t>
      </w:r>
      <w:r w:rsidR="00856464" w:rsidRPr="00207DC2">
        <w:rPr>
          <w:bCs/>
          <w:lang w:val="en-AU"/>
        </w:rPr>
        <w:t>and transport issues</w:t>
      </w:r>
      <w:r w:rsidR="000D4AFB" w:rsidRPr="00207DC2">
        <w:rPr>
          <w:bCs/>
          <w:lang w:val="en-AU"/>
        </w:rPr>
        <w:t xml:space="preserve"> </w:t>
      </w:r>
      <w:r w:rsidRPr="00207DC2">
        <w:rPr>
          <w:lang w:val="en-AU"/>
        </w:rPr>
        <w:t xml:space="preserve">are </w:t>
      </w:r>
      <w:r w:rsidRPr="00207DC2" w:rsidDel="00A50FCD">
        <w:rPr>
          <w:lang w:val="en-AU"/>
        </w:rPr>
        <w:t xml:space="preserve">also </w:t>
      </w:r>
      <w:r w:rsidRPr="00207DC2">
        <w:rPr>
          <w:lang w:val="en-AU"/>
        </w:rPr>
        <w:t>potential</w:t>
      </w:r>
      <w:r w:rsidRPr="00207DC2">
        <w:rPr>
          <w:bCs/>
          <w:lang w:val="en-AU"/>
        </w:rPr>
        <w:t xml:space="preserve"> barriers to participating in Work for the Dole</w:t>
      </w:r>
      <w:r w:rsidR="00923895" w:rsidRPr="00207DC2">
        <w:rPr>
          <w:bCs/>
          <w:lang w:val="en-AU"/>
        </w:rPr>
        <w:t xml:space="preserve"> activities</w:t>
      </w:r>
      <w:r w:rsidR="009F4A62" w:rsidRPr="00207DC2">
        <w:rPr>
          <w:bCs/>
          <w:lang w:val="en-AU"/>
        </w:rPr>
        <w:t xml:space="preserve"> (OECD 2017; </w:t>
      </w:r>
      <w:r w:rsidR="009F4A62" w:rsidRPr="00207DC2">
        <w:rPr>
          <w:lang w:val="en-AU"/>
        </w:rPr>
        <w:t>Social Research Centre 2015</w:t>
      </w:r>
      <w:r w:rsidR="001E1192" w:rsidRPr="00207DC2">
        <w:rPr>
          <w:lang w:val="en-AU"/>
        </w:rPr>
        <w:t>;</w:t>
      </w:r>
      <w:r w:rsidR="009F4A62" w:rsidRPr="00207DC2">
        <w:rPr>
          <w:bCs/>
          <w:lang w:val="en-AU"/>
        </w:rPr>
        <w:t xml:space="preserve"> Ziguras and Kleidon 2005)</w:t>
      </w:r>
      <w:r w:rsidRPr="00207DC2">
        <w:rPr>
          <w:bCs/>
          <w:lang w:val="en-AU"/>
        </w:rPr>
        <w:t>.</w:t>
      </w:r>
      <w:r w:rsidR="00334C6C" w:rsidRPr="00207DC2">
        <w:rPr>
          <w:bCs/>
          <w:lang w:val="en-AU"/>
        </w:rPr>
        <w:t xml:space="preserve"> </w:t>
      </w:r>
      <w:r w:rsidR="00767570" w:rsidRPr="00207DC2">
        <w:rPr>
          <w:bCs/>
          <w:lang w:val="en-AU"/>
        </w:rPr>
        <w:t>Under CDP</w:t>
      </w:r>
      <w:r w:rsidR="00334C6C" w:rsidRPr="00207DC2">
        <w:rPr>
          <w:bCs/>
          <w:lang w:val="en-AU"/>
        </w:rPr>
        <w:t xml:space="preserve">, </w:t>
      </w:r>
      <w:r w:rsidR="005F2FE8" w:rsidRPr="00207DC2">
        <w:rPr>
          <w:lang w:val="en-AU"/>
        </w:rPr>
        <w:t>these employment b</w:t>
      </w:r>
      <w:r w:rsidR="00334C6C" w:rsidRPr="00207DC2">
        <w:rPr>
          <w:lang w:val="en-AU"/>
        </w:rPr>
        <w:t>arriers</w:t>
      </w:r>
      <w:r w:rsidR="005F2FE8" w:rsidRPr="00207DC2">
        <w:rPr>
          <w:lang w:val="en-AU"/>
        </w:rPr>
        <w:t xml:space="preserve"> were often reported as valid reasons for non-attendance at Work for the Dole</w:t>
      </w:r>
      <w:r w:rsidR="00767570" w:rsidRPr="00207DC2">
        <w:rPr>
          <w:lang w:val="en-AU"/>
        </w:rPr>
        <w:t>, with</w:t>
      </w:r>
      <w:r w:rsidR="00271BBB" w:rsidRPr="00207DC2">
        <w:rPr>
          <w:lang w:val="en-AU"/>
        </w:rPr>
        <w:t xml:space="preserve"> </w:t>
      </w:r>
      <w:r w:rsidR="005F2FE8" w:rsidRPr="00207DC2">
        <w:rPr>
          <w:lang w:val="en-AU"/>
        </w:rPr>
        <w:t>medical or health reasons, caring duties</w:t>
      </w:r>
      <w:r w:rsidR="00D621C4" w:rsidRPr="00207DC2">
        <w:rPr>
          <w:lang w:val="en-AU"/>
        </w:rPr>
        <w:t>,</w:t>
      </w:r>
      <w:r w:rsidR="005F2FE8" w:rsidRPr="00207DC2">
        <w:rPr>
          <w:lang w:val="en-AU"/>
        </w:rPr>
        <w:t xml:space="preserve"> and transport issues together account</w:t>
      </w:r>
      <w:r w:rsidR="00285D97">
        <w:rPr>
          <w:lang w:val="en-AU"/>
        </w:rPr>
        <w:t>ing</w:t>
      </w:r>
      <w:r w:rsidR="005F2FE8" w:rsidRPr="00207DC2">
        <w:rPr>
          <w:lang w:val="en-AU"/>
        </w:rPr>
        <w:t xml:space="preserve"> for 17</w:t>
      </w:r>
      <w:r w:rsidR="00D35C8E" w:rsidRPr="00207DC2">
        <w:rPr>
          <w:lang w:val="en-AU"/>
        </w:rPr>
        <w:t> </w:t>
      </w:r>
      <w:r w:rsidR="005F2FE8" w:rsidRPr="00207DC2">
        <w:rPr>
          <w:lang w:val="en-AU"/>
        </w:rPr>
        <w:t>per</w:t>
      </w:r>
      <w:r w:rsidR="00D35C8E" w:rsidRPr="00207DC2">
        <w:rPr>
          <w:lang w:val="en-AU"/>
        </w:rPr>
        <w:t> </w:t>
      </w:r>
      <w:r w:rsidR="005F2FE8" w:rsidRPr="00207DC2">
        <w:rPr>
          <w:lang w:val="en-AU"/>
        </w:rPr>
        <w:t>cent of all</w:t>
      </w:r>
      <w:r w:rsidR="00CF6692" w:rsidRPr="00207DC2">
        <w:rPr>
          <w:lang w:val="en-AU"/>
        </w:rPr>
        <w:t xml:space="preserve"> </w:t>
      </w:r>
      <w:r w:rsidR="006B7144" w:rsidRPr="00207DC2">
        <w:rPr>
          <w:lang w:val="en-AU"/>
        </w:rPr>
        <w:t xml:space="preserve">valid </w:t>
      </w:r>
      <w:r w:rsidR="00CF6692" w:rsidRPr="00207DC2">
        <w:rPr>
          <w:lang w:val="en-AU"/>
        </w:rPr>
        <w:t>reasons for</w:t>
      </w:r>
      <w:r w:rsidR="00334C6C" w:rsidRPr="00207DC2">
        <w:rPr>
          <w:lang w:val="en-AU"/>
        </w:rPr>
        <w:t xml:space="preserve"> </w:t>
      </w:r>
      <w:r w:rsidR="00935D4A" w:rsidRPr="00207DC2">
        <w:rPr>
          <w:lang w:val="en-AU"/>
        </w:rPr>
        <w:t>non</w:t>
      </w:r>
      <w:r w:rsidR="00CC4B0F" w:rsidRPr="00207DC2">
        <w:rPr>
          <w:lang w:val="en-AU"/>
        </w:rPr>
        <w:noBreakHyphen/>
      </w:r>
      <w:r w:rsidR="00935D4A" w:rsidRPr="00207DC2">
        <w:rPr>
          <w:lang w:val="en-AU"/>
        </w:rPr>
        <w:t xml:space="preserve">attendance </w:t>
      </w:r>
      <w:r w:rsidR="00334C6C" w:rsidRPr="00207DC2">
        <w:rPr>
          <w:lang w:val="en-AU"/>
        </w:rPr>
        <w:t>in June 2017</w:t>
      </w:r>
      <w:r w:rsidR="008E4F5D" w:rsidRPr="00207DC2">
        <w:rPr>
          <w:lang w:val="en-AU"/>
        </w:rPr>
        <w:t xml:space="preserve"> (Table</w:t>
      </w:r>
      <w:r w:rsidR="00D35C8E" w:rsidRPr="00207DC2">
        <w:rPr>
          <w:lang w:val="en-AU"/>
        </w:rPr>
        <w:t> </w:t>
      </w:r>
      <w:r w:rsidR="008E4F5D" w:rsidRPr="00207DC2">
        <w:rPr>
          <w:lang w:val="en-AU"/>
        </w:rPr>
        <w:t>2.</w:t>
      </w:r>
      <w:r w:rsidR="00443B2E" w:rsidRPr="00207DC2">
        <w:rPr>
          <w:lang w:val="en-AU"/>
        </w:rPr>
        <w:t>2</w:t>
      </w:r>
      <w:r w:rsidR="008E4F5D" w:rsidRPr="00207DC2">
        <w:rPr>
          <w:lang w:val="en-AU"/>
        </w:rPr>
        <w:t>)</w:t>
      </w:r>
      <w:r w:rsidR="005F2FE8" w:rsidRPr="00207DC2">
        <w:rPr>
          <w:lang w:val="en-AU"/>
        </w:rPr>
        <w:t>.</w:t>
      </w:r>
    </w:p>
    <w:p w14:paraId="555CADAC" w14:textId="7418D4CA" w:rsidR="00303FD4" w:rsidRPr="00207DC2" w:rsidRDefault="001A4ECB" w:rsidP="000E71E9">
      <w:pPr>
        <w:jc w:val="both"/>
        <w:rPr>
          <w:lang w:val="en-AU"/>
        </w:rPr>
      </w:pPr>
      <w:r w:rsidRPr="00207DC2">
        <w:rPr>
          <w:lang w:val="en-AU"/>
        </w:rPr>
        <w:t xml:space="preserve">Modelling </w:t>
      </w:r>
      <w:r w:rsidR="0069139E" w:rsidRPr="00207DC2">
        <w:rPr>
          <w:lang w:val="en-AU"/>
        </w:rPr>
        <w:t xml:space="preserve">suggests </w:t>
      </w:r>
      <w:r w:rsidR="00801D2A" w:rsidRPr="00207DC2">
        <w:rPr>
          <w:lang w:val="en-AU"/>
        </w:rPr>
        <w:t>an a</w:t>
      </w:r>
      <w:r w:rsidR="006E4216" w:rsidRPr="00207DC2">
        <w:rPr>
          <w:lang w:val="en-AU"/>
        </w:rPr>
        <w:t xml:space="preserve">ssociation </w:t>
      </w:r>
      <w:r w:rsidR="00801D2A" w:rsidRPr="00207DC2">
        <w:rPr>
          <w:lang w:val="en-AU"/>
        </w:rPr>
        <w:t>between</w:t>
      </w:r>
      <w:r w:rsidR="0069139E" w:rsidRPr="00207DC2">
        <w:rPr>
          <w:lang w:val="en-AU"/>
        </w:rPr>
        <w:t xml:space="preserve"> the </w:t>
      </w:r>
      <w:r w:rsidRPr="00207DC2">
        <w:rPr>
          <w:lang w:val="en-AU"/>
        </w:rPr>
        <w:t xml:space="preserve">characteristics and circumstances of </w:t>
      </w:r>
      <w:r w:rsidR="0041634A" w:rsidRPr="00207DC2">
        <w:rPr>
          <w:lang w:val="en-AU"/>
        </w:rPr>
        <w:t xml:space="preserve">CDP participants </w:t>
      </w:r>
      <w:r w:rsidR="00801D2A" w:rsidRPr="00207DC2">
        <w:rPr>
          <w:lang w:val="en-AU"/>
        </w:rPr>
        <w:t xml:space="preserve">and </w:t>
      </w:r>
      <w:r w:rsidR="0041634A" w:rsidRPr="00207DC2">
        <w:rPr>
          <w:lang w:val="en-AU"/>
        </w:rPr>
        <w:t xml:space="preserve">their </w:t>
      </w:r>
      <w:r w:rsidRPr="00207DC2">
        <w:rPr>
          <w:lang w:val="en-AU"/>
        </w:rPr>
        <w:t>attendance at activities</w:t>
      </w:r>
      <w:r w:rsidR="0069139E" w:rsidRPr="00207DC2">
        <w:rPr>
          <w:lang w:val="en-AU"/>
        </w:rPr>
        <w:t xml:space="preserve"> (</w:t>
      </w:r>
      <w:r w:rsidR="00E52D24" w:rsidRPr="00207DC2">
        <w:rPr>
          <w:lang w:val="en-AU"/>
        </w:rPr>
        <w:t>Table 2.3</w:t>
      </w:r>
      <w:r w:rsidR="009F4A62" w:rsidRPr="00207DC2">
        <w:rPr>
          <w:lang w:val="en-AU"/>
        </w:rPr>
        <w:t xml:space="preserve"> and</w:t>
      </w:r>
      <w:r w:rsidR="00E52D24" w:rsidRPr="00207DC2">
        <w:rPr>
          <w:lang w:val="en-AU"/>
        </w:rPr>
        <w:t xml:space="preserve"> </w:t>
      </w:r>
      <w:r w:rsidR="004A7FF3" w:rsidRPr="00207DC2">
        <w:rPr>
          <w:lang w:val="en-AU"/>
        </w:rPr>
        <w:t>Appendix B</w:t>
      </w:r>
      <w:r w:rsidR="0069139E" w:rsidRPr="00207DC2">
        <w:rPr>
          <w:lang w:val="en-AU"/>
        </w:rPr>
        <w:t>).</w:t>
      </w:r>
      <w:r w:rsidR="00D0006C" w:rsidRPr="00207DC2">
        <w:rPr>
          <w:rStyle w:val="FootnoteReference"/>
          <w:lang w:val="en-AU"/>
        </w:rPr>
        <w:footnoteReference w:id="22"/>
      </w:r>
      <w:r w:rsidR="0069139E" w:rsidRPr="00207DC2">
        <w:rPr>
          <w:lang w:val="en-AU"/>
        </w:rPr>
        <w:t xml:space="preserve"> </w:t>
      </w:r>
      <w:r w:rsidR="006E7CB5" w:rsidRPr="00207DC2">
        <w:rPr>
          <w:lang w:val="en-AU"/>
        </w:rPr>
        <w:t>T</w:t>
      </w:r>
      <w:r w:rsidR="008E4F5D" w:rsidRPr="00207DC2">
        <w:rPr>
          <w:lang w:val="en-AU"/>
        </w:rPr>
        <w:t xml:space="preserve">wo </w:t>
      </w:r>
      <w:r w:rsidR="006E7CB5" w:rsidRPr="00207DC2">
        <w:rPr>
          <w:lang w:val="en-AU"/>
        </w:rPr>
        <w:t>attendance</w:t>
      </w:r>
      <w:r w:rsidR="008E4F5D" w:rsidRPr="00207DC2">
        <w:rPr>
          <w:lang w:val="en-AU"/>
        </w:rPr>
        <w:t xml:space="preserve"> outcomes </w:t>
      </w:r>
      <w:r w:rsidR="00B2148F" w:rsidRPr="00207DC2">
        <w:rPr>
          <w:lang w:val="en-AU"/>
        </w:rPr>
        <w:t>were</w:t>
      </w:r>
      <w:r w:rsidR="008E4F5D" w:rsidRPr="00207DC2">
        <w:rPr>
          <w:lang w:val="en-AU"/>
        </w:rPr>
        <w:t xml:space="preserve"> modelled</w:t>
      </w:r>
      <w:r w:rsidR="009605CD" w:rsidRPr="00207DC2">
        <w:rPr>
          <w:lang w:val="en-AU"/>
        </w:rPr>
        <w:t>:</w:t>
      </w:r>
      <w:r w:rsidR="00A95B7B" w:rsidRPr="00207DC2">
        <w:rPr>
          <w:lang w:val="en-AU"/>
        </w:rPr>
        <w:t xml:space="preserve"> </w:t>
      </w:r>
    </w:p>
    <w:p w14:paraId="5F7F8BC1" w14:textId="129FFB8B" w:rsidR="00303FD4" w:rsidRPr="00207DC2" w:rsidRDefault="009458D2" w:rsidP="00F90446">
      <w:pPr>
        <w:pStyle w:val="ListParagraph"/>
        <w:numPr>
          <w:ilvl w:val="0"/>
          <w:numId w:val="24"/>
        </w:numPr>
        <w:jc w:val="both"/>
        <w:rPr>
          <w:lang w:val="en-AU"/>
        </w:rPr>
      </w:pPr>
      <w:r w:rsidRPr="00207DC2">
        <w:rPr>
          <w:lang w:val="en-AU"/>
        </w:rPr>
        <w:t xml:space="preserve">the proportion of </w:t>
      </w:r>
      <w:r w:rsidR="00A95B7B" w:rsidRPr="00207DC2">
        <w:rPr>
          <w:lang w:val="en-AU"/>
        </w:rPr>
        <w:t xml:space="preserve">a </w:t>
      </w:r>
      <w:r w:rsidRPr="00207DC2">
        <w:rPr>
          <w:lang w:val="en-AU"/>
        </w:rPr>
        <w:t>participant</w:t>
      </w:r>
      <w:r w:rsidR="00A95B7B" w:rsidRPr="00207DC2">
        <w:rPr>
          <w:lang w:val="en-AU"/>
        </w:rPr>
        <w:t>’</w:t>
      </w:r>
      <w:r w:rsidRPr="00207DC2">
        <w:rPr>
          <w:lang w:val="en-AU"/>
        </w:rPr>
        <w:t>s attenda</w:t>
      </w:r>
      <w:r w:rsidR="00853E19" w:rsidRPr="00207DC2">
        <w:rPr>
          <w:lang w:val="en-AU"/>
        </w:rPr>
        <w:t>nce records</w:t>
      </w:r>
      <w:r w:rsidR="00A95B7B" w:rsidRPr="00207DC2">
        <w:rPr>
          <w:lang w:val="en-AU"/>
        </w:rPr>
        <w:t xml:space="preserve"> </w:t>
      </w:r>
      <w:r w:rsidR="004F16D1" w:rsidRPr="00207DC2">
        <w:rPr>
          <w:lang w:val="en-AU"/>
        </w:rPr>
        <w:t xml:space="preserve">over </w:t>
      </w:r>
      <w:r w:rsidR="002E5079" w:rsidRPr="00207DC2">
        <w:rPr>
          <w:lang w:val="en-AU"/>
        </w:rPr>
        <w:t>a</w:t>
      </w:r>
      <w:r w:rsidR="004F16D1" w:rsidRPr="00207DC2">
        <w:rPr>
          <w:lang w:val="en-AU"/>
        </w:rPr>
        <w:t xml:space="preserve"> year</w:t>
      </w:r>
      <w:r w:rsidR="00A95B7B" w:rsidRPr="00207DC2">
        <w:rPr>
          <w:lang w:val="en-AU"/>
        </w:rPr>
        <w:t xml:space="preserve"> </w:t>
      </w:r>
      <w:r w:rsidR="002E5079" w:rsidRPr="00207DC2">
        <w:rPr>
          <w:lang w:val="en-AU"/>
        </w:rPr>
        <w:t>(2016)</w:t>
      </w:r>
      <w:r w:rsidR="00A95B7B" w:rsidRPr="00207DC2">
        <w:rPr>
          <w:lang w:val="en-AU"/>
        </w:rPr>
        <w:t xml:space="preserve"> </w:t>
      </w:r>
      <w:r w:rsidR="00853E19" w:rsidRPr="00207DC2">
        <w:rPr>
          <w:lang w:val="en-AU"/>
        </w:rPr>
        <w:t xml:space="preserve">that were </w:t>
      </w:r>
      <w:r w:rsidR="004F16D1" w:rsidRPr="00207DC2">
        <w:rPr>
          <w:lang w:val="en-AU"/>
        </w:rPr>
        <w:t xml:space="preserve">recorded as </w:t>
      </w:r>
      <w:r w:rsidR="00853E19" w:rsidRPr="00013355">
        <w:rPr>
          <w:i/>
          <w:lang w:val="en-AU"/>
        </w:rPr>
        <w:t>attended</w:t>
      </w:r>
    </w:p>
    <w:p w14:paraId="3B215703" w14:textId="348068E3" w:rsidR="001858A5" w:rsidRPr="00207DC2" w:rsidRDefault="009458D2" w:rsidP="00F90446">
      <w:pPr>
        <w:pStyle w:val="ListParagraph"/>
        <w:numPr>
          <w:ilvl w:val="0"/>
          <w:numId w:val="24"/>
        </w:numPr>
        <w:jc w:val="both"/>
        <w:rPr>
          <w:lang w:val="en-AU"/>
        </w:rPr>
      </w:pPr>
      <w:r w:rsidRPr="00207DC2">
        <w:rPr>
          <w:lang w:val="en-AU"/>
        </w:rPr>
        <w:t xml:space="preserve">the proportion </w:t>
      </w:r>
      <w:r w:rsidR="00767570" w:rsidRPr="00207DC2">
        <w:rPr>
          <w:lang w:val="en-AU"/>
        </w:rPr>
        <w:t xml:space="preserve">of a participant’s attendance records over a year (2016) </w:t>
      </w:r>
      <w:r w:rsidR="00853E19" w:rsidRPr="00207DC2">
        <w:rPr>
          <w:lang w:val="en-AU"/>
        </w:rPr>
        <w:t>that were</w:t>
      </w:r>
      <w:r w:rsidR="00C33572" w:rsidRPr="00207DC2">
        <w:rPr>
          <w:lang w:val="en-AU"/>
        </w:rPr>
        <w:t xml:space="preserve"> recorded as </w:t>
      </w:r>
      <w:r w:rsidR="00C33572" w:rsidRPr="00207DC2">
        <w:rPr>
          <w:i/>
          <w:lang w:val="en-AU"/>
        </w:rPr>
        <w:t>invalid</w:t>
      </w:r>
      <w:r w:rsidR="00853E19" w:rsidRPr="00207DC2">
        <w:rPr>
          <w:i/>
          <w:lang w:val="en-AU"/>
        </w:rPr>
        <w:t xml:space="preserve"> </w:t>
      </w:r>
      <w:r w:rsidRPr="00207DC2">
        <w:rPr>
          <w:i/>
          <w:lang w:val="en-AU"/>
        </w:rPr>
        <w:t>no</w:t>
      </w:r>
      <w:r w:rsidR="00C33572" w:rsidRPr="00207DC2">
        <w:rPr>
          <w:i/>
          <w:lang w:val="en-AU"/>
        </w:rPr>
        <w:t>n</w:t>
      </w:r>
      <w:r w:rsidR="00C33572" w:rsidRPr="00207DC2">
        <w:rPr>
          <w:i/>
          <w:lang w:val="en-AU"/>
        </w:rPr>
        <w:noBreakHyphen/>
      </w:r>
      <w:r w:rsidRPr="00207DC2">
        <w:rPr>
          <w:i/>
          <w:lang w:val="en-AU"/>
        </w:rPr>
        <w:t>attend</w:t>
      </w:r>
      <w:r w:rsidR="00C33572" w:rsidRPr="00207DC2">
        <w:rPr>
          <w:i/>
          <w:lang w:val="en-AU"/>
        </w:rPr>
        <w:t>ance</w:t>
      </w:r>
      <w:r w:rsidRPr="00207DC2">
        <w:rPr>
          <w:lang w:val="en-AU"/>
        </w:rPr>
        <w:t>.</w:t>
      </w:r>
      <w:r w:rsidR="00A95B7B" w:rsidRPr="00207DC2">
        <w:rPr>
          <w:lang w:val="en-AU"/>
        </w:rPr>
        <w:t xml:space="preserve"> </w:t>
      </w:r>
      <w:r w:rsidR="00E0387D" w:rsidRPr="00207DC2">
        <w:rPr>
          <w:lang w:val="en-AU"/>
        </w:rPr>
        <w:t>(</w:t>
      </w:r>
      <w:r w:rsidR="00A95B7B" w:rsidRPr="00207DC2">
        <w:rPr>
          <w:lang w:val="en-AU"/>
        </w:rPr>
        <w:t xml:space="preserve">The </w:t>
      </w:r>
      <w:r w:rsidR="00CF6692" w:rsidRPr="00207DC2">
        <w:rPr>
          <w:lang w:val="en-AU"/>
        </w:rPr>
        <w:t xml:space="preserve">majority of </w:t>
      </w:r>
      <w:r w:rsidR="00A95B7B" w:rsidRPr="00207DC2" w:rsidDel="00CF6692">
        <w:rPr>
          <w:lang w:val="en-AU"/>
        </w:rPr>
        <w:t>remaining</w:t>
      </w:r>
      <w:r w:rsidR="00767570" w:rsidRPr="00207DC2">
        <w:rPr>
          <w:lang w:val="en-AU"/>
        </w:rPr>
        <w:t xml:space="preserve"> </w:t>
      </w:r>
      <w:r w:rsidR="00A95B7B" w:rsidRPr="00207DC2">
        <w:rPr>
          <w:lang w:val="en-AU"/>
        </w:rPr>
        <w:t xml:space="preserve">attendance records were </w:t>
      </w:r>
      <w:r w:rsidR="00767570" w:rsidRPr="00207DC2">
        <w:rPr>
          <w:lang w:val="en-AU"/>
        </w:rPr>
        <w:t xml:space="preserve">recorded as </w:t>
      </w:r>
      <w:r w:rsidR="00A95B7B" w:rsidRPr="00207DC2">
        <w:rPr>
          <w:i/>
          <w:lang w:val="en-AU"/>
        </w:rPr>
        <w:t xml:space="preserve">valid </w:t>
      </w:r>
      <w:r w:rsidR="00271BBB" w:rsidRPr="00207DC2">
        <w:rPr>
          <w:i/>
          <w:lang w:val="en-AU"/>
        </w:rPr>
        <w:t>non-attendance</w:t>
      </w:r>
      <w:r w:rsidR="00CC4B0F" w:rsidRPr="00207DC2">
        <w:rPr>
          <w:lang w:val="en-AU"/>
        </w:rPr>
        <w:t>.</w:t>
      </w:r>
      <w:r w:rsidR="008E4F5D" w:rsidRPr="00207DC2">
        <w:rPr>
          <w:lang w:val="en-AU"/>
        </w:rPr>
        <w:t xml:space="preserve">) </w:t>
      </w:r>
    </w:p>
    <w:p w14:paraId="0913D726" w14:textId="77777777" w:rsidR="0041634A" w:rsidRPr="00207DC2" w:rsidRDefault="0048348A" w:rsidP="00726236">
      <w:pPr>
        <w:tabs>
          <w:tab w:val="left" w:pos="4678"/>
        </w:tabs>
        <w:jc w:val="both"/>
        <w:rPr>
          <w:lang w:val="en-AU"/>
        </w:rPr>
      </w:pPr>
      <w:r w:rsidRPr="00207DC2">
        <w:rPr>
          <w:lang w:val="en-AU"/>
        </w:rPr>
        <w:t>W</w:t>
      </w:r>
      <w:r w:rsidR="00622111" w:rsidRPr="00207DC2">
        <w:rPr>
          <w:lang w:val="en-AU"/>
        </w:rPr>
        <w:t>hile the quality of activities provide</w:t>
      </w:r>
      <w:r w:rsidR="00856464" w:rsidRPr="00207DC2">
        <w:rPr>
          <w:lang w:val="en-AU"/>
        </w:rPr>
        <w:t>d</w:t>
      </w:r>
      <w:r w:rsidR="00622111" w:rsidRPr="00207DC2">
        <w:rPr>
          <w:lang w:val="en-AU"/>
        </w:rPr>
        <w:t xml:space="preserve"> are likely to be an important </w:t>
      </w:r>
      <w:r w:rsidR="00DF16B6" w:rsidRPr="00207DC2">
        <w:rPr>
          <w:lang w:val="en-AU"/>
        </w:rPr>
        <w:t>i</w:t>
      </w:r>
      <w:r w:rsidR="00622111" w:rsidRPr="00207DC2">
        <w:rPr>
          <w:lang w:val="en-AU"/>
        </w:rPr>
        <w:t xml:space="preserve">nfluence </w:t>
      </w:r>
      <w:r w:rsidR="00856464" w:rsidRPr="00207DC2">
        <w:rPr>
          <w:lang w:val="en-AU"/>
        </w:rPr>
        <w:t xml:space="preserve">on </w:t>
      </w:r>
      <w:r w:rsidR="00622111" w:rsidRPr="00207DC2">
        <w:rPr>
          <w:lang w:val="en-AU"/>
        </w:rPr>
        <w:t>attendance (</w:t>
      </w:r>
      <w:r w:rsidR="00697B49" w:rsidRPr="00207DC2">
        <w:rPr>
          <w:lang w:val="en-AU"/>
        </w:rPr>
        <w:t>Winangali</w:t>
      </w:r>
      <w:r w:rsidR="001952B9" w:rsidRPr="00207DC2">
        <w:rPr>
          <w:lang w:val="en-AU"/>
        </w:rPr>
        <w:t xml:space="preserve"> and Ipsos</w:t>
      </w:r>
      <w:r w:rsidR="00870796" w:rsidRPr="00207DC2">
        <w:rPr>
          <w:lang w:val="en-AU"/>
        </w:rPr>
        <w:t xml:space="preserve"> 2018</w:t>
      </w:r>
      <w:r w:rsidR="00622111" w:rsidRPr="00207DC2">
        <w:rPr>
          <w:lang w:val="en-AU"/>
        </w:rPr>
        <w:t xml:space="preserve">), only individual and provider </w:t>
      </w:r>
      <w:r w:rsidR="00622111" w:rsidRPr="00207DC2">
        <w:rPr>
          <w:color w:val="auto"/>
          <w:lang w:val="en-AU"/>
        </w:rPr>
        <w:t>characteristics</w:t>
      </w:r>
      <w:r w:rsidR="00622111" w:rsidRPr="00207DC2">
        <w:rPr>
          <w:lang w:val="en-AU"/>
        </w:rPr>
        <w:t xml:space="preserve"> available in the administrative data were examined in these </w:t>
      </w:r>
      <w:r w:rsidR="0041634A" w:rsidRPr="00207DC2">
        <w:rPr>
          <w:lang w:val="en-AU"/>
        </w:rPr>
        <w:t>models</w:t>
      </w:r>
      <w:r w:rsidR="00622111" w:rsidRPr="00207DC2">
        <w:rPr>
          <w:lang w:val="en-AU"/>
        </w:rPr>
        <w:t>.</w:t>
      </w:r>
    </w:p>
    <w:p w14:paraId="5BA5B53B" w14:textId="173A9C83" w:rsidR="00BF2248" w:rsidRPr="00207DC2" w:rsidRDefault="00323C56" w:rsidP="00BF2248">
      <w:pPr>
        <w:tabs>
          <w:tab w:val="left" w:pos="7655"/>
          <w:tab w:val="left" w:pos="7938"/>
        </w:tabs>
        <w:spacing w:before="240"/>
        <w:jc w:val="both"/>
        <w:rPr>
          <w:lang w:val="en-AU"/>
        </w:rPr>
      </w:pPr>
      <w:r w:rsidRPr="00207DC2">
        <w:rPr>
          <w:lang w:val="en-AU"/>
        </w:rPr>
        <w:t>Modelling showed that a</w:t>
      </w:r>
      <w:r w:rsidR="00BF2248" w:rsidRPr="00207DC2">
        <w:rPr>
          <w:lang w:val="en-AU"/>
        </w:rPr>
        <w:t>ttendance</w:t>
      </w:r>
      <w:r w:rsidR="00BF2248" w:rsidRPr="00207DC2" w:rsidDel="00323C56">
        <w:rPr>
          <w:lang w:val="en-AU"/>
        </w:rPr>
        <w:t xml:space="preserve"> </w:t>
      </w:r>
      <w:r w:rsidRPr="00207DC2">
        <w:rPr>
          <w:lang w:val="en-AU"/>
        </w:rPr>
        <w:t xml:space="preserve">is </w:t>
      </w:r>
      <w:r w:rsidR="00BF2248" w:rsidRPr="00207DC2">
        <w:rPr>
          <w:lang w:val="en-AU"/>
        </w:rPr>
        <w:t xml:space="preserve">lower, and </w:t>
      </w:r>
      <w:r w:rsidR="00BF2248" w:rsidRPr="00207DC2">
        <w:rPr>
          <w:i/>
          <w:lang w:val="en-AU"/>
        </w:rPr>
        <w:t>invalid non</w:t>
      </w:r>
      <w:r w:rsidR="00BF2248" w:rsidRPr="00207DC2">
        <w:rPr>
          <w:i/>
          <w:lang w:val="en-AU"/>
        </w:rPr>
        <w:noBreakHyphen/>
        <w:t>attendance</w:t>
      </w:r>
      <w:r w:rsidR="00BF2248" w:rsidRPr="00207DC2">
        <w:rPr>
          <w:lang w:val="en-AU"/>
        </w:rPr>
        <w:t xml:space="preserve"> higher, among </w:t>
      </w:r>
      <w:r w:rsidR="00BF2248" w:rsidRPr="00207DC2">
        <w:rPr>
          <w:color w:val="auto"/>
          <w:lang w:val="en-AU"/>
        </w:rPr>
        <w:t>some</w:t>
      </w:r>
      <w:r w:rsidR="00BF2248" w:rsidRPr="00207DC2">
        <w:rPr>
          <w:lang w:val="en-AU"/>
        </w:rPr>
        <w:t xml:space="preserve"> subgroups of CDP participants with barriers</w:t>
      </w:r>
      <w:r w:rsidR="00CF6692" w:rsidRPr="00207DC2">
        <w:rPr>
          <w:lang w:val="en-AU"/>
        </w:rPr>
        <w:t xml:space="preserve"> to participation and/or employment</w:t>
      </w:r>
      <w:r w:rsidR="00BF2248" w:rsidRPr="00207DC2" w:rsidDel="00CF6692">
        <w:rPr>
          <w:lang w:val="en-AU"/>
        </w:rPr>
        <w:t>.</w:t>
      </w:r>
      <w:r w:rsidR="00BF2248" w:rsidRPr="00207DC2">
        <w:rPr>
          <w:lang w:val="en-AU"/>
        </w:rPr>
        <w:t xml:space="preserve"> These groups include </w:t>
      </w:r>
      <w:r w:rsidR="00BF2248" w:rsidRPr="00207DC2">
        <w:rPr>
          <w:rFonts w:cstheme="minorHAnsi"/>
          <w:lang w:val="en-AU"/>
        </w:rPr>
        <w:t xml:space="preserve">younger people, </w:t>
      </w:r>
      <w:r w:rsidR="00BF2248" w:rsidRPr="00207DC2">
        <w:rPr>
          <w:lang w:val="en-AU"/>
        </w:rPr>
        <w:t xml:space="preserve">people </w:t>
      </w:r>
      <w:r w:rsidR="00BF2248" w:rsidRPr="00207DC2">
        <w:rPr>
          <w:rFonts w:cstheme="minorHAnsi"/>
          <w:lang w:val="en-AU"/>
        </w:rPr>
        <w:t xml:space="preserve">with a prior sentence or conviction, people who had been </w:t>
      </w:r>
      <w:r w:rsidR="00BF2248" w:rsidRPr="00207DC2">
        <w:rPr>
          <w:lang w:val="en-AU"/>
        </w:rPr>
        <w:t>unemployed</w:t>
      </w:r>
      <w:r w:rsidR="00BF2248" w:rsidRPr="00207DC2">
        <w:rPr>
          <w:rFonts w:cstheme="minorHAnsi"/>
          <w:lang w:val="en-AU"/>
        </w:rPr>
        <w:t xml:space="preserve"> for </w:t>
      </w:r>
      <w:r w:rsidR="005C6515" w:rsidRPr="00207DC2">
        <w:rPr>
          <w:rFonts w:cstheme="minorHAnsi"/>
          <w:lang w:val="en-AU"/>
        </w:rPr>
        <w:t xml:space="preserve">one </w:t>
      </w:r>
      <w:r w:rsidR="00BF2248" w:rsidRPr="00207DC2">
        <w:rPr>
          <w:rFonts w:cstheme="minorHAnsi"/>
          <w:lang w:val="en-AU"/>
        </w:rPr>
        <w:t xml:space="preserve">month or </w:t>
      </w:r>
      <w:r w:rsidR="00AC28CD" w:rsidRPr="00207DC2">
        <w:rPr>
          <w:rFonts w:cstheme="minorHAnsi"/>
          <w:lang w:val="en-AU"/>
        </w:rPr>
        <w:t xml:space="preserve">longer </w:t>
      </w:r>
      <w:r w:rsidRPr="00207DC2">
        <w:rPr>
          <w:rFonts w:cstheme="minorHAnsi"/>
          <w:lang w:val="en-AU"/>
        </w:rPr>
        <w:t>(compared to those unemployed for a shorter duration)</w:t>
      </w:r>
      <w:r w:rsidR="00924D6B" w:rsidRPr="00207DC2">
        <w:rPr>
          <w:rFonts w:cstheme="minorHAnsi"/>
          <w:lang w:val="en-AU"/>
        </w:rPr>
        <w:t>,</w:t>
      </w:r>
      <w:r w:rsidR="00BF2248" w:rsidRPr="00207DC2">
        <w:rPr>
          <w:rFonts w:cstheme="minorHAnsi"/>
          <w:lang w:val="en-AU"/>
        </w:rPr>
        <w:t xml:space="preserve"> and people who were not contactable by phone for significant periods over the reference year (Table 2.3).</w:t>
      </w:r>
      <w:r w:rsidR="00BF2248" w:rsidRPr="00207DC2" w:rsidDel="006A3B9F">
        <w:rPr>
          <w:lang w:val="en-AU"/>
        </w:rPr>
        <w:t xml:space="preserve"> </w:t>
      </w:r>
    </w:p>
    <w:p w14:paraId="7F2685D3" w14:textId="5EE0734E" w:rsidR="007D7FDD" w:rsidRPr="00207DC2" w:rsidRDefault="00BF2248" w:rsidP="00AF68AC">
      <w:pPr>
        <w:tabs>
          <w:tab w:val="left" w:pos="7938"/>
        </w:tabs>
        <w:jc w:val="both"/>
        <w:rPr>
          <w:lang w:val="en-AU"/>
        </w:rPr>
      </w:pPr>
      <w:r w:rsidRPr="00207DC2">
        <w:rPr>
          <w:lang w:val="en-AU"/>
        </w:rPr>
        <w:t>However, people who had both a disability and an identified need for support at work were more likely to attend activities</w:t>
      </w:r>
      <w:r w:rsidR="00935D4A" w:rsidRPr="00207DC2">
        <w:rPr>
          <w:lang w:val="en-AU"/>
        </w:rPr>
        <w:t>,</w:t>
      </w:r>
      <w:r w:rsidRPr="00207DC2">
        <w:rPr>
          <w:lang w:val="en-AU"/>
        </w:rPr>
        <w:t xml:space="preserve"> and less likely to have </w:t>
      </w:r>
      <w:r w:rsidRPr="00207DC2">
        <w:rPr>
          <w:i/>
          <w:lang w:val="en-AU"/>
        </w:rPr>
        <w:t>invalid non-attendance</w:t>
      </w:r>
      <w:r w:rsidR="00935D4A" w:rsidRPr="00207DC2">
        <w:rPr>
          <w:lang w:val="en-AU"/>
        </w:rPr>
        <w:t>,</w:t>
      </w:r>
      <w:r w:rsidRPr="00207DC2">
        <w:rPr>
          <w:lang w:val="en-AU"/>
        </w:rPr>
        <w:t xml:space="preserve"> than those without a disability (an estimated </w:t>
      </w:r>
      <w:r w:rsidR="00935D4A" w:rsidRPr="00207DC2">
        <w:rPr>
          <w:lang w:val="en-AU"/>
        </w:rPr>
        <w:t>two</w:t>
      </w:r>
      <w:r w:rsidRPr="00207DC2">
        <w:rPr>
          <w:lang w:val="en-AU"/>
        </w:rPr>
        <w:t> percentage points</w:t>
      </w:r>
      <w:r w:rsidR="00092D11" w:rsidRPr="00207DC2">
        <w:rPr>
          <w:lang w:val="en-AU"/>
        </w:rPr>
        <w:t xml:space="preserve"> higher</w:t>
      </w:r>
      <w:r w:rsidRPr="00207DC2">
        <w:rPr>
          <w:lang w:val="en-AU"/>
        </w:rPr>
        <w:t xml:space="preserve"> and </w:t>
      </w:r>
      <w:r w:rsidR="00935D4A" w:rsidRPr="00207DC2">
        <w:rPr>
          <w:lang w:val="en-AU"/>
        </w:rPr>
        <w:t>three</w:t>
      </w:r>
      <w:r w:rsidRPr="00207DC2">
        <w:rPr>
          <w:lang w:val="en-AU"/>
        </w:rPr>
        <w:t> percentage points</w:t>
      </w:r>
      <w:r w:rsidR="00092D11" w:rsidRPr="00207DC2">
        <w:rPr>
          <w:lang w:val="en-AU"/>
        </w:rPr>
        <w:t xml:space="preserve"> lower</w:t>
      </w:r>
      <w:r w:rsidRPr="00207DC2" w:rsidDel="00E01EB8">
        <w:rPr>
          <w:lang w:val="en-AU"/>
        </w:rPr>
        <w:t xml:space="preserve"> respectively</w:t>
      </w:r>
      <w:r w:rsidRPr="00207DC2">
        <w:rPr>
          <w:lang w:val="en-AU"/>
        </w:rPr>
        <w:t>). This group is lik</w:t>
      </w:r>
      <w:r w:rsidR="007A0624" w:rsidRPr="00207DC2">
        <w:rPr>
          <w:lang w:val="en-AU"/>
        </w:rPr>
        <w:t>e</w:t>
      </w:r>
      <w:r w:rsidR="009C27BE" w:rsidRPr="00207DC2">
        <w:rPr>
          <w:lang w:val="en-AU"/>
        </w:rPr>
        <w:t>ly to have fewer required hours</w:t>
      </w:r>
      <w:r w:rsidRPr="00207DC2">
        <w:rPr>
          <w:lang w:val="en-AU"/>
        </w:rPr>
        <w:t xml:space="preserve"> and may have more clear evidence to support a </w:t>
      </w:r>
      <w:r w:rsidRPr="00207DC2">
        <w:rPr>
          <w:i/>
          <w:lang w:val="en-AU"/>
        </w:rPr>
        <w:t xml:space="preserve">valid </w:t>
      </w:r>
      <w:r w:rsidRPr="00207DC2">
        <w:rPr>
          <w:lang w:val="en-AU"/>
        </w:rPr>
        <w:t>reason when they do not attend.</w:t>
      </w:r>
    </w:p>
    <w:p w14:paraId="754787A9" w14:textId="77777777" w:rsidR="00453C1C" w:rsidRPr="00207DC2" w:rsidRDefault="00453C1C" w:rsidP="00453C1C">
      <w:pPr>
        <w:tabs>
          <w:tab w:val="left" w:pos="7797"/>
        </w:tabs>
        <w:jc w:val="both"/>
        <w:rPr>
          <w:lang w:val="en-AU"/>
        </w:rPr>
      </w:pPr>
      <w:r w:rsidRPr="00207DC2">
        <w:rPr>
          <w:i/>
          <w:lang w:val="en-AU"/>
        </w:rPr>
        <w:t>Invalid non-attendance</w:t>
      </w:r>
      <w:r w:rsidRPr="00207DC2">
        <w:rPr>
          <w:rFonts w:cstheme="minorHAnsi"/>
          <w:lang w:val="en-AU"/>
        </w:rPr>
        <w:t xml:space="preserve"> was higher among those without their own </w:t>
      </w:r>
      <w:r w:rsidRPr="00207DC2">
        <w:rPr>
          <w:lang w:val="en-AU"/>
        </w:rPr>
        <w:t xml:space="preserve">transport, </w:t>
      </w:r>
      <w:r w:rsidRPr="00207DC2">
        <w:rPr>
          <w:rFonts w:cstheme="minorHAnsi"/>
          <w:lang w:val="en-AU"/>
        </w:rPr>
        <w:t>and lower among primary carers and those with post-school education (compared to Year 12)</w:t>
      </w:r>
      <w:r w:rsidRPr="00207DC2">
        <w:rPr>
          <w:lang w:val="en-AU"/>
        </w:rPr>
        <w:t xml:space="preserve">. </w:t>
      </w:r>
      <w:r w:rsidRPr="00207DC2" w:rsidDel="005544FE">
        <w:rPr>
          <w:rFonts w:cstheme="minorHAnsi"/>
          <w:lang w:val="en-AU"/>
        </w:rPr>
        <w:t>N</w:t>
      </w:r>
      <w:r w:rsidRPr="00207DC2">
        <w:rPr>
          <w:rFonts w:cstheme="minorHAnsi"/>
          <w:lang w:val="en-AU"/>
        </w:rPr>
        <w:t>on</w:t>
      </w:r>
      <w:r w:rsidRPr="00207DC2" w:rsidDel="005544FE">
        <w:rPr>
          <w:rFonts w:cstheme="minorHAnsi"/>
          <w:lang w:val="en-AU"/>
        </w:rPr>
        <w:t>e of these characteristics had a significant effect on attend</w:t>
      </w:r>
      <w:r w:rsidRPr="00207DC2">
        <w:rPr>
          <w:rFonts w:cstheme="minorHAnsi"/>
          <w:lang w:val="en-AU"/>
        </w:rPr>
        <w:t>ance</w:t>
      </w:r>
      <w:r w:rsidRPr="00207DC2" w:rsidDel="005544FE">
        <w:rPr>
          <w:rFonts w:cstheme="minorHAnsi"/>
          <w:lang w:val="en-AU"/>
        </w:rPr>
        <w:t>.</w:t>
      </w:r>
    </w:p>
    <w:p w14:paraId="63B46C39" w14:textId="77777777" w:rsidR="00453C1C" w:rsidRPr="00207DC2" w:rsidRDefault="00453C1C" w:rsidP="00AF68AC">
      <w:pPr>
        <w:tabs>
          <w:tab w:val="left" w:pos="7938"/>
        </w:tabs>
        <w:jc w:val="both"/>
        <w:rPr>
          <w:lang w:val="en-AU"/>
        </w:rPr>
      </w:pPr>
    </w:p>
    <w:p w14:paraId="03E8F75A" w14:textId="37C11E75" w:rsidR="00006114" w:rsidRPr="00207DC2" w:rsidRDefault="00006114" w:rsidP="00FB626D">
      <w:pPr>
        <w:pStyle w:val="Table"/>
        <w:tabs>
          <w:tab w:val="left" w:pos="6804"/>
        </w:tabs>
        <w:outlineLvl w:val="9"/>
      </w:pPr>
      <w:r w:rsidRPr="00207DC2">
        <w:t xml:space="preserve">Table </w:t>
      </w:r>
      <w:r w:rsidR="00905D1A">
        <w:t>2</w:t>
      </w:r>
      <w:r w:rsidRPr="00207DC2">
        <w:t>.</w:t>
      </w:r>
      <w:r w:rsidR="00624BE8" w:rsidRPr="00207DC2">
        <w:t>3</w:t>
      </w:r>
      <w:r w:rsidRPr="00207DC2">
        <w:t xml:space="preserve"> </w:t>
      </w:r>
      <w:r w:rsidR="00B37FB6" w:rsidRPr="00207DC2">
        <w:t>Estimated e</w:t>
      </w:r>
      <w:r w:rsidRPr="00207DC2">
        <w:t xml:space="preserve">ffects from </w:t>
      </w:r>
      <w:r w:rsidR="00B37FB6" w:rsidRPr="00207DC2">
        <w:t xml:space="preserve">the </w:t>
      </w:r>
      <w:r w:rsidRPr="00207DC2">
        <w:t>attendance models</w:t>
      </w:r>
      <w:r w:rsidR="001C4AC2" w:rsidRPr="00207DC2">
        <w:rPr>
          <w:vertAlign w:val="superscript"/>
        </w:rPr>
        <w:t>a</w:t>
      </w:r>
    </w:p>
    <w:p w14:paraId="1B65E960" w14:textId="29C195BF" w:rsidR="00B37FB6" w:rsidRPr="00207DC2" w:rsidRDefault="00B37FB6" w:rsidP="00FB626D">
      <w:pPr>
        <w:keepNext/>
        <w:keepLines/>
        <w:spacing w:after="0"/>
        <w:rPr>
          <w:lang w:val="en-AU"/>
        </w:rPr>
      </w:pPr>
      <w:r w:rsidRPr="00207DC2">
        <w:rPr>
          <w:lang w:val="en-AU"/>
        </w:rPr>
        <w:t>Activity</w:t>
      </w:r>
      <w:r w:rsidR="00A17DEC" w:rsidRPr="00207DC2">
        <w:rPr>
          <w:lang w:val="en-AU"/>
        </w:rPr>
        <w:noBreakHyphen/>
      </w:r>
      <w:r w:rsidRPr="00207DC2">
        <w:rPr>
          <w:lang w:val="en-AU"/>
        </w:rPr>
        <w:t xml:space="preserve">tested </w:t>
      </w:r>
      <w:r w:rsidR="00767570" w:rsidRPr="00207DC2">
        <w:rPr>
          <w:lang w:val="en-AU"/>
        </w:rPr>
        <w:t>income support re</w:t>
      </w:r>
      <w:r w:rsidRPr="00207DC2">
        <w:rPr>
          <w:lang w:val="en-AU"/>
        </w:rPr>
        <w:t>cip</w:t>
      </w:r>
      <w:r w:rsidR="00767570" w:rsidRPr="00207DC2">
        <w:rPr>
          <w:lang w:val="en-AU"/>
        </w:rPr>
        <w:t>ie</w:t>
      </w:r>
      <w:r w:rsidRPr="00207DC2">
        <w:rPr>
          <w:lang w:val="en-AU"/>
        </w:rPr>
        <w:t>nts</w:t>
      </w:r>
      <w:r w:rsidR="00767570" w:rsidRPr="00207DC2">
        <w:rPr>
          <w:lang w:val="en-AU"/>
        </w:rPr>
        <w:t xml:space="preserve"> </w:t>
      </w:r>
      <w:r w:rsidR="00610752" w:rsidRPr="00207DC2">
        <w:rPr>
          <w:lang w:val="en-AU"/>
        </w:rPr>
        <w:t>participating in CDP</w:t>
      </w:r>
      <w:r w:rsidRPr="00207DC2">
        <w:rPr>
          <w:lang w:val="en-AU"/>
        </w:rPr>
        <w:t xml:space="preserve"> on 1 January 2016</w:t>
      </w:r>
      <w:r w:rsidR="001103B5" w:rsidRPr="00207DC2">
        <w:rPr>
          <w:lang w:val="en-AU"/>
        </w:rPr>
        <w:t>.</w:t>
      </w:r>
      <w:r w:rsidR="00767570" w:rsidRPr="00207DC2">
        <w:rPr>
          <w:lang w:val="en-AU"/>
        </w:rPr>
        <w:t xml:space="preserve"> </w:t>
      </w:r>
      <w:r w:rsidR="001103B5" w:rsidRPr="00207DC2">
        <w:rPr>
          <w:lang w:val="en-AU"/>
        </w:rPr>
        <w:t>The analysis is limited to those with</w:t>
      </w:r>
      <w:r w:rsidR="00C34942" w:rsidRPr="00207DC2">
        <w:rPr>
          <w:lang w:val="en-AU"/>
        </w:rPr>
        <w:t xml:space="preserve"> at least one attendance record in 2016.</w:t>
      </w:r>
    </w:p>
    <w:tbl>
      <w:tblPr>
        <w:tblStyle w:val="FinancialTable"/>
        <w:tblW w:w="4921" w:type="pct"/>
        <w:tblLayout w:type="fixed"/>
        <w:tblLook w:val="04A0" w:firstRow="1" w:lastRow="0" w:firstColumn="1" w:lastColumn="0" w:noHBand="0" w:noVBand="1"/>
        <w:tblCaption w:val="Estimated effects from the attendance models "/>
        <w:tblDescription w:val="The table presents the estimated effect of participant characteristics in the models of attendance outcomes. &#10;- The first column shows the estimated percentage point change for the proportion of attendance records that a person attended in 2016. &#10;- The second column shows estimated percentage point change for the proportion of attendance records that a person did not attend with an invalid reason in 2016. &#10;"/>
      </w:tblPr>
      <w:tblGrid>
        <w:gridCol w:w="6294"/>
        <w:gridCol w:w="1089"/>
        <w:gridCol w:w="1360"/>
      </w:tblGrid>
      <w:tr w:rsidR="00E01EB8" w:rsidRPr="00207DC2" w14:paraId="1501AE99" w14:textId="77777777" w:rsidTr="004F1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9" w:type="pct"/>
            <w:tcBorders>
              <w:top w:val="single" w:sz="8" w:space="0" w:color="auto"/>
              <w:bottom w:val="nil"/>
            </w:tcBorders>
            <w:shd w:val="clear" w:color="auto" w:fill="auto"/>
          </w:tcPr>
          <w:p w14:paraId="2FB6CBC3" w14:textId="77777777" w:rsidR="00E01EB8" w:rsidRPr="00207DC2" w:rsidDel="000D3F55" w:rsidRDefault="00E01EB8" w:rsidP="00FB626D">
            <w:pPr>
              <w:pStyle w:val="TableText"/>
              <w:keepNext/>
              <w:keepLines/>
              <w:spacing w:before="40" w:after="40"/>
              <w:ind w:left="113" w:right="0"/>
              <w:rPr>
                <w:rFonts w:cs="Calibri Light"/>
                <w:b/>
                <w:caps w:val="0"/>
                <w:sz w:val="20"/>
                <w:szCs w:val="20"/>
                <w:lang w:val="en-AU"/>
              </w:rPr>
            </w:pPr>
          </w:p>
        </w:tc>
        <w:tc>
          <w:tcPr>
            <w:tcW w:w="1401" w:type="pct"/>
            <w:gridSpan w:val="2"/>
            <w:tcBorders>
              <w:top w:val="single" w:sz="8" w:space="0" w:color="auto"/>
              <w:bottom w:val="nil"/>
            </w:tcBorders>
            <w:shd w:val="clear" w:color="auto" w:fill="auto"/>
          </w:tcPr>
          <w:p w14:paraId="12B3C10C" w14:textId="77777777" w:rsidR="00E01EB8" w:rsidRPr="00207DC2" w:rsidRDefault="00E01EB8" w:rsidP="00FB626D">
            <w:pPr>
              <w:pStyle w:val="TableText"/>
              <w:keepNext/>
              <w:keepLines/>
              <w:spacing w:before="40" w:after="40"/>
              <w:ind w:left="0" w:right="0"/>
              <w:jc w:val="center"/>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Estimated percentage point change</w:t>
            </w:r>
          </w:p>
        </w:tc>
      </w:tr>
      <w:tr w:rsidR="000D3F55" w:rsidRPr="00207DC2" w14:paraId="51B413BB" w14:textId="77777777" w:rsidTr="004F16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99" w:type="pct"/>
            <w:tcBorders>
              <w:top w:val="nil"/>
              <w:bottom w:val="single" w:sz="8" w:space="0" w:color="auto"/>
            </w:tcBorders>
            <w:shd w:val="clear" w:color="auto" w:fill="auto"/>
          </w:tcPr>
          <w:p w14:paraId="7C93D0C3" w14:textId="77777777" w:rsidR="000E4AA8" w:rsidRPr="00207DC2" w:rsidRDefault="000D3F55" w:rsidP="00FB626D">
            <w:pPr>
              <w:pStyle w:val="TableText"/>
              <w:keepNext/>
              <w:keepLines/>
              <w:spacing w:before="40" w:after="40"/>
              <w:ind w:left="113" w:right="0"/>
              <w:jc w:val="left"/>
              <w:rPr>
                <w:rFonts w:cs="Calibri Light"/>
                <w:b/>
                <w:sz w:val="20"/>
                <w:szCs w:val="20"/>
                <w:lang w:val="en-AU"/>
              </w:rPr>
            </w:pPr>
            <w:r w:rsidRPr="00207DC2">
              <w:rPr>
                <w:rFonts w:cs="Calibri Light"/>
                <w:b/>
                <w:caps w:val="0"/>
                <w:sz w:val="20"/>
                <w:szCs w:val="20"/>
                <w:lang w:val="en-AU"/>
              </w:rPr>
              <w:t>Participant characteristic</w:t>
            </w:r>
          </w:p>
        </w:tc>
        <w:tc>
          <w:tcPr>
            <w:tcW w:w="623" w:type="pct"/>
            <w:tcBorders>
              <w:top w:val="nil"/>
              <w:bottom w:val="single" w:sz="8" w:space="0" w:color="auto"/>
            </w:tcBorders>
            <w:shd w:val="clear" w:color="auto" w:fill="auto"/>
          </w:tcPr>
          <w:p w14:paraId="4DBCB6FC" w14:textId="77777777" w:rsidR="000E4AA8" w:rsidRPr="00207DC2" w:rsidRDefault="000E4AA8" w:rsidP="00FB626D">
            <w:pPr>
              <w:pStyle w:val="TableText"/>
              <w:keepNext/>
              <w:keepLines/>
              <w:spacing w:before="40" w:after="40"/>
              <w:ind w:left="-1020" w:right="0" w:firstLine="1020"/>
              <w:jc w:val="left"/>
              <w:cnfStyle w:val="100000000000" w:firstRow="1" w:lastRow="0" w:firstColumn="0" w:lastColumn="0" w:oddVBand="0" w:evenVBand="0" w:oddHBand="0" w:evenHBand="0" w:firstRowFirstColumn="0" w:firstRowLastColumn="0" w:lastRowFirstColumn="0" w:lastRowLastColumn="0"/>
              <w:rPr>
                <w:rFonts w:cs="Calibri Light"/>
                <w:b/>
                <w:sz w:val="20"/>
                <w:szCs w:val="20"/>
                <w:lang w:val="en-AU"/>
              </w:rPr>
            </w:pPr>
            <w:r w:rsidRPr="00207DC2">
              <w:rPr>
                <w:rFonts w:cs="Calibri Light"/>
                <w:b/>
                <w:caps w:val="0"/>
                <w:sz w:val="20"/>
                <w:szCs w:val="20"/>
                <w:lang w:val="en-AU"/>
              </w:rPr>
              <w:t>Attended</w:t>
            </w:r>
          </w:p>
        </w:tc>
        <w:tc>
          <w:tcPr>
            <w:tcW w:w="778" w:type="pct"/>
            <w:tcBorders>
              <w:top w:val="nil"/>
              <w:bottom w:val="single" w:sz="8" w:space="0" w:color="auto"/>
            </w:tcBorders>
            <w:shd w:val="clear" w:color="auto" w:fill="auto"/>
          </w:tcPr>
          <w:p w14:paraId="5BC4BBFC" w14:textId="77777777" w:rsidR="008F2E7E" w:rsidRPr="00207DC2" w:rsidRDefault="008F2E7E" w:rsidP="00FB626D">
            <w:pPr>
              <w:pStyle w:val="TableText"/>
              <w:keepNext/>
              <w:keepLines/>
              <w:spacing w:before="40" w:after="40"/>
              <w:ind w:left="0" w:right="0"/>
              <w:jc w:val="left"/>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Invalid non-</w:t>
            </w:r>
          </w:p>
          <w:p w14:paraId="256C959B" w14:textId="77777777" w:rsidR="000E4AA8" w:rsidRPr="00207DC2" w:rsidRDefault="008F2E7E" w:rsidP="00FB626D">
            <w:pPr>
              <w:pStyle w:val="TableText"/>
              <w:keepNext/>
              <w:keepLines/>
              <w:spacing w:before="40" w:after="40"/>
              <w:ind w:left="0" w:right="0"/>
              <w:jc w:val="left"/>
              <w:cnfStyle w:val="100000000000" w:firstRow="1" w:lastRow="0" w:firstColumn="0" w:lastColumn="0" w:oddVBand="0" w:evenVBand="0" w:oddHBand="0" w:evenHBand="0" w:firstRowFirstColumn="0" w:firstRowLastColumn="0" w:lastRowFirstColumn="0" w:lastRowLastColumn="0"/>
              <w:rPr>
                <w:rFonts w:cs="Calibri Light"/>
                <w:b/>
                <w:sz w:val="20"/>
                <w:szCs w:val="20"/>
                <w:lang w:val="en-AU"/>
              </w:rPr>
            </w:pPr>
            <w:r w:rsidRPr="00207DC2">
              <w:rPr>
                <w:rFonts w:cs="Calibri Light"/>
                <w:b/>
                <w:caps w:val="0"/>
                <w:sz w:val="20"/>
                <w:szCs w:val="20"/>
                <w:lang w:val="en-AU"/>
              </w:rPr>
              <w:t>attendance</w:t>
            </w:r>
          </w:p>
        </w:tc>
      </w:tr>
      <w:tr w:rsidR="000D3F55" w:rsidRPr="00207DC2" w14:paraId="115EC627"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single" w:sz="8" w:space="0" w:color="auto"/>
              <w:bottom w:val="dashSmallGap" w:sz="4" w:space="0" w:color="auto"/>
            </w:tcBorders>
            <w:vAlign w:val="top"/>
          </w:tcPr>
          <w:p w14:paraId="0465BE29" w14:textId="77777777" w:rsidR="00EE5DC7" w:rsidRPr="00207DC2" w:rsidRDefault="00681496" w:rsidP="00FB626D">
            <w:pPr>
              <w:keepNext/>
              <w:keepLines/>
              <w:spacing w:before="20" w:after="20"/>
              <w:ind w:left="113" w:right="0"/>
              <w:rPr>
                <w:rFonts w:cs="Calibri Light"/>
                <w:b w:val="0"/>
                <w:szCs w:val="20"/>
                <w:lang w:val="en-AU"/>
              </w:rPr>
            </w:pPr>
            <w:r w:rsidRPr="00207DC2">
              <w:rPr>
                <w:b w:val="0"/>
                <w:lang w:val="en-AU"/>
              </w:rPr>
              <w:t xml:space="preserve">Identified as </w:t>
            </w:r>
            <w:r w:rsidR="00EE5DC7" w:rsidRPr="00207DC2">
              <w:rPr>
                <w:b w:val="0"/>
                <w:lang w:val="en-AU"/>
              </w:rPr>
              <w:t>Indigenous (compared with non-Indigenous)</w:t>
            </w:r>
          </w:p>
        </w:tc>
        <w:tc>
          <w:tcPr>
            <w:tcW w:w="623" w:type="pct"/>
            <w:tcBorders>
              <w:top w:val="single" w:sz="8" w:space="0" w:color="auto"/>
              <w:bottom w:val="dashSmallGap" w:sz="4" w:space="0" w:color="auto"/>
            </w:tcBorders>
          </w:tcPr>
          <w:p w14:paraId="4E3CDA79"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4</w:t>
            </w:r>
          </w:p>
        </w:tc>
        <w:tc>
          <w:tcPr>
            <w:tcW w:w="778" w:type="pct"/>
            <w:tcBorders>
              <w:top w:val="single" w:sz="8" w:space="0" w:color="auto"/>
              <w:bottom w:val="dashSmallGap" w:sz="4" w:space="0" w:color="auto"/>
            </w:tcBorders>
          </w:tcPr>
          <w:p w14:paraId="0F963AE9" w14:textId="77777777" w:rsidR="00EE5DC7" w:rsidRPr="00207DC2" w:rsidRDefault="0009098B"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3.8</w:t>
            </w:r>
            <w:r w:rsidR="00EE5DC7" w:rsidRPr="00207DC2">
              <w:rPr>
                <w:lang w:val="en-AU"/>
              </w:rPr>
              <w:t>*</w:t>
            </w:r>
          </w:p>
        </w:tc>
      </w:tr>
      <w:tr w:rsidR="000D3F55" w:rsidRPr="00207DC2" w14:paraId="7F98C75C"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nil"/>
            </w:tcBorders>
            <w:shd w:val="clear" w:color="auto" w:fill="D0D2D3" w:themeFill="background2"/>
            <w:vAlign w:val="top"/>
          </w:tcPr>
          <w:p w14:paraId="7BE480E9" w14:textId="77777777" w:rsidR="00C61097" w:rsidRPr="00207DC2" w:rsidRDefault="00C61097" w:rsidP="00FB626D">
            <w:pPr>
              <w:keepNext/>
              <w:keepLines/>
              <w:spacing w:before="20" w:after="20"/>
              <w:ind w:left="113"/>
              <w:rPr>
                <w:lang w:val="en-AU"/>
              </w:rPr>
            </w:pPr>
            <w:r w:rsidRPr="00207DC2">
              <w:rPr>
                <w:lang w:val="en-AU"/>
              </w:rPr>
              <w:t>Disability status (compared with No disability)</w:t>
            </w:r>
          </w:p>
        </w:tc>
        <w:tc>
          <w:tcPr>
            <w:tcW w:w="623" w:type="pct"/>
            <w:tcBorders>
              <w:top w:val="dashSmallGap" w:sz="4" w:space="0" w:color="auto"/>
              <w:bottom w:val="nil"/>
            </w:tcBorders>
            <w:shd w:val="clear" w:color="auto" w:fill="D0D2D3" w:themeFill="background2"/>
          </w:tcPr>
          <w:p w14:paraId="08325413" w14:textId="77777777" w:rsidR="00C61097" w:rsidRPr="00207DC2" w:rsidRDefault="00C6109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p>
        </w:tc>
        <w:tc>
          <w:tcPr>
            <w:tcW w:w="778" w:type="pct"/>
            <w:tcBorders>
              <w:top w:val="dashSmallGap" w:sz="4" w:space="0" w:color="auto"/>
              <w:bottom w:val="nil"/>
            </w:tcBorders>
            <w:shd w:val="clear" w:color="auto" w:fill="D0D2D3" w:themeFill="background2"/>
          </w:tcPr>
          <w:p w14:paraId="0DCFFFE6" w14:textId="77777777" w:rsidR="00C61097" w:rsidRPr="00207DC2" w:rsidRDefault="00C6109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p>
        </w:tc>
      </w:tr>
      <w:tr w:rsidR="000D3F55" w:rsidRPr="00207DC2" w14:paraId="6C554547"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23250617"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Disability</w:t>
            </w:r>
            <w:r w:rsidR="00DA5712" w:rsidRPr="00207DC2">
              <w:rPr>
                <w:b w:val="0"/>
                <w:lang w:val="en-AU"/>
              </w:rPr>
              <w:t xml:space="preserve"> with</w:t>
            </w:r>
            <w:r w:rsidR="00C61097" w:rsidRPr="00207DC2">
              <w:rPr>
                <w:b w:val="0"/>
                <w:lang w:val="en-AU"/>
              </w:rPr>
              <w:t xml:space="preserve"> </w:t>
            </w:r>
            <w:r w:rsidR="009C27BE" w:rsidRPr="00207DC2">
              <w:rPr>
                <w:b w:val="0"/>
                <w:lang w:val="en-AU"/>
              </w:rPr>
              <w:t xml:space="preserve">an </w:t>
            </w:r>
            <w:r w:rsidR="00DA5712" w:rsidRPr="00207DC2">
              <w:rPr>
                <w:b w:val="0"/>
                <w:lang w:val="en-AU"/>
              </w:rPr>
              <w:t>i</w:t>
            </w:r>
            <w:r w:rsidR="00C61097" w:rsidRPr="00207DC2">
              <w:rPr>
                <w:b w:val="0"/>
                <w:lang w:val="en-AU"/>
              </w:rPr>
              <w:t>dentified support need</w:t>
            </w:r>
          </w:p>
        </w:tc>
        <w:tc>
          <w:tcPr>
            <w:tcW w:w="623" w:type="pct"/>
            <w:tcBorders>
              <w:top w:val="nil"/>
              <w:bottom w:val="nil"/>
            </w:tcBorders>
          </w:tcPr>
          <w:p w14:paraId="5E6768F6" w14:textId="0DB00206"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p>
        </w:tc>
        <w:tc>
          <w:tcPr>
            <w:tcW w:w="778" w:type="pct"/>
            <w:tcBorders>
              <w:top w:val="nil"/>
              <w:bottom w:val="nil"/>
            </w:tcBorders>
          </w:tcPr>
          <w:p w14:paraId="40327F95" w14:textId="4CBC94C2"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p>
        </w:tc>
      </w:tr>
      <w:tr w:rsidR="000D3F55" w:rsidRPr="00207DC2" w14:paraId="1318C78A"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dashSmallGap" w:sz="4" w:space="0" w:color="auto"/>
            </w:tcBorders>
            <w:vAlign w:val="top"/>
          </w:tcPr>
          <w:p w14:paraId="1E4F9FF1"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Disability</w:t>
            </w:r>
            <w:r w:rsidR="00C61097" w:rsidRPr="00207DC2">
              <w:rPr>
                <w:b w:val="0"/>
                <w:lang w:val="en-AU"/>
              </w:rPr>
              <w:t xml:space="preserve"> </w:t>
            </w:r>
            <w:r w:rsidR="00DA5712" w:rsidRPr="00207DC2">
              <w:rPr>
                <w:b w:val="0"/>
                <w:lang w:val="en-AU"/>
              </w:rPr>
              <w:t>with n</w:t>
            </w:r>
            <w:r w:rsidR="00C61097" w:rsidRPr="00207DC2">
              <w:rPr>
                <w:b w:val="0"/>
                <w:lang w:val="en-AU"/>
              </w:rPr>
              <w:t>o identified support need</w:t>
            </w:r>
          </w:p>
        </w:tc>
        <w:tc>
          <w:tcPr>
            <w:tcW w:w="623" w:type="pct"/>
            <w:tcBorders>
              <w:top w:val="nil"/>
              <w:bottom w:val="dashSmallGap" w:sz="4" w:space="0" w:color="auto"/>
            </w:tcBorders>
          </w:tcPr>
          <w:p w14:paraId="6FB7B0CC"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-0.7</w:t>
            </w:r>
          </w:p>
        </w:tc>
        <w:tc>
          <w:tcPr>
            <w:tcW w:w="778" w:type="pct"/>
            <w:tcBorders>
              <w:top w:val="nil"/>
              <w:bottom w:val="dashSmallGap" w:sz="4" w:space="0" w:color="auto"/>
            </w:tcBorders>
          </w:tcPr>
          <w:p w14:paraId="7506708D"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0.1</w:t>
            </w:r>
          </w:p>
        </w:tc>
      </w:tr>
      <w:tr w:rsidR="000D3F55" w:rsidRPr="00207DC2" w14:paraId="6857672E"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dashSmallGap" w:sz="4" w:space="0" w:color="auto"/>
            </w:tcBorders>
            <w:vAlign w:val="top"/>
          </w:tcPr>
          <w:p w14:paraId="38ABA56B" w14:textId="77777777" w:rsidR="00EE5DC7" w:rsidRPr="00207DC2" w:rsidRDefault="00EE5DC7" w:rsidP="00FB626D">
            <w:pPr>
              <w:keepNext/>
              <w:keepLines/>
              <w:spacing w:before="20" w:after="20"/>
              <w:ind w:left="113" w:right="0"/>
              <w:rPr>
                <w:rFonts w:cs="Calibri Light"/>
                <w:b w:val="0"/>
                <w:szCs w:val="20"/>
                <w:lang w:val="en-AU"/>
              </w:rPr>
            </w:pPr>
            <w:r w:rsidRPr="00207DC2">
              <w:rPr>
                <w:b w:val="0"/>
                <w:lang w:val="en-AU"/>
              </w:rPr>
              <w:t>Poor/Mixed English (compared with Good English)</w:t>
            </w:r>
          </w:p>
        </w:tc>
        <w:tc>
          <w:tcPr>
            <w:tcW w:w="623" w:type="pct"/>
            <w:tcBorders>
              <w:top w:val="dashSmallGap" w:sz="4" w:space="0" w:color="auto"/>
              <w:bottom w:val="dashSmallGap" w:sz="4" w:space="0" w:color="auto"/>
            </w:tcBorders>
          </w:tcPr>
          <w:p w14:paraId="2BF5BAC3"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c>
          <w:tcPr>
            <w:tcW w:w="778" w:type="pct"/>
            <w:tcBorders>
              <w:top w:val="dashSmallGap" w:sz="4" w:space="0" w:color="auto"/>
              <w:bottom w:val="dashSmallGap" w:sz="4" w:space="0" w:color="auto"/>
            </w:tcBorders>
          </w:tcPr>
          <w:p w14:paraId="0D0A89DC"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r>
      <w:tr w:rsidR="000D3F55" w:rsidRPr="00207DC2" w14:paraId="1E6E6154"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nil"/>
            </w:tcBorders>
            <w:shd w:val="clear" w:color="auto" w:fill="D0D2D3" w:themeFill="background2"/>
            <w:vAlign w:val="top"/>
          </w:tcPr>
          <w:p w14:paraId="7C1E3AA1" w14:textId="77777777" w:rsidR="00C61097" w:rsidRPr="00207DC2" w:rsidRDefault="00C61097" w:rsidP="00FB626D">
            <w:pPr>
              <w:keepNext/>
              <w:keepLines/>
              <w:spacing w:before="20" w:after="20"/>
              <w:ind w:left="113"/>
              <w:rPr>
                <w:lang w:val="en-AU"/>
              </w:rPr>
            </w:pPr>
            <w:r w:rsidRPr="00207DC2">
              <w:rPr>
                <w:lang w:val="en-AU"/>
              </w:rPr>
              <w:t>Level of education (compared with Year 12)</w:t>
            </w:r>
          </w:p>
        </w:tc>
        <w:tc>
          <w:tcPr>
            <w:tcW w:w="623" w:type="pct"/>
            <w:tcBorders>
              <w:top w:val="dashSmallGap" w:sz="4" w:space="0" w:color="auto"/>
              <w:bottom w:val="nil"/>
            </w:tcBorders>
            <w:shd w:val="clear" w:color="auto" w:fill="D0D2D3" w:themeFill="background2"/>
          </w:tcPr>
          <w:p w14:paraId="2EBC3A69" w14:textId="77777777" w:rsidR="00C61097" w:rsidRPr="00207DC2" w:rsidRDefault="00C6109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p>
        </w:tc>
        <w:tc>
          <w:tcPr>
            <w:tcW w:w="778" w:type="pct"/>
            <w:tcBorders>
              <w:top w:val="dashSmallGap" w:sz="4" w:space="0" w:color="auto"/>
              <w:bottom w:val="nil"/>
            </w:tcBorders>
            <w:shd w:val="clear" w:color="auto" w:fill="D0D2D3" w:themeFill="background2"/>
          </w:tcPr>
          <w:p w14:paraId="061994CE" w14:textId="77777777" w:rsidR="00C61097" w:rsidRPr="00207DC2" w:rsidRDefault="00C6109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p>
        </w:tc>
      </w:tr>
      <w:tr w:rsidR="000D3F55" w:rsidRPr="00207DC2" w14:paraId="1D7EA154"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0B9899BA" w14:textId="77777777" w:rsidR="00EE5DC7" w:rsidRPr="00207DC2" w:rsidRDefault="00C61097" w:rsidP="00FB626D">
            <w:pPr>
              <w:keepNext/>
              <w:keepLines/>
              <w:spacing w:before="20" w:after="20"/>
              <w:ind w:left="283" w:right="0"/>
              <w:rPr>
                <w:rFonts w:cs="Calibri Light"/>
                <w:b w:val="0"/>
                <w:szCs w:val="20"/>
                <w:lang w:val="en-AU"/>
              </w:rPr>
            </w:pPr>
            <w:r w:rsidRPr="00207DC2">
              <w:rPr>
                <w:b w:val="0"/>
                <w:lang w:val="en-AU"/>
              </w:rPr>
              <w:t>Below Year 10</w:t>
            </w:r>
          </w:p>
        </w:tc>
        <w:tc>
          <w:tcPr>
            <w:tcW w:w="623" w:type="pct"/>
            <w:tcBorders>
              <w:top w:val="nil"/>
              <w:bottom w:val="nil"/>
            </w:tcBorders>
          </w:tcPr>
          <w:p w14:paraId="784E2F9C"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03</w:t>
            </w:r>
          </w:p>
        </w:tc>
        <w:tc>
          <w:tcPr>
            <w:tcW w:w="778" w:type="pct"/>
            <w:tcBorders>
              <w:top w:val="nil"/>
              <w:bottom w:val="nil"/>
            </w:tcBorders>
          </w:tcPr>
          <w:p w14:paraId="6A8578F8" w14:textId="77777777" w:rsidR="00EE5DC7" w:rsidRPr="00207DC2" w:rsidRDefault="0009098B"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w:t>
            </w:r>
            <w:r w:rsidR="00EE5DC7" w:rsidRPr="00207DC2">
              <w:rPr>
                <w:lang w:val="en-AU"/>
              </w:rPr>
              <w:t>0.1</w:t>
            </w:r>
          </w:p>
        </w:tc>
      </w:tr>
      <w:tr w:rsidR="000D3F55" w:rsidRPr="00207DC2" w14:paraId="600B5863"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1DFFE830" w14:textId="77777777" w:rsidR="00EE5DC7" w:rsidRPr="00207DC2" w:rsidRDefault="00C61097" w:rsidP="00FB626D">
            <w:pPr>
              <w:keepNext/>
              <w:keepLines/>
              <w:spacing w:before="20" w:after="20"/>
              <w:ind w:left="283" w:right="0"/>
              <w:rPr>
                <w:rFonts w:cs="Calibri Light"/>
                <w:b w:val="0"/>
                <w:szCs w:val="20"/>
                <w:lang w:val="en-AU"/>
              </w:rPr>
            </w:pPr>
            <w:r w:rsidRPr="00207DC2">
              <w:rPr>
                <w:b w:val="0"/>
                <w:lang w:val="en-AU"/>
              </w:rPr>
              <w:t>Years 10-11</w:t>
            </w:r>
          </w:p>
        </w:tc>
        <w:tc>
          <w:tcPr>
            <w:tcW w:w="623" w:type="pct"/>
            <w:tcBorders>
              <w:top w:val="nil"/>
              <w:bottom w:val="nil"/>
            </w:tcBorders>
          </w:tcPr>
          <w:p w14:paraId="7D7B36A7"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2</w:t>
            </w:r>
          </w:p>
        </w:tc>
        <w:tc>
          <w:tcPr>
            <w:tcW w:w="778" w:type="pct"/>
            <w:tcBorders>
              <w:top w:val="nil"/>
              <w:bottom w:val="nil"/>
            </w:tcBorders>
          </w:tcPr>
          <w:p w14:paraId="7AEC8DDD"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3</w:t>
            </w:r>
          </w:p>
        </w:tc>
      </w:tr>
      <w:tr w:rsidR="000D3F55" w:rsidRPr="00207DC2" w14:paraId="52C06F61"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dashSmallGap" w:sz="4" w:space="0" w:color="auto"/>
            </w:tcBorders>
            <w:vAlign w:val="top"/>
          </w:tcPr>
          <w:p w14:paraId="2E4AA69B"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T</w:t>
            </w:r>
            <w:r w:rsidR="00C61097" w:rsidRPr="00207DC2">
              <w:rPr>
                <w:b w:val="0"/>
                <w:lang w:val="en-AU"/>
              </w:rPr>
              <w:t>rade/Vocational/Diploma/Degree</w:t>
            </w:r>
          </w:p>
        </w:tc>
        <w:tc>
          <w:tcPr>
            <w:tcW w:w="623" w:type="pct"/>
            <w:tcBorders>
              <w:top w:val="nil"/>
              <w:bottom w:val="dashSmallGap" w:sz="4" w:space="0" w:color="auto"/>
            </w:tcBorders>
          </w:tcPr>
          <w:p w14:paraId="00E65D95"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0.9</w:t>
            </w:r>
          </w:p>
        </w:tc>
        <w:tc>
          <w:tcPr>
            <w:tcW w:w="778" w:type="pct"/>
            <w:tcBorders>
              <w:top w:val="nil"/>
              <w:bottom w:val="dashSmallGap" w:sz="4" w:space="0" w:color="auto"/>
            </w:tcBorders>
          </w:tcPr>
          <w:p w14:paraId="20A0C55E"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-2.1*</w:t>
            </w:r>
          </w:p>
        </w:tc>
      </w:tr>
      <w:tr w:rsidR="000D3F55" w:rsidRPr="00207DC2" w14:paraId="5543009B"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dashSmallGap" w:sz="4" w:space="0" w:color="auto"/>
            </w:tcBorders>
            <w:vAlign w:val="top"/>
          </w:tcPr>
          <w:p w14:paraId="3B7DC57A" w14:textId="77777777" w:rsidR="00EE5DC7" w:rsidRPr="00207DC2" w:rsidRDefault="00EE5DC7" w:rsidP="00FB626D">
            <w:pPr>
              <w:keepNext/>
              <w:keepLines/>
              <w:spacing w:before="20" w:after="20"/>
              <w:ind w:left="113" w:right="0"/>
              <w:rPr>
                <w:rFonts w:cs="Calibri Light"/>
                <w:b w:val="0"/>
                <w:szCs w:val="20"/>
                <w:lang w:val="en-AU"/>
              </w:rPr>
            </w:pPr>
            <w:r w:rsidRPr="00207DC2">
              <w:rPr>
                <w:b w:val="0"/>
                <w:lang w:val="en-AU"/>
              </w:rPr>
              <w:t>Has been convicted or sentenced (compared with No criminal history)</w:t>
            </w:r>
          </w:p>
        </w:tc>
        <w:tc>
          <w:tcPr>
            <w:tcW w:w="623" w:type="pct"/>
            <w:tcBorders>
              <w:top w:val="dashSmallGap" w:sz="4" w:space="0" w:color="auto"/>
              <w:bottom w:val="dashSmallGap" w:sz="4" w:space="0" w:color="auto"/>
            </w:tcBorders>
          </w:tcPr>
          <w:p w14:paraId="630DA466"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w:t>
            </w:r>
            <w:r w:rsidR="0009098B" w:rsidRPr="00207DC2">
              <w:rPr>
                <w:lang w:val="en-AU"/>
              </w:rPr>
              <w:t>1.8</w:t>
            </w:r>
            <w:r w:rsidRPr="00207DC2">
              <w:rPr>
                <w:lang w:val="en-AU"/>
              </w:rPr>
              <w:t>*</w:t>
            </w:r>
          </w:p>
        </w:tc>
        <w:tc>
          <w:tcPr>
            <w:tcW w:w="778" w:type="pct"/>
            <w:tcBorders>
              <w:top w:val="dashSmallGap" w:sz="4" w:space="0" w:color="auto"/>
              <w:bottom w:val="dashSmallGap" w:sz="4" w:space="0" w:color="auto"/>
            </w:tcBorders>
          </w:tcPr>
          <w:p w14:paraId="1D68B70C"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4</w:t>
            </w:r>
            <w:r w:rsidRPr="00207DC2">
              <w:rPr>
                <w:lang w:val="en-AU"/>
              </w:rPr>
              <w:t>*</w:t>
            </w:r>
          </w:p>
        </w:tc>
      </w:tr>
      <w:tr w:rsidR="000D3F55" w:rsidRPr="00207DC2" w14:paraId="030FF8D3"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dashSmallGap" w:sz="4" w:space="0" w:color="auto"/>
            </w:tcBorders>
            <w:vAlign w:val="top"/>
          </w:tcPr>
          <w:p w14:paraId="067B0B76" w14:textId="77777777" w:rsidR="00EE5DC7" w:rsidRPr="00207DC2" w:rsidRDefault="00EE5DC7" w:rsidP="00FB626D">
            <w:pPr>
              <w:keepNext/>
              <w:keepLines/>
              <w:spacing w:before="20" w:after="20"/>
              <w:ind w:left="113" w:right="0"/>
              <w:rPr>
                <w:rFonts w:cs="Calibri Light"/>
                <w:b w:val="0"/>
                <w:szCs w:val="20"/>
                <w:lang w:val="en-AU"/>
              </w:rPr>
            </w:pPr>
            <w:r w:rsidRPr="00207DC2">
              <w:rPr>
                <w:b w:val="0"/>
                <w:lang w:val="en-AU"/>
              </w:rPr>
              <w:t>Provider organisation: Indigenous (compared with Non-Indigenous)</w:t>
            </w:r>
          </w:p>
        </w:tc>
        <w:tc>
          <w:tcPr>
            <w:tcW w:w="623" w:type="pct"/>
            <w:tcBorders>
              <w:top w:val="dashSmallGap" w:sz="4" w:space="0" w:color="auto"/>
              <w:bottom w:val="dashSmallGap" w:sz="4" w:space="0" w:color="auto"/>
            </w:tcBorders>
          </w:tcPr>
          <w:p w14:paraId="3973567B"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767251" w:rsidRPr="00207DC2">
              <w:rPr>
                <w:lang w:val="en-AU"/>
              </w:rPr>
              <w:t>.</w:t>
            </w:r>
            <w:r w:rsidRPr="00207DC2">
              <w:rPr>
                <w:lang w:val="en-AU"/>
              </w:rPr>
              <w:t>4</w:t>
            </w:r>
          </w:p>
        </w:tc>
        <w:tc>
          <w:tcPr>
            <w:tcW w:w="778" w:type="pct"/>
            <w:tcBorders>
              <w:top w:val="dashSmallGap" w:sz="4" w:space="0" w:color="auto"/>
              <w:bottom w:val="dashSmallGap" w:sz="4" w:space="0" w:color="auto"/>
            </w:tcBorders>
          </w:tcPr>
          <w:p w14:paraId="18C97165"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r w:rsidR="0009098B" w:rsidRPr="00207DC2">
              <w:rPr>
                <w:lang w:val="en-AU"/>
              </w:rPr>
              <w:t>2</w:t>
            </w:r>
          </w:p>
        </w:tc>
      </w:tr>
      <w:tr w:rsidR="000D3F55" w:rsidRPr="00207DC2" w14:paraId="0698ABBE"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dashSmallGap" w:sz="4" w:space="0" w:color="auto"/>
            </w:tcBorders>
            <w:vAlign w:val="top"/>
          </w:tcPr>
          <w:p w14:paraId="16C974EC" w14:textId="77777777" w:rsidR="00EE5DC7" w:rsidRPr="00207DC2" w:rsidRDefault="00EE5DC7" w:rsidP="00FB626D">
            <w:pPr>
              <w:keepNext/>
              <w:keepLines/>
              <w:spacing w:before="20" w:after="20"/>
              <w:ind w:left="113" w:right="0"/>
              <w:rPr>
                <w:rFonts w:cs="Calibri Light"/>
                <w:b w:val="0"/>
                <w:szCs w:val="20"/>
                <w:lang w:val="en-AU"/>
              </w:rPr>
            </w:pPr>
            <w:r w:rsidRPr="00207DC2">
              <w:rPr>
                <w:b w:val="0"/>
                <w:lang w:val="en-AU"/>
              </w:rPr>
              <w:t>Female (compared with Male)</w:t>
            </w:r>
          </w:p>
        </w:tc>
        <w:tc>
          <w:tcPr>
            <w:tcW w:w="623" w:type="pct"/>
            <w:tcBorders>
              <w:top w:val="dashSmallGap" w:sz="4" w:space="0" w:color="auto"/>
              <w:bottom w:val="dashSmallGap" w:sz="4" w:space="0" w:color="auto"/>
            </w:tcBorders>
          </w:tcPr>
          <w:p w14:paraId="4997330A"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-2.5*</w:t>
            </w:r>
          </w:p>
        </w:tc>
        <w:tc>
          <w:tcPr>
            <w:tcW w:w="778" w:type="pct"/>
            <w:tcBorders>
              <w:top w:val="dashSmallGap" w:sz="4" w:space="0" w:color="auto"/>
              <w:bottom w:val="dashSmallGap" w:sz="4" w:space="0" w:color="auto"/>
            </w:tcBorders>
          </w:tcPr>
          <w:p w14:paraId="488DE50B"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r>
      <w:tr w:rsidR="000D3F55" w:rsidRPr="00207DC2" w14:paraId="45299251"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nil"/>
            </w:tcBorders>
            <w:shd w:val="clear" w:color="auto" w:fill="D0D2D3" w:themeFill="background2"/>
            <w:vAlign w:val="top"/>
          </w:tcPr>
          <w:p w14:paraId="2A015C36" w14:textId="77777777" w:rsidR="00C61097" w:rsidRPr="00207DC2" w:rsidRDefault="00986D8D" w:rsidP="00FB626D">
            <w:pPr>
              <w:keepNext/>
              <w:keepLines/>
              <w:spacing w:before="20" w:after="20"/>
              <w:ind w:left="113"/>
              <w:rPr>
                <w:lang w:val="en-AU"/>
              </w:rPr>
            </w:pPr>
            <w:r w:rsidRPr="00207DC2">
              <w:rPr>
                <w:lang w:val="en-AU"/>
              </w:rPr>
              <w:t>Age group (compared with 25 to</w:t>
            </w:r>
            <w:r w:rsidR="00C61097" w:rsidRPr="00207DC2">
              <w:rPr>
                <w:lang w:val="en-AU"/>
              </w:rPr>
              <w:t xml:space="preserve"> 34 years)</w:t>
            </w:r>
          </w:p>
        </w:tc>
        <w:tc>
          <w:tcPr>
            <w:tcW w:w="623" w:type="pct"/>
            <w:tcBorders>
              <w:top w:val="dashSmallGap" w:sz="4" w:space="0" w:color="auto"/>
              <w:bottom w:val="nil"/>
            </w:tcBorders>
            <w:shd w:val="clear" w:color="auto" w:fill="D0D2D3" w:themeFill="background2"/>
          </w:tcPr>
          <w:p w14:paraId="113B4256" w14:textId="77777777" w:rsidR="00C61097" w:rsidRPr="00207DC2" w:rsidRDefault="00C6109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p>
        </w:tc>
        <w:tc>
          <w:tcPr>
            <w:tcW w:w="778" w:type="pct"/>
            <w:tcBorders>
              <w:top w:val="dashSmallGap" w:sz="4" w:space="0" w:color="auto"/>
              <w:bottom w:val="nil"/>
            </w:tcBorders>
            <w:shd w:val="clear" w:color="auto" w:fill="D0D2D3" w:themeFill="background2"/>
          </w:tcPr>
          <w:p w14:paraId="296C91FE" w14:textId="77777777" w:rsidR="00C61097" w:rsidRPr="00207DC2" w:rsidRDefault="00C6109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p>
        </w:tc>
      </w:tr>
      <w:tr w:rsidR="000D3F55" w:rsidRPr="00207DC2" w14:paraId="54FF80C2"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66DF0D7B"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15 to</w:t>
            </w:r>
            <w:r w:rsidR="00C61097" w:rsidRPr="00207DC2">
              <w:rPr>
                <w:b w:val="0"/>
                <w:lang w:val="en-AU"/>
              </w:rPr>
              <w:t xml:space="preserve"> 24 years</w:t>
            </w:r>
          </w:p>
        </w:tc>
        <w:tc>
          <w:tcPr>
            <w:tcW w:w="623" w:type="pct"/>
            <w:tcBorders>
              <w:top w:val="nil"/>
              <w:bottom w:val="nil"/>
            </w:tcBorders>
          </w:tcPr>
          <w:p w14:paraId="161522A5"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r w:rsidR="0009098B" w:rsidRPr="00207DC2">
              <w:rPr>
                <w:lang w:val="en-AU"/>
              </w:rPr>
              <w:t>6</w:t>
            </w:r>
            <w:r w:rsidRPr="00207DC2">
              <w:rPr>
                <w:lang w:val="en-AU"/>
              </w:rPr>
              <w:t>*</w:t>
            </w:r>
          </w:p>
        </w:tc>
        <w:tc>
          <w:tcPr>
            <w:tcW w:w="778" w:type="pct"/>
            <w:tcBorders>
              <w:top w:val="nil"/>
              <w:bottom w:val="nil"/>
            </w:tcBorders>
          </w:tcPr>
          <w:p w14:paraId="43DECA31"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r w:rsidR="0009098B" w:rsidRPr="00207DC2">
              <w:rPr>
                <w:lang w:val="en-AU"/>
              </w:rPr>
              <w:t>9</w:t>
            </w:r>
            <w:r w:rsidRPr="00207DC2">
              <w:rPr>
                <w:lang w:val="en-AU"/>
              </w:rPr>
              <w:t>*</w:t>
            </w:r>
          </w:p>
        </w:tc>
      </w:tr>
      <w:tr w:rsidR="000D3F55" w:rsidRPr="00207DC2" w14:paraId="798ED299"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68FB6CD7"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35 to</w:t>
            </w:r>
            <w:r w:rsidR="00C61097" w:rsidRPr="00207DC2">
              <w:rPr>
                <w:b w:val="0"/>
                <w:lang w:val="en-AU"/>
              </w:rPr>
              <w:t xml:space="preserve"> 44 years</w:t>
            </w:r>
          </w:p>
        </w:tc>
        <w:tc>
          <w:tcPr>
            <w:tcW w:w="623" w:type="pct"/>
            <w:tcBorders>
              <w:top w:val="nil"/>
              <w:bottom w:val="nil"/>
            </w:tcBorders>
          </w:tcPr>
          <w:p w14:paraId="108B5032"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r w:rsidR="0009098B" w:rsidRPr="00207DC2">
              <w:rPr>
                <w:lang w:val="en-AU"/>
              </w:rPr>
              <w:t>5</w:t>
            </w:r>
            <w:r w:rsidRPr="00207DC2">
              <w:rPr>
                <w:lang w:val="en-AU"/>
              </w:rPr>
              <w:t>*</w:t>
            </w:r>
          </w:p>
        </w:tc>
        <w:tc>
          <w:tcPr>
            <w:tcW w:w="778" w:type="pct"/>
            <w:tcBorders>
              <w:top w:val="nil"/>
              <w:bottom w:val="nil"/>
            </w:tcBorders>
          </w:tcPr>
          <w:p w14:paraId="4B904AB5"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r w:rsidR="0009098B" w:rsidRPr="00207DC2">
              <w:rPr>
                <w:lang w:val="en-AU"/>
              </w:rPr>
              <w:t>5</w:t>
            </w:r>
            <w:r w:rsidRPr="00207DC2">
              <w:rPr>
                <w:lang w:val="en-AU"/>
              </w:rPr>
              <w:t>*</w:t>
            </w:r>
          </w:p>
        </w:tc>
      </w:tr>
      <w:tr w:rsidR="000D3F55" w:rsidRPr="00207DC2" w14:paraId="187A7D2B"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77323768"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45 to</w:t>
            </w:r>
            <w:r w:rsidR="00C61097" w:rsidRPr="00207DC2">
              <w:rPr>
                <w:b w:val="0"/>
                <w:lang w:val="en-AU"/>
              </w:rPr>
              <w:t xml:space="preserve"> 54 years</w:t>
            </w:r>
          </w:p>
        </w:tc>
        <w:tc>
          <w:tcPr>
            <w:tcW w:w="623" w:type="pct"/>
            <w:tcBorders>
              <w:top w:val="nil"/>
              <w:bottom w:val="nil"/>
            </w:tcBorders>
          </w:tcPr>
          <w:p w14:paraId="5C848C7D"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12*</w:t>
            </w:r>
          </w:p>
        </w:tc>
        <w:tc>
          <w:tcPr>
            <w:tcW w:w="778" w:type="pct"/>
            <w:tcBorders>
              <w:top w:val="nil"/>
              <w:bottom w:val="nil"/>
            </w:tcBorders>
          </w:tcPr>
          <w:p w14:paraId="640E6D0D"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-12*</w:t>
            </w:r>
          </w:p>
        </w:tc>
      </w:tr>
      <w:tr w:rsidR="000D3F55" w:rsidRPr="00207DC2" w14:paraId="7D072A7E"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dashSmallGap" w:sz="4" w:space="0" w:color="auto"/>
            </w:tcBorders>
            <w:vAlign w:val="top"/>
          </w:tcPr>
          <w:p w14:paraId="2E208E40"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55</w:t>
            </w:r>
            <w:r w:rsidR="00C61097" w:rsidRPr="00207DC2">
              <w:rPr>
                <w:b w:val="0"/>
                <w:lang w:val="en-AU"/>
              </w:rPr>
              <w:t xml:space="preserve"> years</w:t>
            </w:r>
            <w:r w:rsidRPr="00207DC2">
              <w:rPr>
                <w:b w:val="0"/>
                <w:lang w:val="en-AU"/>
              </w:rPr>
              <w:t xml:space="preserve"> and over</w:t>
            </w:r>
          </w:p>
        </w:tc>
        <w:tc>
          <w:tcPr>
            <w:tcW w:w="623" w:type="pct"/>
            <w:tcBorders>
              <w:top w:val="nil"/>
              <w:bottom w:val="dashSmallGap" w:sz="4" w:space="0" w:color="auto"/>
            </w:tcBorders>
          </w:tcPr>
          <w:p w14:paraId="31FDE67F"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21*</w:t>
            </w:r>
          </w:p>
        </w:tc>
        <w:tc>
          <w:tcPr>
            <w:tcW w:w="778" w:type="pct"/>
            <w:tcBorders>
              <w:top w:val="nil"/>
              <w:bottom w:val="dashSmallGap" w:sz="4" w:space="0" w:color="auto"/>
            </w:tcBorders>
            <w:shd w:val="clear" w:color="auto" w:fill="auto"/>
          </w:tcPr>
          <w:p w14:paraId="74806748"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-19*</w:t>
            </w:r>
          </w:p>
        </w:tc>
      </w:tr>
      <w:tr w:rsidR="000D3F55" w:rsidRPr="00207DC2" w14:paraId="46F3F0C0"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nil"/>
            </w:tcBorders>
            <w:shd w:val="clear" w:color="auto" w:fill="D0D2D3" w:themeFill="background2"/>
            <w:vAlign w:val="top"/>
          </w:tcPr>
          <w:p w14:paraId="16F60F00" w14:textId="77777777" w:rsidR="00C61097" w:rsidRPr="00207DC2" w:rsidRDefault="00C61097" w:rsidP="00FB626D">
            <w:pPr>
              <w:keepNext/>
              <w:keepLines/>
              <w:spacing w:before="20" w:after="20"/>
              <w:ind w:left="113"/>
              <w:rPr>
                <w:lang w:val="en-AU"/>
              </w:rPr>
            </w:pPr>
            <w:r w:rsidRPr="00207DC2">
              <w:rPr>
                <w:lang w:val="en-AU"/>
              </w:rPr>
              <w:t xml:space="preserve">Duration </w:t>
            </w:r>
            <w:r w:rsidR="00986D8D" w:rsidRPr="00207DC2">
              <w:rPr>
                <w:lang w:val="en-AU"/>
              </w:rPr>
              <w:t xml:space="preserve">unemployed (compared with 1 to </w:t>
            </w:r>
            <w:r w:rsidRPr="00207DC2">
              <w:rPr>
                <w:lang w:val="en-AU"/>
              </w:rPr>
              <w:t>6 months)</w:t>
            </w:r>
          </w:p>
        </w:tc>
        <w:tc>
          <w:tcPr>
            <w:tcW w:w="623" w:type="pct"/>
            <w:tcBorders>
              <w:top w:val="dashSmallGap" w:sz="4" w:space="0" w:color="auto"/>
              <w:bottom w:val="nil"/>
            </w:tcBorders>
            <w:shd w:val="clear" w:color="auto" w:fill="D0D2D3" w:themeFill="background2"/>
          </w:tcPr>
          <w:p w14:paraId="78AA23C6" w14:textId="77777777" w:rsidR="00C61097" w:rsidRPr="00207DC2" w:rsidRDefault="00C6109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p>
        </w:tc>
        <w:tc>
          <w:tcPr>
            <w:tcW w:w="778" w:type="pct"/>
            <w:tcBorders>
              <w:top w:val="dashSmallGap" w:sz="4" w:space="0" w:color="auto"/>
              <w:bottom w:val="nil"/>
            </w:tcBorders>
            <w:shd w:val="clear" w:color="auto" w:fill="D0D2D3" w:themeFill="background2"/>
          </w:tcPr>
          <w:p w14:paraId="322B6CA6" w14:textId="77777777" w:rsidR="00C61097" w:rsidRPr="00207DC2" w:rsidRDefault="00C6109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p>
        </w:tc>
      </w:tr>
      <w:tr w:rsidR="000D3F55" w:rsidRPr="00207DC2" w14:paraId="276C9357"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1767C46D"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 xml:space="preserve">Less than </w:t>
            </w:r>
            <w:r w:rsidR="00C61097" w:rsidRPr="00207DC2">
              <w:rPr>
                <w:b w:val="0"/>
                <w:lang w:val="en-AU"/>
              </w:rPr>
              <w:t>1 month</w:t>
            </w:r>
          </w:p>
        </w:tc>
        <w:tc>
          <w:tcPr>
            <w:tcW w:w="623" w:type="pct"/>
            <w:tcBorders>
              <w:top w:val="nil"/>
              <w:bottom w:val="nil"/>
            </w:tcBorders>
          </w:tcPr>
          <w:p w14:paraId="02E758CD"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6</w:t>
            </w:r>
            <w:r w:rsidRPr="00207DC2">
              <w:rPr>
                <w:lang w:val="en-AU"/>
              </w:rPr>
              <w:t>*</w:t>
            </w:r>
          </w:p>
        </w:tc>
        <w:tc>
          <w:tcPr>
            <w:tcW w:w="778" w:type="pct"/>
            <w:tcBorders>
              <w:top w:val="nil"/>
              <w:bottom w:val="nil"/>
            </w:tcBorders>
          </w:tcPr>
          <w:p w14:paraId="004663BA"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4</w:t>
            </w:r>
            <w:r w:rsidRPr="00207DC2">
              <w:rPr>
                <w:lang w:val="en-AU"/>
              </w:rPr>
              <w:t>*</w:t>
            </w:r>
          </w:p>
        </w:tc>
      </w:tr>
      <w:tr w:rsidR="000D3F55" w:rsidRPr="00207DC2" w14:paraId="06E4CC36"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0B5D46FF" w14:textId="77777777" w:rsidR="00EE5DC7" w:rsidRPr="00207DC2" w:rsidRDefault="00986D8D" w:rsidP="00FB626D">
            <w:pPr>
              <w:keepNext/>
              <w:keepLines/>
              <w:spacing w:before="20" w:after="20"/>
              <w:ind w:left="283" w:right="0"/>
              <w:rPr>
                <w:rFonts w:cs="Calibri Light"/>
                <w:b w:val="0"/>
                <w:szCs w:val="20"/>
                <w:lang w:val="en-AU"/>
              </w:rPr>
            </w:pPr>
            <w:r w:rsidRPr="00207DC2">
              <w:rPr>
                <w:b w:val="0"/>
                <w:lang w:val="en-AU"/>
              </w:rPr>
              <w:t xml:space="preserve">6 months to </w:t>
            </w:r>
            <w:r w:rsidR="00C61097" w:rsidRPr="00207DC2">
              <w:rPr>
                <w:b w:val="0"/>
                <w:lang w:val="en-AU"/>
              </w:rPr>
              <w:t>1 year</w:t>
            </w:r>
          </w:p>
        </w:tc>
        <w:tc>
          <w:tcPr>
            <w:tcW w:w="623" w:type="pct"/>
            <w:tcBorders>
              <w:top w:val="nil"/>
              <w:bottom w:val="nil"/>
            </w:tcBorders>
          </w:tcPr>
          <w:p w14:paraId="1479586A"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2</w:t>
            </w:r>
          </w:p>
        </w:tc>
        <w:tc>
          <w:tcPr>
            <w:tcW w:w="778" w:type="pct"/>
            <w:tcBorders>
              <w:top w:val="nil"/>
              <w:bottom w:val="nil"/>
            </w:tcBorders>
          </w:tcPr>
          <w:p w14:paraId="0E41A1B1"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002</w:t>
            </w:r>
          </w:p>
        </w:tc>
      </w:tr>
      <w:tr w:rsidR="000D3F55" w:rsidRPr="00207DC2" w14:paraId="12A833B3"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dashSmallGap" w:sz="4" w:space="0" w:color="auto"/>
            </w:tcBorders>
            <w:vAlign w:val="top"/>
          </w:tcPr>
          <w:p w14:paraId="127ADCFB"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 xml:space="preserve">1 year </w:t>
            </w:r>
            <w:r w:rsidR="00C61097" w:rsidRPr="00207DC2">
              <w:rPr>
                <w:b w:val="0"/>
                <w:lang w:val="en-AU"/>
              </w:rPr>
              <w:t>or more</w:t>
            </w:r>
          </w:p>
        </w:tc>
        <w:tc>
          <w:tcPr>
            <w:tcW w:w="623" w:type="pct"/>
            <w:tcBorders>
              <w:top w:val="nil"/>
              <w:bottom w:val="dashSmallGap" w:sz="4" w:space="0" w:color="auto"/>
            </w:tcBorders>
          </w:tcPr>
          <w:p w14:paraId="0E7C46DA"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2</w:t>
            </w:r>
          </w:p>
        </w:tc>
        <w:tc>
          <w:tcPr>
            <w:tcW w:w="778" w:type="pct"/>
            <w:tcBorders>
              <w:top w:val="nil"/>
              <w:bottom w:val="dashSmallGap" w:sz="4" w:space="0" w:color="auto"/>
            </w:tcBorders>
          </w:tcPr>
          <w:p w14:paraId="50B6DF7A"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r>
      <w:tr w:rsidR="000D3F55" w:rsidRPr="00207DC2" w14:paraId="1A1159C2"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nil"/>
            </w:tcBorders>
            <w:shd w:val="clear" w:color="auto" w:fill="D0D2D3" w:themeFill="background2"/>
            <w:vAlign w:val="top"/>
          </w:tcPr>
          <w:p w14:paraId="59D40E7A" w14:textId="77777777" w:rsidR="00C61097" w:rsidRPr="00207DC2" w:rsidRDefault="00C61097" w:rsidP="00FB626D">
            <w:pPr>
              <w:keepNext/>
              <w:keepLines/>
              <w:spacing w:before="20" w:after="20"/>
              <w:ind w:left="113"/>
              <w:rPr>
                <w:lang w:val="en-AU"/>
              </w:rPr>
            </w:pPr>
            <w:r w:rsidRPr="00207DC2">
              <w:rPr>
                <w:lang w:val="en-AU"/>
              </w:rPr>
              <w:t>Share of the year that the person had:</w:t>
            </w:r>
            <w:r w:rsidR="001C4AC2" w:rsidRPr="00207DC2">
              <w:rPr>
                <w:vertAlign w:val="superscript"/>
                <w:lang w:val="en-AU"/>
              </w:rPr>
              <w:t>b</w:t>
            </w:r>
          </w:p>
        </w:tc>
        <w:tc>
          <w:tcPr>
            <w:tcW w:w="623" w:type="pct"/>
            <w:tcBorders>
              <w:top w:val="dashSmallGap" w:sz="4" w:space="0" w:color="auto"/>
              <w:bottom w:val="nil"/>
            </w:tcBorders>
            <w:shd w:val="clear" w:color="auto" w:fill="D0D2D3" w:themeFill="background2"/>
          </w:tcPr>
          <w:p w14:paraId="373C3DDB" w14:textId="77777777" w:rsidR="00C61097" w:rsidRPr="00207DC2" w:rsidRDefault="00C6109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p>
        </w:tc>
        <w:tc>
          <w:tcPr>
            <w:tcW w:w="778" w:type="pct"/>
            <w:tcBorders>
              <w:top w:val="dashSmallGap" w:sz="4" w:space="0" w:color="auto"/>
              <w:bottom w:val="nil"/>
            </w:tcBorders>
            <w:shd w:val="clear" w:color="auto" w:fill="D0D2D3" w:themeFill="background2"/>
          </w:tcPr>
          <w:p w14:paraId="1D1DC4BD" w14:textId="77777777" w:rsidR="00C61097" w:rsidRPr="00207DC2" w:rsidRDefault="00C6109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p>
        </w:tc>
      </w:tr>
      <w:tr w:rsidR="000D3F55" w:rsidRPr="00207DC2" w14:paraId="61CBDFFD"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26AD2BD0"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No transport</w:t>
            </w:r>
            <w:r w:rsidR="001C4AC2" w:rsidRPr="00207DC2">
              <w:rPr>
                <w:b w:val="0"/>
                <w:vertAlign w:val="superscript"/>
                <w:lang w:val="en-AU"/>
              </w:rPr>
              <w:t>c</w:t>
            </w:r>
          </w:p>
        </w:tc>
        <w:tc>
          <w:tcPr>
            <w:tcW w:w="623" w:type="pct"/>
            <w:tcBorders>
              <w:top w:val="nil"/>
              <w:bottom w:val="nil"/>
            </w:tcBorders>
          </w:tcPr>
          <w:p w14:paraId="5C769736"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6</w:t>
            </w:r>
          </w:p>
        </w:tc>
        <w:tc>
          <w:tcPr>
            <w:tcW w:w="778" w:type="pct"/>
            <w:tcBorders>
              <w:top w:val="nil"/>
              <w:bottom w:val="nil"/>
            </w:tcBorders>
          </w:tcPr>
          <w:p w14:paraId="4C93EBDA"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r w:rsidR="0009098B" w:rsidRPr="00207DC2">
              <w:rPr>
                <w:lang w:val="en-AU"/>
              </w:rPr>
              <w:t>3</w:t>
            </w:r>
            <w:r w:rsidRPr="00207DC2">
              <w:rPr>
                <w:lang w:val="en-AU"/>
              </w:rPr>
              <w:t>*</w:t>
            </w:r>
          </w:p>
        </w:tc>
      </w:tr>
      <w:tr w:rsidR="000D3F55" w:rsidRPr="00207DC2" w14:paraId="783BAB1E"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655CC5EC"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Public or other private transport</w:t>
            </w:r>
            <w:r w:rsidR="001C4AC2" w:rsidRPr="00207DC2">
              <w:rPr>
                <w:b w:val="0"/>
                <w:vertAlign w:val="superscript"/>
                <w:lang w:val="en-AU"/>
              </w:rPr>
              <w:t>c</w:t>
            </w:r>
          </w:p>
        </w:tc>
        <w:tc>
          <w:tcPr>
            <w:tcW w:w="623" w:type="pct"/>
            <w:tcBorders>
              <w:top w:val="nil"/>
              <w:bottom w:val="nil"/>
            </w:tcBorders>
          </w:tcPr>
          <w:p w14:paraId="3321E6D8"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c>
          <w:tcPr>
            <w:tcW w:w="778" w:type="pct"/>
            <w:tcBorders>
              <w:top w:val="nil"/>
              <w:bottom w:val="nil"/>
            </w:tcBorders>
          </w:tcPr>
          <w:p w14:paraId="36A1CCD4"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r w:rsidR="0009098B" w:rsidRPr="00207DC2">
              <w:rPr>
                <w:lang w:val="en-AU"/>
              </w:rPr>
              <w:t>3</w:t>
            </w:r>
            <w:r w:rsidRPr="00207DC2">
              <w:rPr>
                <w:lang w:val="en-AU"/>
              </w:rPr>
              <w:t>*</w:t>
            </w:r>
          </w:p>
        </w:tc>
      </w:tr>
      <w:tr w:rsidR="000D3F55" w:rsidRPr="00207DC2" w14:paraId="32354D01"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24209064"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Pa</w:t>
            </w:r>
            <w:r w:rsidR="00986D8D" w:rsidRPr="00207DC2">
              <w:rPr>
                <w:b w:val="0"/>
                <w:lang w:val="en-AU"/>
              </w:rPr>
              <w:t xml:space="preserve">rent of a child aged </w:t>
            </w:r>
            <w:r w:rsidRPr="00207DC2">
              <w:rPr>
                <w:b w:val="0"/>
                <w:lang w:val="en-AU"/>
              </w:rPr>
              <w:t>15 years</w:t>
            </w:r>
            <w:r w:rsidR="00986D8D" w:rsidRPr="00207DC2">
              <w:rPr>
                <w:b w:val="0"/>
                <w:lang w:val="en-AU"/>
              </w:rPr>
              <w:t xml:space="preserve"> or under</w:t>
            </w:r>
          </w:p>
        </w:tc>
        <w:tc>
          <w:tcPr>
            <w:tcW w:w="623" w:type="pct"/>
            <w:tcBorders>
              <w:top w:val="nil"/>
              <w:bottom w:val="nil"/>
            </w:tcBorders>
          </w:tcPr>
          <w:p w14:paraId="105014C9"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.1*</w:t>
            </w:r>
          </w:p>
        </w:tc>
        <w:tc>
          <w:tcPr>
            <w:tcW w:w="778" w:type="pct"/>
            <w:tcBorders>
              <w:top w:val="nil"/>
              <w:bottom w:val="nil"/>
            </w:tcBorders>
          </w:tcPr>
          <w:p w14:paraId="6B3A2F4B"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1</w:t>
            </w:r>
          </w:p>
        </w:tc>
      </w:tr>
      <w:tr w:rsidR="000D3F55" w:rsidRPr="00207DC2" w14:paraId="737EDED0"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41D7E379"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Primary carer</w:t>
            </w:r>
          </w:p>
        </w:tc>
        <w:tc>
          <w:tcPr>
            <w:tcW w:w="623" w:type="pct"/>
            <w:tcBorders>
              <w:top w:val="nil"/>
              <w:bottom w:val="nil"/>
            </w:tcBorders>
          </w:tcPr>
          <w:p w14:paraId="123E7712"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1</w:t>
            </w:r>
          </w:p>
        </w:tc>
        <w:tc>
          <w:tcPr>
            <w:tcW w:w="778" w:type="pct"/>
            <w:tcBorders>
              <w:top w:val="nil"/>
              <w:bottom w:val="nil"/>
            </w:tcBorders>
          </w:tcPr>
          <w:p w14:paraId="016AA66A" w14:textId="395B7B2C"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-3*</w:t>
            </w:r>
          </w:p>
        </w:tc>
      </w:tr>
      <w:tr w:rsidR="000D3F55" w:rsidRPr="00207DC2" w14:paraId="116EE42D"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6536B524"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Homeless</w:t>
            </w:r>
          </w:p>
        </w:tc>
        <w:tc>
          <w:tcPr>
            <w:tcW w:w="623" w:type="pct"/>
            <w:tcBorders>
              <w:top w:val="nil"/>
              <w:bottom w:val="nil"/>
            </w:tcBorders>
          </w:tcPr>
          <w:p w14:paraId="7ED01AE3"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w:t>
            </w:r>
            <w:r w:rsidR="0009098B" w:rsidRPr="00207DC2">
              <w:rPr>
                <w:lang w:val="en-AU"/>
              </w:rPr>
              <w:t>1</w:t>
            </w:r>
            <w:r w:rsidRPr="00207DC2">
              <w:rPr>
                <w:lang w:val="en-AU"/>
              </w:rPr>
              <w:t>*</w:t>
            </w:r>
          </w:p>
        </w:tc>
        <w:tc>
          <w:tcPr>
            <w:tcW w:w="778" w:type="pct"/>
            <w:tcBorders>
              <w:top w:val="nil"/>
              <w:bottom w:val="nil"/>
            </w:tcBorders>
          </w:tcPr>
          <w:p w14:paraId="10A47D7D"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w:t>
            </w:r>
            <w:r w:rsidR="0009098B" w:rsidRPr="00207DC2">
              <w:rPr>
                <w:lang w:val="en-AU"/>
              </w:rPr>
              <w:t>.5</w:t>
            </w:r>
          </w:p>
        </w:tc>
      </w:tr>
      <w:tr w:rsidR="000D3F55" w:rsidRPr="00207DC2" w14:paraId="6998DC8A"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nil"/>
            </w:tcBorders>
            <w:vAlign w:val="top"/>
          </w:tcPr>
          <w:p w14:paraId="66345BED" w14:textId="77777777" w:rsidR="00EE5DC7" w:rsidRPr="00207DC2" w:rsidRDefault="00EE5DC7" w:rsidP="00FB626D">
            <w:pPr>
              <w:keepNext/>
              <w:keepLines/>
              <w:spacing w:before="20" w:after="20"/>
              <w:ind w:left="283" w:right="0"/>
              <w:rPr>
                <w:rFonts w:cs="Calibri Light"/>
                <w:b w:val="0"/>
                <w:szCs w:val="20"/>
                <w:lang w:val="en-AU"/>
              </w:rPr>
            </w:pPr>
            <w:r w:rsidRPr="00207DC2">
              <w:rPr>
                <w:b w:val="0"/>
                <w:lang w:val="en-AU"/>
              </w:rPr>
              <w:t>Not contactable by phone</w:t>
            </w:r>
          </w:p>
        </w:tc>
        <w:tc>
          <w:tcPr>
            <w:tcW w:w="623" w:type="pct"/>
            <w:tcBorders>
              <w:top w:val="nil"/>
              <w:bottom w:val="nil"/>
            </w:tcBorders>
          </w:tcPr>
          <w:p w14:paraId="01B77B2D" w14:textId="77777777" w:rsidR="00EE5DC7" w:rsidRPr="00207DC2" w:rsidRDefault="0009098B"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-1.4*</w:t>
            </w:r>
          </w:p>
        </w:tc>
        <w:tc>
          <w:tcPr>
            <w:tcW w:w="778" w:type="pct"/>
            <w:tcBorders>
              <w:top w:val="nil"/>
              <w:bottom w:val="nil"/>
            </w:tcBorders>
          </w:tcPr>
          <w:p w14:paraId="76FD2C49"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r w:rsidR="0009098B" w:rsidRPr="00207DC2">
              <w:rPr>
                <w:lang w:val="en-AU"/>
              </w:rPr>
              <w:t>9</w:t>
            </w:r>
            <w:r w:rsidRPr="00207DC2">
              <w:rPr>
                <w:lang w:val="en-AU"/>
              </w:rPr>
              <w:t>*</w:t>
            </w:r>
          </w:p>
        </w:tc>
      </w:tr>
      <w:tr w:rsidR="000D3F55" w:rsidRPr="00207DC2" w14:paraId="05DA7748"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nil"/>
              <w:bottom w:val="dashSmallGap" w:sz="4" w:space="0" w:color="auto"/>
            </w:tcBorders>
            <w:vAlign w:val="top"/>
          </w:tcPr>
          <w:p w14:paraId="285179D1" w14:textId="1FB13CE1" w:rsidR="00EE5DC7" w:rsidRPr="00207DC2" w:rsidRDefault="00300DEA" w:rsidP="00FB626D">
            <w:pPr>
              <w:keepNext/>
              <w:keepLines/>
              <w:spacing w:before="20" w:after="20"/>
              <w:ind w:left="283" w:right="0"/>
              <w:rPr>
                <w:rFonts w:cs="Calibri Light"/>
                <w:b w:val="0"/>
                <w:szCs w:val="20"/>
                <w:lang w:val="en-AU"/>
              </w:rPr>
            </w:pPr>
            <w:r w:rsidRPr="00207DC2">
              <w:rPr>
                <w:b w:val="0"/>
                <w:lang w:val="en-AU"/>
              </w:rPr>
              <w:t>Activity tested</w:t>
            </w:r>
            <w:r w:rsidR="000D3DED" w:rsidRPr="00207DC2">
              <w:rPr>
                <w:b w:val="0"/>
                <w:lang w:val="en-AU"/>
              </w:rPr>
              <w:t xml:space="preserve"> and required to attend </w:t>
            </w:r>
            <w:r w:rsidR="00EE5DC7" w:rsidRPr="00207DC2">
              <w:rPr>
                <w:b w:val="0"/>
                <w:lang w:val="en-AU"/>
              </w:rPr>
              <w:t>W</w:t>
            </w:r>
            <w:r w:rsidR="004D58CF" w:rsidRPr="00207DC2">
              <w:rPr>
                <w:b w:val="0"/>
                <w:lang w:val="en-AU"/>
              </w:rPr>
              <w:t xml:space="preserve">ork </w:t>
            </w:r>
            <w:r w:rsidR="00EE5DC7" w:rsidRPr="00207DC2">
              <w:rPr>
                <w:b w:val="0"/>
                <w:lang w:val="en-AU"/>
              </w:rPr>
              <w:t>f</w:t>
            </w:r>
            <w:r w:rsidR="004D58CF" w:rsidRPr="00207DC2">
              <w:rPr>
                <w:b w:val="0"/>
                <w:lang w:val="en-AU"/>
              </w:rPr>
              <w:t xml:space="preserve">or the </w:t>
            </w:r>
            <w:r w:rsidR="00EE5DC7" w:rsidRPr="00207DC2">
              <w:rPr>
                <w:b w:val="0"/>
                <w:lang w:val="en-AU"/>
              </w:rPr>
              <w:t>D</w:t>
            </w:r>
            <w:r w:rsidR="004D58CF" w:rsidRPr="00207DC2">
              <w:rPr>
                <w:b w:val="0"/>
                <w:lang w:val="en-AU"/>
              </w:rPr>
              <w:t>ole</w:t>
            </w:r>
          </w:p>
        </w:tc>
        <w:tc>
          <w:tcPr>
            <w:tcW w:w="623" w:type="pct"/>
            <w:tcBorders>
              <w:top w:val="nil"/>
              <w:bottom w:val="dashSmallGap" w:sz="4" w:space="0" w:color="auto"/>
            </w:tcBorders>
          </w:tcPr>
          <w:p w14:paraId="58BB1F0A" w14:textId="42A4FB92"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w:t>
            </w:r>
          </w:p>
        </w:tc>
        <w:tc>
          <w:tcPr>
            <w:tcW w:w="778" w:type="pct"/>
            <w:tcBorders>
              <w:top w:val="nil"/>
              <w:bottom w:val="dashSmallGap" w:sz="4" w:space="0" w:color="auto"/>
            </w:tcBorders>
          </w:tcPr>
          <w:p w14:paraId="1DA2B3DA" w14:textId="408B0723"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w:t>
            </w:r>
            <w:r w:rsidR="0009098B" w:rsidRPr="00207DC2">
              <w:rPr>
                <w:lang w:val="en-AU"/>
              </w:rPr>
              <w:t>18</w:t>
            </w:r>
            <w:r w:rsidRPr="00207DC2">
              <w:rPr>
                <w:lang w:val="en-AU"/>
              </w:rPr>
              <w:t>*</w:t>
            </w:r>
          </w:p>
        </w:tc>
      </w:tr>
      <w:tr w:rsidR="000D3F55" w:rsidRPr="00207DC2" w14:paraId="07AF37D6"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dashSmallGap" w:sz="4" w:space="0" w:color="auto"/>
            </w:tcBorders>
            <w:vAlign w:val="top"/>
          </w:tcPr>
          <w:p w14:paraId="291ECAC4" w14:textId="77777777" w:rsidR="00EE5DC7" w:rsidRPr="00207DC2" w:rsidRDefault="00EE5DC7" w:rsidP="00FB626D">
            <w:pPr>
              <w:keepNext/>
              <w:keepLines/>
              <w:spacing w:before="20" w:after="20"/>
              <w:ind w:left="113" w:right="0"/>
              <w:rPr>
                <w:rFonts w:cs="Calibri Light"/>
                <w:b w:val="0"/>
                <w:szCs w:val="20"/>
                <w:lang w:val="en-AU"/>
              </w:rPr>
            </w:pPr>
            <w:r w:rsidRPr="00207DC2">
              <w:rPr>
                <w:b w:val="0"/>
                <w:lang w:val="en-AU"/>
              </w:rPr>
              <w:t xml:space="preserve">Total days </w:t>
            </w:r>
            <w:r w:rsidR="00071751" w:rsidRPr="00207DC2">
              <w:rPr>
                <w:b w:val="0"/>
                <w:lang w:val="en-AU"/>
              </w:rPr>
              <w:t>actively participating (commenced) in the program</w:t>
            </w:r>
          </w:p>
        </w:tc>
        <w:tc>
          <w:tcPr>
            <w:tcW w:w="623" w:type="pct"/>
            <w:tcBorders>
              <w:top w:val="dashSmallGap" w:sz="4" w:space="0" w:color="auto"/>
              <w:bottom w:val="dashSmallGap" w:sz="4" w:space="0" w:color="auto"/>
            </w:tcBorders>
          </w:tcPr>
          <w:p w14:paraId="1D55913B" w14:textId="77777777" w:rsidR="00EE5DC7" w:rsidRPr="00207DC2" w:rsidRDefault="00EE5DC7" w:rsidP="00FB626D">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0.1*</w:t>
            </w:r>
          </w:p>
        </w:tc>
        <w:tc>
          <w:tcPr>
            <w:tcW w:w="778" w:type="pct"/>
            <w:tcBorders>
              <w:top w:val="dashSmallGap" w:sz="4" w:space="0" w:color="auto"/>
              <w:bottom w:val="dashSmallGap" w:sz="4" w:space="0" w:color="auto"/>
            </w:tcBorders>
          </w:tcPr>
          <w:p w14:paraId="76B1379B" w14:textId="77777777" w:rsidR="00EE5DC7" w:rsidRPr="00207DC2" w:rsidRDefault="00EE5DC7" w:rsidP="00FB626D">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-0.02*</w:t>
            </w:r>
          </w:p>
        </w:tc>
      </w:tr>
      <w:tr w:rsidR="000D3F55" w:rsidRPr="00207DC2" w14:paraId="72D9687D" w14:textId="77777777" w:rsidTr="000D3F55">
        <w:tc>
          <w:tcPr>
            <w:cnfStyle w:val="001000000000" w:firstRow="0" w:lastRow="0" w:firstColumn="1" w:lastColumn="0" w:oddVBand="0" w:evenVBand="0" w:oddHBand="0" w:evenHBand="0" w:firstRowFirstColumn="0" w:firstRowLastColumn="0" w:lastRowFirstColumn="0" w:lastRowLastColumn="0"/>
            <w:tcW w:w="3599" w:type="pct"/>
            <w:tcBorders>
              <w:top w:val="dashSmallGap" w:sz="4" w:space="0" w:color="auto"/>
              <w:bottom w:val="single" w:sz="8" w:space="0" w:color="auto"/>
            </w:tcBorders>
            <w:vAlign w:val="top"/>
          </w:tcPr>
          <w:p w14:paraId="67FDD066" w14:textId="77777777" w:rsidR="00EE5DC7" w:rsidRPr="00207DC2" w:rsidRDefault="00EE5DC7" w:rsidP="00FB626D">
            <w:pPr>
              <w:keepNext/>
              <w:keepLines/>
              <w:tabs>
                <w:tab w:val="left" w:pos="7655"/>
              </w:tabs>
              <w:spacing w:before="20" w:after="20"/>
              <w:ind w:left="113" w:right="0"/>
              <w:rPr>
                <w:rFonts w:cs="Calibri Light"/>
                <w:b w:val="0"/>
                <w:szCs w:val="20"/>
                <w:lang w:val="en-AU"/>
              </w:rPr>
            </w:pPr>
            <w:r w:rsidRPr="00207DC2">
              <w:rPr>
                <w:b w:val="0"/>
                <w:lang w:val="en-AU"/>
              </w:rPr>
              <w:t>Remoteness index</w:t>
            </w:r>
          </w:p>
        </w:tc>
        <w:tc>
          <w:tcPr>
            <w:tcW w:w="623" w:type="pct"/>
            <w:tcBorders>
              <w:top w:val="dashSmallGap" w:sz="4" w:space="0" w:color="auto"/>
              <w:bottom w:val="single" w:sz="8" w:space="0" w:color="auto"/>
            </w:tcBorders>
          </w:tcPr>
          <w:p w14:paraId="0F30DA16" w14:textId="77777777" w:rsidR="00EE5DC7" w:rsidRPr="00013355" w:rsidRDefault="00EE5DC7" w:rsidP="00013355">
            <w:pPr>
              <w:keepNext/>
              <w:keepLines/>
              <w:tabs>
                <w:tab w:val="decimal" w:pos="514"/>
              </w:tabs>
              <w:spacing w:before="20" w:after="20"/>
              <w:ind w:left="227"/>
              <w:jc w:val="lef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-0.3*</w:t>
            </w:r>
          </w:p>
        </w:tc>
        <w:tc>
          <w:tcPr>
            <w:tcW w:w="778" w:type="pct"/>
            <w:tcBorders>
              <w:top w:val="dashSmallGap" w:sz="4" w:space="0" w:color="auto"/>
              <w:bottom w:val="single" w:sz="8" w:space="0" w:color="auto"/>
            </w:tcBorders>
          </w:tcPr>
          <w:p w14:paraId="602B2939" w14:textId="77777777" w:rsidR="00EE5DC7" w:rsidRPr="00013355" w:rsidRDefault="00EE5DC7" w:rsidP="00013355">
            <w:pPr>
              <w:keepNext/>
              <w:keepLines/>
              <w:tabs>
                <w:tab w:val="decimal" w:pos="514"/>
              </w:tabs>
              <w:spacing w:before="20" w:after="20"/>
              <w:ind w:left="170"/>
              <w:jc w:val="lef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-0.2</w:t>
            </w:r>
          </w:p>
        </w:tc>
      </w:tr>
    </w:tbl>
    <w:p w14:paraId="198A7C1F" w14:textId="77777777" w:rsidR="00DF7D3E" w:rsidRPr="00207DC2" w:rsidRDefault="00A05613" w:rsidP="00FB626D">
      <w:pPr>
        <w:pStyle w:val="tablenotes"/>
        <w:rPr>
          <w:rStyle w:val="tablenotesChar"/>
        </w:rPr>
      </w:pPr>
      <w:r w:rsidRPr="00207DC2">
        <w:rPr>
          <w:i/>
        </w:rPr>
        <w:t>Source:</w:t>
      </w:r>
      <w:r w:rsidRPr="00207DC2">
        <w:t xml:space="preserve"> U</w:t>
      </w:r>
      <w:r w:rsidRPr="00207DC2">
        <w:rPr>
          <w:rStyle w:val="tablenotesChar"/>
        </w:rPr>
        <w:t xml:space="preserve">npublished ESS operational data (extracted on 15 August 2017) </w:t>
      </w:r>
      <w:r w:rsidRPr="00207DC2">
        <w:t xml:space="preserve">and </w:t>
      </w:r>
      <w:r w:rsidRPr="00207DC2">
        <w:rPr>
          <w:rStyle w:val="tablenotesChar"/>
        </w:rPr>
        <w:t>unpublished DHS operational data (extracted from determination and circumstance files on 21 August 2017).</w:t>
      </w:r>
    </w:p>
    <w:p w14:paraId="70C87CB6" w14:textId="19F3391E" w:rsidR="00E16019" w:rsidRPr="00207DC2" w:rsidRDefault="00006114" w:rsidP="00FB626D">
      <w:pPr>
        <w:pStyle w:val="tablenotes"/>
      </w:pPr>
      <w:r w:rsidRPr="00207DC2">
        <w:rPr>
          <w:i/>
        </w:rPr>
        <w:t>Notes:</w:t>
      </w:r>
      <w:r w:rsidRPr="00207DC2">
        <w:t xml:space="preserve"> </w:t>
      </w:r>
      <w:r w:rsidR="00F1416B" w:rsidRPr="00207DC2">
        <w:t>(a)</w:t>
      </w:r>
      <w:r w:rsidR="00EE5DC7" w:rsidRPr="00207DC2">
        <w:t xml:space="preserve"> </w:t>
      </w:r>
      <w:r w:rsidR="001C4AC2" w:rsidRPr="00207DC2">
        <w:t>The values report the estimated percentage points added or lost to the rate of attendance or no</w:t>
      </w:r>
      <w:r w:rsidR="00FF1A19" w:rsidRPr="00207DC2">
        <w:t>n</w:t>
      </w:r>
      <w:r w:rsidR="003A4CAF" w:rsidRPr="00207DC2">
        <w:t>-</w:t>
      </w:r>
      <w:r w:rsidR="001C4AC2" w:rsidRPr="00207DC2">
        <w:t>attend</w:t>
      </w:r>
      <w:r w:rsidR="00FF1A19" w:rsidRPr="00207DC2">
        <w:t>ance</w:t>
      </w:r>
      <w:r w:rsidR="001C4AC2" w:rsidRPr="00207DC2">
        <w:t xml:space="preserve"> with no valid reason. </w:t>
      </w:r>
      <w:r w:rsidR="00F1416B" w:rsidRPr="00207DC2">
        <w:t>(</w:t>
      </w:r>
      <w:r w:rsidR="001C4AC2" w:rsidRPr="00207DC2">
        <w:t>b</w:t>
      </w:r>
      <w:r w:rsidR="00F1416B" w:rsidRPr="00207DC2">
        <w:t>)</w:t>
      </w:r>
      <w:r w:rsidR="00EE5DC7" w:rsidRPr="00207DC2">
        <w:t xml:space="preserve"> Proportion of</w:t>
      </w:r>
      <w:r w:rsidR="003F17BA" w:rsidRPr="00207DC2">
        <w:t xml:space="preserve"> </w:t>
      </w:r>
      <w:r w:rsidR="000801AF" w:rsidRPr="00207DC2">
        <w:t xml:space="preserve">the total </w:t>
      </w:r>
      <w:r w:rsidR="00EE5DC7" w:rsidRPr="00207DC2">
        <w:t>days</w:t>
      </w:r>
      <w:r w:rsidR="003F17BA" w:rsidRPr="00207DC2">
        <w:t xml:space="preserve"> that </w:t>
      </w:r>
      <w:r w:rsidR="00EE5DC7" w:rsidRPr="00207DC2">
        <w:t xml:space="preserve">the participant was </w:t>
      </w:r>
      <w:r w:rsidR="000801AF" w:rsidRPr="00207DC2">
        <w:t>actively participating (commenced) in the program</w:t>
      </w:r>
      <w:r w:rsidR="00EE5DC7" w:rsidRPr="00207DC2">
        <w:t>. (</w:t>
      </w:r>
      <w:r w:rsidR="001C4AC2" w:rsidRPr="00207DC2">
        <w:t>c</w:t>
      </w:r>
      <w:r w:rsidR="00EE5DC7" w:rsidRPr="00207DC2">
        <w:t xml:space="preserve">) There are three categories of transport availability recorded: </w:t>
      </w:r>
      <w:r w:rsidR="00037586" w:rsidRPr="00207DC2">
        <w:t>‘</w:t>
      </w:r>
      <w:r w:rsidR="001451C2" w:rsidRPr="00207DC2">
        <w:t>o</w:t>
      </w:r>
      <w:r w:rsidR="00EE5DC7" w:rsidRPr="00207DC2">
        <w:t>wns transport</w:t>
      </w:r>
      <w:r w:rsidR="00037586" w:rsidRPr="00207DC2">
        <w:t>’</w:t>
      </w:r>
      <w:r w:rsidR="00EE5DC7" w:rsidRPr="00207DC2">
        <w:t xml:space="preserve">; </w:t>
      </w:r>
      <w:r w:rsidR="00037586" w:rsidRPr="00207DC2">
        <w:t>‘</w:t>
      </w:r>
      <w:r w:rsidR="001451C2" w:rsidRPr="00207DC2">
        <w:t>p</w:t>
      </w:r>
      <w:r w:rsidR="00EE5DC7" w:rsidRPr="00207DC2">
        <w:t>ublic or other private transport</w:t>
      </w:r>
      <w:r w:rsidR="00037586" w:rsidRPr="00207DC2">
        <w:t>’</w:t>
      </w:r>
      <w:r w:rsidR="00EE5DC7" w:rsidRPr="00207DC2">
        <w:t xml:space="preserve">; and </w:t>
      </w:r>
      <w:r w:rsidR="00037586" w:rsidRPr="00207DC2">
        <w:t>‘</w:t>
      </w:r>
      <w:r w:rsidR="001451C2" w:rsidRPr="00207DC2">
        <w:t>n</w:t>
      </w:r>
      <w:r w:rsidR="00EE5DC7" w:rsidRPr="00207DC2">
        <w:t>o transport</w:t>
      </w:r>
      <w:r w:rsidR="00037586" w:rsidRPr="00207DC2">
        <w:t>’</w:t>
      </w:r>
      <w:r w:rsidR="00EE5DC7" w:rsidRPr="00207DC2">
        <w:t>.</w:t>
      </w:r>
      <w:r w:rsidR="00856464" w:rsidRPr="00207DC2">
        <w:t xml:space="preserve"> Estimates marked as *</w:t>
      </w:r>
      <w:r w:rsidR="001E0BA5" w:rsidRPr="00207DC2">
        <w:t xml:space="preserve"> </w:t>
      </w:r>
      <w:r w:rsidR="00856464" w:rsidRPr="00207DC2">
        <w:t xml:space="preserve">are statistically significant at the </w:t>
      </w:r>
      <w:r w:rsidR="00B366E4" w:rsidRPr="00207DC2">
        <w:t>five</w:t>
      </w:r>
      <w:r w:rsidR="00856464" w:rsidRPr="00207DC2">
        <w:t> per cent level.</w:t>
      </w:r>
    </w:p>
    <w:p w14:paraId="07928B6F" w14:textId="77777777" w:rsidR="00EA2D3C" w:rsidRPr="00207DC2" w:rsidRDefault="005145CC" w:rsidP="00FB626D">
      <w:pPr>
        <w:tabs>
          <w:tab w:val="left" w:pos="7797"/>
        </w:tabs>
        <w:jc w:val="both"/>
        <w:rPr>
          <w:rFonts w:cstheme="minorHAnsi"/>
          <w:lang w:val="en-AU"/>
        </w:rPr>
      </w:pPr>
      <w:r w:rsidRPr="00207DC2">
        <w:rPr>
          <w:rFonts w:cstheme="minorHAnsi"/>
          <w:lang w:val="en-AU"/>
        </w:rPr>
        <w:t xml:space="preserve">Given </w:t>
      </w:r>
      <w:r w:rsidR="00232D1F" w:rsidRPr="00207DC2">
        <w:rPr>
          <w:rFonts w:cstheme="minorHAnsi"/>
          <w:lang w:val="en-AU"/>
        </w:rPr>
        <w:t xml:space="preserve">lack of access to </w:t>
      </w:r>
      <w:r w:rsidRPr="00207DC2">
        <w:rPr>
          <w:rFonts w:cstheme="minorHAnsi"/>
          <w:lang w:val="en-AU"/>
        </w:rPr>
        <w:t xml:space="preserve">transport </w:t>
      </w:r>
      <w:r w:rsidR="00232D1F" w:rsidRPr="00207DC2">
        <w:rPr>
          <w:rFonts w:cstheme="minorHAnsi"/>
          <w:lang w:val="en-AU"/>
        </w:rPr>
        <w:t>is</w:t>
      </w:r>
      <w:r w:rsidRPr="00207DC2">
        <w:rPr>
          <w:rFonts w:cstheme="minorHAnsi"/>
          <w:lang w:val="en-AU"/>
        </w:rPr>
        <w:t xml:space="preserve"> a</w:t>
      </w:r>
      <w:r w:rsidR="00E87AD9" w:rsidRPr="00207DC2">
        <w:rPr>
          <w:rFonts w:cstheme="minorHAnsi"/>
          <w:lang w:val="en-AU"/>
        </w:rPr>
        <w:t xml:space="preserve"> valid reason for not attending activities</w:t>
      </w:r>
      <w:r w:rsidRPr="00207DC2" w:rsidDel="00E87AD9">
        <w:rPr>
          <w:i/>
          <w:lang w:val="en-AU"/>
        </w:rPr>
        <w:t xml:space="preserve"> </w:t>
      </w:r>
      <w:r w:rsidRPr="00207DC2">
        <w:rPr>
          <w:rFonts w:cstheme="minorHAnsi"/>
          <w:lang w:val="en-AU"/>
        </w:rPr>
        <w:t>(Table 2.</w:t>
      </w:r>
      <w:r w:rsidR="009C6BAF" w:rsidRPr="00207DC2">
        <w:rPr>
          <w:rFonts w:cstheme="minorHAnsi"/>
          <w:lang w:val="en-AU"/>
        </w:rPr>
        <w:t>2</w:t>
      </w:r>
      <w:r w:rsidRPr="00207DC2">
        <w:rPr>
          <w:rFonts w:cstheme="minorHAnsi"/>
          <w:lang w:val="en-AU"/>
        </w:rPr>
        <w:t>), the estimated</w:t>
      </w:r>
      <w:r w:rsidR="00523C3D" w:rsidRPr="00207DC2">
        <w:rPr>
          <w:rFonts w:cstheme="minorHAnsi"/>
          <w:lang w:val="en-AU"/>
        </w:rPr>
        <w:t xml:space="preserve"> </w:t>
      </w:r>
      <w:r w:rsidR="00F120A7" w:rsidRPr="00207DC2">
        <w:rPr>
          <w:rFonts w:cstheme="minorHAnsi"/>
          <w:lang w:val="en-AU"/>
        </w:rPr>
        <w:t>association between</w:t>
      </w:r>
      <w:r w:rsidRPr="00207DC2">
        <w:rPr>
          <w:rFonts w:cstheme="minorHAnsi"/>
          <w:lang w:val="en-AU"/>
        </w:rPr>
        <w:t xml:space="preserve"> </w:t>
      </w:r>
      <w:r w:rsidR="00232D1F" w:rsidRPr="00207DC2">
        <w:rPr>
          <w:rFonts w:cstheme="minorHAnsi"/>
          <w:lang w:val="en-AU"/>
        </w:rPr>
        <w:t>lack of</w:t>
      </w:r>
      <w:r w:rsidR="00F120A7" w:rsidRPr="00207DC2">
        <w:rPr>
          <w:rFonts w:cstheme="minorHAnsi"/>
          <w:lang w:val="en-AU"/>
        </w:rPr>
        <w:t xml:space="preserve"> </w:t>
      </w:r>
      <w:r w:rsidRPr="00207DC2">
        <w:rPr>
          <w:rFonts w:cstheme="minorHAnsi"/>
          <w:lang w:val="en-AU"/>
        </w:rPr>
        <w:t xml:space="preserve">transport </w:t>
      </w:r>
      <w:r w:rsidR="00F120A7" w:rsidRPr="00207DC2">
        <w:rPr>
          <w:rFonts w:cstheme="minorHAnsi"/>
          <w:lang w:val="en-AU"/>
        </w:rPr>
        <w:t xml:space="preserve">and </w:t>
      </w:r>
      <w:r w:rsidRPr="00207DC2">
        <w:rPr>
          <w:rFonts w:cstheme="minorHAnsi"/>
          <w:i/>
          <w:lang w:val="en-AU"/>
        </w:rPr>
        <w:t>invalid non-attendance</w:t>
      </w:r>
      <w:r w:rsidRPr="00207DC2">
        <w:rPr>
          <w:rFonts w:cstheme="minorHAnsi"/>
          <w:lang w:val="en-AU"/>
        </w:rPr>
        <w:t xml:space="preserve"> may be picking up a broader socio-economic effect (such as</w:t>
      </w:r>
      <w:r w:rsidR="00523C3D" w:rsidRPr="00207DC2">
        <w:rPr>
          <w:rFonts w:cstheme="minorHAnsi"/>
          <w:lang w:val="en-AU"/>
        </w:rPr>
        <w:t>,</w:t>
      </w:r>
      <w:r w:rsidRPr="00207DC2">
        <w:rPr>
          <w:rFonts w:cstheme="minorHAnsi"/>
          <w:lang w:val="en-AU"/>
        </w:rPr>
        <w:t xml:space="preserve"> </w:t>
      </w:r>
      <w:r w:rsidR="006E4216" w:rsidRPr="00207DC2">
        <w:rPr>
          <w:rFonts w:cstheme="minorHAnsi"/>
          <w:lang w:val="en-AU"/>
        </w:rPr>
        <w:t>l</w:t>
      </w:r>
      <w:r w:rsidR="00232D1F" w:rsidRPr="00207DC2">
        <w:rPr>
          <w:rFonts w:cstheme="minorHAnsi"/>
          <w:lang w:val="en-AU"/>
        </w:rPr>
        <w:t>ack of</w:t>
      </w:r>
      <w:r w:rsidRPr="00207DC2">
        <w:rPr>
          <w:rFonts w:cstheme="minorHAnsi"/>
          <w:lang w:val="en-AU"/>
        </w:rPr>
        <w:t xml:space="preserve"> access to resources). </w:t>
      </w:r>
      <w:r w:rsidR="00A96505" w:rsidRPr="00207DC2">
        <w:rPr>
          <w:rFonts w:cstheme="minorHAnsi"/>
          <w:lang w:val="en-AU"/>
        </w:rPr>
        <w:t xml:space="preserve">Only one in five </w:t>
      </w:r>
      <w:r w:rsidR="00523C3D" w:rsidRPr="00207DC2">
        <w:rPr>
          <w:rFonts w:cstheme="minorHAnsi"/>
          <w:lang w:val="en-AU"/>
        </w:rPr>
        <w:t xml:space="preserve">CDP </w:t>
      </w:r>
      <w:r w:rsidR="00A96505" w:rsidRPr="00207DC2">
        <w:rPr>
          <w:rFonts w:cstheme="minorHAnsi"/>
          <w:lang w:val="en-AU"/>
        </w:rPr>
        <w:t>participants owned their own private transport</w:t>
      </w:r>
      <w:r w:rsidR="00523C3D" w:rsidRPr="00207DC2">
        <w:rPr>
          <w:rFonts w:cstheme="minorHAnsi"/>
          <w:lang w:val="en-AU"/>
        </w:rPr>
        <w:t>. I</w:t>
      </w:r>
      <w:r w:rsidR="00A96505" w:rsidRPr="00207DC2">
        <w:rPr>
          <w:rFonts w:cstheme="minorHAnsi"/>
          <w:lang w:val="en-AU"/>
        </w:rPr>
        <w:t xml:space="preserve">n more remote areas, the proportion of participants who owned their own transport was lower, and the proportion reporting no transport was higher (around two-thirds in the most remote areas). </w:t>
      </w:r>
      <w:r w:rsidR="00531CEC" w:rsidRPr="00207DC2">
        <w:rPr>
          <w:rFonts w:cstheme="minorHAnsi"/>
          <w:lang w:val="en-AU"/>
        </w:rPr>
        <w:t>In these areas, s</w:t>
      </w:r>
      <w:r w:rsidR="00A96505" w:rsidRPr="00207DC2">
        <w:rPr>
          <w:rFonts w:cstheme="minorHAnsi"/>
          <w:lang w:val="en-AU"/>
        </w:rPr>
        <w:t>ome provide</w:t>
      </w:r>
      <w:r w:rsidR="00E43378" w:rsidRPr="00207DC2">
        <w:rPr>
          <w:rFonts w:cstheme="minorHAnsi"/>
          <w:lang w:val="en-AU"/>
        </w:rPr>
        <w:t>r</w:t>
      </w:r>
      <w:r w:rsidR="00A96505" w:rsidRPr="00207DC2">
        <w:rPr>
          <w:rFonts w:cstheme="minorHAnsi"/>
          <w:lang w:val="en-AU"/>
        </w:rPr>
        <w:t>s</w:t>
      </w:r>
      <w:r w:rsidR="00A96505" w:rsidRPr="00207DC2" w:rsidDel="00531CEC">
        <w:rPr>
          <w:rFonts w:cstheme="minorHAnsi"/>
          <w:lang w:val="en-AU"/>
        </w:rPr>
        <w:t xml:space="preserve"> </w:t>
      </w:r>
      <w:r w:rsidR="00A96505" w:rsidRPr="00207DC2">
        <w:rPr>
          <w:rFonts w:cstheme="minorHAnsi"/>
          <w:lang w:val="en-AU"/>
        </w:rPr>
        <w:t>offer</w:t>
      </w:r>
      <w:r w:rsidR="00E01EB8" w:rsidRPr="00207DC2">
        <w:rPr>
          <w:rFonts w:cstheme="minorHAnsi"/>
          <w:lang w:val="en-AU"/>
        </w:rPr>
        <w:t>ed</w:t>
      </w:r>
      <w:r w:rsidR="00A96505" w:rsidRPr="00207DC2">
        <w:rPr>
          <w:rFonts w:cstheme="minorHAnsi"/>
          <w:lang w:val="en-AU"/>
        </w:rPr>
        <w:t xml:space="preserve"> transport services to activities if necessary. </w:t>
      </w:r>
    </w:p>
    <w:p w14:paraId="1BFBDBEC" w14:textId="6E7E6E6C" w:rsidR="001641BC" w:rsidRPr="00207DC2" w:rsidRDefault="009846A2" w:rsidP="00FB626D">
      <w:pPr>
        <w:jc w:val="both"/>
        <w:rPr>
          <w:lang w:val="en-AU"/>
        </w:rPr>
      </w:pPr>
      <w:r w:rsidRPr="00207DC2">
        <w:rPr>
          <w:lang w:val="en-AU"/>
        </w:rPr>
        <w:t>Participants living</w:t>
      </w:r>
      <w:r w:rsidR="00567A23" w:rsidRPr="00207DC2">
        <w:rPr>
          <w:lang w:val="en-AU"/>
        </w:rPr>
        <w:t xml:space="preserve"> in more remote areas</w:t>
      </w:r>
      <w:r w:rsidR="003F3EAE" w:rsidRPr="00207DC2">
        <w:rPr>
          <w:lang w:val="en-AU"/>
        </w:rPr>
        <w:t xml:space="preserve">, parents, </w:t>
      </w:r>
      <w:r w:rsidR="0088243A" w:rsidRPr="00207DC2">
        <w:rPr>
          <w:lang w:val="en-AU"/>
        </w:rPr>
        <w:t xml:space="preserve">people who spent more of the year </w:t>
      </w:r>
      <w:r w:rsidR="003F3EAE" w:rsidRPr="00207DC2">
        <w:rPr>
          <w:lang w:val="en-AU"/>
        </w:rPr>
        <w:t>homeless, and women (compared to men)</w:t>
      </w:r>
      <w:r w:rsidR="00D60E89" w:rsidRPr="00207DC2">
        <w:rPr>
          <w:lang w:val="en-AU"/>
        </w:rPr>
        <w:t xml:space="preserve"> were less likely to attend, but</w:t>
      </w:r>
      <w:r w:rsidR="00F44B3F" w:rsidRPr="00207DC2">
        <w:rPr>
          <w:lang w:val="en-AU"/>
        </w:rPr>
        <w:t xml:space="preserve"> </w:t>
      </w:r>
      <w:r w:rsidR="00D60E89" w:rsidRPr="00207DC2">
        <w:rPr>
          <w:lang w:val="en-AU"/>
        </w:rPr>
        <w:t xml:space="preserve">these characteristics were not associated with a higher chance of </w:t>
      </w:r>
      <w:r w:rsidR="00F44B3F" w:rsidRPr="00207DC2">
        <w:rPr>
          <w:i/>
          <w:lang w:val="en-AU"/>
        </w:rPr>
        <w:t>invalid non-attendance</w:t>
      </w:r>
      <w:r w:rsidR="00567A23" w:rsidRPr="00207DC2" w:rsidDel="005544FE">
        <w:rPr>
          <w:lang w:val="en-AU"/>
        </w:rPr>
        <w:t>.</w:t>
      </w:r>
      <w:r w:rsidR="00E87AD9" w:rsidRPr="00207DC2">
        <w:rPr>
          <w:lang w:val="en-AU"/>
        </w:rPr>
        <w:t xml:space="preserve"> </w:t>
      </w:r>
    </w:p>
    <w:p w14:paraId="2830A1DC" w14:textId="26FF05A8" w:rsidR="009C6042" w:rsidRPr="00207DC2" w:rsidRDefault="00916B31" w:rsidP="00FB626D">
      <w:pPr>
        <w:jc w:val="both"/>
        <w:rPr>
          <w:lang w:val="en-AU"/>
        </w:rPr>
      </w:pPr>
      <w:r w:rsidRPr="00207DC2">
        <w:rPr>
          <w:lang w:val="en-AU"/>
        </w:rPr>
        <w:t xml:space="preserve">After controlling for other demographic factors </w:t>
      </w:r>
      <w:r w:rsidR="00C96332" w:rsidRPr="00207DC2">
        <w:rPr>
          <w:lang w:val="en-AU"/>
        </w:rPr>
        <w:t xml:space="preserve">and the region that </w:t>
      </w:r>
      <w:r w:rsidR="005E7491" w:rsidRPr="00207DC2">
        <w:rPr>
          <w:lang w:val="en-AU"/>
        </w:rPr>
        <w:t xml:space="preserve">CDP participants </w:t>
      </w:r>
      <w:r w:rsidR="00C96332" w:rsidRPr="00207DC2">
        <w:rPr>
          <w:lang w:val="en-AU"/>
        </w:rPr>
        <w:t>live in</w:t>
      </w:r>
      <w:r w:rsidRPr="00207DC2">
        <w:rPr>
          <w:lang w:val="en-AU"/>
        </w:rPr>
        <w:t xml:space="preserve">, </w:t>
      </w:r>
      <w:r w:rsidR="005E7491" w:rsidRPr="00207DC2">
        <w:rPr>
          <w:lang w:val="en-AU"/>
        </w:rPr>
        <w:t>those</w:t>
      </w:r>
      <w:r w:rsidR="000A53B7" w:rsidRPr="00207DC2">
        <w:rPr>
          <w:lang w:val="en-AU"/>
        </w:rPr>
        <w:t xml:space="preserve"> identifying as Indigenous were estimated to have a higher proportion of </w:t>
      </w:r>
      <w:r w:rsidR="000A53B7" w:rsidRPr="00207DC2">
        <w:rPr>
          <w:i/>
          <w:lang w:val="en-AU"/>
        </w:rPr>
        <w:t xml:space="preserve">invalid </w:t>
      </w:r>
      <w:r w:rsidR="00561880" w:rsidRPr="00207DC2">
        <w:rPr>
          <w:i/>
          <w:lang w:val="en-AU"/>
        </w:rPr>
        <w:t>non</w:t>
      </w:r>
      <w:r w:rsidR="00561880" w:rsidRPr="00207DC2">
        <w:rPr>
          <w:i/>
          <w:lang w:val="en-AU"/>
        </w:rPr>
        <w:noBreakHyphen/>
      </w:r>
      <w:r w:rsidR="000A53B7" w:rsidRPr="00207DC2">
        <w:rPr>
          <w:i/>
          <w:lang w:val="en-AU"/>
        </w:rPr>
        <w:t>attendance</w:t>
      </w:r>
      <w:r w:rsidR="000A53B7" w:rsidRPr="00207DC2">
        <w:rPr>
          <w:lang w:val="en-AU"/>
        </w:rPr>
        <w:t xml:space="preserve"> (</w:t>
      </w:r>
      <w:r w:rsidR="003775DC" w:rsidRPr="00207DC2">
        <w:rPr>
          <w:lang w:val="en-AU"/>
        </w:rPr>
        <w:t>3.8</w:t>
      </w:r>
      <w:r w:rsidR="000A53B7" w:rsidRPr="00207DC2">
        <w:rPr>
          <w:lang w:val="en-AU"/>
        </w:rPr>
        <w:t xml:space="preserve"> percentage points</w:t>
      </w:r>
      <w:r w:rsidRPr="00207DC2">
        <w:rPr>
          <w:lang w:val="en-AU"/>
        </w:rPr>
        <w:t xml:space="preserve"> higher</w:t>
      </w:r>
      <w:r w:rsidR="004756A9" w:rsidRPr="00207DC2">
        <w:rPr>
          <w:lang w:val="en-AU"/>
        </w:rPr>
        <w:t>)</w:t>
      </w:r>
      <w:r w:rsidR="00234A66" w:rsidRPr="00207DC2">
        <w:rPr>
          <w:lang w:val="en-AU"/>
        </w:rPr>
        <w:t xml:space="preserve"> than those who did not identify as</w:t>
      </w:r>
      <w:r w:rsidR="00C36A38" w:rsidRPr="00207DC2">
        <w:rPr>
          <w:lang w:val="en-AU"/>
        </w:rPr>
        <w:t xml:space="preserve"> </w:t>
      </w:r>
      <w:r w:rsidR="00234A66" w:rsidRPr="00207DC2">
        <w:rPr>
          <w:lang w:val="en-AU"/>
        </w:rPr>
        <w:t>Indigenous</w:t>
      </w:r>
      <w:r w:rsidR="00785EA6" w:rsidRPr="00207DC2">
        <w:rPr>
          <w:lang w:val="en-AU"/>
        </w:rPr>
        <w:t>.</w:t>
      </w:r>
      <w:r w:rsidR="00234A66" w:rsidRPr="00207DC2">
        <w:rPr>
          <w:lang w:val="en-AU"/>
        </w:rPr>
        <w:t xml:space="preserve"> </w:t>
      </w:r>
      <w:r w:rsidR="005832ED" w:rsidRPr="00207DC2">
        <w:rPr>
          <w:lang w:val="en-AU"/>
        </w:rPr>
        <w:t>Th</w:t>
      </w:r>
      <w:r w:rsidR="001641BC" w:rsidRPr="00207DC2">
        <w:rPr>
          <w:lang w:val="en-AU"/>
        </w:rPr>
        <w:t>i</w:t>
      </w:r>
      <w:r w:rsidR="009E7DF9" w:rsidRPr="00207DC2">
        <w:rPr>
          <w:lang w:val="en-AU"/>
        </w:rPr>
        <w:t>s</w:t>
      </w:r>
      <w:r w:rsidR="005832ED" w:rsidRPr="00207DC2">
        <w:rPr>
          <w:lang w:val="en-AU"/>
        </w:rPr>
        <w:t xml:space="preserve"> result</w:t>
      </w:r>
      <w:r w:rsidR="001641BC" w:rsidRPr="00207DC2">
        <w:rPr>
          <w:lang w:val="en-AU"/>
        </w:rPr>
        <w:t xml:space="preserve"> </w:t>
      </w:r>
      <w:r w:rsidR="008B111C" w:rsidRPr="00207DC2">
        <w:rPr>
          <w:lang w:val="en-AU"/>
        </w:rPr>
        <w:t>could</w:t>
      </w:r>
      <w:r w:rsidR="00FE549C" w:rsidRPr="00207DC2">
        <w:rPr>
          <w:lang w:val="en-AU"/>
        </w:rPr>
        <w:t xml:space="preserve"> </w:t>
      </w:r>
      <w:r w:rsidR="008B111C" w:rsidRPr="00207DC2">
        <w:rPr>
          <w:lang w:val="en-AU"/>
        </w:rPr>
        <w:t xml:space="preserve">reflect </w:t>
      </w:r>
      <w:r w:rsidR="00AD2AE6" w:rsidRPr="00207DC2">
        <w:rPr>
          <w:lang w:val="en-AU"/>
        </w:rPr>
        <w:t xml:space="preserve">a range of </w:t>
      </w:r>
      <w:r w:rsidR="005832ED" w:rsidRPr="00207DC2" w:rsidDel="00141661">
        <w:rPr>
          <w:lang w:val="en-AU"/>
        </w:rPr>
        <w:t xml:space="preserve">barriers </w:t>
      </w:r>
      <w:r w:rsidR="005832ED" w:rsidRPr="00207DC2">
        <w:rPr>
          <w:lang w:val="en-AU"/>
        </w:rPr>
        <w:t xml:space="preserve">that are not </w:t>
      </w:r>
      <w:r w:rsidR="006F7FE1" w:rsidRPr="00207DC2">
        <w:rPr>
          <w:lang w:val="en-AU"/>
        </w:rPr>
        <w:t xml:space="preserve">well </w:t>
      </w:r>
      <w:r w:rsidR="005832ED" w:rsidRPr="00207DC2">
        <w:rPr>
          <w:lang w:val="en-AU"/>
        </w:rPr>
        <w:t>captured in the administrative data</w:t>
      </w:r>
      <w:r w:rsidR="00BD0833" w:rsidRPr="00207DC2">
        <w:rPr>
          <w:lang w:val="en-AU"/>
        </w:rPr>
        <w:t>,</w:t>
      </w:r>
      <w:r w:rsidR="00C36A38" w:rsidRPr="00207DC2">
        <w:rPr>
          <w:lang w:val="en-AU"/>
        </w:rPr>
        <w:t xml:space="preserve"> including communication and health barriers</w:t>
      </w:r>
      <w:r w:rsidR="00E237CE" w:rsidRPr="00207DC2">
        <w:rPr>
          <w:lang w:val="en-AU"/>
        </w:rPr>
        <w:t xml:space="preserve">. </w:t>
      </w:r>
    </w:p>
    <w:p w14:paraId="6CBE4671" w14:textId="03131ACE" w:rsidR="004C7105" w:rsidRPr="00207DC2" w:rsidRDefault="004C7105" w:rsidP="00FB626D">
      <w:pPr>
        <w:jc w:val="both"/>
        <w:rPr>
          <w:lang w:val="en-AU"/>
        </w:rPr>
      </w:pPr>
      <w:r w:rsidRPr="00207DC2">
        <w:rPr>
          <w:lang w:val="en-AU"/>
        </w:rPr>
        <w:t xml:space="preserve">Qualitative data </w:t>
      </w:r>
      <w:r w:rsidR="004671F7" w:rsidRPr="00207DC2">
        <w:rPr>
          <w:lang w:val="en-AU"/>
        </w:rPr>
        <w:t xml:space="preserve">from eight remote </w:t>
      </w:r>
      <w:r w:rsidR="007F5295" w:rsidRPr="00207DC2">
        <w:rPr>
          <w:lang w:val="en-AU"/>
        </w:rPr>
        <w:t>communities</w:t>
      </w:r>
      <w:r w:rsidR="004671F7" w:rsidRPr="00207DC2">
        <w:rPr>
          <w:lang w:val="en-AU"/>
        </w:rPr>
        <w:t xml:space="preserve"> </w:t>
      </w:r>
      <w:r w:rsidRPr="00207DC2">
        <w:rPr>
          <w:lang w:val="en-AU"/>
        </w:rPr>
        <w:t>collected as part of the fieldwork evaluation by Winangali and Ipsos (2018</w:t>
      </w:r>
      <w:r w:rsidR="006D7261" w:rsidRPr="00207DC2">
        <w:rPr>
          <w:lang w:val="en-AU"/>
        </w:rPr>
        <w:t>, pp. 12, 97</w:t>
      </w:r>
      <w:r w:rsidRPr="00207DC2">
        <w:rPr>
          <w:lang w:val="en-AU"/>
        </w:rPr>
        <w:t xml:space="preserve">) suggests that </w:t>
      </w:r>
      <w:r w:rsidR="006119E2" w:rsidRPr="00207DC2">
        <w:rPr>
          <w:lang w:val="en-AU"/>
        </w:rPr>
        <w:t>some</w:t>
      </w:r>
      <w:r w:rsidRPr="00207DC2">
        <w:rPr>
          <w:lang w:val="en-AU"/>
        </w:rPr>
        <w:t xml:space="preserve"> CDP participants</w:t>
      </w:r>
      <w:r w:rsidR="006119E2" w:rsidRPr="00207DC2">
        <w:rPr>
          <w:lang w:val="en-AU"/>
        </w:rPr>
        <w:t xml:space="preserve"> </w:t>
      </w:r>
      <w:r w:rsidRPr="00207DC2">
        <w:rPr>
          <w:lang w:val="en-AU"/>
        </w:rPr>
        <w:t xml:space="preserve">fail to provide a valid reason for not attending because they </w:t>
      </w:r>
      <w:r w:rsidR="00CA3090" w:rsidRPr="00207DC2">
        <w:rPr>
          <w:lang w:val="en-AU"/>
        </w:rPr>
        <w:t xml:space="preserve">do not </w:t>
      </w:r>
      <w:r w:rsidR="009C62D0" w:rsidRPr="00207DC2">
        <w:rPr>
          <w:lang w:val="en-AU"/>
        </w:rPr>
        <w:t xml:space="preserve">fully </w:t>
      </w:r>
      <w:r w:rsidRPr="00207DC2">
        <w:rPr>
          <w:lang w:val="en-AU"/>
        </w:rPr>
        <w:t xml:space="preserve">understand the compliance rules and </w:t>
      </w:r>
      <w:r w:rsidR="006119E2" w:rsidRPr="00207DC2">
        <w:rPr>
          <w:lang w:val="en-AU"/>
        </w:rPr>
        <w:t>have difficulty</w:t>
      </w:r>
      <w:r w:rsidRPr="00207DC2">
        <w:rPr>
          <w:lang w:val="en-AU"/>
        </w:rPr>
        <w:t xml:space="preserve"> communicat</w:t>
      </w:r>
      <w:r w:rsidR="006119E2" w:rsidRPr="00207DC2">
        <w:rPr>
          <w:lang w:val="en-AU"/>
        </w:rPr>
        <w:t>ing</w:t>
      </w:r>
      <w:r w:rsidRPr="00207DC2">
        <w:rPr>
          <w:lang w:val="en-AU"/>
        </w:rPr>
        <w:t xml:space="preserve"> with Centrelink or their </w:t>
      </w:r>
      <w:r w:rsidR="00FF1A19" w:rsidRPr="00207DC2">
        <w:rPr>
          <w:lang w:val="en-AU"/>
        </w:rPr>
        <w:t>p</w:t>
      </w:r>
      <w:r w:rsidRPr="00207DC2">
        <w:rPr>
          <w:lang w:val="en-AU"/>
        </w:rPr>
        <w:t>rovider. The characteristics associated with higher invalid attendance here may actually represent groups with more difficulty communicating with Centrelink or their provider.</w:t>
      </w:r>
    </w:p>
    <w:p w14:paraId="5AA14EDE" w14:textId="01A214F0" w:rsidR="000C45D7" w:rsidRPr="00207DC2" w:rsidRDefault="00092D11" w:rsidP="00FB626D">
      <w:pPr>
        <w:jc w:val="both"/>
        <w:rPr>
          <w:lang w:val="en-AU"/>
        </w:rPr>
      </w:pPr>
      <w:r w:rsidRPr="00207DC2">
        <w:rPr>
          <w:lang w:val="en-AU"/>
        </w:rPr>
        <w:t>Some CDP p</w:t>
      </w:r>
      <w:r w:rsidR="000C45D7" w:rsidRPr="00207DC2">
        <w:rPr>
          <w:lang w:val="en-AU"/>
        </w:rPr>
        <w:t xml:space="preserve">articipants may </w:t>
      </w:r>
      <w:r w:rsidR="00E87AD9" w:rsidRPr="00207DC2">
        <w:rPr>
          <w:lang w:val="en-AU"/>
        </w:rPr>
        <w:t xml:space="preserve">also </w:t>
      </w:r>
      <w:r w:rsidR="000C45D7" w:rsidRPr="00207DC2">
        <w:rPr>
          <w:lang w:val="en-AU"/>
        </w:rPr>
        <w:t>have h</w:t>
      </w:r>
      <w:r w:rsidR="008B111C" w:rsidRPr="00207DC2">
        <w:rPr>
          <w:lang w:val="en-AU"/>
        </w:rPr>
        <w:t>ealth barrier</w:t>
      </w:r>
      <w:r w:rsidR="000C45D7" w:rsidRPr="00207DC2">
        <w:rPr>
          <w:lang w:val="en-AU"/>
        </w:rPr>
        <w:t>s that are not well captured in the</w:t>
      </w:r>
      <w:r w:rsidR="009C6042" w:rsidRPr="00207DC2">
        <w:rPr>
          <w:lang w:val="en-AU"/>
        </w:rPr>
        <w:t xml:space="preserve"> </w:t>
      </w:r>
      <w:r w:rsidR="003775DC" w:rsidRPr="00207DC2">
        <w:rPr>
          <w:lang w:val="en-AU"/>
        </w:rPr>
        <w:t xml:space="preserve">CDP </w:t>
      </w:r>
      <w:r w:rsidR="009C6042" w:rsidRPr="00207DC2">
        <w:rPr>
          <w:lang w:val="en-AU"/>
        </w:rPr>
        <w:t>administrative</w:t>
      </w:r>
      <w:r w:rsidR="000C45D7" w:rsidRPr="00207DC2">
        <w:rPr>
          <w:lang w:val="en-AU"/>
        </w:rPr>
        <w:t xml:space="preserve"> </w:t>
      </w:r>
      <w:r w:rsidR="003775DC" w:rsidRPr="00207DC2">
        <w:rPr>
          <w:lang w:val="en-AU"/>
        </w:rPr>
        <w:t>system</w:t>
      </w:r>
      <w:r w:rsidR="008B111C" w:rsidRPr="00207DC2">
        <w:rPr>
          <w:lang w:val="en-AU"/>
        </w:rPr>
        <w:t xml:space="preserve">. </w:t>
      </w:r>
      <w:r w:rsidR="007F5295" w:rsidRPr="00207DC2">
        <w:rPr>
          <w:lang w:val="en-AU"/>
        </w:rPr>
        <w:t>Barriers to participation due to health issues</w:t>
      </w:r>
      <w:r w:rsidR="00AA5F24" w:rsidRPr="00207DC2">
        <w:rPr>
          <w:lang w:val="en-AU"/>
        </w:rPr>
        <w:t xml:space="preserve"> may </w:t>
      </w:r>
      <w:r w:rsidR="00154A0F" w:rsidRPr="00207DC2">
        <w:rPr>
          <w:lang w:val="en-AU"/>
        </w:rPr>
        <w:t>be</w:t>
      </w:r>
      <w:r w:rsidR="00AA5F24" w:rsidRPr="00207DC2">
        <w:rPr>
          <w:lang w:val="en-AU"/>
        </w:rPr>
        <w:t xml:space="preserve"> </w:t>
      </w:r>
      <w:r w:rsidR="007F5295" w:rsidRPr="00207DC2">
        <w:rPr>
          <w:lang w:val="en-AU"/>
        </w:rPr>
        <w:t>particularly relevant</w:t>
      </w:r>
      <w:r w:rsidR="00AA5F24" w:rsidRPr="00207DC2">
        <w:rPr>
          <w:lang w:val="en-AU"/>
        </w:rPr>
        <w:t xml:space="preserve"> for CDP participants identifying as Indigenous</w:t>
      </w:r>
      <w:r w:rsidR="007F5295" w:rsidRPr="00207DC2">
        <w:rPr>
          <w:lang w:val="en-AU"/>
        </w:rPr>
        <w:t xml:space="preserve">. Indigenous </w:t>
      </w:r>
      <w:r w:rsidR="00403569" w:rsidRPr="00207DC2">
        <w:rPr>
          <w:lang w:val="en-AU"/>
        </w:rPr>
        <w:t>Australian</w:t>
      </w:r>
      <w:r w:rsidR="007F5295" w:rsidRPr="00207DC2">
        <w:rPr>
          <w:lang w:val="en-AU"/>
        </w:rPr>
        <w:t>s</w:t>
      </w:r>
      <w:r w:rsidR="00AA5F24" w:rsidRPr="00207DC2">
        <w:rPr>
          <w:lang w:val="en-AU"/>
        </w:rPr>
        <w:t xml:space="preserve"> </w:t>
      </w:r>
      <w:r w:rsidR="00F80343" w:rsidRPr="00207DC2">
        <w:rPr>
          <w:lang w:val="en-AU"/>
        </w:rPr>
        <w:t>tend to suffer a</w:t>
      </w:r>
      <w:r w:rsidR="00AA5F24" w:rsidRPr="00207DC2">
        <w:rPr>
          <w:lang w:val="en-AU"/>
        </w:rPr>
        <w:t xml:space="preserve"> </w:t>
      </w:r>
      <w:r w:rsidR="00F80343" w:rsidRPr="00207DC2">
        <w:rPr>
          <w:lang w:val="en-AU"/>
        </w:rPr>
        <w:t xml:space="preserve">higher burden of disease (including </w:t>
      </w:r>
      <w:r w:rsidR="00AA5F24" w:rsidRPr="00207DC2">
        <w:rPr>
          <w:lang w:val="en-AU"/>
        </w:rPr>
        <w:t>higher rates of chronic and preventable illnesses and a higher likelihood of being hospitalised</w:t>
      </w:r>
      <w:r w:rsidR="00F80343" w:rsidRPr="00207DC2">
        <w:rPr>
          <w:lang w:val="en-AU"/>
        </w:rPr>
        <w:t>)</w:t>
      </w:r>
      <w:r w:rsidR="00AA5F24" w:rsidRPr="00207DC2">
        <w:rPr>
          <w:lang w:val="en-AU"/>
        </w:rPr>
        <w:t xml:space="preserve"> than the non-Indigenous population (AIHW 2016). </w:t>
      </w:r>
      <w:r w:rsidR="00766E66" w:rsidRPr="00207DC2">
        <w:rPr>
          <w:lang w:val="en-AU"/>
        </w:rPr>
        <w:t>Despite their higher burden of disease</w:t>
      </w:r>
      <w:r w:rsidR="002E1DAB" w:rsidRPr="00207DC2">
        <w:rPr>
          <w:lang w:val="en-AU"/>
        </w:rPr>
        <w:t xml:space="preserve">, </w:t>
      </w:r>
      <w:r w:rsidR="005F6980" w:rsidRPr="00207DC2" w:rsidDel="00766E66">
        <w:rPr>
          <w:lang w:val="en-AU"/>
        </w:rPr>
        <w:t xml:space="preserve">as outlined below, </w:t>
      </w:r>
      <w:r w:rsidR="002E1DAB" w:rsidRPr="00207DC2">
        <w:rPr>
          <w:lang w:val="en-AU"/>
        </w:rPr>
        <w:t>those identifying as Indigenous</w:t>
      </w:r>
      <w:r w:rsidR="00767570" w:rsidRPr="00207DC2">
        <w:rPr>
          <w:lang w:val="en-AU"/>
        </w:rPr>
        <w:t>, and</w:t>
      </w:r>
      <w:r w:rsidR="002E1DAB" w:rsidRPr="00207DC2" w:rsidDel="00767570">
        <w:rPr>
          <w:lang w:val="en-AU"/>
        </w:rPr>
        <w:t xml:space="preserve"> </w:t>
      </w:r>
      <w:r w:rsidR="006F06FB" w:rsidRPr="00207DC2">
        <w:rPr>
          <w:lang w:val="en-AU"/>
        </w:rPr>
        <w:t>those living in remote locations</w:t>
      </w:r>
      <w:r w:rsidR="00767570" w:rsidRPr="00207DC2">
        <w:rPr>
          <w:lang w:val="en-AU"/>
        </w:rPr>
        <w:t>,</w:t>
      </w:r>
      <w:r w:rsidR="006F06FB" w:rsidRPr="00207DC2">
        <w:rPr>
          <w:lang w:val="en-AU"/>
        </w:rPr>
        <w:t xml:space="preserve"> </w:t>
      </w:r>
      <w:r w:rsidR="002E1DAB" w:rsidRPr="00207DC2">
        <w:rPr>
          <w:lang w:val="en-AU"/>
        </w:rPr>
        <w:t xml:space="preserve">have </w:t>
      </w:r>
      <w:r w:rsidR="000828E0" w:rsidRPr="00207DC2">
        <w:rPr>
          <w:lang w:val="en-AU"/>
        </w:rPr>
        <w:t>lower rates of medical exemptions</w:t>
      </w:r>
      <w:r w:rsidR="005F6980" w:rsidRPr="00207DC2">
        <w:rPr>
          <w:lang w:val="en-AU"/>
        </w:rPr>
        <w:t xml:space="preserve"> under</w:t>
      </w:r>
      <w:r w:rsidR="00610752" w:rsidRPr="00207DC2">
        <w:rPr>
          <w:lang w:val="en-AU"/>
        </w:rPr>
        <w:t xml:space="preserve"> the</w:t>
      </w:r>
      <w:r w:rsidR="005F6980" w:rsidRPr="00207DC2">
        <w:rPr>
          <w:lang w:val="en-AU"/>
        </w:rPr>
        <w:t xml:space="preserve"> CDP</w:t>
      </w:r>
      <w:r w:rsidR="002E1DAB" w:rsidRPr="00207DC2" w:rsidDel="00766E66">
        <w:rPr>
          <w:lang w:val="en-AU"/>
        </w:rPr>
        <w:t>.</w:t>
      </w:r>
      <w:r w:rsidR="002E1DAB" w:rsidRPr="00207DC2">
        <w:rPr>
          <w:lang w:val="en-AU"/>
        </w:rPr>
        <w:t xml:space="preserve"> </w:t>
      </w:r>
    </w:p>
    <w:p w14:paraId="795B7130" w14:textId="77777777" w:rsidR="002E1DAB" w:rsidRPr="00207DC2" w:rsidRDefault="00A23C73" w:rsidP="00F35F78">
      <w:pPr>
        <w:pStyle w:val="ZED5"/>
        <w:outlineLvl w:val="3"/>
      </w:pPr>
      <w:bookmarkStart w:id="231" w:name="_Toc535935047"/>
      <w:r w:rsidRPr="00207DC2">
        <w:t>Attendance and medical exemptions in remote Australia</w:t>
      </w:r>
      <w:bookmarkEnd w:id="231"/>
    </w:p>
    <w:p w14:paraId="441236C6" w14:textId="5F6ED6AB" w:rsidR="009C6042" w:rsidRPr="00207DC2" w:rsidRDefault="00561880" w:rsidP="00723E53">
      <w:pPr>
        <w:jc w:val="both"/>
        <w:rPr>
          <w:lang w:val="en-AU"/>
        </w:rPr>
      </w:pPr>
      <w:r w:rsidRPr="00207DC2">
        <w:rPr>
          <w:lang w:val="en-AU"/>
        </w:rPr>
        <w:t>Based on the</w:t>
      </w:r>
      <w:r w:rsidR="003E64F6">
        <w:rPr>
          <w:lang w:val="en-AU"/>
        </w:rPr>
        <w:t>ir research</w:t>
      </w:r>
      <w:r w:rsidRPr="00207DC2">
        <w:rPr>
          <w:lang w:val="en-AU"/>
        </w:rPr>
        <w:t xml:space="preserve"> in eight remote communities, </w:t>
      </w:r>
      <w:r w:rsidR="00697B49" w:rsidRPr="00207DC2">
        <w:rPr>
          <w:lang w:val="en-AU"/>
        </w:rPr>
        <w:t>Winangali</w:t>
      </w:r>
      <w:r w:rsidR="0063725B" w:rsidRPr="00207DC2">
        <w:rPr>
          <w:lang w:val="en-AU"/>
        </w:rPr>
        <w:t xml:space="preserve"> and Ipsos</w:t>
      </w:r>
      <w:r w:rsidR="00870796" w:rsidRPr="00207DC2">
        <w:rPr>
          <w:lang w:val="en-AU"/>
        </w:rPr>
        <w:t xml:space="preserve"> (2018)</w:t>
      </w:r>
      <w:r w:rsidR="0063725B" w:rsidRPr="00207DC2">
        <w:rPr>
          <w:lang w:val="en-AU"/>
        </w:rPr>
        <w:t xml:space="preserve"> found that health issues play </w:t>
      </w:r>
      <w:r w:rsidR="003F1008" w:rsidRPr="00207DC2">
        <w:rPr>
          <w:lang w:val="en-AU"/>
        </w:rPr>
        <w:t xml:space="preserve">a </w:t>
      </w:r>
      <w:r w:rsidR="0063725B" w:rsidRPr="00207DC2">
        <w:rPr>
          <w:lang w:val="en-AU"/>
        </w:rPr>
        <w:t xml:space="preserve">role in explaining </w:t>
      </w:r>
      <w:r w:rsidR="00003BA0" w:rsidRPr="00207DC2">
        <w:rPr>
          <w:lang w:val="en-AU"/>
        </w:rPr>
        <w:t>why</w:t>
      </w:r>
      <w:r w:rsidR="0063725B" w:rsidRPr="00207DC2">
        <w:rPr>
          <w:lang w:val="en-AU"/>
        </w:rPr>
        <w:t xml:space="preserve"> some CDP participants</w:t>
      </w:r>
      <w:r w:rsidR="00FF5B6C" w:rsidRPr="00207DC2">
        <w:rPr>
          <w:lang w:val="en-AU"/>
        </w:rPr>
        <w:t xml:space="preserve"> </w:t>
      </w:r>
      <w:r w:rsidR="00003BA0" w:rsidRPr="00207DC2">
        <w:rPr>
          <w:lang w:val="en-AU"/>
        </w:rPr>
        <w:t>are</w:t>
      </w:r>
      <w:r w:rsidR="00FF5B6C" w:rsidRPr="00207DC2">
        <w:rPr>
          <w:lang w:val="en-AU"/>
        </w:rPr>
        <w:t xml:space="preserve"> penalised for non-attendance</w:t>
      </w:r>
      <w:r w:rsidR="000C1282" w:rsidRPr="00207DC2">
        <w:rPr>
          <w:lang w:val="en-AU"/>
        </w:rPr>
        <w:t xml:space="preserve">. </w:t>
      </w:r>
      <w:r w:rsidR="00767570" w:rsidRPr="00207DC2">
        <w:rPr>
          <w:lang w:val="en-AU"/>
        </w:rPr>
        <w:t>More specifically, s</w:t>
      </w:r>
      <w:r w:rsidR="003F1008" w:rsidRPr="00207DC2">
        <w:rPr>
          <w:lang w:val="en-AU"/>
        </w:rPr>
        <w:t xml:space="preserve">takeholders </w:t>
      </w:r>
      <w:r w:rsidR="000C1282" w:rsidRPr="00207DC2">
        <w:rPr>
          <w:lang w:val="en-AU"/>
        </w:rPr>
        <w:t>that participated in th</w:t>
      </w:r>
      <w:r w:rsidR="00CF5DA4" w:rsidRPr="00207DC2">
        <w:rPr>
          <w:lang w:val="en-AU"/>
        </w:rPr>
        <w:t xml:space="preserve">e fieldwork </w:t>
      </w:r>
      <w:r w:rsidR="000C1282" w:rsidRPr="00207DC2">
        <w:rPr>
          <w:lang w:val="en-AU"/>
        </w:rPr>
        <w:t xml:space="preserve">reported </w:t>
      </w:r>
      <w:r w:rsidR="00F008E2" w:rsidRPr="00207DC2">
        <w:rPr>
          <w:lang w:val="en-AU"/>
        </w:rPr>
        <w:t>t</w:t>
      </w:r>
      <w:r w:rsidR="003F1008" w:rsidRPr="00207DC2">
        <w:rPr>
          <w:lang w:val="en-AU"/>
        </w:rPr>
        <w:t>hat some participants had undetected health barriers due to lack of adequate assessments</w:t>
      </w:r>
      <w:r w:rsidR="006D7261" w:rsidRPr="00207DC2">
        <w:rPr>
          <w:lang w:val="en-AU"/>
        </w:rPr>
        <w:t xml:space="preserve"> </w:t>
      </w:r>
      <w:r w:rsidR="006E0591" w:rsidRPr="00207DC2">
        <w:rPr>
          <w:lang w:val="en-AU"/>
        </w:rPr>
        <w:t xml:space="preserve">(Winangali and Ipsos 2018, </w:t>
      </w:r>
      <w:r w:rsidR="006D7261" w:rsidRPr="00207DC2">
        <w:rPr>
          <w:lang w:val="en-AU"/>
        </w:rPr>
        <w:t>p</w:t>
      </w:r>
      <w:r w:rsidR="00D565A9" w:rsidRPr="00207DC2">
        <w:rPr>
          <w:lang w:val="en-AU"/>
        </w:rPr>
        <w:t xml:space="preserve">p. 12, </w:t>
      </w:r>
      <w:r w:rsidR="006D7261" w:rsidRPr="00207DC2">
        <w:rPr>
          <w:lang w:val="en-AU"/>
        </w:rPr>
        <w:t>55)</w:t>
      </w:r>
      <w:r w:rsidR="009C6042" w:rsidRPr="00207DC2">
        <w:rPr>
          <w:lang w:val="en-AU"/>
        </w:rPr>
        <w:t>.</w:t>
      </w:r>
    </w:p>
    <w:p w14:paraId="76190930" w14:textId="33BB8FE8" w:rsidR="00D402AD" w:rsidRPr="00207DC2" w:rsidRDefault="0063725B" w:rsidP="00F60C66">
      <w:pPr>
        <w:tabs>
          <w:tab w:val="left" w:pos="5103"/>
        </w:tabs>
        <w:jc w:val="both"/>
        <w:rPr>
          <w:lang w:val="en-AU"/>
        </w:rPr>
      </w:pPr>
      <w:r w:rsidRPr="00207DC2">
        <w:rPr>
          <w:lang w:val="en-AU"/>
        </w:rPr>
        <w:t xml:space="preserve">This is supported by </w:t>
      </w:r>
      <w:r w:rsidR="00215AFA" w:rsidRPr="00207DC2">
        <w:rPr>
          <w:lang w:val="en-AU"/>
        </w:rPr>
        <w:t>e</w:t>
      </w:r>
      <w:r w:rsidR="00723E53" w:rsidRPr="00207DC2">
        <w:rPr>
          <w:lang w:val="en-AU"/>
        </w:rPr>
        <w:t>xemptions data</w:t>
      </w:r>
      <w:r w:rsidR="00FF2AA1" w:rsidRPr="00207DC2">
        <w:rPr>
          <w:lang w:val="en-AU"/>
        </w:rPr>
        <w:t xml:space="preserve">. Exemptions from mutual obligations are provided </w:t>
      </w:r>
      <w:r w:rsidR="00333B4C" w:rsidRPr="00207DC2">
        <w:rPr>
          <w:lang w:val="en-AU"/>
        </w:rPr>
        <w:t xml:space="preserve">by the Department of Human Services </w:t>
      </w:r>
      <w:r w:rsidR="00FF2AA1" w:rsidRPr="00207DC2">
        <w:rPr>
          <w:lang w:val="en-AU"/>
        </w:rPr>
        <w:t xml:space="preserve">for </w:t>
      </w:r>
      <w:r w:rsidR="00903A7A">
        <w:rPr>
          <w:lang w:val="en-AU"/>
        </w:rPr>
        <w:t>activity-tested</w:t>
      </w:r>
      <w:r w:rsidR="00FF2AA1" w:rsidRPr="00207DC2">
        <w:rPr>
          <w:lang w:val="en-AU"/>
        </w:rPr>
        <w:t xml:space="preserve"> income support recipients under a number of circumstances</w:t>
      </w:r>
      <w:r w:rsidR="004D58CF" w:rsidRPr="00207DC2">
        <w:rPr>
          <w:lang w:val="en-AU"/>
        </w:rPr>
        <w:t xml:space="preserve"> (</w:t>
      </w:r>
      <w:r w:rsidR="00FF2AA1" w:rsidRPr="00207DC2">
        <w:rPr>
          <w:lang w:val="en-AU"/>
        </w:rPr>
        <w:t>for both</w:t>
      </w:r>
      <w:r w:rsidR="00610752" w:rsidRPr="00207DC2">
        <w:rPr>
          <w:lang w:val="en-AU"/>
        </w:rPr>
        <w:t xml:space="preserve"> the</w:t>
      </w:r>
      <w:r w:rsidR="00FF2AA1" w:rsidRPr="00207DC2">
        <w:rPr>
          <w:lang w:val="en-AU"/>
        </w:rPr>
        <w:t xml:space="preserve"> CDP and mainstream jobactive employment services</w:t>
      </w:r>
      <w:r w:rsidR="004D58CF" w:rsidRPr="00207DC2">
        <w:rPr>
          <w:lang w:val="en-AU"/>
        </w:rPr>
        <w:t>)</w:t>
      </w:r>
      <w:r w:rsidR="00FF2AA1" w:rsidRPr="00207DC2">
        <w:rPr>
          <w:lang w:val="en-AU"/>
        </w:rPr>
        <w:t xml:space="preserve">. </w:t>
      </w:r>
    </w:p>
    <w:p w14:paraId="09CC18FC" w14:textId="02E1CC26" w:rsidR="00D14FC5" w:rsidRPr="00207DC2" w:rsidRDefault="00FF2AA1" w:rsidP="00F60C66">
      <w:pPr>
        <w:tabs>
          <w:tab w:val="left" w:pos="5103"/>
        </w:tabs>
        <w:jc w:val="both"/>
        <w:rPr>
          <w:lang w:val="en-AU"/>
        </w:rPr>
      </w:pPr>
      <w:r w:rsidRPr="00207DC2">
        <w:rPr>
          <w:lang w:val="en-AU"/>
        </w:rPr>
        <w:t>In June 2017,</w:t>
      </w:r>
      <w:r w:rsidR="001E07D4" w:rsidRPr="00207DC2">
        <w:rPr>
          <w:lang w:val="en-AU"/>
        </w:rPr>
        <w:t xml:space="preserve"> a smaller share of income support recipients living in CDP regions </w:t>
      </w:r>
      <w:r w:rsidR="00C7587C" w:rsidRPr="00207DC2">
        <w:rPr>
          <w:lang w:val="en-AU"/>
        </w:rPr>
        <w:t>ha</w:t>
      </w:r>
      <w:r w:rsidR="009A4014" w:rsidRPr="00207DC2">
        <w:rPr>
          <w:lang w:val="en-AU"/>
        </w:rPr>
        <w:t>d</w:t>
      </w:r>
      <w:r w:rsidR="00C7587C" w:rsidRPr="00207DC2">
        <w:rPr>
          <w:lang w:val="en-AU"/>
        </w:rPr>
        <w:t xml:space="preserve"> a medical exemption</w:t>
      </w:r>
      <w:r w:rsidR="001E07D4" w:rsidRPr="00207DC2">
        <w:rPr>
          <w:lang w:val="en-AU"/>
        </w:rPr>
        <w:t xml:space="preserve"> from mutual obligation requirements </w:t>
      </w:r>
      <w:r w:rsidR="002331D3" w:rsidRPr="00207DC2">
        <w:rPr>
          <w:lang w:val="en-AU"/>
        </w:rPr>
        <w:t>than those living in non-CDP regions. F</w:t>
      </w:r>
      <w:r w:rsidR="00723E53" w:rsidRPr="00207DC2">
        <w:rPr>
          <w:lang w:val="en-AU"/>
        </w:rPr>
        <w:t>ive per cent of activity</w:t>
      </w:r>
      <w:r w:rsidR="00903A7A">
        <w:rPr>
          <w:lang w:val="en-AU"/>
        </w:rPr>
        <w:t>-</w:t>
      </w:r>
      <w:r w:rsidR="00723E53" w:rsidRPr="00207DC2">
        <w:rPr>
          <w:lang w:val="en-AU"/>
        </w:rPr>
        <w:t>tested income support recipients living in CDP regions had a medical exemption, compared with ten per cent in non</w:t>
      </w:r>
      <w:r w:rsidR="002331D3" w:rsidRPr="00207DC2">
        <w:rPr>
          <w:lang w:val="en-AU"/>
        </w:rPr>
        <w:t>-</w:t>
      </w:r>
      <w:r w:rsidR="00723E53" w:rsidRPr="00207DC2">
        <w:rPr>
          <w:lang w:val="en-AU"/>
        </w:rPr>
        <w:t>CDP regions</w:t>
      </w:r>
      <w:r w:rsidR="0045630E" w:rsidRPr="00207DC2">
        <w:rPr>
          <w:lang w:val="en-AU"/>
        </w:rPr>
        <w:t xml:space="preserve"> (Table 2.4)</w:t>
      </w:r>
      <w:r w:rsidR="00723E53" w:rsidRPr="00207DC2">
        <w:rPr>
          <w:lang w:val="en-AU"/>
        </w:rPr>
        <w:t xml:space="preserve">. </w:t>
      </w:r>
      <w:r w:rsidR="00F60C66" w:rsidRPr="00207DC2">
        <w:rPr>
          <w:lang w:val="en-AU"/>
        </w:rPr>
        <w:t>The rate of medical exemptions is lower again for those living in CDP areas who identify as Indigenous</w:t>
      </w:r>
      <w:r w:rsidR="00396552">
        <w:rPr>
          <w:lang w:val="en-AU"/>
        </w:rPr>
        <w:t xml:space="preserve"> – </w:t>
      </w:r>
      <w:r w:rsidR="00F60C66" w:rsidRPr="00207DC2">
        <w:rPr>
          <w:lang w:val="en-AU"/>
        </w:rPr>
        <w:t>three per cent in June 2017.</w:t>
      </w:r>
    </w:p>
    <w:p w14:paraId="75E720DC" w14:textId="3AEB5CDF" w:rsidR="001E07D4" w:rsidRPr="00207DC2" w:rsidRDefault="002331D3" w:rsidP="001E07D4">
      <w:pPr>
        <w:tabs>
          <w:tab w:val="left" w:pos="5103"/>
        </w:tabs>
        <w:jc w:val="both"/>
        <w:rPr>
          <w:lang w:val="en-AU"/>
        </w:rPr>
      </w:pPr>
      <w:r w:rsidRPr="00207DC2">
        <w:rPr>
          <w:lang w:val="en-AU"/>
        </w:rPr>
        <w:t>This is in spite of the relatively high burden of disease</w:t>
      </w:r>
      <w:r w:rsidRPr="00207DC2" w:rsidDel="00B458CB">
        <w:rPr>
          <w:lang w:val="en-AU"/>
        </w:rPr>
        <w:t xml:space="preserve"> </w:t>
      </w:r>
      <w:r w:rsidR="003E64F6">
        <w:rPr>
          <w:lang w:val="en-AU"/>
        </w:rPr>
        <w:t>among</w:t>
      </w:r>
      <w:r w:rsidRPr="00207DC2">
        <w:rPr>
          <w:lang w:val="en-AU"/>
        </w:rPr>
        <w:t xml:space="preserve"> those living in remote and very remote Australia</w:t>
      </w:r>
      <w:r w:rsidR="002E168C" w:rsidRPr="00207DC2">
        <w:rPr>
          <w:lang w:val="en-AU"/>
        </w:rPr>
        <w:t xml:space="preserve">. People living in rural and remote Australia tend to </w:t>
      </w:r>
      <w:r w:rsidR="002E168C" w:rsidRPr="00207DC2" w:rsidDel="00413C01">
        <w:rPr>
          <w:lang w:val="en-AU"/>
        </w:rPr>
        <w:t xml:space="preserve">have </w:t>
      </w:r>
      <w:r w:rsidR="002E168C" w:rsidRPr="00207DC2">
        <w:rPr>
          <w:lang w:val="en-AU"/>
        </w:rPr>
        <w:t xml:space="preserve">higher rates of disease and injury, and poorer access to health services </w:t>
      </w:r>
      <w:r w:rsidR="00413C01" w:rsidRPr="00207DC2">
        <w:rPr>
          <w:lang w:val="en-AU"/>
        </w:rPr>
        <w:t xml:space="preserve">compared with </w:t>
      </w:r>
      <w:r w:rsidR="002E168C" w:rsidRPr="00207DC2">
        <w:rPr>
          <w:lang w:val="en-AU"/>
        </w:rPr>
        <w:t>people living in Major cities</w:t>
      </w:r>
      <w:r w:rsidRPr="00207DC2">
        <w:rPr>
          <w:lang w:val="en-AU"/>
        </w:rPr>
        <w:t xml:space="preserve"> (AIHW 2016)</w:t>
      </w:r>
      <w:r w:rsidR="002E168C" w:rsidRPr="00207DC2">
        <w:rPr>
          <w:lang w:val="en-AU"/>
        </w:rPr>
        <w:t>.</w:t>
      </w:r>
      <w:r w:rsidR="00E73467" w:rsidRPr="00207DC2">
        <w:rPr>
          <w:lang w:val="en-AU"/>
        </w:rPr>
        <w:t xml:space="preserve"> </w:t>
      </w:r>
      <w:r w:rsidR="00F513AD" w:rsidRPr="00207DC2">
        <w:rPr>
          <w:lang w:val="en-AU"/>
        </w:rPr>
        <w:t xml:space="preserve">This particularly </w:t>
      </w:r>
      <w:r w:rsidR="004859BC" w:rsidRPr="00207DC2">
        <w:rPr>
          <w:lang w:val="en-AU"/>
        </w:rPr>
        <w:t>a</w:t>
      </w:r>
      <w:r w:rsidR="00F513AD" w:rsidRPr="00207DC2">
        <w:rPr>
          <w:lang w:val="en-AU"/>
        </w:rPr>
        <w:t>ffect</w:t>
      </w:r>
      <w:r w:rsidR="004859BC" w:rsidRPr="00207DC2">
        <w:rPr>
          <w:lang w:val="en-AU"/>
        </w:rPr>
        <w:t>s</w:t>
      </w:r>
      <w:r w:rsidR="00F513AD" w:rsidRPr="00207DC2">
        <w:rPr>
          <w:lang w:val="en-AU"/>
        </w:rPr>
        <w:t xml:space="preserve"> the Indigenous population for </w:t>
      </w:r>
      <w:r w:rsidR="00413C01" w:rsidRPr="00207DC2">
        <w:rPr>
          <w:lang w:val="en-AU"/>
        </w:rPr>
        <w:t xml:space="preserve">whom </w:t>
      </w:r>
      <w:r w:rsidR="00F513AD" w:rsidRPr="00207DC2">
        <w:rPr>
          <w:lang w:val="en-AU"/>
        </w:rPr>
        <w:t xml:space="preserve">the </w:t>
      </w:r>
      <w:r w:rsidR="00413C01" w:rsidRPr="00207DC2">
        <w:rPr>
          <w:lang w:val="en-AU"/>
        </w:rPr>
        <w:t>r</w:t>
      </w:r>
      <w:r w:rsidR="00E73467" w:rsidRPr="00207DC2">
        <w:rPr>
          <w:lang w:val="en-AU"/>
        </w:rPr>
        <w:t xml:space="preserve">ates of potentially preventable hospitalisation are </w:t>
      </w:r>
      <w:r w:rsidR="00EF1B43" w:rsidRPr="00207DC2">
        <w:rPr>
          <w:lang w:val="en-AU"/>
        </w:rPr>
        <w:t>three</w:t>
      </w:r>
      <w:r w:rsidR="00352163" w:rsidRPr="00207DC2">
        <w:rPr>
          <w:lang w:val="en-AU"/>
        </w:rPr>
        <w:t xml:space="preserve"> </w:t>
      </w:r>
      <w:r w:rsidR="00077218" w:rsidRPr="00207DC2">
        <w:rPr>
          <w:lang w:val="en-AU"/>
        </w:rPr>
        <w:t xml:space="preserve">times </w:t>
      </w:r>
      <w:r w:rsidR="00E73467" w:rsidRPr="00207DC2">
        <w:rPr>
          <w:lang w:val="en-AU"/>
        </w:rPr>
        <w:t xml:space="preserve">higher </w:t>
      </w:r>
      <w:r w:rsidR="00077218" w:rsidRPr="00207DC2">
        <w:rPr>
          <w:lang w:val="en-AU"/>
        </w:rPr>
        <w:t>than the non-Indigenous population</w:t>
      </w:r>
      <w:r w:rsidR="00A356B5" w:rsidRPr="00207DC2">
        <w:rPr>
          <w:lang w:val="en-AU"/>
        </w:rPr>
        <w:t xml:space="preserve">. </w:t>
      </w:r>
      <w:r w:rsidR="00E73467" w:rsidRPr="00207DC2">
        <w:rPr>
          <w:lang w:val="en-AU"/>
        </w:rPr>
        <w:t>Indigenous rates</w:t>
      </w:r>
      <w:r w:rsidR="00A356B5" w:rsidRPr="00207DC2">
        <w:rPr>
          <w:lang w:val="en-AU"/>
        </w:rPr>
        <w:t xml:space="preserve"> of potentially preventable hospitalisation</w:t>
      </w:r>
      <w:r w:rsidR="00E73467" w:rsidRPr="00207DC2">
        <w:rPr>
          <w:lang w:val="en-AU"/>
        </w:rPr>
        <w:t xml:space="preserve"> are</w:t>
      </w:r>
      <w:r w:rsidR="00077218" w:rsidRPr="00207DC2">
        <w:rPr>
          <w:lang w:val="en-AU"/>
        </w:rPr>
        <w:t xml:space="preserve"> highest</w:t>
      </w:r>
      <w:r w:rsidR="00E73467" w:rsidRPr="00207DC2">
        <w:rPr>
          <w:lang w:val="en-AU"/>
        </w:rPr>
        <w:t xml:space="preserve"> in remote areas</w:t>
      </w:r>
      <w:r w:rsidR="00077218" w:rsidRPr="00207DC2">
        <w:rPr>
          <w:lang w:val="en-AU"/>
        </w:rPr>
        <w:t xml:space="preserve"> (3.7 times higher in </w:t>
      </w:r>
      <w:r w:rsidR="00EF1B43" w:rsidRPr="00207DC2">
        <w:rPr>
          <w:lang w:val="en-AU"/>
        </w:rPr>
        <w:t>v</w:t>
      </w:r>
      <w:r w:rsidR="00077218" w:rsidRPr="00207DC2">
        <w:rPr>
          <w:lang w:val="en-AU"/>
        </w:rPr>
        <w:t xml:space="preserve">ery </w:t>
      </w:r>
      <w:r w:rsidR="00EF1B43" w:rsidRPr="00207DC2">
        <w:rPr>
          <w:lang w:val="en-AU"/>
        </w:rPr>
        <w:t>r</w:t>
      </w:r>
      <w:r w:rsidR="00077218" w:rsidRPr="00207DC2">
        <w:rPr>
          <w:lang w:val="en-AU"/>
        </w:rPr>
        <w:t xml:space="preserve">emote areas and 4.6 times higher in </w:t>
      </w:r>
      <w:r w:rsidR="00EF1B43" w:rsidRPr="00207DC2">
        <w:rPr>
          <w:lang w:val="en-AU"/>
        </w:rPr>
        <w:t>r</w:t>
      </w:r>
      <w:r w:rsidR="00077218" w:rsidRPr="00207DC2">
        <w:rPr>
          <w:lang w:val="en-AU"/>
        </w:rPr>
        <w:t>emote areas) (AHMAC 2017).</w:t>
      </w:r>
    </w:p>
    <w:p w14:paraId="3EE4834B" w14:textId="518E0171" w:rsidR="0045630E" w:rsidRPr="00207DC2" w:rsidRDefault="00D402AD" w:rsidP="000771FB">
      <w:pPr>
        <w:tabs>
          <w:tab w:val="left" w:pos="5387"/>
        </w:tabs>
        <w:jc w:val="both"/>
        <w:rPr>
          <w:lang w:val="en-AU"/>
        </w:rPr>
      </w:pPr>
      <w:r w:rsidRPr="00207DC2">
        <w:rPr>
          <w:lang w:val="en-AU"/>
        </w:rPr>
        <w:t>Unidentified</w:t>
      </w:r>
      <w:r w:rsidR="00282D88" w:rsidRPr="00207DC2">
        <w:rPr>
          <w:lang w:val="en-AU"/>
        </w:rPr>
        <w:t xml:space="preserve"> health issues among </w:t>
      </w:r>
      <w:r w:rsidR="00B4011C" w:rsidRPr="00207DC2">
        <w:rPr>
          <w:lang w:val="en-AU"/>
        </w:rPr>
        <w:t>Indigenous CDP participants</w:t>
      </w:r>
      <w:r w:rsidR="006F06FB" w:rsidRPr="00207DC2">
        <w:rPr>
          <w:lang w:val="en-AU"/>
        </w:rPr>
        <w:t xml:space="preserve"> may</w:t>
      </w:r>
      <w:r w:rsidR="006F06FB" w:rsidRPr="00207DC2" w:rsidDel="00141661">
        <w:rPr>
          <w:lang w:val="en-AU"/>
        </w:rPr>
        <w:t xml:space="preserve"> </w:t>
      </w:r>
      <w:r w:rsidR="006F06FB" w:rsidRPr="00207DC2">
        <w:rPr>
          <w:lang w:val="en-AU"/>
        </w:rPr>
        <w:t xml:space="preserve">be contributing to the higher rates of </w:t>
      </w:r>
      <w:r w:rsidR="006F06FB" w:rsidRPr="00207DC2">
        <w:rPr>
          <w:i/>
          <w:lang w:val="en-AU"/>
        </w:rPr>
        <w:t>invalid non-attendance</w:t>
      </w:r>
      <w:r w:rsidR="006F06FB" w:rsidRPr="00207DC2">
        <w:rPr>
          <w:lang w:val="en-AU"/>
        </w:rPr>
        <w:t xml:space="preserve"> at </w:t>
      </w:r>
      <w:r w:rsidR="00B227D0" w:rsidRPr="00207DC2">
        <w:rPr>
          <w:lang w:val="en-AU"/>
        </w:rPr>
        <w:t>W</w:t>
      </w:r>
      <w:r w:rsidR="006F06FB" w:rsidRPr="00207DC2">
        <w:rPr>
          <w:lang w:val="en-AU"/>
        </w:rPr>
        <w:t xml:space="preserve">ork for the </w:t>
      </w:r>
      <w:r w:rsidR="00B227D0" w:rsidRPr="00207DC2">
        <w:rPr>
          <w:lang w:val="en-AU"/>
        </w:rPr>
        <w:t>D</w:t>
      </w:r>
      <w:r w:rsidR="006F06FB" w:rsidRPr="00207DC2">
        <w:rPr>
          <w:lang w:val="en-AU"/>
        </w:rPr>
        <w:t>ole activities found above</w:t>
      </w:r>
      <w:r w:rsidR="009F65C9" w:rsidRPr="00207DC2">
        <w:rPr>
          <w:lang w:val="en-AU"/>
        </w:rPr>
        <w:t>,</w:t>
      </w:r>
      <w:r w:rsidR="00103065" w:rsidRPr="00207DC2">
        <w:rPr>
          <w:lang w:val="en-AU"/>
        </w:rPr>
        <w:t xml:space="preserve"> and the associated likelihood of receiving a penalty (discussed in </w:t>
      </w:r>
      <w:r w:rsidR="00870796" w:rsidRPr="00207DC2">
        <w:rPr>
          <w:lang w:val="en-AU"/>
        </w:rPr>
        <w:t>C</w:t>
      </w:r>
      <w:r w:rsidR="00103065" w:rsidRPr="00207DC2">
        <w:rPr>
          <w:lang w:val="en-AU"/>
        </w:rPr>
        <w:t>hapter 3)</w:t>
      </w:r>
      <w:r w:rsidR="006F06FB" w:rsidRPr="00207DC2">
        <w:rPr>
          <w:lang w:val="en-AU"/>
        </w:rPr>
        <w:t xml:space="preserve">. </w:t>
      </w:r>
    </w:p>
    <w:p w14:paraId="5F8DB953" w14:textId="7D8B39B7" w:rsidR="0045630E" w:rsidRPr="00207DC2" w:rsidRDefault="0045630E" w:rsidP="00FB626D">
      <w:pPr>
        <w:pStyle w:val="Table"/>
        <w:tabs>
          <w:tab w:val="left" w:pos="4678"/>
        </w:tabs>
        <w:outlineLvl w:val="9"/>
      </w:pPr>
      <w:bookmarkStart w:id="232" w:name="OLE_LINK1"/>
      <w:r w:rsidRPr="00207DC2">
        <w:t xml:space="preserve">Table 2.4 </w:t>
      </w:r>
      <w:r w:rsidR="009F366F" w:rsidRPr="00207DC2">
        <w:t xml:space="preserve">Medical and other activity test exemptions are lower in remote areas, especially for Indigenous </w:t>
      </w:r>
      <w:r w:rsidR="00C822E5" w:rsidRPr="00207DC2">
        <w:t>people, June</w:t>
      </w:r>
      <w:r w:rsidRPr="00207DC2">
        <w:t xml:space="preserve"> 2017</w:t>
      </w:r>
      <w:r w:rsidR="00B621A6" w:rsidRPr="00207DC2">
        <w:rPr>
          <w:vertAlign w:val="superscript"/>
        </w:rPr>
        <w:t>a</w:t>
      </w:r>
    </w:p>
    <w:bookmarkEnd w:id="232"/>
    <w:tbl>
      <w:tblPr>
        <w:tblW w:w="8936" w:type="dxa"/>
        <w:tblInd w:w="103" w:type="dxa"/>
        <w:tblBorders>
          <w:top w:val="single" w:sz="4" w:space="0" w:color="auto"/>
          <w:bottom w:val="single" w:sz="4" w:space="0" w:color="auto"/>
        </w:tblBorders>
        <w:tblLayout w:type="fixed"/>
        <w:tblLook w:val="04A0" w:firstRow="1" w:lastRow="0" w:firstColumn="1" w:lastColumn="0" w:noHBand="0" w:noVBand="1"/>
        <w:tblCaption w:val="Income support recipients with an activity test exemption by region, June 2017"/>
        <w:tblDescription w:val="The table shows the proportion of income support recipients in June 2017 with: &#10;- any activity-test exemption and &#10;- with a medical activity-test exemption, &#10;The table also includes a breakdown by remoteness and Indigenous status, as well as the total numbers of income support recipients.&#10;"/>
      </w:tblPr>
      <w:tblGrid>
        <w:gridCol w:w="3124"/>
        <w:gridCol w:w="34"/>
        <w:gridCol w:w="1320"/>
        <w:gridCol w:w="1354"/>
        <w:gridCol w:w="1355"/>
        <w:gridCol w:w="1749"/>
      </w:tblGrid>
      <w:tr w:rsidR="0045630E" w:rsidRPr="00207DC2" w:rsidDel="00A4226D" w14:paraId="64087A02" w14:textId="77777777" w:rsidTr="005D0B52">
        <w:trPr>
          <w:trHeight w:val="92"/>
          <w:tblHeader/>
        </w:trPr>
        <w:tc>
          <w:tcPr>
            <w:tcW w:w="3158" w:type="dxa"/>
            <w:gridSpan w:val="2"/>
            <w:tcBorders>
              <w:top w:val="single" w:sz="4" w:space="0" w:color="auto"/>
              <w:bottom w:val="nil"/>
              <w:right w:val="nil"/>
            </w:tcBorders>
            <w:shd w:val="clear" w:color="auto" w:fill="auto"/>
            <w:vAlign w:val="center"/>
            <w:hideMark/>
          </w:tcPr>
          <w:p w14:paraId="5B0B8044" w14:textId="77777777" w:rsidR="0045630E" w:rsidRPr="00207DC2" w:rsidRDefault="0045630E" w:rsidP="00FB626D">
            <w:pPr>
              <w:keepNext/>
              <w:keepLines/>
              <w:spacing w:before="0" w:after="0" w:line="240" w:lineRule="auto"/>
              <w:rPr>
                <w:b/>
                <w:lang w:val="en-AU"/>
              </w:rPr>
            </w:pPr>
          </w:p>
        </w:tc>
        <w:tc>
          <w:tcPr>
            <w:tcW w:w="4029" w:type="dxa"/>
            <w:gridSpan w:val="3"/>
            <w:tcBorders>
              <w:top w:val="single" w:sz="4" w:space="0" w:color="auto"/>
              <w:left w:val="nil"/>
              <w:bottom w:val="dashSmallGap" w:sz="4" w:space="0" w:color="auto"/>
            </w:tcBorders>
            <w:shd w:val="clear" w:color="auto" w:fill="auto"/>
            <w:vAlign w:val="center"/>
          </w:tcPr>
          <w:p w14:paraId="634485BF" w14:textId="77777777" w:rsidR="0045630E" w:rsidRPr="00207DC2" w:rsidRDefault="0045630E" w:rsidP="00FB626D">
            <w:pPr>
              <w:pStyle w:val="TableText"/>
              <w:keepNext/>
              <w:keepLines/>
              <w:spacing w:before="0" w:after="0"/>
              <w:ind w:left="142" w:right="142"/>
              <w:jc w:val="center"/>
              <w:rPr>
                <w:b/>
                <w:lang w:val="en-AU"/>
              </w:rPr>
            </w:pPr>
            <w:r w:rsidRPr="00207DC2">
              <w:rPr>
                <w:b/>
                <w:lang w:val="en-AU"/>
              </w:rPr>
              <w:t>Re</w:t>
            </w:r>
            <w:r w:rsidR="005D0B52" w:rsidRPr="00207DC2">
              <w:rPr>
                <w:b/>
                <w:lang w:val="en-AU"/>
              </w:rPr>
              <w:t>cipients living in a CDP region</w:t>
            </w:r>
          </w:p>
        </w:tc>
        <w:tc>
          <w:tcPr>
            <w:tcW w:w="1749" w:type="dxa"/>
            <w:vMerge w:val="restart"/>
            <w:tcBorders>
              <w:top w:val="single" w:sz="4" w:space="0" w:color="auto"/>
            </w:tcBorders>
            <w:shd w:val="clear" w:color="auto" w:fill="auto"/>
            <w:vAlign w:val="center"/>
          </w:tcPr>
          <w:p w14:paraId="56CBD072" w14:textId="77777777" w:rsidR="0045630E" w:rsidRPr="00207DC2" w:rsidDel="00A4226D" w:rsidRDefault="0045630E" w:rsidP="00FB626D">
            <w:pPr>
              <w:pStyle w:val="TableText"/>
              <w:keepNext/>
              <w:keepLines/>
              <w:spacing w:before="0" w:after="0"/>
              <w:ind w:left="142" w:right="318"/>
              <w:jc w:val="center"/>
              <w:rPr>
                <w:b/>
                <w:lang w:val="en-AU"/>
              </w:rPr>
            </w:pPr>
            <w:r w:rsidRPr="00207DC2">
              <w:rPr>
                <w:b/>
                <w:lang w:val="en-AU"/>
              </w:rPr>
              <w:t>Recipients living in a non-CDP region</w:t>
            </w:r>
          </w:p>
        </w:tc>
      </w:tr>
      <w:tr w:rsidR="0045630E" w:rsidRPr="00207DC2" w:rsidDel="00A4226D" w14:paraId="19279AA8" w14:textId="77777777" w:rsidTr="005D0B52">
        <w:trPr>
          <w:trHeight w:val="674"/>
          <w:tblHeader/>
        </w:trPr>
        <w:tc>
          <w:tcPr>
            <w:tcW w:w="3158" w:type="dxa"/>
            <w:gridSpan w:val="2"/>
            <w:tcBorders>
              <w:top w:val="nil"/>
              <w:bottom w:val="single" w:sz="4" w:space="0" w:color="auto"/>
              <w:right w:val="nil"/>
            </w:tcBorders>
            <w:shd w:val="clear" w:color="auto" w:fill="auto"/>
            <w:vAlign w:val="center"/>
          </w:tcPr>
          <w:p w14:paraId="343D7B57" w14:textId="77777777" w:rsidR="0045630E" w:rsidRPr="00207DC2" w:rsidRDefault="0045630E" w:rsidP="00FB626D">
            <w:pPr>
              <w:keepNext/>
              <w:keepLines/>
              <w:spacing w:before="0" w:after="0" w:line="240" w:lineRule="auto"/>
              <w:rPr>
                <w:b/>
                <w:lang w:val="en-AU"/>
              </w:rPr>
            </w:pPr>
          </w:p>
        </w:tc>
        <w:tc>
          <w:tcPr>
            <w:tcW w:w="1320" w:type="dxa"/>
            <w:tcBorders>
              <w:top w:val="dashSmallGap" w:sz="4" w:space="0" w:color="auto"/>
              <w:left w:val="nil"/>
              <w:bottom w:val="single" w:sz="4" w:space="0" w:color="auto"/>
            </w:tcBorders>
            <w:shd w:val="clear" w:color="auto" w:fill="auto"/>
            <w:vAlign w:val="center"/>
          </w:tcPr>
          <w:p w14:paraId="35B17F90" w14:textId="77777777" w:rsidR="0045630E" w:rsidRPr="00207DC2" w:rsidRDefault="0045630E" w:rsidP="00FB626D">
            <w:pPr>
              <w:pStyle w:val="TableText"/>
              <w:keepNext/>
              <w:keepLines/>
              <w:spacing w:before="0" w:after="0"/>
              <w:ind w:left="142" w:right="142"/>
              <w:jc w:val="center"/>
              <w:rPr>
                <w:b/>
                <w:lang w:val="en-AU"/>
              </w:rPr>
            </w:pPr>
            <w:r w:rsidRPr="00207DC2">
              <w:rPr>
                <w:b/>
                <w:lang w:val="en-AU"/>
              </w:rPr>
              <w:t>Very remote</w:t>
            </w:r>
          </w:p>
        </w:tc>
        <w:tc>
          <w:tcPr>
            <w:tcW w:w="1354" w:type="dxa"/>
            <w:tcBorders>
              <w:top w:val="dashSmallGap" w:sz="4" w:space="0" w:color="auto"/>
              <w:bottom w:val="single" w:sz="4" w:space="0" w:color="auto"/>
            </w:tcBorders>
            <w:vAlign w:val="center"/>
          </w:tcPr>
          <w:p w14:paraId="757791AC" w14:textId="77777777" w:rsidR="0045630E" w:rsidRPr="00207DC2" w:rsidRDefault="0045630E" w:rsidP="00FB626D">
            <w:pPr>
              <w:pStyle w:val="TableText"/>
              <w:keepNext/>
              <w:keepLines/>
              <w:spacing w:before="0" w:after="0"/>
              <w:ind w:left="0" w:right="142"/>
              <w:jc w:val="center"/>
              <w:rPr>
                <w:b/>
                <w:lang w:val="en-AU"/>
              </w:rPr>
            </w:pPr>
            <w:r w:rsidRPr="00207DC2">
              <w:rPr>
                <w:b/>
                <w:lang w:val="en-AU"/>
              </w:rPr>
              <w:t>Remote and outer regional</w:t>
            </w:r>
          </w:p>
        </w:tc>
        <w:tc>
          <w:tcPr>
            <w:tcW w:w="1355" w:type="dxa"/>
            <w:tcBorders>
              <w:top w:val="dashSmallGap" w:sz="4" w:space="0" w:color="auto"/>
              <w:bottom w:val="single" w:sz="4" w:space="0" w:color="auto"/>
            </w:tcBorders>
            <w:vAlign w:val="center"/>
          </w:tcPr>
          <w:p w14:paraId="071C75F0" w14:textId="77777777" w:rsidR="0045630E" w:rsidRPr="00207DC2" w:rsidRDefault="0045630E" w:rsidP="00FB626D">
            <w:pPr>
              <w:pStyle w:val="TableText"/>
              <w:keepNext/>
              <w:keepLines/>
              <w:spacing w:before="0" w:after="0"/>
              <w:ind w:left="142" w:right="142"/>
              <w:jc w:val="center"/>
              <w:rPr>
                <w:b/>
                <w:lang w:val="en-AU"/>
              </w:rPr>
            </w:pPr>
            <w:r w:rsidRPr="00207DC2">
              <w:rPr>
                <w:b/>
                <w:lang w:val="en-AU"/>
              </w:rPr>
              <w:t>Total</w:t>
            </w:r>
          </w:p>
        </w:tc>
        <w:tc>
          <w:tcPr>
            <w:tcW w:w="1749" w:type="dxa"/>
            <w:vMerge/>
            <w:tcBorders>
              <w:bottom w:val="single" w:sz="4" w:space="0" w:color="auto"/>
            </w:tcBorders>
            <w:shd w:val="clear" w:color="auto" w:fill="auto"/>
            <w:vAlign w:val="center"/>
          </w:tcPr>
          <w:p w14:paraId="69E534CD" w14:textId="77777777" w:rsidR="0045630E" w:rsidRPr="00207DC2" w:rsidRDefault="0045630E" w:rsidP="00FB626D">
            <w:pPr>
              <w:pStyle w:val="TableText"/>
              <w:keepNext/>
              <w:keepLines/>
              <w:spacing w:before="0" w:after="0"/>
              <w:ind w:left="142" w:right="463"/>
              <w:jc w:val="center"/>
              <w:rPr>
                <w:b/>
                <w:lang w:val="en-AU"/>
              </w:rPr>
            </w:pPr>
          </w:p>
        </w:tc>
      </w:tr>
      <w:tr w:rsidR="0045630E" w:rsidRPr="00207DC2" w14:paraId="0ADE1C0D" w14:textId="77777777" w:rsidTr="00B57C21">
        <w:trPr>
          <w:trHeight w:val="300"/>
        </w:trPr>
        <w:tc>
          <w:tcPr>
            <w:tcW w:w="5832" w:type="dxa"/>
            <w:gridSpan w:val="4"/>
            <w:tcBorders>
              <w:top w:val="single" w:sz="4" w:space="0" w:color="auto"/>
            </w:tcBorders>
            <w:shd w:val="clear" w:color="auto" w:fill="D0D2D3" w:themeFill="background2"/>
            <w:noWrap/>
          </w:tcPr>
          <w:p w14:paraId="1F64CE03" w14:textId="77777777" w:rsidR="0045630E" w:rsidRPr="00207DC2" w:rsidRDefault="0045630E" w:rsidP="00FB626D">
            <w:pPr>
              <w:pStyle w:val="TableText"/>
              <w:keepNext/>
              <w:keepLines/>
              <w:spacing w:before="0" w:after="0"/>
              <w:ind w:left="0" w:right="142"/>
              <w:rPr>
                <w:szCs w:val="20"/>
                <w:lang w:val="en-AU" w:eastAsia="en-AU"/>
              </w:rPr>
            </w:pPr>
            <w:r w:rsidRPr="00207DC2">
              <w:rPr>
                <w:b/>
                <w:szCs w:val="20"/>
                <w:lang w:val="en-AU" w:eastAsia="en-AU"/>
              </w:rPr>
              <w:t>Share of recipients with any exemption</w:t>
            </w:r>
            <w:r w:rsidR="009D227C" w:rsidRPr="00207DC2">
              <w:rPr>
                <w:b/>
                <w:szCs w:val="20"/>
                <w:vertAlign w:val="superscript"/>
                <w:lang w:val="en-AU" w:eastAsia="en-AU"/>
              </w:rPr>
              <w:t>b</w:t>
            </w:r>
            <w:r w:rsidRPr="00207DC2">
              <w:rPr>
                <w:b/>
                <w:szCs w:val="20"/>
                <w:lang w:val="en-AU" w:eastAsia="en-AU"/>
              </w:rPr>
              <w:t>:</w:t>
            </w:r>
          </w:p>
        </w:tc>
        <w:tc>
          <w:tcPr>
            <w:tcW w:w="1355" w:type="dxa"/>
            <w:tcBorders>
              <w:top w:val="single" w:sz="4" w:space="0" w:color="auto"/>
              <w:bottom w:val="nil"/>
            </w:tcBorders>
            <w:shd w:val="clear" w:color="auto" w:fill="D0D2D3" w:themeFill="background2"/>
          </w:tcPr>
          <w:p w14:paraId="79401EA8" w14:textId="77777777" w:rsidR="0045630E" w:rsidRPr="00207DC2" w:rsidRDefault="0045630E" w:rsidP="00FB626D">
            <w:pPr>
              <w:pStyle w:val="TableText"/>
              <w:keepNext/>
              <w:keepLines/>
              <w:spacing w:before="0" w:after="0"/>
              <w:ind w:left="142" w:right="142"/>
              <w:jc w:val="center"/>
              <w:rPr>
                <w:szCs w:val="20"/>
                <w:lang w:val="en-AU" w:eastAsia="en-AU"/>
              </w:rPr>
            </w:pPr>
          </w:p>
        </w:tc>
        <w:tc>
          <w:tcPr>
            <w:tcW w:w="1749" w:type="dxa"/>
            <w:tcBorders>
              <w:top w:val="single" w:sz="4" w:space="0" w:color="auto"/>
              <w:bottom w:val="nil"/>
            </w:tcBorders>
            <w:shd w:val="clear" w:color="auto" w:fill="D0D2D3" w:themeFill="background2"/>
            <w:vAlign w:val="center"/>
          </w:tcPr>
          <w:p w14:paraId="2BE4FD82" w14:textId="77777777" w:rsidR="0045630E" w:rsidRPr="00207DC2" w:rsidRDefault="0045630E" w:rsidP="00FB626D">
            <w:pPr>
              <w:pStyle w:val="TableText"/>
              <w:keepNext/>
              <w:keepLines/>
              <w:spacing w:before="0" w:after="0"/>
              <w:ind w:left="142" w:right="463"/>
              <w:jc w:val="center"/>
              <w:rPr>
                <w:szCs w:val="20"/>
                <w:lang w:val="en-AU" w:eastAsia="en-AU"/>
              </w:rPr>
            </w:pPr>
          </w:p>
        </w:tc>
      </w:tr>
      <w:tr w:rsidR="0045630E" w:rsidRPr="00207DC2" w14:paraId="51FD21C8" w14:textId="77777777" w:rsidTr="009F730C">
        <w:trPr>
          <w:trHeight w:val="71"/>
        </w:trPr>
        <w:tc>
          <w:tcPr>
            <w:tcW w:w="3124" w:type="dxa"/>
            <w:tcBorders>
              <w:bottom w:val="nil"/>
            </w:tcBorders>
            <w:shd w:val="clear" w:color="auto" w:fill="auto"/>
            <w:noWrap/>
            <w:vAlign w:val="center"/>
          </w:tcPr>
          <w:p w14:paraId="05E6DE91"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Identifying as Indigenous</w:t>
            </w:r>
          </w:p>
        </w:tc>
        <w:tc>
          <w:tcPr>
            <w:tcW w:w="1354" w:type="dxa"/>
            <w:gridSpan w:val="2"/>
            <w:tcBorders>
              <w:top w:val="nil"/>
              <w:left w:val="nil"/>
              <w:bottom w:val="nil"/>
              <w:right w:val="nil"/>
            </w:tcBorders>
            <w:shd w:val="clear" w:color="auto" w:fill="auto"/>
            <w:vAlign w:val="center"/>
          </w:tcPr>
          <w:p w14:paraId="04F50ADD"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7%</w:t>
            </w:r>
          </w:p>
        </w:tc>
        <w:tc>
          <w:tcPr>
            <w:tcW w:w="1354" w:type="dxa"/>
            <w:tcBorders>
              <w:top w:val="nil"/>
              <w:left w:val="nil"/>
              <w:bottom w:val="nil"/>
              <w:right w:val="nil"/>
            </w:tcBorders>
            <w:shd w:val="clear" w:color="auto" w:fill="auto"/>
            <w:vAlign w:val="center"/>
          </w:tcPr>
          <w:p w14:paraId="47AE7DE0"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12%</w:t>
            </w:r>
          </w:p>
        </w:tc>
        <w:tc>
          <w:tcPr>
            <w:tcW w:w="1355" w:type="dxa"/>
            <w:tcBorders>
              <w:top w:val="nil"/>
              <w:left w:val="nil"/>
              <w:bottom w:val="nil"/>
              <w:right w:val="nil"/>
            </w:tcBorders>
            <w:shd w:val="clear" w:color="auto" w:fill="auto"/>
            <w:vAlign w:val="center"/>
          </w:tcPr>
          <w:p w14:paraId="0C1FE00E"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8%</w:t>
            </w:r>
          </w:p>
        </w:tc>
        <w:tc>
          <w:tcPr>
            <w:tcW w:w="1749" w:type="dxa"/>
            <w:tcBorders>
              <w:top w:val="nil"/>
              <w:left w:val="nil"/>
              <w:bottom w:val="nil"/>
              <w:right w:val="nil"/>
            </w:tcBorders>
            <w:shd w:val="clear" w:color="auto" w:fill="auto"/>
            <w:vAlign w:val="center"/>
          </w:tcPr>
          <w:p w14:paraId="3DE33F38"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14%</w:t>
            </w:r>
          </w:p>
        </w:tc>
      </w:tr>
      <w:tr w:rsidR="0045630E" w:rsidRPr="00207DC2" w14:paraId="65DEC746" w14:textId="77777777" w:rsidTr="009F730C">
        <w:trPr>
          <w:trHeight w:val="300"/>
        </w:trPr>
        <w:tc>
          <w:tcPr>
            <w:tcW w:w="3124" w:type="dxa"/>
            <w:tcBorders>
              <w:top w:val="nil"/>
              <w:bottom w:val="dashSmallGap" w:sz="4" w:space="0" w:color="auto"/>
            </w:tcBorders>
            <w:shd w:val="clear" w:color="auto" w:fill="auto"/>
            <w:noWrap/>
            <w:vAlign w:val="center"/>
          </w:tcPr>
          <w:p w14:paraId="7705D8B5"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Non-Indigenous</w:t>
            </w:r>
          </w:p>
        </w:tc>
        <w:tc>
          <w:tcPr>
            <w:tcW w:w="1354" w:type="dxa"/>
            <w:gridSpan w:val="2"/>
            <w:tcBorders>
              <w:top w:val="nil"/>
              <w:left w:val="nil"/>
              <w:bottom w:val="dashSmallGap" w:sz="4" w:space="0" w:color="auto"/>
              <w:right w:val="nil"/>
            </w:tcBorders>
            <w:shd w:val="clear" w:color="auto" w:fill="auto"/>
            <w:vAlign w:val="center"/>
          </w:tcPr>
          <w:p w14:paraId="36579CE7"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10%</w:t>
            </w:r>
          </w:p>
        </w:tc>
        <w:tc>
          <w:tcPr>
            <w:tcW w:w="1354" w:type="dxa"/>
            <w:tcBorders>
              <w:top w:val="nil"/>
              <w:left w:val="nil"/>
              <w:bottom w:val="dashSmallGap" w:sz="4" w:space="0" w:color="auto"/>
              <w:right w:val="nil"/>
            </w:tcBorders>
            <w:shd w:val="clear" w:color="auto" w:fill="auto"/>
            <w:vAlign w:val="center"/>
          </w:tcPr>
          <w:p w14:paraId="5A2B1B37"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14%</w:t>
            </w:r>
          </w:p>
        </w:tc>
        <w:tc>
          <w:tcPr>
            <w:tcW w:w="1355" w:type="dxa"/>
            <w:tcBorders>
              <w:top w:val="nil"/>
              <w:left w:val="nil"/>
              <w:bottom w:val="dashSmallGap" w:sz="4" w:space="0" w:color="auto"/>
              <w:right w:val="nil"/>
            </w:tcBorders>
            <w:shd w:val="clear" w:color="auto" w:fill="auto"/>
            <w:vAlign w:val="center"/>
          </w:tcPr>
          <w:p w14:paraId="42BFE9E4"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12%</w:t>
            </w:r>
          </w:p>
        </w:tc>
        <w:tc>
          <w:tcPr>
            <w:tcW w:w="1749" w:type="dxa"/>
            <w:tcBorders>
              <w:top w:val="nil"/>
              <w:left w:val="nil"/>
              <w:bottom w:val="dashSmallGap" w:sz="4" w:space="0" w:color="auto"/>
              <w:right w:val="nil"/>
            </w:tcBorders>
            <w:shd w:val="clear" w:color="auto" w:fill="auto"/>
            <w:vAlign w:val="center"/>
          </w:tcPr>
          <w:p w14:paraId="577CB2A8"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14%</w:t>
            </w:r>
          </w:p>
        </w:tc>
      </w:tr>
      <w:tr w:rsidR="0045630E" w:rsidRPr="00207DC2" w14:paraId="675EEC34" w14:textId="77777777" w:rsidTr="009F730C">
        <w:trPr>
          <w:trHeight w:val="300"/>
        </w:trPr>
        <w:tc>
          <w:tcPr>
            <w:tcW w:w="3124" w:type="dxa"/>
            <w:tcBorders>
              <w:top w:val="dashSmallGap" w:sz="4" w:space="0" w:color="auto"/>
            </w:tcBorders>
            <w:shd w:val="clear" w:color="auto" w:fill="auto"/>
            <w:noWrap/>
            <w:vAlign w:val="center"/>
          </w:tcPr>
          <w:p w14:paraId="2E8FA604"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Total</w:t>
            </w:r>
          </w:p>
        </w:tc>
        <w:tc>
          <w:tcPr>
            <w:tcW w:w="1354" w:type="dxa"/>
            <w:gridSpan w:val="2"/>
            <w:tcBorders>
              <w:top w:val="dashSmallGap" w:sz="4" w:space="0" w:color="auto"/>
              <w:left w:val="nil"/>
              <w:bottom w:val="single" w:sz="8" w:space="0" w:color="auto"/>
              <w:right w:val="nil"/>
            </w:tcBorders>
            <w:shd w:val="clear" w:color="auto" w:fill="auto"/>
            <w:vAlign w:val="center"/>
          </w:tcPr>
          <w:p w14:paraId="57E0BC45"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8%</w:t>
            </w:r>
          </w:p>
        </w:tc>
        <w:tc>
          <w:tcPr>
            <w:tcW w:w="1354" w:type="dxa"/>
            <w:tcBorders>
              <w:top w:val="dashSmallGap" w:sz="4" w:space="0" w:color="auto"/>
              <w:left w:val="nil"/>
              <w:bottom w:val="single" w:sz="8" w:space="0" w:color="auto"/>
              <w:right w:val="nil"/>
            </w:tcBorders>
            <w:shd w:val="clear" w:color="auto" w:fill="auto"/>
            <w:vAlign w:val="center"/>
          </w:tcPr>
          <w:p w14:paraId="63A39495"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13%</w:t>
            </w:r>
          </w:p>
        </w:tc>
        <w:tc>
          <w:tcPr>
            <w:tcW w:w="1355" w:type="dxa"/>
            <w:tcBorders>
              <w:top w:val="dashSmallGap" w:sz="4" w:space="0" w:color="auto"/>
              <w:left w:val="nil"/>
              <w:bottom w:val="single" w:sz="8" w:space="0" w:color="auto"/>
              <w:right w:val="nil"/>
            </w:tcBorders>
            <w:shd w:val="clear" w:color="auto" w:fill="auto"/>
            <w:vAlign w:val="center"/>
          </w:tcPr>
          <w:p w14:paraId="1587F917"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9%</w:t>
            </w:r>
          </w:p>
        </w:tc>
        <w:tc>
          <w:tcPr>
            <w:tcW w:w="1749" w:type="dxa"/>
            <w:tcBorders>
              <w:top w:val="dashSmallGap" w:sz="4" w:space="0" w:color="auto"/>
              <w:left w:val="nil"/>
              <w:bottom w:val="single" w:sz="8" w:space="0" w:color="auto"/>
              <w:right w:val="nil"/>
            </w:tcBorders>
            <w:shd w:val="clear" w:color="auto" w:fill="auto"/>
            <w:vAlign w:val="center"/>
          </w:tcPr>
          <w:p w14:paraId="1C6B9C7B"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14%</w:t>
            </w:r>
          </w:p>
        </w:tc>
      </w:tr>
      <w:tr w:rsidR="0045630E" w:rsidRPr="00207DC2" w14:paraId="3D3E7823" w14:textId="77777777" w:rsidTr="00B57C21">
        <w:trPr>
          <w:trHeight w:val="300"/>
        </w:trPr>
        <w:tc>
          <w:tcPr>
            <w:tcW w:w="5832" w:type="dxa"/>
            <w:gridSpan w:val="4"/>
            <w:tcBorders>
              <w:top w:val="single" w:sz="4" w:space="0" w:color="auto"/>
              <w:bottom w:val="nil"/>
            </w:tcBorders>
            <w:shd w:val="clear" w:color="auto" w:fill="D0D2D3" w:themeFill="background2"/>
            <w:noWrap/>
          </w:tcPr>
          <w:p w14:paraId="3F9878B5" w14:textId="77777777" w:rsidR="0045630E" w:rsidRPr="00207DC2" w:rsidRDefault="0045630E" w:rsidP="00FB626D">
            <w:pPr>
              <w:pStyle w:val="TableText"/>
              <w:keepNext/>
              <w:keepLines/>
              <w:spacing w:before="0" w:after="0"/>
              <w:ind w:left="0" w:right="142"/>
              <w:rPr>
                <w:szCs w:val="20"/>
                <w:lang w:val="en-AU" w:eastAsia="en-AU"/>
              </w:rPr>
            </w:pPr>
            <w:r w:rsidRPr="00207DC2">
              <w:rPr>
                <w:b/>
                <w:szCs w:val="20"/>
                <w:lang w:val="en-AU" w:eastAsia="en-AU"/>
              </w:rPr>
              <w:t>Share of recipients with a medical exemption:</w:t>
            </w:r>
          </w:p>
        </w:tc>
        <w:tc>
          <w:tcPr>
            <w:tcW w:w="1355" w:type="dxa"/>
            <w:tcBorders>
              <w:top w:val="single" w:sz="4" w:space="0" w:color="auto"/>
            </w:tcBorders>
            <w:shd w:val="clear" w:color="auto" w:fill="D0D2D3" w:themeFill="background2"/>
          </w:tcPr>
          <w:p w14:paraId="575B8E38" w14:textId="77777777" w:rsidR="0045630E" w:rsidRPr="00207DC2" w:rsidRDefault="0045630E" w:rsidP="00FB626D">
            <w:pPr>
              <w:pStyle w:val="TableText"/>
              <w:keepNext/>
              <w:keepLines/>
              <w:spacing w:before="0" w:after="0"/>
              <w:ind w:left="142" w:right="142"/>
              <w:jc w:val="center"/>
              <w:rPr>
                <w:szCs w:val="20"/>
                <w:lang w:val="en-AU" w:eastAsia="en-AU"/>
              </w:rPr>
            </w:pPr>
          </w:p>
        </w:tc>
        <w:tc>
          <w:tcPr>
            <w:tcW w:w="1749" w:type="dxa"/>
            <w:tcBorders>
              <w:top w:val="single" w:sz="4" w:space="0" w:color="auto"/>
              <w:bottom w:val="nil"/>
            </w:tcBorders>
            <w:shd w:val="clear" w:color="auto" w:fill="D0D2D3" w:themeFill="background2"/>
            <w:vAlign w:val="center"/>
          </w:tcPr>
          <w:p w14:paraId="6E6BEBB5" w14:textId="77777777" w:rsidR="0045630E" w:rsidRPr="00207DC2" w:rsidRDefault="0045630E" w:rsidP="00FB626D">
            <w:pPr>
              <w:pStyle w:val="TableText"/>
              <w:keepNext/>
              <w:keepLines/>
              <w:spacing w:before="0" w:after="0"/>
              <w:ind w:left="142" w:right="463"/>
              <w:jc w:val="center"/>
              <w:rPr>
                <w:szCs w:val="20"/>
                <w:lang w:val="en-AU" w:eastAsia="en-AU"/>
              </w:rPr>
            </w:pPr>
          </w:p>
        </w:tc>
      </w:tr>
      <w:tr w:rsidR="0045630E" w:rsidRPr="00207DC2" w14:paraId="5EFD301D" w14:textId="77777777" w:rsidTr="009F730C">
        <w:trPr>
          <w:trHeight w:val="300"/>
        </w:trPr>
        <w:tc>
          <w:tcPr>
            <w:tcW w:w="3124" w:type="dxa"/>
            <w:tcBorders>
              <w:top w:val="nil"/>
              <w:bottom w:val="nil"/>
            </w:tcBorders>
            <w:shd w:val="clear" w:color="auto" w:fill="auto"/>
            <w:noWrap/>
            <w:vAlign w:val="center"/>
          </w:tcPr>
          <w:p w14:paraId="2093BA72"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Identifying as Indigenous</w:t>
            </w:r>
          </w:p>
        </w:tc>
        <w:tc>
          <w:tcPr>
            <w:tcW w:w="1354" w:type="dxa"/>
            <w:gridSpan w:val="2"/>
            <w:tcBorders>
              <w:top w:val="nil"/>
              <w:left w:val="nil"/>
              <w:bottom w:val="nil"/>
              <w:right w:val="nil"/>
            </w:tcBorders>
            <w:shd w:val="clear" w:color="auto" w:fill="auto"/>
            <w:vAlign w:val="center"/>
          </w:tcPr>
          <w:p w14:paraId="5E64782F"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3%</w:t>
            </w:r>
          </w:p>
        </w:tc>
        <w:tc>
          <w:tcPr>
            <w:tcW w:w="1354" w:type="dxa"/>
            <w:tcBorders>
              <w:top w:val="nil"/>
              <w:left w:val="nil"/>
              <w:bottom w:val="nil"/>
              <w:right w:val="nil"/>
            </w:tcBorders>
            <w:shd w:val="clear" w:color="auto" w:fill="auto"/>
            <w:vAlign w:val="center"/>
          </w:tcPr>
          <w:p w14:paraId="4F639BEF"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6%</w:t>
            </w:r>
          </w:p>
        </w:tc>
        <w:tc>
          <w:tcPr>
            <w:tcW w:w="1355" w:type="dxa"/>
            <w:tcBorders>
              <w:top w:val="nil"/>
              <w:left w:val="nil"/>
              <w:bottom w:val="nil"/>
              <w:right w:val="nil"/>
            </w:tcBorders>
            <w:shd w:val="clear" w:color="auto" w:fill="auto"/>
            <w:vAlign w:val="center"/>
          </w:tcPr>
          <w:p w14:paraId="3B61F924" w14:textId="77777777" w:rsidR="0045630E" w:rsidRPr="00207DC2" w:rsidRDefault="0045630E" w:rsidP="00FB626D">
            <w:pPr>
              <w:pStyle w:val="TableText"/>
              <w:keepNext/>
              <w:keepLines/>
              <w:spacing w:before="0" w:after="0"/>
              <w:ind w:left="142" w:right="142"/>
              <w:jc w:val="right"/>
              <w:rPr>
                <w:szCs w:val="20"/>
                <w:lang w:val="en-AU" w:eastAsia="en-AU"/>
              </w:rPr>
            </w:pPr>
            <w:r w:rsidRPr="00207DC2">
              <w:rPr>
                <w:szCs w:val="20"/>
                <w:lang w:val="en-AU" w:eastAsia="en-AU"/>
              </w:rPr>
              <w:t>3%</w:t>
            </w:r>
          </w:p>
        </w:tc>
        <w:tc>
          <w:tcPr>
            <w:tcW w:w="1749" w:type="dxa"/>
            <w:tcBorders>
              <w:top w:val="nil"/>
              <w:left w:val="nil"/>
              <w:bottom w:val="nil"/>
              <w:right w:val="nil"/>
            </w:tcBorders>
            <w:shd w:val="clear" w:color="auto" w:fill="auto"/>
            <w:vAlign w:val="center"/>
          </w:tcPr>
          <w:p w14:paraId="389FA156"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9%</w:t>
            </w:r>
          </w:p>
        </w:tc>
      </w:tr>
      <w:tr w:rsidR="0045630E" w:rsidRPr="00207DC2" w14:paraId="28DFEFC1" w14:textId="77777777" w:rsidTr="009F730C">
        <w:trPr>
          <w:trHeight w:val="300"/>
        </w:trPr>
        <w:tc>
          <w:tcPr>
            <w:tcW w:w="3124" w:type="dxa"/>
            <w:tcBorders>
              <w:top w:val="nil"/>
              <w:bottom w:val="dashSmallGap" w:sz="4" w:space="0" w:color="auto"/>
            </w:tcBorders>
            <w:shd w:val="clear" w:color="auto" w:fill="auto"/>
            <w:noWrap/>
            <w:vAlign w:val="center"/>
          </w:tcPr>
          <w:p w14:paraId="322BBA81"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Non-Indigenous</w:t>
            </w:r>
          </w:p>
        </w:tc>
        <w:tc>
          <w:tcPr>
            <w:tcW w:w="1354" w:type="dxa"/>
            <w:gridSpan w:val="2"/>
            <w:tcBorders>
              <w:top w:val="nil"/>
              <w:left w:val="nil"/>
              <w:bottom w:val="dashSmallGap" w:sz="4" w:space="0" w:color="auto"/>
              <w:right w:val="nil"/>
            </w:tcBorders>
            <w:shd w:val="clear" w:color="auto" w:fill="auto"/>
            <w:vAlign w:val="center"/>
          </w:tcPr>
          <w:p w14:paraId="529EA4E7"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5%</w:t>
            </w:r>
          </w:p>
        </w:tc>
        <w:tc>
          <w:tcPr>
            <w:tcW w:w="1354" w:type="dxa"/>
            <w:tcBorders>
              <w:top w:val="nil"/>
              <w:left w:val="nil"/>
              <w:bottom w:val="dashSmallGap" w:sz="4" w:space="0" w:color="auto"/>
              <w:right w:val="nil"/>
            </w:tcBorders>
            <w:shd w:val="clear" w:color="auto" w:fill="auto"/>
            <w:vAlign w:val="center"/>
          </w:tcPr>
          <w:p w14:paraId="2B291B0B"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10%</w:t>
            </w:r>
          </w:p>
        </w:tc>
        <w:tc>
          <w:tcPr>
            <w:tcW w:w="1355" w:type="dxa"/>
            <w:tcBorders>
              <w:top w:val="nil"/>
              <w:left w:val="nil"/>
              <w:bottom w:val="dashSmallGap" w:sz="4" w:space="0" w:color="auto"/>
              <w:right w:val="nil"/>
            </w:tcBorders>
            <w:shd w:val="clear" w:color="auto" w:fill="auto"/>
            <w:vAlign w:val="center"/>
          </w:tcPr>
          <w:p w14:paraId="62FF48C4"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8%</w:t>
            </w:r>
          </w:p>
        </w:tc>
        <w:tc>
          <w:tcPr>
            <w:tcW w:w="1749" w:type="dxa"/>
            <w:tcBorders>
              <w:top w:val="nil"/>
              <w:left w:val="nil"/>
              <w:bottom w:val="dashSmallGap" w:sz="4" w:space="0" w:color="auto"/>
              <w:right w:val="nil"/>
            </w:tcBorders>
            <w:shd w:val="clear" w:color="auto" w:fill="auto"/>
            <w:vAlign w:val="center"/>
          </w:tcPr>
          <w:p w14:paraId="769763E3"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10%</w:t>
            </w:r>
          </w:p>
        </w:tc>
      </w:tr>
      <w:tr w:rsidR="0045630E" w:rsidRPr="00207DC2" w14:paraId="38213363" w14:textId="77777777" w:rsidTr="009F730C">
        <w:trPr>
          <w:trHeight w:val="300"/>
        </w:trPr>
        <w:tc>
          <w:tcPr>
            <w:tcW w:w="3124" w:type="dxa"/>
            <w:tcBorders>
              <w:top w:val="dashSmallGap" w:sz="4" w:space="0" w:color="auto"/>
              <w:bottom w:val="single" w:sz="4" w:space="0" w:color="auto"/>
            </w:tcBorders>
            <w:shd w:val="clear" w:color="auto" w:fill="auto"/>
            <w:noWrap/>
            <w:vAlign w:val="center"/>
          </w:tcPr>
          <w:p w14:paraId="31FD955B"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Total</w:t>
            </w:r>
          </w:p>
        </w:tc>
        <w:tc>
          <w:tcPr>
            <w:tcW w:w="1354" w:type="dxa"/>
            <w:gridSpan w:val="2"/>
            <w:tcBorders>
              <w:top w:val="dashSmallGap" w:sz="4" w:space="0" w:color="auto"/>
              <w:left w:val="nil"/>
              <w:bottom w:val="single" w:sz="8" w:space="0" w:color="auto"/>
              <w:right w:val="nil"/>
            </w:tcBorders>
            <w:shd w:val="clear" w:color="auto" w:fill="auto"/>
            <w:vAlign w:val="center"/>
          </w:tcPr>
          <w:p w14:paraId="6857A085"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3%</w:t>
            </w:r>
          </w:p>
        </w:tc>
        <w:tc>
          <w:tcPr>
            <w:tcW w:w="1354" w:type="dxa"/>
            <w:tcBorders>
              <w:top w:val="dashSmallGap" w:sz="4" w:space="0" w:color="auto"/>
              <w:left w:val="nil"/>
              <w:bottom w:val="single" w:sz="8" w:space="0" w:color="auto"/>
              <w:right w:val="nil"/>
            </w:tcBorders>
            <w:shd w:val="clear" w:color="auto" w:fill="auto"/>
            <w:vAlign w:val="center"/>
          </w:tcPr>
          <w:p w14:paraId="04B5EDB4"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8%</w:t>
            </w:r>
          </w:p>
        </w:tc>
        <w:tc>
          <w:tcPr>
            <w:tcW w:w="1355" w:type="dxa"/>
            <w:tcBorders>
              <w:top w:val="dashSmallGap" w:sz="4" w:space="0" w:color="auto"/>
              <w:left w:val="nil"/>
              <w:bottom w:val="single" w:sz="8" w:space="0" w:color="auto"/>
              <w:right w:val="nil"/>
            </w:tcBorders>
            <w:shd w:val="clear" w:color="auto" w:fill="auto"/>
            <w:vAlign w:val="center"/>
          </w:tcPr>
          <w:p w14:paraId="526CCEA2" w14:textId="77777777" w:rsidR="0045630E" w:rsidRPr="00207DC2" w:rsidRDefault="00CC7DEC" w:rsidP="00FB626D">
            <w:pPr>
              <w:pStyle w:val="TableText"/>
              <w:keepNext/>
              <w:keepLines/>
              <w:spacing w:before="0" w:after="0"/>
              <w:ind w:left="142" w:right="142"/>
              <w:jc w:val="right"/>
              <w:rPr>
                <w:szCs w:val="20"/>
                <w:lang w:val="en-AU" w:eastAsia="en-AU"/>
              </w:rPr>
            </w:pPr>
            <w:r w:rsidRPr="00207DC2">
              <w:rPr>
                <w:rFonts w:cs="Calibri Light"/>
                <w:color w:val="323536"/>
                <w:szCs w:val="20"/>
                <w:lang w:val="en-AU"/>
              </w:rPr>
              <w:t>5%</w:t>
            </w:r>
          </w:p>
        </w:tc>
        <w:tc>
          <w:tcPr>
            <w:tcW w:w="1749" w:type="dxa"/>
            <w:tcBorders>
              <w:top w:val="dashSmallGap" w:sz="4" w:space="0" w:color="auto"/>
              <w:left w:val="nil"/>
              <w:bottom w:val="single" w:sz="8" w:space="0" w:color="auto"/>
              <w:right w:val="nil"/>
            </w:tcBorders>
            <w:shd w:val="clear" w:color="auto" w:fill="auto"/>
            <w:vAlign w:val="center"/>
          </w:tcPr>
          <w:p w14:paraId="333FF831" w14:textId="77777777" w:rsidR="0045630E" w:rsidRPr="00207DC2" w:rsidRDefault="00CC7DEC" w:rsidP="00FB626D">
            <w:pPr>
              <w:pStyle w:val="TableText"/>
              <w:keepNext/>
              <w:keepLines/>
              <w:spacing w:before="0" w:after="0"/>
              <w:ind w:left="142" w:right="463"/>
              <w:jc w:val="right"/>
              <w:rPr>
                <w:szCs w:val="20"/>
                <w:lang w:val="en-AU" w:eastAsia="en-AU"/>
              </w:rPr>
            </w:pPr>
            <w:r w:rsidRPr="00207DC2">
              <w:rPr>
                <w:rFonts w:cs="Calibri Light"/>
                <w:color w:val="323536"/>
                <w:szCs w:val="20"/>
                <w:lang w:val="en-AU"/>
              </w:rPr>
              <w:t>10%</w:t>
            </w:r>
          </w:p>
        </w:tc>
      </w:tr>
      <w:tr w:rsidR="0045630E" w:rsidRPr="00207DC2" w14:paraId="5A0F4B21" w14:textId="77777777" w:rsidTr="009F730C">
        <w:trPr>
          <w:trHeight w:val="300"/>
        </w:trPr>
        <w:tc>
          <w:tcPr>
            <w:tcW w:w="3124" w:type="dxa"/>
            <w:tcBorders>
              <w:top w:val="single" w:sz="4" w:space="0" w:color="auto"/>
              <w:bottom w:val="single" w:sz="4" w:space="0" w:color="auto"/>
            </w:tcBorders>
            <w:shd w:val="clear" w:color="auto" w:fill="auto"/>
            <w:noWrap/>
            <w:vAlign w:val="center"/>
          </w:tcPr>
          <w:p w14:paraId="6CBD30A8" w14:textId="77777777" w:rsidR="0045630E" w:rsidRPr="00207DC2" w:rsidRDefault="0045630E" w:rsidP="00FB626D">
            <w:pPr>
              <w:keepNext/>
              <w:keepLines/>
              <w:spacing w:before="0" w:after="0" w:line="240" w:lineRule="auto"/>
              <w:ind w:right="142"/>
              <w:rPr>
                <w:b/>
                <w:szCs w:val="20"/>
                <w:lang w:val="en-AU" w:eastAsia="en-AU"/>
              </w:rPr>
            </w:pPr>
            <w:r w:rsidRPr="00207DC2">
              <w:rPr>
                <w:b/>
                <w:szCs w:val="20"/>
                <w:lang w:val="en-AU" w:eastAsia="en-AU"/>
              </w:rPr>
              <w:t>Total recipients</w:t>
            </w:r>
          </w:p>
        </w:tc>
        <w:tc>
          <w:tcPr>
            <w:tcW w:w="1354" w:type="dxa"/>
            <w:gridSpan w:val="2"/>
            <w:tcBorders>
              <w:top w:val="nil"/>
              <w:left w:val="nil"/>
              <w:bottom w:val="single" w:sz="8" w:space="0" w:color="auto"/>
              <w:right w:val="nil"/>
            </w:tcBorders>
            <w:shd w:val="clear" w:color="auto" w:fill="auto"/>
            <w:vAlign w:val="center"/>
          </w:tcPr>
          <w:p w14:paraId="3100991D" w14:textId="77777777" w:rsidR="0045630E" w:rsidRPr="00207DC2" w:rsidRDefault="00CC7DEC" w:rsidP="00FB626D">
            <w:pPr>
              <w:pStyle w:val="TableText"/>
              <w:keepNext/>
              <w:keepLines/>
              <w:jc w:val="right"/>
              <w:rPr>
                <w:lang w:val="en-AU"/>
              </w:rPr>
            </w:pPr>
            <w:r w:rsidRPr="00207DC2">
              <w:rPr>
                <w:rFonts w:cs="Calibri Light"/>
                <w:color w:val="323536"/>
                <w:szCs w:val="20"/>
                <w:lang w:val="en-AU"/>
              </w:rPr>
              <w:t>18,763</w:t>
            </w:r>
          </w:p>
        </w:tc>
        <w:tc>
          <w:tcPr>
            <w:tcW w:w="1354" w:type="dxa"/>
            <w:tcBorders>
              <w:top w:val="nil"/>
              <w:left w:val="nil"/>
              <w:bottom w:val="single" w:sz="8" w:space="0" w:color="auto"/>
              <w:right w:val="nil"/>
            </w:tcBorders>
            <w:shd w:val="clear" w:color="auto" w:fill="auto"/>
            <w:vAlign w:val="center"/>
          </w:tcPr>
          <w:p w14:paraId="7EFEBF94" w14:textId="77777777" w:rsidR="0045630E" w:rsidRPr="00207DC2" w:rsidRDefault="00CC7DEC" w:rsidP="00FB626D">
            <w:pPr>
              <w:pStyle w:val="TableText"/>
              <w:keepNext/>
              <w:keepLines/>
              <w:jc w:val="right"/>
              <w:rPr>
                <w:lang w:val="en-AU"/>
              </w:rPr>
            </w:pPr>
            <w:r w:rsidRPr="00207DC2">
              <w:rPr>
                <w:rFonts w:cs="Calibri Light"/>
                <w:color w:val="323536"/>
                <w:szCs w:val="20"/>
                <w:lang w:val="en-AU"/>
              </w:rPr>
              <w:t>8,434</w:t>
            </w:r>
          </w:p>
        </w:tc>
        <w:tc>
          <w:tcPr>
            <w:tcW w:w="1355" w:type="dxa"/>
            <w:tcBorders>
              <w:top w:val="nil"/>
              <w:left w:val="nil"/>
              <w:bottom w:val="single" w:sz="8" w:space="0" w:color="auto"/>
              <w:right w:val="nil"/>
            </w:tcBorders>
            <w:shd w:val="clear" w:color="auto" w:fill="auto"/>
            <w:vAlign w:val="center"/>
          </w:tcPr>
          <w:p w14:paraId="0E088D00" w14:textId="77777777" w:rsidR="0045630E" w:rsidRPr="00207DC2" w:rsidRDefault="00CC7DEC" w:rsidP="00FB626D">
            <w:pPr>
              <w:pStyle w:val="TableText"/>
              <w:keepNext/>
              <w:keepLines/>
              <w:jc w:val="right"/>
              <w:rPr>
                <w:lang w:val="en-AU"/>
              </w:rPr>
            </w:pPr>
            <w:r w:rsidRPr="00207DC2">
              <w:rPr>
                <w:rFonts w:cs="Calibri Light"/>
                <w:color w:val="323536"/>
                <w:szCs w:val="20"/>
                <w:lang w:val="en-AU"/>
              </w:rPr>
              <w:t>27,197</w:t>
            </w:r>
          </w:p>
        </w:tc>
        <w:tc>
          <w:tcPr>
            <w:tcW w:w="1749" w:type="dxa"/>
            <w:tcBorders>
              <w:top w:val="nil"/>
              <w:left w:val="nil"/>
              <w:bottom w:val="single" w:sz="8" w:space="0" w:color="auto"/>
              <w:right w:val="nil"/>
            </w:tcBorders>
            <w:shd w:val="clear" w:color="auto" w:fill="auto"/>
            <w:vAlign w:val="center"/>
          </w:tcPr>
          <w:p w14:paraId="7915F2C4" w14:textId="77777777" w:rsidR="0045630E" w:rsidRPr="00207DC2" w:rsidRDefault="00CC7DEC" w:rsidP="00FB626D">
            <w:pPr>
              <w:pStyle w:val="TableText"/>
              <w:keepNext/>
              <w:keepLines/>
              <w:jc w:val="center"/>
              <w:rPr>
                <w:lang w:val="en-AU"/>
              </w:rPr>
            </w:pPr>
            <w:r w:rsidRPr="00207DC2">
              <w:rPr>
                <w:rFonts w:cs="Calibri Light"/>
                <w:color w:val="323536"/>
                <w:szCs w:val="20"/>
                <w:lang w:val="en-AU"/>
              </w:rPr>
              <w:t>859,158</w:t>
            </w:r>
          </w:p>
        </w:tc>
      </w:tr>
    </w:tbl>
    <w:p w14:paraId="17C209A2" w14:textId="77777777" w:rsidR="00DF7D3E" w:rsidRPr="00207DC2" w:rsidRDefault="0045630E" w:rsidP="00FB626D">
      <w:pPr>
        <w:pStyle w:val="tablenotes"/>
      </w:pPr>
      <w:r w:rsidRPr="00207DC2">
        <w:rPr>
          <w:i/>
        </w:rPr>
        <w:t>Source:</w:t>
      </w:r>
      <w:r w:rsidRPr="00207DC2">
        <w:t xml:space="preserve"> </w:t>
      </w:r>
      <w:r w:rsidR="0057565A" w:rsidRPr="00207DC2">
        <w:t>PMC</w:t>
      </w:r>
      <w:r w:rsidRPr="00207DC2">
        <w:t xml:space="preserve"> estimates based on unpublished D</w:t>
      </w:r>
      <w:r w:rsidR="007C4995" w:rsidRPr="00207DC2">
        <w:t>S</w:t>
      </w:r>
      <w:r w:rsidRPr="00207DC2">
        <w:t xml:space="preserve">S </w:t>
      </w:r>
      <w:r w:rsidR="007C4995" w:rsidRPr="00207DC2">
        <w:t xml:space="preserve">payment </w:t>
      </w:r>
      <w:r w:rsidR="008C5F85" w:rsidRPr="00207DC2">
        <w:t xml:space="preserve">and </w:t>
      </w:r>
      <w:r w:rsidR="007C4995" w:rsidRPr="00207DC2">
        <w:t>demographic</w:t>
      </w:r>
      <w:r w:rsidRPr="00207DC2">
        <w:t xml:space="preserve"> data </w:t>
      </w:r>
      <w:r w:rsidR="00A433EF" w:rsidRPr="00207DC2">
        <w:t>for 30 June 2017</w:t>
      </w:r>
      <w:r w:rsidRPr="00207DC2">
        <w:t xml:space="preserve">. </w:t>
      </w:r>
    </w:p>
    <w:p w14:paraId="09F83AC3" w14:textId="56B21871" w:rsidR="0045630E" w:rsidRPr="00207DC2" w:rsidRDefault="00CF5DA4" w:rsidP="00FB626D">
      <w:pPr>
        <w:pStyle w:val="tablenotes"/>
      </w:pPr>
      <w:r w:rsidRPr="00207DC2">
        <w:t xml:space="preserve">Notes: </w:t>
      </w:r>
      <w:r w:rsidR="00B621A6" w:rsidRPr="00207DC2">
        <w:t xml:space="preserve">(a) </w:t>
      </w:r>
      <w:r w:rsidR="00942304" w:rsidRPr="00207DC2" w:rsidDel="004B6281">
        <w:t xml:space="preserve">Base </w:t>
      </w:r>
      <w:r w:rsidR="00B34A58" w:rsidRPr="00207DC2">
        <w:t xml:space="preserve">population includes </w:t>
      </w:r>
      <w:r w:rsidR="00942304" w:rsidRPr="00207DC2" w:rsidDel="004B6281">
        <w:t>all</w:t>
      </w:r>
      <w:r w:rsidR="00942304" w:rsidRPr="00207DC2">
        <w:t xml:space="preserve"> </w:t>
      </w:r>
      <w:r w:rsidR="00903A7A">
        <w:t>activity-tested</w:t>
      </w:r>
      <w:r w:rsidR="00942304" w:rsidRPr="00207DC2">
        <w:t xml:space="preserve"> income support recipients in CDP and non-CDP regions. </w:t>
      </w:r>
      <w:r w:rsidR="009D227C" w:rsidRPr="00207DC2">
        <w:t>(b)</w:t>
      </w:r>
      <w:r w:rsidR="00942304" w:rsidRPr="00207DC2">
        <w:t xml:space="preserve"> Other than for medical</w:t>
      </w:r>
      <w:r w:rsidR="00942304" w:rsidRPr="00207DC2">
        <w:rPr>
          <w:i/>
        </w:rPr>
        <w:t xml:space="preserve"> </w:t>
      </w:r>
      <w:r w:rsidR="00942304" w:rsidRPr="00207DC2">
        <w:t xml:space="preserve">reasons, </w:t>
      </w:r>
      <w:r w:rsidR="00B34A58" w:rsidRPr="00207DC2">
        <w:t xml:space="preserve">people may be exempt from the activity test for a range of </w:t>
      </w:r>
      <w:r w:rsidR="00942304" w:rsidRPr="00207DC2">
        <w:t xml:space="preserve">reasons </w:t>
      </w:r>
      <w:r w:rsidR="00B34A58" w:rsidRPr="00207DC2">
        <w:t>including</w:t>
      </w:r>
      <w:r w:rsidR="00942304" w:rsidRPr="00207DC2">
        <w:t xml:space="preserve"> caring responsibilities; major personal crisis; being affected by declared na</w:t>
      </w:r>
      <w:r w:rsidR="00EF1B43" w:rsidRPr="00207DC2">
        <w:t>tural disaster; or undertaking I</w:t>
      </w:r>
      <w:r w:rsidR="00942304" w:rsidRPr="00207DC2">
        <w:t>ndigenous cultural business (</w:t>
      </w:r>
      <w:r w:rsidR="00AA7656" w:rsidRPr="00207DC2">
        <w:t>DSS</w:t>
      </w:r>
      <w:r w:rsidR="00942304" w:rsidRPr="00207DC2">
        <w:t xml:space="preserve"> 2018</w:t>
      </w:r>
      <w:r w:rsidR="007A7763" w:rsidRPr="00207DC2">
        <w:t>a</w:t>
      </w:r>
      <w:r w:rsidR="006119E2" w:rsidRPr="00207DC2">
        <w:t xml:space="preserve">, </w:t>
      </w:r>
      <w:r w:rsidR="00EB1997" w:rsidRPr="00207DC2">
        <w:t>Sec.</w:t>
      </w:r>
      <w:r w:rsidR="006119E2" w:rsidRPr="00207DC2">
        <w:t xml:space="preserve"> 3.2.11</w:t>
      </w:r>
      <w:r w:rsidR="00942304" w:rsidRPr="00207DC2">
        <w:t>).</w:t>
      </w:r>
      <w:r w:rsidR="00B34A58" w:rsidRPr="00207DC2">
        <w:t xml:space="preserve"> </w:t>
      </w:r>
    </w:p>
    <w:p w14:paraId="12F2F314" w14:textId="438AFE9D" w:rsidR="00AE5823" w:rsidRPr="00207DC2" w:rsidRDefault="00431061" w:rsidP="00FB626D">
      <w:pPr>
        <w:tabs>
          <w:tab w:val="left" w:pos="7230"/>
        </w:tabs>
        <w:spacing w:before="240"/>
        <w:jc w:val="both"/>
        <w:rPr>
          <w:lang w:val="en-AU"/>
        </w:rPr>
      </w:pPr>
      <w:r w:rsidRPr="00207DC2">
        <w:rPr>
          <w:lang w:val="en-AU"/>
        </w:rPr>
        <w:t>While e</w:t>
      </w:r>
      <w:r w:rsidR="00E31FAD" w:rsidRPr="00207DC2">
        <w:rPr>
          <w:lang w:val="en-AU"/>
        </w:rPr>
        <w:t xml:space="preserve">xemptions </w:t>
      </w:r>
      <w:r w:rsidR="00425B6E" w:rsidRPr="00207DC2">
        <w:rPr>
          <w:lang w:val="en-AU"/>
        </w:rPr>
        <w:t xml:space="preserve">from mutual obligations </w:t>
      </w:r>
      <w:r w:rsidR="00E31FAD" w:rsidRPr="00207DC2">
        <w:rPr>
          <w:lang w:val="en-AU"/>
        </w:rPr>
        <w:t>have increased in CDP regions since 2015</w:t>
      </w:r>
      <w:r w:rsidRPr="00207DC2">
        <w:rPr>
          <w:lang w:val="en-AU"/>
        </w:rPr>
        <w:t>, the exemption rate is still far be</w:t>
      </w:r>
      <w:r w:rsidR="00DF3314" w:rsidRPr="00207DC2">
        <w:rPr>
          <w:lang w:val="en-AU"/>
        </w:rPr>
        <w:t>l</w:t>
      </w:r>
      <w:r w:rsidRPr="00207DC2">
        <w:rPr>
          <w:lang w:val="en-AU"/>
        </w:rPr>
        <w:t>ow that in non</w:t>
      </w:r>
      <w:r w:rsidRPr="00207DC2">
        <w:rPr>
          <w:lang w:val="en-AU"/>
        </w:rPr>
        <w:noBreakHyphen/>
        <w:t>CDP regions</w:t>
      </w:r>
      <w:r w:rsidR="001E07D4" w:rsidRPr="00207DC2">
        <w:rPr>
          <w:lang w:val="en-AU"/>
        </w:rPr>
        <w:t xml:space="preserve"> (Figure 2.</w:t>
      </w:r>
      <w:r w:rsidR="0050118D" w:rsidRPr="00207DC2">
        <w:rPr>
          <w:lang w:val="en-AU"/>
        </w:rPr>
        <w:t>7</w:t>
      </w:r>
      <w:r w:rsidR="001E07D4" w:rsidRPr="00207DC2">
        <w:rPr>
          <w:lang w:val="en-AU"/>
        </w:rPr>
        <w:t>)</w:t>
      </w:r>
      <w:r w:rsidR="00E31FAD" w:rsidRPr="00207DC2">
        <w:rPr>
          <w:lang w:val="en-AU"/>
        </w:rPr>
        <w:t xml:space="preserve">. </w:t>
      </w:r>
      <w:r w:rsidR="00113528" w:rsidRPr="00207DC2">
        <w:rPr>
          <w:lang w:val="en-AU"/>
        </w:rPr>
        <w:t xml:space="preserve">Lower rates of medical exemptions in CDP regions could be driven by limited access to medical services in remote and very remote </w:t>
      </w:r>
      <w:r w:rsidR="00271BBB" w:rsidRPr="00207DC2">
        <w:rPr>
          <w:lang w:val="en-AU"/>
        </w:rPr>
        <w:t>area</w:t>
      </w:r>
      <w:r w:rsidR="00113528" w:rsidRPr="00207DC2">
        <w:rPr>
          <w:lang w:val="en-AU"/>
        </w:rPr>
        <w:t>s</w:t>
      </w:r>
      <w:r w:rsidR="00141661" w:rsidRPr="00207DC2">
        <w:rPr>
          <w:lang w:val="en-AU"/>
        </w:rPr>
        <w:t xml:space="preserve">, as </w:t>
      </w:r>
      <w:r w:rsidR="00282D88" w:rsidRPr="00207DC2">
        <w:rPr>
          <w:lang w:val="en-AU"/>
        </w:rPr>
        <w:t>medical exemptions can only be obtained with</w:t>
      </w:r>
      <w:r w:rsidR="00141661" w:rsidRPr="00207DC2">
        <w:rPr>
          <w:lang w:val="en-AU"/>
        </w:rPr>
        <w:t xml:space="preserve"> </w:t>
      </w:r>
      <w:r w:rsidR="00282D88" w:rsidRPr="00207DC2">
        <w:rPr>
          <w:lang w:val="en-AU"/>
        </w:rPr>
        <w:t>an</w:t>
      </w:r>
      <w:r w:rsidR="0006605D" w:rsidRPr="00207DC2">
        <w:rPr>
          <w:lang w:val="en-AU"/>
        </w:rPr>
        <w:t xml:space="preserve"> approved medi</w:t>
      </w:r>
      <w:r w:rsidR="00333B4C" w:rsidRPr="00207DC2">
        <w:rPr>
          <w:lang w:val="en-AU"/>
        </w:rPr>
        <w:t>c</w:t>
      </w:r>
      <w:r w:rsidR="0006605D" w:rsidRPr="00207DC2">
        <w:rPr>
          <w:lang w:val="en-AU"/>
        </w:rPr>
        <w:t xml:space="preserve">al certificate </w:t>
      </w:r>
      <w:r w:rsidR="00B8779D" w:rsidRPr="00207DC2">
        <w:rPr>
          <w:lang w:val="en-AU"/>
        </w:rPr>
        <w:t>signed by a medical practitioner</w:t>
      </w:r>
      <w:r w:rsidR="0006605D" w:rsidRPr="00207DC2">
        <w:rPr>
          <w:lang w:val="en-AU"/>
        </w:rPr>
        <w:t xml:space="preserve"> (DSS 2016, sec. 3.5.1.220</w:t>
      </w:r>
      <w:r w:rsidR="00333B4C" w:rsidRPr="00207DC2">
        <w:rPr>
          <w:lang w:val="en-AU"/>
        </w:rPr>
        <w:t>)</w:t>
      </w:r>
      <w:r w:rsidR="000501FB" w:rsidRPr="00207DC2">
        <w:rPr>
          <w:lang w:val="en-AU"/>
        </w:rPr>
        <w:t>.</w:t>
      </w:r>
      <w:r w:rsidR="00141661" w:rsidRPr="00207DC2">
        <w:rPr>
          <w:rStyle w:val="FootnoteReference"/>
          <w:lang w:val="en-AU"/>
        </w:rPr>
        <w:footnoteReference w:id="23"/>
      </w:r>
      <w:r w:rsidR="0006605D" w:rsidRPr="00207DC2">
        <w:rPr>
          <w:lang w:val="en-AU"/>
        </w:rPr>
        <w:t xml:space="preserve"> </w:t>
      </w:r>
      <w:r w:rsidR="00113528" w:rsidRPr="00207DC2">
        <w:rPr>
          <w:lang w:val="en-AU"/>
        </w:rPr>
        <w:t xml:space="preserve">Looking at the rate of medical exemptions by remoteness, the more remote the location, the lower the rate of medical exemptions from mutual obligation requirements (Table 2.4). </w:t>
      </w:r>
    </w:p>
    <w:p w14:paraId="6E9226AC" w14:textId="39A23F1E" w:rsidR="00F857FD" w:rsidRPr="00207DC2" w:rsidRDefault="00113528" w:rsidP="00FB626D">
      <w:pPr>
        <w:tabs>
          <w:tab w:val="left" w:pos="6237"/>
          <w:tab w:val="left" w:pos="7230"/>
        </w:tabs>
        <w:spacing w:before="240"/>
        <w:jc w:val="both"/>
        <w:rPr>
          <w:lang w:val="en-AU"/>
        </w:rPr>
      </w:pPr>
      <w:r w:rsidRPr="00207DC2" w:rsidDel="0072148B">
        <w:rPr>
          <w:lang w:val="en-AU"/>
        </w:rPr>
        <w:t xml:space="preserve">Better assessments of CDP participants could play a role in ensuring that activity requirements </w:t>
      </w:r>
      <w:r w:rsidR="00371AE2" w:rsidRPr="00207DC2">
        <w:rPr>
          <w:lang w:val="en-AU"/>
        </w:rPr>
        <w:t>adequately</w:t>
      </w:r>
      <w:r w:rsidR="00371AE2" w:rsidRPr="00207DC2" w:rsidDel="0072148B">
        <w:rPr>
          <w:lang w:val="en-AU"/>
        </w:rPr>
        <w:t xml:space="preserve"> </w:t>
      </w:r>
      <w:r w:rsidR="00DF4260" w:rsidRPr="00207DC2" w:rsidDel="0072148B">
        <w:rPr>
          <w:lang w:val="en-AU"/>
        </w:rPr>
        <w:t>account for</w:t>
      </w:r>
      <w:r w:rsidR="00E9431E" w:rsidRPr="00207DC2" w:rsidDel="0072148B">
        <w:rPr>
          <w:lang w:val="en-AU"/>
        </w:rPr>
        <w:t xml:space="preserve"> </w:t>
      </w:r>
      <w:r w:rsidRPr="00207DC2" w:rsidDel="0072148B">
        <w:rPr>
          <w:lang w:val="en-AU"/>
        </w:rPr>
        <w:t>participants</w:t>
      </w:r>
      <w:r w:rsidR="00E9431E" w:rsidRPr="00207DC2" w:rsidDel="0072148B">
        <w:rPr>
          <w:lang w:val="en-AU"/>
        </w:rPr>
        <w:t>’ circumstance</w:t>
      </w:r>
      <w:r w:rsidR="0063354A" w:rsidRPr="00207DC2" w:rsidDel="0072148B">
        <w:rPr>
          <w:lang w:val="en-AU"/>
        </w:rPr>
        <w:t>s</w:t>
      </w:r>
      <w:r w:rsidR="00F857FD" w:rsidRPr="00207DC2">
        <w:rPr>
          <w:lang w:val="en-AU"/>
        </w:rPr>
        <w:t xml:space="preserve"> and that potential barriers to participation are better identified</w:t>
      </w:r>
      <w:r w:rsidRPr="00207DC2" w:rsidDel="0072148B">
        <w:rPr>
          <w:lang w:val="en-AU"/>
        </w:rPr>
        <w:t>.</w:t>
      </w:r>
      <w:r w:rsidR="006F0C64" w:rsidRPr="00207DC2">
        <w:rPr>
          <w:lang w:val="en-AU"/>
        </w:rPr>
        <w:t xml:space="preserve"> This</w:t>
      </w:r>
      <w:r w:rsidR="00695561" w:rsidRPr="00207DC2">
        <w:rPr>
          <w:lang w:val="en-AU"/>
        </w:rPr>
        <w:t xml:space="preserve"> could</w:t>
      </w:r>
      <w:r w:rsidR="006F0C64" w:rsidRPr="00207DC2">
        <w:rPr>
          <w:lang w:val="en-AU"/>
        </w:rPr>
        <w:t xml:space="preserve"> include increased access to medical assessments by qualified practitioners.</w:t>
      </w:r>
    </w:p>
    <w:p w14:paraId="528CFBDF" w14:textId="5ABE71F6" w:rsidR="00E31FAD" w:rsidRPr="00207DC2" w:rsidRDefault="00EF1B43" w:rsidP="00FB626D">
      <w:pPr>
        <w:pStyle w:val="Figures"/>
      </w:pPr>
      <w:r w:rsidRPr="00207DC2">
        <w:t xml:space="preserve">Figure </w:t>
      </w:r>
      <w:r w:rsidR="00905D1A">
        <w:t>2</w:t>
      </w:r>
      <w:r w:rsidRPr="00207DC2">
        <w:t>.</w:t>
      </w:r>
      <w:r w:rsidR="00905D1A">
        <w:t>7</w:t>
      </w:r>
      <w:r w:rsidR="00905D1A" w:rsidRPr="00207DC2">
        <w:rPr>
          <w:rStyle w:val="FiguresChar"/>
        </w:rPr>
        <w:t xml:space="preserve"> </w:t>
      </w:r>
      <w:r w:rsidR="00E31FAD" w:rsidRPr="00207DC2">
        <w:rPr>
          <w:rStyle w:val="FiguresChar"/>
        </w:rPr>
        <w:t>Medical and other activity test exemptions</w:t>
      </w:r>
      <w:r w:rsidR="00B621A6" w:rsidRPr="00207DC2">
        <w:rPr>
          <w:vertAlign w:val="superscript"/>
        </w:rPr>
        <w:t>a</w:t>
      </w:r>
      <w:r w:rsidR="009D227C" w:rsidRPr="00207DC2">
        <w:rPr>
          <w:rStyle w:val="FiguresChar"/>
          <w:vertAlign w:val="superscript"/>
        </w:rPr>
        <w:t>,b</w:t>
      </w:r>
    </w:p>
    <w:p w14:paraId="5B37AE07" w14:textId="1B98AF41" w:rsidR="00DF7D3E" w:rsidRPr="00207DC2" w:rsidRDefault="00B90F41" w:rsidP="00FB626D">
      <w:pPr>
        <w:pStyle w:val="tablenotes"/>
      </w:pPr>
      <w:r w:rsidRPr="00207DC2">
        <w:drawing>
          <wp:inline distT="0" distB="0" distL="0" distR="0" wp14:anchorId="4B8818FE" wp14:editId="72E9396F">
            <wp:extent cx="5640705" cy="3125470"/>
            <wp:effectExtent l="0" t="0" r="0" b="0"/>
            <wp:docPr id="8" name="Picture 8" descr="The figure is a stacked bar chart showing the proportion of activity tested income support recipients with ‘medical’ and ‘other exemptions’ between June 2013 and June 2017. The figure presents exemption rates for recipients living in CDP and non CDP regions.&#10;&#10;The figure shows that while exemptions from mutual obligations have increased in CDP regions since 2015, the exemption rate is still far below that in non CDP regions." title="Medical and other activity test exe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0705" cy="3125470"/>
                    </a:xfrm>
                    <a:prstGeom prst="rect">
                      <a:avLst/>
                    </a:prstGeom>
                  </pic:spPr>
                </pic:pic>
              </a:graphicData>
            </a:graphic>
          </wp:inline>
        </w:drawing>
      </w:r>
      <w:r w:rsidR="00E31FAD" w:rsidRPr="00207DC2">
        <w:rPr>
          <w:i/>
        </w:rPr>
        <w:t>Source:</w:t>
      </w:r>
      <w:r w:rsidR="00E31FAD" w:rsidRPr="00207DC2">
        <w:t xml:space="preserve"> </w:t>
      </w:r>
      <w:r w:rsidR="0057565A" w:rsidRPr="00207DC2">
        <w:t>PMC</w:t>
      </w:r>
      <w:r w:rsidR="00E31FAD" w:rsidRPr="00207DC2">
        <w:t xml:space="preserve"> estimates based on unpublished D</w:t>
      </w:r>
      <w:r w:rsidR="00A433EF" w:rsidRPr="00207DC2">
        <w:t>S</w:t>
      </w:r>
      <w:r w:rsidR="00E31FAD" w:rsidRPr="00207DC2">
        <w:t xml:space="preserve">S </w:t>
      </w:r>
      <w:r w:rsidR="00A433EF" w:rsidRPr="00207DC2">
        <w:t xml:space="preserve">payment </w:t>
      </w:r>
      <w:r w:rsidR="008C5F85" w:rsidRPr="00207DC2">
        <w:t xml:space="preserve">and </w:t>
      </w:r>
      <w:r w:rsidR="00A433EF" w:rsidRPr="00207DC2">
        <w:t>demographic</w:t>
      </w:r>
      <w:r w:rsidR="00E31FAD" w:rsidRPr="00207DC2">
        <w:t xml:space="preserve"> data </w:t>
      </w:r>
      <w:r w:rsidR="00A433EF" w:rsidRPr="00207DC2">
        <w:t xml:space="preserve">for the last Friday </w:t>
      </w:r>
      <w:r w:rsidR="00B377DF" w:rsidRPr="00207DC2">
        <w:t>of each financial year</w:t>
      </w:r>
      <w:r w:rsidR="00E31FAD" w:rsidRPr="00207DC2">
        <w:t xml:space="preserve">. </w:t>
      </w:r>
    </w:p>
    <w:p w14:paraId="021C16FE" w14:textId="57C46AE9" w:rsidR="00E31FAD" w:rsidRPr="00207DC2" w:rsidRDefault="00942304" w:rsidP="00FB626D">
      <w:pPr>
        <w:pStyle w:val="tablenotes"/>
      </w:pPr>
      <w:r w:rsidRPr="00207DC2">
        <w:rPr>
          <w:i/>
          <w:iCs/>
        </w:rPr>
        <w:t>Notes:</w:t>
      </w:r>
      <w:r w:rsidR="00CF5DA4" w:rsidRPr="00207DC2">
        <w:t xml:space="preserve"> </w:t>
      </w:r>
      <w:r w:rsidRPr="00207DC2">
        <w:t>Base population include</w:t>
      </w:r>
      <w:r w:rsidR="00B34A58" w:rsidRPr="00207DC2">
        <w:t>s</w:t>
      </w:r>
      <w:r w:rsidRPr="00207DC2">
        <w:t xml:space="preserve"> all </w:t>
      </w:r>
      <w:r w:rsidR="00903A7A">
        <w:t>activity-tested</w:t>
      </w:r>
      <w:r w:rsidRPr="00207DC2">
        <w:t xml:space="preserve"> income support recipients in CDP and non-CDP regions. </w:t>
      </w:r>
      <w:r w:rsidR="009D227C" w:rsidRPr="00207DC2">
        <w:t>(b)</w:t>
      </w:r>
      <w:r w:rsidRPr="00207DC2">
        <w:t xml:space="preserve"> Other than for medical reasons, </w:t>
      </w:r>
      <w:r w:rsidR="00B34A58" w:rsidRPr="00207DC2">
        <w:t xml:space="preserve">people may be exempt from the activity test for a range of </w:t>
      </w:r>
      <w:r w:rsidRPr="00207DC2">
        <w:t xml:space="preserve">reasons </w:t>
      </w:r>
      <w:r w:rsidR="00B34A58" w:rsidRPr="00207DC2">
        <w:t>including</w:t>
      </w:r>
      <w:r w:rsidRPr="00207DC2">
        <w:t>: caring responsibilities; major personal crisis; being affected by declared natural disaster; or undertaking indigenous cultural business (</w:t>
      </w:r>
      <w:r w:rsidR="00AA7656" w:rsidRPr="00207DC2">
        <w:t>DSS</w:t>
      </w:r>
      <w:r w:rsidRPr="00207DC2">
        <w:t xml:space="preserve"> </w:t>
      </w:r>
      <w:r w:rsidR="006119E2" w:rsidRPr="00207DC2">
        <w:t>2018</w:t>
      </w:r>
      <w:r w:rsidR="007A7763" w:rsidRPr="00207DC2">
        <w:t>a</w:t>
      </w:r>
      <w:r w:rsidR="006119E2" w:rsidRPr="00207DC2">
        <w:t xml:space="preserve">, </w:t>
      </w:r>
      <w:r w:rsidR="00EB1997" w:rsidRPr="00207DC2">
        <w:t>Sec.</w:t>
      </w:r>
      <w:r w:rsidR="006119E2" w:rsidRPr="00207DC2">
        <w:t xml:space="preserve"> 3.2.11</w:t>
      </w:r>
      <w:r w:rsidRPr="00207DC2">
        <w:t xml:space="preserve">). </w:t>
      </w:r>
      <w:r w:rsidR="001C2A46" w:rsidRPr="00207DC2">
        <w:t xml:space="preserve">A recipient may have more than one exemption, and </w:t>
      </w:r>
      <w:r w:rsidR="00366DBF" w:rsidRPr="00207DC2">
        <w:t xml:space="preserve">in the case where any of these exemptions is due to medical reasons they </w:t>
      </w:r>
      <w:r w:rsidR="001C2A46" w:rsidRPr="00207DC2">
        <w:t xml:space="preserve">will </w:t>
      </w:r>
      <w:r w:rsidR="00366DBF" w:rsidRPr="00207DC2">
        <w:t xml:space="preserve">only </w:t>
      </w:r>
      <w:r w:rsidR="001C2A46" w:rsidRPr="00207DC2">
        <w:t>be shown in the ‘with medical exemption’ category.</w:t>
      </w:r>
    </w:p>
    <w:p w14:paraId="0AAAB697" w14:textId="7E2958F8" w:rsidR="00E171EE" w:rsidRPr="00207DC2" w:rsidRDefault="004A108C" w:rsidP="008055FF">
      <w:pPr>
        <w:pStyle w:val="ZED4"/>
        <w:outlineLvl w:val="2"/>
      </w:pPr>
      <w:bookmarkStart w:id="233" w:name="_Toc509412974"/>
      <w:bookmarkStart w:id="234" w:name="_Toc509587037"/>
      <w:bookmarkStart w:id="235" w:name="_Toc509588063"/>
      <w:bookmarkStart w:id="236" w:name="_Toc509588326"/>
      <w:bookmarkStart w:id="237" w:name="_Toc509589474"/>
      <w:bookmarkStart w:id="238" w:name="_Toc509926892"/>
      <w:bookmarkStart w:id="239" w:name="_Toc511661242"/>
      <w:bookmarkStart w:id="240" w:name="_Toc511826293"/>
      <w:bookmarkStart w:id="241" w:name="_Toc511940610"/>
      <w:bookmarkStart w:id="242" w:name="_Toc515185455"/>
      <w:bookmarkStart w:id="243" w:name="_Toc516219829"/>
      <w:bookmarkStart w:id="244" w:name="_Toc516220470"/>
      <w:bookmarkStart w:id="245" w:name="_Toc516223290"/>
      <w:bookmarkStart w:id="246" w:name="_Toc516225198"/>
      <w:bookmarkStart w:id="247" w:name="_Toc516228974"/>
      <w:bookmarkStart w:id="248" w:name="_Toc518468053"/>
      <w:bookmarkStart w:id="249" w:name="_Toc518487833"/>
      <w:bookmarkStart w:id="250" w:name="_Toc518558797"/>
      <w:bookmarkStart w:id="251" w:name="_Toc518565320"/>
      <w:bookmarkStart w:id="252" w:name="_Toc518565564"/>
      <w:bookmarkStart w:id="253" w:name="_Toc519504735"/>
      <w:bookmarkStart w:id="254" w:name="_Toc519505959"/>
      <w:bookmarkStart w:id="255" w:name="_Toc519844065"/>
      <w:bookmarkStart w:id="256" w:name="_Toc521068567"/>
      <w:bookmarkStart w:id="257" w:name="_Toc521391081"/>
      <w:bookmarkStart w:id="258" w:name="_Toc522013250"/>
      <w:bookmarkStart w:id="259" w:name="_Toc534965160"/>
      <w:bookmarkStart w:id="260" w:name="_Toc535935048"/>
      <w:r w:rsidRPr="00207DC2">
        <w:t>2.</w:t>
      </w:r>
      <w:r w:rsidR="00103AA3" w:rsidRPr="00207DC2">
        <w:t>4</w:t>
      </w:r>
      <w:bookmarkEnd w:id="233"/>
      <w:bookmarkEnd w:id="234"/>
      <w:bookmarkEnd w:id="235"/>
      <w:bookmarkEnd w:id="236"/>
      <w:bookmarkEnd w:id="237"/>
      <w:bookmarkEnd w:id="238"/>
      <w:bookmarkEnd w:id="239"/>
      <w:r w:rsidR="005631B4">
        <w:tab/>
      </w:r>
      <w:r w:rsidR="003E6B33" w:rsidRPr="00207DC2">
        <w:t>Participat</w:t>
      </w:r>
      <w:r w:rsidR="00D74350" w:rsidRPr="00207DC2">
        <w:t>i</w:t>
      </w:r>
      <w:r w:rsidR="003E6B33" w:rsidRPr="00207DC2">
        <w:t>on</w:t>
      </w:r>
      <w:r w:rsidR="00134BED" w:rsidRPr="00207DC2">
        <w:t xml:space="preserve"> in </w:t>
      </w:r>
      <w:bookmarkEnd w:id="240"/>
      <w:bookmarkEnd w:id="241"/>
      <w:bookmarkEnd w:id="242"/>
      <w:bookmarkEnd w:id="243"/>
      <w:bookmarkEnd w:id="244"/>
      <w:bookmarkEnd w:id="245"/>
      <w:bookmarkEnd w:id="246"/>
      <w:bookmarkEnd w:id="247"/>
      <w:r w:rsidR="00691C02" w:rsidRPr="00207DC2">
        <w:t>activities</w:t>
      </w:r>
      <w:bookmarkEnd w:id="248"/>
      <w:bookmarkEnd w:id="249"/>
      <w:bookmarkEnd w:id="250"/>
      <w:bookmarkEnd w:id="251"/>
      <w:bookmarkEnd w:id="252"/>
      <w:bookmarkEnd w:id="253"/>
      <w:bookmarkEnd w:id="254"/>
      <w:bookmarkEnd w:id="255"/>
      <w:bookmarkEnd w:id="256"/>
      <w:bookmarkEnd w:id="257"/>
      <w:bookmarkEnd w:id="258"/>
      <w:bookmarkEnd w:id="259"/>
      <w:bookmarkEnd w:id="260"/>
      <w:r w:rsidR="003E64F6">
        <w:t xml:space="preserve"> </w:t>
      </w:r>
    </w:p>
    <w:p w14:paraId="522B67B1" w14:textId="77777777" w:rsidR="00FC2EED" w:rsidRPr="00207DC2" w:rsidRDefault="00EF57D4" w:rsidP="00DD08C1">
      <w:pPr>
        <w:tabs>
          <w:tab w:val="left" w:pos="4536"/>
        </w:tabs>
        <w:spacing w:after="200" w:line="276" w:lineRule="auto"/>
        <w:jc w:val="both"/>
        <w:rPr>
          <w:lang w:val="en-AU"/>
        </w:rPr>
      </w:pPr>
      <w:r w:rsidRPr="00207DC2">
        <w:rPr>
          <w:lang w:val="en-AU"/>
        </w:rPr>
        <w:t>One</w:t>
      </w:r>
      <w:r w:rsidR="006E63E5" w:rsidRPr="00207DC2">
        <w:rPr>
          <w:lang w:val="en-AU"/>
        </w:rPr>
        <w:t xml:space="preserve"> of the primary objectives of the CDP was to increase daily participation in work-like activities through a program of ‘</w:t>
      </w:r>
      <w:r w:rsidRPr="00207DC2">
        <w:rPr>
          <w:lang w:val="en-AU"/>
        </w:rPr>
        <w:t>continuous</w:t>
      </w:r>
      <w:r w:rsidR="006E63E5" w:rsidRPr="00207DC2">
        <w:rPr>
          <w:lang w:val="en-AU"/>
        </w:rPr>
        <w:t>’ –</w:t>
      </w:r>
      <w:r w:rsidR="002B38A3" w:rsidRPr="00207DC2">
        <w:rPr>
          <w:lang w:val="en-AU"/>
        </w:rPr>
        <w:t xml:space="preserve"> </w:t>
      </w:r>
      <w:r w:rsidR="006E63E5" w:rsidRPr="00207DC2">
        <w:rPr>
          <w:lang w:val="en-AU"/>
        </w:rPr>
        <w:t xml:space="preserve">year round, week round </w:t>
      </w:r>
      <w:r w:rsidR="002B38A3" w:rsidRPr="00207DC2">
        <w:rPr>
          <w:lang w:val="en-AU"/>
        </w:rPr>
        <w:t xml:space="preserve">– </w:t>
      </w:r>
      <w:r w:rsidR="006E63E5" w:rsidRPr="00207DC2">
        <w:rPr>
          <w:lang w:val="en-AU"/>
        </w:rPr>
        <w:t xml:space="preserve">Work for the Dole. </w:t>
      </w:r>
    </w:p>
    <w:p w14:paraId="6635E1E8" w14:textId="49D31F44" w:rsidR="000C6CF1" w:rsidRPr="00207DC2" w:rsidRDefault="00FC2EED" w:rsidP="00DD08C1">
      <w:pPr>
        <w:tabs>
          <w:tab w:val="left" w:pos="4536"/>
        </w:tabs>
        <w:spacing w:after="200" w:line="276" w:lineRule="auto"/>
        <w:jc w:val="both"/>
        <w:rPr>
          <w:lang w:val="en-AU"/>
        </w:rPr>
      </w:pPr>
      <w:r w:rsidRPr="00207DC2">
        <w:rPr>
          <w:bCs/>
          <w:lang w:val="en-AU"/>
        </w:rPr>
        <w:t>Th</w:t>
      </w:r>
      <w:r w:rsidR="00381F11" w:rsidRPr="00207DC2">
        <w:rPr>
          <w:lang w:val="en-AU"/>
        </w:rPr>
        <w:t xml:space="preserve">e proportion of </w:t>
      </w:r>
      <w:r w:rsidRPr="00207DC2">
        <w:rPr>
          <w:lang w:val="en-AU"/>
        </w:rPr>
        <w:t xml:space="preserve">program participants </w:t>
      </w:r>
      <w:r w:rsidR="000F0E95" w:rsidRPr="00207DC2">
        <w:rPr>
          <w:lang w:val="en-AU"/>
        </w:rPr>
        <w:t>enrolled</w:t>
      </w:r>
      <w:r w:rsidRPr="00207DC2">
        <w:rPr>
          <w:lang w:val="en-AU"/>
        </w:rPr>
        <w:t xml:space="preserve"> in any type of activity </w:t>
      </w:r>
      <w:r w:rsidRPr="00207DC2">
        <w:rPr>
          <w:bCs/>
          <w:lang w:val="en-AU"/>
        </w:rPr>
        <w:t>steadily</w:t>
      </w:r>
      <w:r w:rsidRPr="00207DC2">
        <w:rPr>
          <w:lang w:val="en-AU"/>
        </w:rPr>
        <w:t xml:space="preserve"> increased </w:t>
      </w:r>
      <w:r w:rsidRPr="00207DC2">
        <w:rPr>
          <w:bCs/>
          <w:lang w:val="en-AU"/>
        </w:rPr>
        <w:t xml:space="preserve">under RJCP and has further increased </w:t>
      </w:r>
      <w:r w:rsidR="003B61AA" w:rsidRPr="00207DC2">
        <w:rPr>
          <w:bCs/>
          <w:lang w:val="en-AU"/>
        </w:rPr>
        <w:t>under the</w:t>
      </w:r>
      <w:r w:rsidRPr="00207DC2">
        <w:rPr>
          <w:bCs/>
          <w:lang w:val="en-AU"/>
        </w:rPr>
        <w:t xml:space="preserve"> </w:t>
      </w:r>
      <w:r w:rsidR="002B38A3" w:rsidRPr="00207DC2">
        <w:rPr>
          <w:lang w:val="en-AU"/>
        </w:rPr>
        <w:t>CDP. Consistent with program requirements,</w:t>
      </w:r>
      <w:r w:rsidR="0009077E" w:rsidRPr="00207DC2">
        <w:rPr>
          <w:lang w:val="en-AU"/>
        </w:rPr>
        <w:t xml:space="preserve"> by June 2017</w:t>
      </w:r>
      <w:r w:rsidR="002B38A3" w:rsidRPr="00207DC2">
        <w:rPr>
          <w:lang w:val="en-AU"/>
        </w:rPr>
        <w:t xml:space="preserve"> </w:t>
      </w:r>
      <w:r w:rsidR="0001116D" w:rsidRPr="00207DC2">
        <w:rPr>
          <w:lang w:val="en-AU"/>
        </w:rPr>
        <w:t>th</w:t>
      </w:r>
      <w:r w:rsidR="005054CB" w:rsidRPr="00207DC2">
        <w:rPr>
          <w:lang w:val="en-AU"/>
        </w:rPr>
        <w:t>is</w:t>
      </w:r>
      <w:r w:rsidR="0001116D" w:rsidRPr="00207DC2">
        <w:rPr>
          <w:lang w:val="en-AU"/>
        </w:rPr>
        <w:t xml:space="preserve"> include</w:t>
      </w:r>
      <w:r w:rsidR="0009077E" w:rsidRPr="00207DC2">
        <w:rPr>
          <w:lang w:val="en-AU"/>
        </w:rPr>
        <w:t>d</w:t>
      </w:r>
      <w:r w:rsidR="0001116D" w:rsidRPr="00207DC2">
        <w:rPr>
          <w:lang w:val="en-AU"/>
        </w:rPr>
        <w:t xml:space="preserve"> the vast majority</w:t>
      </w:r>
      <w:r w:rsidR="0009077E" w:rsidRPr="00207DC2">
        <w:rPr>
          <w:lang w:val="en-AU"/>
        </w:rPr>
        <w:t xml:space="preserve"> </w:t>
      </w:r>
      <w:r w:rsidR="007E468C" w:rsidRPr="00207DC2">
        <w:rPr>
          <w:lang w:val="en-AU"/>
        </w:rPr>
        <w:t>(85 </w:t>
      </w:r>
      <w:r w:rsidR="0009077E" w:rsidRPr="00207DC2">
        <w:rPr>
          <w:lang w:val="en-AU"/>
        </w:rPr>
        <w:t>pe</w:t>
      </w:r>
      <w:r w:rsidR="007E468C" w:rsidRPr="00207DC2">
        <w:rPr>
          <w:lang w:val="en-AU"/>
        </w:rPr>
        <w:t>r </w:t>
      </w:r>
      <w:r w:rsidR="0009077E" w:rsidRPr="00207DC2">
        <w:rPr>
          <w:lang w:val="en-AU"/>
        </w:rPr>
        <w:t>cent)</w:t>
      </w:r>
      <w:r w:rsidR="0001116D" w:rsidRPr="00207DC2">
        <w:rPr>
          <w:lang w:val="en-AU"/>
        </w:rPr>
        <w:t xml:space="preserve"> of </w:t>
      </w:r>
      <w:r w:rsidR="008C5F85" w:rsidRPr="00207DC2">
        <w:rPr>
          <w:lang w:val="en-AU"/>
        </w:rPr>
        <w:t xml:space="preserve">participants who were </w:t>
      </w:r>
      <w:r w:rsidR="00BD0833" w:rsidRPr="00207DC2">
        <w:rPr>
          <w:lang w:val="en-AU"/>
        </w:rPr>
        <w:t xml:space="preserve">required to attend </w:t>
      </w:r>
      <w:r w:rsidR="002B38A3" w:rsidRPr="00207DC2">
        <w:rPr>
          <w:lang w:val="en-AU"/>
        </w:rPr>
        <w:t>Work for the Dole</w:t>
      </w:r>
      <w:r w:rsidR="00336736" w:rsidRPr="00207DC2">
        <w:rPr>
          <w:lang w:val="en-AU"/>
        </w:rPr>
        <w:t xml:space="preserve"> </w:t>
      </w:r>
      <w:r w:rsidR="000C6CF1" w:rsidRPr="00207DC2">
        <w:rPr>
          <w:lang w:val="en-AU"/>
        </w:rPr>
        <w:t xml:space="preserve">and </w:t>
      </w:r>
      <w:r w:rsidR="004E3B61" w:rsidRPr="00207DC2">
        <w:rPr>
          <w:lang w:val="en-AU"/>
        </w:rPr>
        <w:t>almost 70</w:t>
      </w:r>
      <w:r w:rsidR="00B95F9E" w:rsidRPr="00207DC2">
        <w:rPr>
          <w:lang w:val="en-AU"/>
        </w:rPr>
        <w:t> </w:t>
      </w:r>
      <w:r w:rsidR="0001116D" w:rsidRPr="00207DC2">
        <w:rPr>
          <w:lang w:val="en-AU"/>
        </w:rPr>
        <w:t>per</w:t>
      </w:r>
      <w:r w:rsidR="00B95F9E" w:rsidRPr="00207DC2">
        <w:rPr>
          <w:lang w:val="en-AU"/>
        </w:rPr>
        <w:t> </w:t>
      </w:r>
      <w:r w:rsidR="0001116D" w:rsidRPr="00207DC2">
        <w:rPr>
          <w:lang w:val="en-AU"/>
        </w:rPr>
        <w:t xml:space="preserve">cent of </w:t>
      </w:r>
      <w:r w:rsidR="008C5F85" w:rsidRPr="00207DC2">
        <w:rPr>
          <w:lang w:val="en-AU"/>
        </w:rPr>
        <w:t xml:space="preserve">those </w:t>
      </w:r>
      <w:r w:rsidR="006A3409" w:rsidRPr="00207DC2">
        <w:rPr>
          <w:lang w:val="en-AU"/>
        </w:rPr>
        <w:t>who were activi</w:t>
      </w:r>
      <w:r w:rsidR="00336736" w:rsidRPr="00207DC2">
        <w:rPr>
          <w:lang w:val="en-AU"/>
        </w:rPr>
        <w:t xml:space="preserve">ty </w:t>
      </w:r>
      <w:r w:rsidR="006A3409" w:rsidRPr="00207DC2">
        <w:rPr>
          <w:lang w:val="en-AU"/>
        </w:rPr>
        <w:t xml:space="preserve">tested </w:t>
      </w:r>
      <w:r w:rsidR="0001116D" w:rsidRPr="00207DC2">
        <w:rPr>
          <w:lang w:val="en-AU"/>
        </w:rPr>
        <w:t>but not</w:t>
      </w:r>
      <w:r w:rsidR="00EB1903" w:rsidRPr="00207DC2">
        <w:rPr>
          <w:lang w:val="en-AU"/>
        </w:rPr>
        <w:t xml:space="preserve"> </w:t>
      </w:r>
      <w:r w:rsidR="00BD0833" w:rsidRPr="00207DC2">
        <w:rPr>
          <w:lang w:val="en-AU"/>
        </w:rPr>
        <w:t xml:space="preserve">required to attend </w:t>
      </w:r>
      <w:r w:rsidR="00EB1903" w:rsidRPr="00207DC2">
        <w:rPr>
          <w:lang w:val="en-AU"/>
        </w:rPr>
        <w:t>Work for the D</w:t>
      </w:r>
      <w:r w:rsidR="0001116D" w:rsidRPr="00207DC2">
        <w:rPr>
          <w:lang w:val="en-AU"/>
        </w:rPr>
        <w:t xml:space="preserve">ole. </w:t>
      </w:r>
    </w:p>
    <w:p w14:paraId="3C28726C" w14:textId="5228F0A8" w:rsidR="00D00871" w:rsidRPr="00207DC2" w:rsidRDefault="000A2BAA" w:rsidP="00E577F2">
      <w:pPr>
        <w:tabs>
          <w:tab w:val="left" w:pos="4536"/>
        </w:tabs>
        <w:spacing w:after="200" w:line="276" w:lineRule="auto"/>
        <w:jc w:val="both"/>
        <w:rPr>
          <w:lang w:val="en-AU"/>
        </w:rPr>
      </w:pPr>
      <w:r w:rsidRPr="00207DC2">
        <w:rPr>
          <w:lang w:val="en-AU"/>
        </w:rPr>
        <w:t xml:space="preserve">Being </w:t>
      </w:r>
      <w:r w:rsidR="000F0E95" w:rsidRPr="00207DC2">
        <w:rPr>
          <w:lang w:val="en-AU"/>
        </w:rPr>
        <w:t>enrolled</w:t>
      </w:r>
      <w:r w:rsidRPr="00207DC2">
        <w:rPr>
          <w:lang w:val="en-AU"/>
        </w:rPr>
        <w:t xml:space="preserve"> in an activity (Work for the Dole or otherwise) does not </w:t>
      </w:r>
      <w:r w:rsidR="000C6CF1" w:rsidRPr="00207DC2">
        <w:rPr>
          <w:lang w:val="en-AU"/>
        </w:rPr>
        <w:t>necessarily mean that participants will</w:t>
      </w:r>
      <w:r w:rsidRPr="00207DC2">
        <w:rPr>
          <w:lang w:val="en-AU"/>
        </w:rPr>
        <w:t xml:space="preserve"> attend</w:t>
      </w:r>
      <w:r w:rsidR="000C6CF1" w:rsidRPr="00207DC2">
        <w:rPr>
          <w:lang w:val="en-AU"/>
        </w:rPr>
        <w:t xml:space="preserve"> activities</w:t>
      </w:r>
      <w:r w:rsidR="002F2D15" w:rsidRPr="00207DC2">
        <w:rPr>
          <w:lang w:val="en-AU"/>
        </w:rPr>
        <w:t xml:space="preserve"> and, if they</w:t>
      </w:r>
      <w:r w:rsidRPr="00207DC2">
        <w:rPr>
          <w:lang w:val="en-AU"/>
        </w:rPr>
        <w:t xml:space="preserve"> </w:t>
      </w:r>
      <w:r w:rsidR="000C6CF1" w:rsidRPr="00207DC2">
        <w:rPr>
          <w:lang w:val="en-AU"/>
        </w:rPr>
        <w:t xml:space="preserve">do </w:t>
      </w:r>
      <w:r w:rsidRPr="00207DC2">
        <w:rPr>
          <w:lang w:val="en-AU"/>
        </w:rPr>
        <w:t>attend</w:t>
      </w:r>
      <w:r w:rsidR="002F2D15" w:rsidRPr="00207DC2">
        <w:rPr>
          <w:lang w:val="en-AU"/>
        </w:rPr>
        <w:t xml:space="preserve">, </w:t>
      </w:r>
      <w:r w:rsidR="000C6CF1" w:rsidRPr="00207DC2">
        <w:rPr>
          <w:lang w:val="en-AU"/>
        </w:rPr>
        <w:t>will actively participate</w:t>
      </w:r>
      <w:r w:rsidR="000F0E95" w:rsidRPr="00207DC2">
        <w:rPr>
          <w:lang w:val="en-AU"/>
        </w:rPr>
        <w:t xml:space="preserve"> in the program</w:t>
      </w:r>
      <w:r w:rsidRPr="00207DC2">
        <w:rPr>
          <w:lang w:val="en-AU"/>
        </w:rPr>
        <w:t xml:space="preserve">. </w:t>
      </w:r>
      <w:r w:rsidR="00D00871" w:rsidRPr="00207DC2">
        <w:rPr>
          <w:lang w:val="en-AU"/>
        </w:rPr>
        <w:t>A range of factors</w:t>
      </w:r>
      <w:r w:rsidR="00396552">
        <w:rPr>
          <w:lang w:val="en-AU"/>
        </w:rPr>
        <w:t xml:space="preserve"> – </w:t>
      </w:r>
      <w:r w:rsidR="00E339CF" w:rsidRPr="00207DC2">
        <w:rPr>
          <w:lang w:val="en-AU"/>
        </w:rPr>
        <w:t xml:space="preserve">including </w:t>
      </w:r>
      <w:r w:rsidR="00E54525" w:rsidRPr="00207DC2">
        <w:rPr>
          <w:lang w:val="en-AU"/>
        </w:rPr>
        <w:t>t</w:t>
      </w:r>
      <w:r w:rsidR="00E339CF" w:rsidRPr="00207DC2">
        <w:rPr>
          <w:bCs/>
          <w:lang w:val="en-AU"/>
        </w:rPr>
        <w:t>he quality of</w:t>
      </w:r>
      <w:r w:rsidR="00E339CF" w:rsidRPr="00207DC2" w:rsidDel="00935BD1">
        <w:rPr>
          <w:bCs/>
          <w:lang w:val="en-AU"/>
        </w:rPr>
        <w:t xml:space="preserve"> </w:t>
      </w:r>
      <w:r w:rsidR="00E54525" w:rsidRPr="00207DC2">
        <w:rPr>
          <w:bCs/>
          <w:lang w:val="en-AU"/>
        </w:rPr>
        <w:t>activities</w:t>
      </w:r>
      <w:r w:rsidR="00E339CF" w:rsidRPr="00207DC2" w:rsidDel="00935BD1">
        <w:rPr>
          <w:bCs/>
          <w:lang w:val="en-AU"/>
        </w:rPr>
        <w:t xml:space="preserve"> and </w:t>
      </w:r>
      <w:r w:rsidR="00E339CF" w:rsidRPr="00207DC2">
        <w:rPr>
          <w:bCs/>
          <w:lang w:val="en-AU"/>
        </w:rPr>
        <w:t xml:space="preserve">how well activities are </w:t>
      </w:r>
      <w:r w:rsidR="00E339CF" w:rsidRPr="00207DC2">
        <w:rPr>
          <w:lang w:val="en-AU"/>
        </w:rPr>
        <w:t>matched with participant’s skills, interests, motivations and circumstances</w:t>
      </w:r>
      <w:r w:rsidR="00396552">
        <w:rPr>
          <w:lang w:val="en-AU"/>
        </w:rPr>
        <w:t xml:space="preserve"> – </w:t>
      </w:r>
      <w:r w:rsidR="00D00871" w:rsidRPr="00207DC2">
        <w:rPr>
          <w:lang w:val="en-AU"/>
        </w:rPr>
        <w:t xml:space="preserve">are likely to affect individuals’ attendance and participation in Work for </w:t>
      </w:r>
      <w:r w:rsidR="00BD0833" w:rsidRPr="00207DC2">
        <w:rPr>
          <w:lang w:val="en-AU"/>
        </w:rPr>
        <w:t xml:space="preserve">the </w:t>
      </w:r>
      <w:r w:rsidR="00D00871" w:rsidRPr="00207DC2">
        <w:rPr>
          <w:lang w:val="en-AU"/>
        </w:rPr>
        <w:t xml:space="preserve">Dole. </w:t>
      </w:r>
    </w:p>
    <w:p w14:paraId="76BA7DB6" w14:textId="1587CA4A" w:rsidR="00602244" w:rsidRPr="00207DC2" w:rsidRDefault="00EF57D4" w:rsidP="00DD08C1">
      <w:pPr>
        <w:tabs>
          <w:tab w:val="left" w:pos="4536"/>
        </w:tabs>
        <w:spacing w:after="200" w:line="276" w:lineRule="auto"/>
        <w:jc w:val="both"/>
        <w:rPr>
          <w:rFonts w:eastAsiaTheme="minorEastAsia"/>
          <w:lang w:val="en-AU"/>
        </w:rPr>
      </w:pPr>
      <w:r w:rsidRPr="00207DC2">
        <w:rPr>
          <w:rFonts w:eastAsiaTheme="minorEastAsia"/>
          <w:lang w:val="en-AU"/>
        </w:rPr>
        <w:t>U</w:t>
      </w:r>
      <w:r w:rsidR="0001116D" w:rsidRPr="00207DC2">
        <w:rPr>
          <w:rFonts w:eastAsiaTheme="minorEastAsia"/>
          <w:lang w:val="en-AU"/>
        </w:rPr>
        <w:t xml:space="preserve">nder </w:t>
      </w:r>
      <w:r w:rsidR="00F344F8" w:rsidRPr="00207DC2">
        <w:rPr>
          <w:rFonts w:eastAsiaTheme="minorEastAsia"/>
          <w:lang w:val="en-AU"/>
        </w:rPr>
        <w:t xml:space="preserve">the </w:t>
      </w:r>
      <w:r w:rsidR="0001116D" w:rsidRPr="00207DC2">
        <w:rPr>
          <w:rFonts w:eastAsiaTheme="minorEastAsia"/>
          <w:lang w:val="en-AU"/>
        </w:rPr>
        <w:t xml:space="preserve">CDP, </w:t>
      </w:r>
      <w:r w:rsidR="00801341" w:rsidRPr="00207DC2">
        <w:rPr>
          <w:rFonts w:eastAsiaTheme="minorEastAsia"/>
          <w:lang w:val="en-AU"/>
        </w:rPr>
        <w:t xml:space="preserve">attendance at activities has remained stable, with </w:t>
      </w:r>
      <w:r w:rsidR="0001116D" w:rsidRPr="00207DC2">
        <w:rPr>
          <w:rFonts w:eastAsiaTheme="minorEastAsia"/>
          <w:lang w:val="en-AU"/>
        </w:rPr>
        <w:t>t</w:t>
      </w:r>
      <w:r w:rsidR="00A36BD9" w:rsidRPr="00207DC2">
        <w:rPr>
          <w:rFonts w:eastAsiaTheme="minorEastAsia"/>
          <w:lang w:val="en-AU"/>
        </w:rPr>
        <w:t>he</w:t>
      </w:r>
      <w:r w:rsidR="00E171EE" w:rsidRPr="00207DC2">
        <w:rPr>
          <w:rFonts w:eastAsiaTheme="minorEastAsia"/>
          <w:lang w:val="en-AU"/>
        </w:rPr>
        <w:t xml:space="preserve"> majority of </w:t>
      </w:r>
      <w:r w:rsidR="006A3409" w:rsidRPr="00207DC2">
        <w:rPr>
          <w:rFonts w:eastAsiaTheme="minorEastAsia"/>
          <w:lang w:val="en-AU"/>
        </w:rPr>
        <w:t xml:space="preserve">Work for the Dole </w:t>
      </w:r>
      <w:r w:rsidR="00590D39" w:rsidRPr="00207DC2">
        <w:rPr>
          <w:rFonts w:eastAsiaTheme="minorEastAsia"/>
          <w:lang w:val="en-AU"/>
        </w:rPr>
        <w:t xml:space="preserve">participants </w:t>
      </w:r>
      <w:r w:rsidR="002E633C" w:rsidRPr="00207DC2">
        <w:rPr>
          <w:rFonts w:eastAsiaTheme="minorEastAsia"/>
          <w:lang w:val="en-AU"/>
        </w:rPr>
        <w:t>(</w:t>
      </w:r>
      <w:r w:rsidR="002E633C" w:rsidRPr="00207DC2">
        <w:rPr>
          <w:lang w:val="en-AU"/>
        </w:rPr>
        <w:t xml:space="preserve">between 70 and 80 per cent) </w:t>
      </w:r>
      <w:r w:rsidR="0001116D" w:rsidRPr="00207DC2">
        <w:rPr>
          <w:rFonts w:eastAsiaTheme="minorEastAsia"/>
          <w:lang w:val="en-AU"/>
        </w:rPr>
        <w:t xml:space="preserve">either </w:t>
      </w:r>
      <w:r w:rsidR="00A36BD9" w:rsidRPr="00207DC2">
        <w:rPr>
          <w:rFonts w:eastAsiaTheme="minorEastAsia"/>
          <w:lang w:val="en-AU"/>
        </w:rPr>
        <w:t>attend</w:t>
      </w:r>
      <w:r w:rsidR="00801341" w:rsidRPr="00207DC2">
        <w:rPr>
          <w:rFonts w:eastAsiaTheme="minorEastAsia"/>
          <w:lang w:val="en-AU"/>
        </w:rPr>
        <w:t>ing</w:t>
      </w:r>
      <w:r w:rsidR="00590D39" w:rsidRPr="00207DC2">
        <w:rPr>
          <w:rFonts w:eastAsiaTheme="minorEastAsia"/>
          <w:lang w:val="en-AU"/>
        </w:rPr>
        <w:t xml:space="preserve"> or provid</w:t>
      </w:r>
      <w:r w:rsidR="00801341" w:rsidRPr="00207DC2">
        <w:rPr>
          <w:rFonts w:eastAsiaTheme="minorEastAsia"/>
          <w:lang w:val="en-AU"/>
        </w:rPr>
        <w:t>ing</w:t>
      </w:r>
      <w:r w:rsidR="00A36BD9" w:rsidRPr="00207DC2">
        <w:rPr>
          <w:rFonts w:eastAsiaTheme="minorEastAsia"/>
          <w:lang w:val="en-AU"/>
        </w:rPr>
        <w:t xml:space="preserve"> a valid reason for</w:t>
      </w:r>
      <w:r w:rsidR="00621B06" w:rsidRPr="00207DC2">
        <w:rPr>
          <w:rFonts w:eastAsiaTheme="minorEastAsia"/>
          <w:lang w:val="en-AU"/>
        </w:rPr>
        <w:t xml:space="preserve"> no</w:t>
      </w:r>
      <w:r w:rsidR="00581881" w:rsidRPr="00207DC2">
        <w:rPr>
          <w:rFonts w:eastAsiaTheme="minorEastAsia"/>
          <w:lang w:val="en-AU"/>
        </w:rPr>
        <w:t xml:space="preserve">t </w:t>
      </w:r>
      <w:r w:rsidR="00621B06" w:rsidRPr="00207DC2">
        <w:rPr>
          <w:rFonts w:eastAsiaTheme="minorEastAsia"/>
          <w:lang w:val="en-AU"/>
        </w:rPr>
        <w:t>attend</w:t>
      </w:r>
      <w:r w:rsidR="00575F1E" w:rsidRPr="00207DC2">
        <w:rPr>
          <w:rFonts w:eastAsiaTheme="minorEastAsia"/>
          <w:lang w:val="en-AU"/>
        </w:rPr>
        <w:t>ing</w:t>
      </w:r>
      <w:r w:rsidR="0001116D" w:rsidRPr="00207DC2">
        <w:rPr>
          <w:rFonts w:eastAsiaTheme="minorEastAsia"/>
          <w:lang w:val="en-AU"/>
        </w:rPr>
        <w:t xml:space="preserve"> on any given day</w:t>
      </w:r>
      <w:r w:rsidR="00581881" w:rsidRPr="00207DC2">
        <w:rPr>
          <w:rFonts w:eastAsiaTheme="minorEastAsia"/>
          <w:lang w:val="en-AU"/>
        </w:rPr>
        <w:t>;</w:t>
      </w:r>
      <w:r w:rsidR="008527AC" w:rsidRPr="00207DC2">
        <w:rPr>
          <w:rFonts w:eastAsiaTheme="minorEastAsia"/>
          <w:lang w:val="en-AU"/>
        </w:rPr>
        <w:t xml:space="preserve"> </w:t>
      </w:r>
      <w:r w:rsidR="0001116D" w:rsidRPr="00207DC2">
        <w:rPr>
          <w:rFonts w:eastAsiaTheme="minorEastAsia"/>
          <w:lang w:val="en-AU"/>
        </w:rPr>
        <w:t xml:space="preserve">and 60 to 70 per cent </w:t>
      </w:r>
      <w:r w:rsidR="00801341" w:rsidRPr="00207DC2">
        <w:rPr>
          <w:rFonts w:eastAsiaTheme="minorEastAsia"/>
          <w:lang w:val="en-AU"/>
        </w:rPr>
        <w:t>of full</w:t>
      </w:r>
      <w:r w:rsidR="00E522C4" w:rsidRPr="00207DC2">
        <w:rPr>
          <w:rFonts w:eastAsiaTheme="minorEastAsia"/>
          <w:lang w:val="en-AU"/>
        </w:rPr>
        <w:noBreakHyphen/>
      </w:r>
      <w:r w:rsidR="00801341" w:rsidRPr="00207DC2">
        <w:rPr>
          <w:rFonts w:eastAsiaTheme="minorEastAsia"/>
          <w:lang w:val="en-AU"/>
        </w:rPr>
        <w:t>time</w:t>
      </w:r>
      <w:r w:rsidRPr="00207DC2">
        <w:rPr>
          <w:rFonts w:eastAsiaTheme="minorEastAsia"/>
          <w:lang w:val="en-AU"/>
        </w:rPr>
        <w:t xml:space="preserve"> </w:t>
      </w:r>
      <w:r w:rsidR="002E633C" w:rsidRPr="00207DC2">
        <w:rPr>
          <w:rFonts w:eastAsiaTheme="minorEastAsia"/>
          <w:lang w:val="en-AU"/>
        </w:rPr>
        <w:t xml:space="preserve">Work for the Dole </w:t>
      </w:r>
      <w:r w:rsidRPr="00207DC2">
        <w:rPr>
          <w:rFonts w:eastAsiaTheme="minorEastAsia"/>
          <w:lang w:val="en-AU"/>
        </w:rPr>
        <w:t>participants</w:t>
      </w:r>
      <w:r w:rsidR="00801341" w:rsidRPr="00207DC2">
        <w:rPr>
          <w:rFonts w:eastAsiaTheme="minorEastAsia"/>
          <w:lang w:val="en-AU"/>
        </w:rPr>
        <w:t xml:space="preserve"> attending (or having</w:t>
      </w:r>
      <w:r w:rsidR="006A3409" w:rsidRPr="00207DC2">
        <w:rPr>
          <w:rFonts w:eastAsiaTheme="minorEastAsia"/>
          <w:lang w:val="en-AU"/>
        </w:rPr>
        <w:t xml:space="preserve"> a </w:t>
      </w:r>
      <w:r w:rsidR="006A3409" w:rsidRPr="00207DC2">
        <w:rPr>
          <w:rFonts w:eastAsiaTheme="minorEastAsia"/>
          <w:i/>
          <w:lang w:val="en-AU"/>
        </w:rPr>
        <w:t xml:space="preserve">valid </w:t>
      </w:r>
      <w:r w:rsidR="00BD0833" w:rsidRPr="00207DC2">
        <w:rPr>
          <w:rFonts w:eastAsiaTheme="minorEastAsia"/>
          <w:i/>
          <w:lang w:val="en-AU"/>
        </w:rPr>
        <w:t>non-attendance</w:t>
      </w:r>
      <w:r w:rsidR="00BD0833" w:rsidRPr="00207DC2">
        <w:rPr>
          <w:rFonts w:eastAsiaTheme="minorEastAsia"/>
          <w:lang w:val="en-AU"/>
        </w:rPr>
        <w:t xml:space="preserve"> </w:t>
      </w:r>
      <w:r w:rsidR="006A3409" w:rsidRPr="00207DC2">
        <w:rPr>
          <w:rFonts w:eastAsiaTheme="minorEastAsia"/>
          <w:lang w:val="en-AU"/>
        </w:rPr>
        <w:t>reason</w:t>
      </w:r>
      <w:r w:rsidR="00801341" w:rsidRPr="00207DC2">
        <w:rPr>
          <w:rFonts w:eastAsiaTheme="minorEastAsia"/>
          <w:lang w:val="en-AU"/>
        </w:rPr>
        <w:t>)</w:t>
      </w:r>
      <w:r w:rsidR="0001116D" w:rsidRPr="00207DC2">
        <w:rPr>
          <w:rFonts w:eastAsiaTheme="minorEastAsia"/>
          <w:lang w:val="en-AU"/>
        </w:rPr>
        <w:t xml:space="preserve"> every day of the week.</w:t>
      </w:r>
    </w:p>
    <w:p w14:paraId="6B759F35" w14:textId="026B51AC" w:rsidR="0072148B" w:rsidRPr="00207DC2" w:rsidRDefault="004C105D" w:rsidP="006E7FA3">
      <w:pPr>
        <w:tabs>
          <w:tab w:val="left" w:pos="4536"/>
          <w:tab w:val="left" w:pos="6946"/>
        </w:tabs>
        <w:spacing w:after="200" w:line="276" w:lineRule="auto"/>
        <w:jc w:val="both"/>
        <w:rPr>
          <w:szCs w:val="20"/>
          <w:lang w:val="en-AU"/>
        </w:rPr>
      </w:pPr>
      <w:r w:rsidRPr="00207DC2">
        <w:rPr>
          <w:szCs w:val="20"/>
          <w:lang w:val="en-AU"/>
        </w:rPr>
        <w:t>O</w:t>
      </w:r>
      <w:r w:rsidR="00EF57D4" w:rsidRPr="00207DC2">
        <w:rPr>
          <w:szCs w:val="20"/>
          <w:lang w:val="en-AU"/>
        </w:rPr>
        <w:t xml:space="preserve">n any given day, </w:t>
      </w:r>
      <w:r w:rsidR="00801341" w:rsidRPr="00207DC2">
        <w:rPr>
          <w:rFonts w:eastAsiaTheme="minorEastAsia"/>
          <w:lang w:val="en-AU"/>
        </w:rPr>
        <w:t>between 20 and 30 per cent</w:t>
      </w:r>
      <w:r w:rsidR="00336736" w:rsidRPr="00207DC2">
        <w:rPr>
          <w:rFonts w:eastAsiaTheme="minorEastAsia"/>
          <w:lang w:val="en-AU"/>
        </w:rPr>
        <w:t xml:space="preserve"> of participants</w:t>
      </w:r>
      <w:r w:rsidR="00801341" w:rsidRPr="00207DC2">
        <w:rPr>
          <w:rFonts w:eastAsiaTheme="minorEastAsia"/>
          <w:lang w:val="en-AU"/>
        </w:rPr>
        <w:t xml:space="preserve"> </w:t>
      </w:r>
      <w:r w:rsidR="00801341" w:rsidRPr="00207DC2">
        <w:rPr>
          <w:lang w:val="en-AU"/>
        </w:rPr>
        <w:t>do not attend and do not provide a valid reason for not attending</w:t>
      </w:r>
      <w:r w:rsidR="00B2223E" w:rsidRPr="00207DC2">
        <w:rPr>
          <w:lang w:val="en-AU"/>
        </w:rPr>
        <w:t xml:space="preserve"> Work for the Dole activities</w:t>
      </w:r>
      <w:r w:rsidR="00EF57D4" w:rsidRPr="00207DC2">
        <w:rPr>
          <w:lang w:val="en-AU"/>
        </w:rPr>
        <w:t xml:space="preserve">. </w:t>
      </w:r>
      <w:r w:rsidR="00B2223E" w:rsidRPr="00207DC2">
        <w:rPr>
          <w:i/>
          <w:lang w:val="en-AU"/>
        </w:rPr>
        <w:t>I</w:t>
      </w:r>
      <w:r w:rsidR="006E4216" w:rsidRPr="00207DC2">
        <w:rPr>
          <w:i/>
          <w:lang w:val="en-AU"/>
        </w:rPr>
        <w:t>nvalid</w:t>
      </w:r>
      <w:r w:rsidRPr="00207DC2">
        <w:rPr>
          <w:i/>
          <w:lang w:val="en-AU"/>
        </w:rPr>
        <w:t xml:space="preserve"> non</w:t>
      </w:r>
      <w:r w:rsidRPr="00207DC2">
        <w:rPr>
          <w:i/>
          <w:lang w:val="en-AU"/>
        </w:rPr>
        <w:noBreakHyphen/>
        <w:t>attendance</w:t>
      </w:r>
      <w:r w:rsidRPr="00207DC2">
        <w:rPr>
          <w:lang w:val="en-AU"/>
        </w:rPr>
        <w:t xml:space="preserve"> </w:t>
      </w:r>
      <w:r w:rsidR="007215D5" w:rsidRPr="00207DC2">
        <w:rPr>
          <w:lang w:val="en-AU"/>
        </w:rPr>
        <w:t>mean</w:t>
      </w:r>
      <w:r w:rsidR="006E4216" w:rsidRPr="00207DC2">
        <w:rPr>
          <w:lang w:val="en-AU"/>
        </w:rPr>
        <w:t>s</w:t>
      </w:r>
      <w:r w:rsidR="007215D5" w:rsidRPr="00207DC2">
        <w:rPr>
          <w:lang w:val="en-AU"/>
        </w:rPr>
        <w:t xml:space="preserve"> that</w:t>
      </w:r>
      <w:r w:rsidR="00B2223E" w:rsidRPr="00207DC2">
        <w:rPr>
          <w:lang w:val="en-AU"/>
        </w:rPr>
        <w:t xml:space="preserve"> participants are deemed to have not met their</w:t>
      </w:r>
      <w:r w:rsidR="00EF57D4" w:rsidRPr="00207DC2" w:rsidDel="00B2223E">
        <w:rPr>
          <w:lang w:val="en-AU"/>
        </w:rPr>
        <w:t xml:space="preserve"> </w:t>
      </w:r>
      <w:r w:rsidR="006A1E56" w:rsidRPr="00207DC2">
        <w:rPr>
          <w:lang w:val="en-AU"/>
        </w:rPr>
        <w:t>mutual obligation requirements</w:t>
      </w:r>
      <w:r w:rsidRPr="00207DC2">
        <w:rPr>
          <w:lang w:val="en-AU"/>
        </w:rPr>
        <w:t xml:space="preserve"> and </w:t>
      </w:r>
      <w:r w:rsidR="00B2223E" w:rsidRPr="00207DC2">
        <w:rPr>
          <w:lang w:val="en-AU"/>
        </w:rPr>
        <w:t xml:space="preserve">can </w:t>
      </w:r>
      <w:r w:rsidRPr="00207DC2">
        <w:rPr>
          <w:lang w:val="en-AU"/>
        </w:rPr>
        <w:t xml:space="preserve">lead to a suspension of </w:t>
      </w:r>
      <w:r w:rsidR="00EF57D4" w:rsidRPr="00207DC2">
        <w:rPr>
          <w:lang w:val="en-AU"/>
        </w:rPr>
        <w:t xml:space="preserve">income support payments </w:t>
      </w:r>
      <w:r w:rsidR="00336736" w:rsidRPr="00207DC2">
        <w:rPr>
          <w:lang w:val="en-AU"/>
        </w:rPr>
        <w:t xml:space="preserve">and potential </w:t>
      </w:r>
      <w:r w:rsidR="007215D5" w:rsidRPr="00207DC2">
        <w:rPr>
          <w:lang w:val="en-AU"/>
        </w:rPr>
        <w:t xml:space="preserve">financial penalties </w:t>
      </w:r>
      <w:r w:rsidR="005054CB" w:rsidRPr="00207DC2">
        <w:rPr>
          <w:lang w:val="en-AU"/>
        </w:rPr>
        <w:t>(</w:t>
      </w:r>
      <w:r w:rsidR="00C97FB8" w:rsidRPr="00207DC2">
        <w:rPr>
          <w:lang w:val="en-AU"/>
        </w:rPr>
        <w:t>discussed further in Chapter 3</w:t>
      </w:r>
      <w:r w:rsidR="005054CB" w:rsidRPr="00207DC2">
        <w:rPr>
          <w:lang w:val="en-AU"/>
        </w:rPr>
        <w:t>)</w:t>
      </w:r>
      <w:r w:rsidR="00801341" w:rsidRPr="00207DC2">
        <w:rPr>
          <w:lang w:val="en-AU"/>
        </w:rPr>
        <w:t>.</w:t>
      </w:r>
      <w:r w:rsidR="00801341" w:rsidRPr="00207DC2">
        <w:rPr>
          <w:szCs w:val="20"/>
          <w:lang w:val="en-AU"/>
        </w:rPr>
        <w:t xml:space="preserve"> </w:t>
      </w:r>
      <w:r w:rsidRPr="00207DC2">
        <w:rPr>
          <w:szCs w:val="20"/>
          <w:lang w:val="en-AU"/>
        </w:rPr>
        <w:t xml:space="preserve">Modelling </w:t>
      </w:r>
      <w:r w:rsidR="00215F05" w:rsidRPr="00207DC2">
        <w:rPr>
          <w:lang w:val="en-AU"/>
        </w:rPr>
        <w:t>of attendance rates</w:t>
      </w:r>
      <w:r w:rsidRPr="00207DC2">
        <w:rPr>
          <w:lang w:val="en-AU"/>
        </w:rPr>
        <w:t xml:space="preserve"> </w:t>
      </w:r>
      <w:r w:rsidRPr="00207DC2">
        <w:rPr>
          <w:szCs w:val="20"/>
          <w:lang w:val="en-AU"/>
        </w:rPr>
        <w:t xml:space="preserve">suggests </w:t>
      </w:r>
      <w:r w:rsidR="00336736" w:rsidRPr="00207DC2">
        <w:rPr>
          <w:szCs w:val="20"/>
          <w:lang w:val="en-AU"/>
        </w:rPr>
        <w:t xml:space="preserve">that </w:t>
      </w:r>
      <w:r w:rsidRPr="00207DC2">
        <w:rPr>
          <w:i/>
          <w:szCs w:val="20"/>
          <w:lang w:val="en-AU"/>
        </w:rPr>
        <w:t>invalid non</w:t>
      </w:r>
      <w:r w:rsidRPr="00207DC2">
        <w:rPr>
          <w:i/>
          <w:szCs w:val="20"/>
          <w:lang w:val="en-AU"/>
        </w:rPr>
        <w:noBreakHyphen/>
        <w:t>attendance</w:t>
      </w:r>
      <w:r w:rsidRPr="00207DC2">
        <w:rPr>
          <w:szCs w:val="20"/>
          <w:lang w:val="en-AU"/>
        </w:rPr>
        <w:t xml:space="preserve"> </w:t>
      </w:r>
      <w:r w:rsidR="00336736" w:rsidRPr="00207DC2">
        <w:rPr>
          <w:szCs w:val="20"/>
          <w:lang w:val="en-AU"/>
        </w:rPr>
        <w:t xml:space="preserve">is more common among </w:t>
      </w:r>
      <w:r w:rsidR="00801091" w:rsidRPr="00207DC2">
        <w:rPr>
          <w:lang w:val="en-AU"/>
        </w:rPr>
        <w:t xml:space="preserve">younger </w:t>
      </w:r>
      <w:r w:rsidR="00336736" w:rsidRPr="00207DC2">
        <w:rPr>
          <w:szCs w:val="20"/>
          <w:lang w:val="en-AU"/>
        </w:rPr>
        <w:t>participants</w:t>
      </w:r>
      <w:r w:rsidR="00801091" w:rsidRPr="00207DC2">
        <w:rPr>
          <w:szCs w:val="20"/>
          <w:lang w:val="en-AU"/>
        </w:rPr>
        <w:t xml:space="preserve">, </w:t>
      </w:r>
      <w:r w:rsidR="003E6F0A" w:rsidRPr="00207DC2">
        <w:rPr>
          <w:lang w:val="en-AU"/>
        </w:rPr>
        <w:t>those with no post-</w:t>
      </w:r>
      <w:r w:rsidR="00801091" w:rsidRPr="00207DC2">
        <w:rPr>
          <w:lang w:val="en-AU"/>
        </w:rPr>
        <w:t>school education, those with no private transport, and those who are not contactable by phone.</w:t>
      </w:r>
      <w:r w:rsidR="0072148B" w:rsidRPr="00207DC2">
        <w:rPr>
          <w:lang w:val="en-AU"/>
        </w:rPr>
        <w:t xml:space="preserve"> </w:t>
      </w:r>
    </w:p>
    <w:p w14:paraId="1A69AA45" w14:textId="2A225750" w:rsidR="0072148B" w:rsidRPr="00207DC2" w:rsidRDefault="00E423CB" w:rsidP="0072148B">
      <w:pPr>
        <w:tabs>
          <w:tab w:val="left" w:pos="7230"/>
        </w:tabs>
        <w:spacing w:before="240"/>
        <w:jc w:val="both"/>
        <w:rPr>
          <w:lang w:val="en-AU"/>
        </w:rPr>
      </w:pPr>
      <w:r w:rsidRPr="00207DC2">
        <w:rPr>
          <w:lang w:val="en-AU"/>
        </w:rPr>
        <w:t>As outlined above, c</w:t>
      </w:r>
      <w:r w:rsidR="0072148B" w:rsidRPr="00207DC2">
        <w:rPr>
          <w:lang w:val="en-AU"/>
        </w:rPr>
        <w:t>ommunica</w:t>
      </w:r>
      <w:r w:rsidR="00576899" w:rsidRPr="00207DC2">
        <w:rPr>
          <w:lang w:val="en-AU"/>
        </w:rPr>
        <w:t>ti</w:t>
      </w:r>
      <w:r w:rsidR="0072148B" w:rsidRPr="00207DC2">
        <w:rPr>
          <w:lang w:val="en-AU"/>
        </w:rPr>
        <w:t xml:space="preserve">on </w:t>
      </w:r>
      <w:r w:rsidR="00A31DE1" w:rsidRPr="00207DC2">
        <w:rPr>
          <w:lang w:val="en-AU"/>
        </w:rPr>
        <w:t xml:space="preserve">and </w:t>
      </w:r>
      <w:r w:rsidRPr="00207DC2">
        <w:rPr>
          <w:lang w:val="en-AU"/>
        </w:rPr>
        <w:t xml:space="preserve">unidentified </w:t>
      </w:r>
      <w:r w:rsidR="00A31DE1" w:rsidRPr="00207DC2">
        <w:rPr>
          <w:lang w:val="en-AU"/>
        </w:rPr>
        <w:t xml:space="preserve">health </w:t>
      </w:r>
      <w:r w:rsidR="0072148B" w:rsidRPr="00207DC2">
        <w:rPr>
          <w:lang w:val="en-AU"/>
        </w:rPr>
        <w:t xml:space="preserve">barriers </w:t>
      </w:r>
      <w:r w:rsidR="00A31DE1" w:rsidRPr="00207DC2">
        <w:rPr>
          <w:lang w:val="en-AU"/>
        </w:rPr>
        <w:t>may be</w:t>
      </w:r>
      <w:r w:rsidR="006E4216" w:rsidRPr="00207DC2">
        <w:rPr>
          <w:lang w:val="en-AU"/>
        </w:rPr>
        <w:t xml:space="preserve"> important in explaining high </w:t>
      </w:r>
      <w:r w:rsidR="00D11C84" w:rsidRPr="00207DC2">
        <w:rPr>
          <w:lang w:val="en-AU"/>
        </w:rPr>
        <w:t>rates</w:t>
      </w:r>
      <w:r w:rsidR="006E4216" w:rsidRPr="00207DC2">
        <w:rPr>
          <w:lang w:val="en-AU"/>
        </w:rPr>
        <w:t xml:space="preserve"> of</w:t>
      </w:r>
      <w:r w:rsidR="0072148B" w:rsidRPr="00207DC2">
        <w:rPr>
          <w:lang w:val="en-AU"/>
        </w:rPr>
        <w:t xml:space="preserve"> </w:t>
      </w:r>
      <w:r w:rsidR="0072148B" w:rsidRPr="00207DC2">
        <w:rPr>
          <w:i/>
          <w:lang w:val="en-AU"/>
        </w:rPr>
        <w:t>invalid non</w:t>
      </w:r>
      <w:r w:rsidR="0072148B" w:rsidRPr="00207DC2">
        <w:rPr>
          <w:i/>
          <w:lang w:val="en-AU"/>
        </w:rPr>
        <w:noBreakHyphen/>
        <w:t>attendance</w:t>
      </w:r>
      <w:r w:rsidR="006E4216" w:rsidRPr="00207DC2">
        <w:rPr>
          <w:lang w:val="en-AU"/>
        </w:rPr>
        <w:t xml:space="preserve"> </w:t>
      </w:r>
      <w:r w:rsidR="004B6029" w:rsidRPr="00207DC2">
        <w:rPr>
          <w:lang w:val="en-AU"/>
        </w:rPr>
        <w:t>among</w:t>
      </w:r>
      <w:r w:rsidR="0072148B" w:rsidRPr="00207DC2">
        <w:rPr>
          <w:lang w:val="en-AU"/>
        </w:rPr>
        <w:t xml:space="preserve"> CDP participant</w:t>
      </w:r>
      <w:r w:rsidR="00561113" w:rsidRPr="00207DC2">
        <w:rPr>
          <w:lang w:val="en-AU"/>
        </w:rPr>
        <w:t>s</w:t>
      </w:r>
      <w:r w:rsidR="0072148B" w:rsidRPr="00207DC2">
        <w:rPr>
          <w:lang w:val="en-AU"/>
        </w:rPr>
        <w:t xml:space="preserve"> identifying as Indigenous</w:t>
      </w:r>
      <w:r w:rsidR="00A31DE1" w:rsidRPr="00207DC2">
        <w:rPr>
          <w:lang w:val="en-AU"/>
        </w:rPr>
        <w:t xml:space="preserve">. </w:t>
      </w:r>
      <w:r w:rsidR="00555125" w:rsidRPr="00207DC2">
        <w:rPr>
          <w:lang w:val="en-AU"/>
        </w:rPr>
        <w:t>B</w:t>
      </w:r>
      <w:r w:rsidR="0072148B" w:rsidRPr="00207DC2" w:rsidDel="0072148B">
        <w:rPr>
          <w:lang w:val="en-AU"/>
        </w:rPr>
        <w:t>etter assessments of CDP participants</w:t>
      </w:r>
      <w:r w:rsidR="00396552">
        <w:rPr>
          <w:lang w:val="en-AU"/>
        </w:rPr>
        <w:t xml:space="preserve"> – </w:t>
      </w:r>
      <w:r w:rsidR="00555125" w:rsidRPr="00207DC2">
        <w:rPr>
          <w:lang w:val="en-AU"/>
        </w:rPr>
        <w:t>including increased access to medical assessments</w:t>
      </w:r>
      <w:r w:rsidR="00396552">
        <w:rPr>
          <w:lang w:val="en-AU"/>
        </w:rPr>
        <w:t xml:space="preserve"> – </w:t>
      </w:r>
      <w:r w:rsidR="0072148B" w:rsidRPr="00207DC2" w:rsidDel="0072148B">
        <w:rPr>
          <w:lang w:val="en-AU"/>
        </w:rPr>
        <w:t xml:space="preserve">could play a role in </w:t>
      </w:r>
      <w:r w:rsidR="00555125" w:rsidRPr="00207DC2">
        <w:rPr>
          <w:lang w:val="en-AU"/>
        </w:rPr>
        <w:t xml:space="preserve">helping to ensure </w:t>
      </w:r>
      <w:r w:rsidR="0072148B" w:rsidRPr="00207DC2" w:rsidDel="0072148B">
        <w:rPr>
          <w:lang w:val="en-AU"/>
        </w:rPr>
        <w:t xml:space="preserve">that activity requirements </w:t>
      </w:r>
      <w:r w:rsidR="0072148B" w:rsidRPr="00207DC2">
        <w:rPr>
          <w:lang w:val="en-AU"/>
        </w:rPr>
        <w:t>better account for</w:t>
      </w:r>
      <w:r w:rsidR="0072148B" w:rsidRPr="00207DC2" w:rsidDel="0072148B">
        <w:rPr>
          <w:lang w:val="en-AU"/>
        </w:rPr>
        <w:t xml:space="preserve"> participant</w:t>
      </w:r>
      <w:r w:rsidR="0072148B" w:rsidRPr="00207DC2">
        <w:rPr>
          <w:lang w:val="en-AU"/>
        </w:rPr>
        <w:t>s’ circumstances</w:t>
      </w:r>
      <w:r w:rsidR="0072148B" w:rsidRPr="00207DC2" w:rsidDel="0072148B">
        <w:rPr>
          <w:lang w:val="en-AU"/>
        </w:rPr>
        <w:t>.</w:t>
      </w:r>
    </w:p>
    <w:p w14:paraId="62B5CFD6" w14:textId="77777777" w:rsidR="00CB6E7D" w:rsidRPr="00207DC2" w:rsidRDefault="000A53B7" w:rsidP="0021431F">
      <w:pPr>
        <w:pStyle w:val="ZED11"/>
        <w:ind w:left="357" w:hanging="357"/>
        <w:outlineLvl w:val="1"/>
      </w:pPr>
      <w:bookmarkStart w:id="261" w:name="_Toc518487834"/>
      <w:bookmarkStart w:id="262" w:name="_Toc509412975"/>
      <w:bookmarkStart w:id="263" w:name="_Toc509587038"/>
      <w:bookmarkStart w:id="264" w:name="_Toc509588064"/>
      <w:bookmarkStart w:id="265" w:name="_Toc509588327"/>
      <w:bookmarkStart w:id="266" w:name="_Toc509589475"/>
      <w:bookmarkStart w:id="267" w:name="_Toc509926893"/>
      <w:bookmarkStart w:id="268" w:name="_Toc511661243"/>
      <w:bookmarkStart w:id="269" w:name="_Toc511826294"/>
      <w:bookmarkStart w:id="270" w:name="_Toc511940611"/>
      <w:bookmarkStart w:id="271" w:name="_Toc515185456"/>
      <w:bookmarkStart w:id="272" w:name="_Toc516219830"/>
      <w:bookmarkStart w:id="273" w:name="_Toc516220471"/>
      <w:bookmarkStart w:id="274" w:name="_Toc516223291"/>
      <w:bookmarkStart w:id="275" w:name="_Toc516225199"/>
      <w:bookmarkStart w:id="276" w:name="_Toc516228975"/>
      <w:bookmarkStart w:id="277" w:name="_Toc518468054"/>
      <w:bookmarkStart w:id="278" w:name="_Toc518487835"/>
      <w:bookmarkStart w:id="279" w:name="_Toc518558798"/>
      <w:bookmarkStart w:id="280" w:name="_Toc518565321"/>
      <w:bookmarkStart w:id="281" w:name="_Toc518565565"/>
      <w:bookmarkStart w:id="282" w:name="_Toc519504736"/>
      <w:bookmarkStart w:id="283" w:name="_Toc519505960"/>
      <w:bookmarkStart w:id="284" w:name="_Toc519844066"/>
      <w:bookmarkStart w:id="285" w:name="_Toc521068568"/>
      <w:bookmarkStart w:id="286" w:name="_Toc521391082"/>
      <w:bookmarkStart w:id="287" w:name="_Toc522013251"/>
      <w:bookmarkStart w:id="288" w:name="_Toc534965161"/>
      <w:bookmarkStart w:id="289" w:name="_Toc535935049"/>
      <w:bookmarkEnd w:id="261"/>
      <w:r w:rsidRPr="00207DC2">
        <w:t>Suspensions and penalties</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Key Points Table"/>
        <w:tblDescription w:val="• The number of payment suspensions and financial penalties applied to remote employment program participants increased steadily under the Remote Jobs and Communities Program (RJCP) and the Community Development Programme (CDP), before stabilising in early 2016. Since January 2016, in any one quarter, approximately 60 per cent of CDP participants recorded at least one suspension, and a third of CDP participants experienced at least one penalty. &#10;• There is considerable variation among participants in the proportion of Australian Government payments lost to penalties. Around half of those penalised lost less than five per cent of their quarterly Australian Government payments. Since mid-2016, however, just under one in ten penalised participants lost twenty per cent or more of their payments over the quarter – this equates to between two and three per cent of all CDP participants.&#10;• Young people and men were more likely to be penalised. Younger participants under 35 years old, also lost more of their income support payments to financial penalties. The probability of being penalised and the total value of penalties applied is also higher for some groups with barriers to participation, including those with low education levels, longer durations unemployed, mixed or poor English literacy, without private transport, or not contactable by phone.&#10;• Penalties may lead to a slight improvement in subsequent attendance at Work for the Dole activities among some CDP participants. The most highly penalised CDP participants in the first quarter of 2016 increased their subsequent attendance rate over the year by seven percentage points, but their attendance was still well below average. Over the year, this group lost, on average, ten per cent of their annual income support payments in penalties. &#10;• While some program participants may respond to penalties by increasing their attendance, others may disengage from the program for a period. Indicative analysis suggests that the proportion of CDP participants who disengaged from the program and income support system without a recorded employment outcome increased by around 1 percentage point between the RJCP and the CDP. The reasons for disengagement cannot be determined from available data. &#10;• Of those CDP participants penalised in the first quarter of 2016, around six per cent disengaged over the subsequent year. Young men were disproportionally represented in this group. Most of these disengaged participants returned to the income support system over the following year, spending an average of three months off income support. However, 14 per cent spent over a year off income support."/>
      </w:tblPr>
      <w:tblGrid>
        <w:gridCol w:w="9099"/>
      </w:tblGrid>
      <w:tr w:rsidR="0014688A" w:rsidRPr="00207DC2" w14:paraId="50AC3198" w14:textId="77777777" w:rsidTr="000A3951">
        <w:trPr>
          <w:trHeight w:val="8163"/>
          <w:tblHeader/>
        </w:trPr>
        <w:tc>
          <w:tcPr>
            <w:tcW w:w="9099" w:type="dxa"/>
            <w:shd w:val="clear" w:color="auto" w:fill="D0D2D3" w:themeFill="background2"/>
          </w:tcPr>
          <w:p w14:paraId="73F33C7A" w14:textId="73594608" w:rsidR="00B657FE" w:rsidRPr="00207DC2" w:rsidRDefault="00B657FE" w:rsidP="003D7FEC">
            <w:pPr>
              <w:rPr>
                <w:lang w:val="en-AU"/>
              </w:rPr>
            </w:pPr>
            <w:r w:rsidRPr="003D7FEC">
              <w:rPr>
                <w:rFonts w:ascii="Montserrat" w:hAnsi="Montserrat"/>
                <w:b/>
                <w:lang w:val="en-AU"/>
              </w:rPr>
              <w:t>Key Poin</w:t>
            </w:r>
            <w:r w:rsidR="003D7FEC">
              <w:rPr>
                <w:rFonts w:ascii="Montserrat" w:hAnsi="Montserrat"/>
                <w:b/>
                <w:lang w:val="en-AU"/>
              </w:rPr>
              <w:t>ts</w:t>
            </w:r>
          </w:p>
          <w:p w14:paraId="5563F833" w14:textId="5233D302" w:rsidR="00BD1A70" w:rsidRPr="008050A9" w:rsidRDefault="00F14955" w:rsidP="0073475C">
            <w:pPr>
              <w:pStyle w:val="ListParagraph"/>
              <w:numPr>
                <w:ilvl w:val="0"/>
                <w:numId w:val="37"/>
              </w:numPr>
              <w:spacing w:after="120"/>
              <w:ind w:left="714" w:hanging="357"/>
              <w:contextualSpacing w:val="0"/>
              <w:jc w:val="both"/>
              <w:rPr>
                <w:lang w:val="en-AU"/>
              </w:rPr>
            </w:pPr>
            <w:r w:rsidRPr="008050A9">
              <w:rPr>
                <w:rFonts w:cstheme="minorHAnsi"/>
                <w:lang w:val="en-AU"/>
              </w:rPr>
              <w:t xml:space="preserve">The number of payment suspensions and financial penalties applied to remote employment program participants increased steadily under the </w:t>
            </w:r>
            <w:r w:rsidR="00BD1A70" w:rsidRPr="008050A9">
              <w:rPr>
                <w:lang w:val="en-AU"/>
              </w:rPr>
              <w:t>Remote Jobs and Communities Program (RJCP)</w:t>
            </w:r>
            <w:r w:rsidRPr="008050A9">
              <w:rPr>
                <w:rFonts w:cstheme="minorHAnsi"/>
                <w:lang w:val="en-AU"/>
              </w:rPr>
              <w:t xml:space="preserve"> and the </w:t>
            </w:r>
            <w:r w:rsidR="00BD1A70" w:rsidRPr="008050A9">
              <w:rPr>
                <w:lang w:val="en-AU"/>
              </w:rPr>
              <w:t>Community Development Programme (CDP)</w:t>
            </w:r>
            <w:r w:rsidRPr="008050A9">
              <w:rPr>
                <w:rFonts w:cstheme="minorHAnsi"/>
                <w:lang w:val="en-AU"/>
              </w:rPr>
              <w:t xml:space="preserve">, before stabilising in early 2016. </w:t>
            </w:r>
            <w:r w:rsidR="0014688A" w:rsidRPr="008050A9">
              <w:rPr>
                <w:lang w:val="en-AU"/>
              </w:rPr>
              <w:t>Since January 2016, in any one quarter, approximately 60 per cent of CDP participants record</w:t>
            </w:r>
            <w:r w:rsidR="00DF2395" w:rsidRPr="008050A9">
              <w:rPr>
                <w:lang w:val="en-AU"/>
              </w:rPr>
              <w:t>ed</w:t>
            </w:r>
            <w:r w:rsidR="0014688A" w:rsidRPr="008050A9">
              <w:rPr>
                <w:lang w:val="en-AU"/>
              </w:rPr>
              <w:t xml:space="preserve"> at least one suspension, and a third of CDP participants experience</w:t>
            </w:r>
            <w:r w:rsidR="00DF2395" w:rsidRPr="008050A9">
              <w:rPr>
                <w:lang w:val="en-AU"/>
              </w:rPr>
              <w:t>d</w:t>
            </w:r>
            <w:r w:rsidR="0014688A" w:rsidRPr="008050A9">
              <w:rPr>
                <w:lang w:val="en-AU"/>
              </w:rPr>
              <w:t xml:space="preserve"> </w:t>
            </w:r>
            <w:r w:rsidR="006A26E5" w:rsidRPr="008050A9">
              <w:rPr>
                <w:lang w:val="en-AU"/>
              </w:rPr>
              <w:t>at least one</w:t>
            </w:r>
            <w:r w:rsidR="0014688A" w:rsidRPr="008050A9">
              <w:rPr>
                <w:lang w:val="en-AU"/>
              </w:rPr>
              <w:t xml:space="preserve"> penalt</w:t>
            </w:r>
            <w:r w:rsidR="006A26E5" w:rsidRPr="008050A9">
              <w:rPr>
                <w:lang w:val="en-AU"/>
              </w:rPr>
              <w:t>y</w:t>
            </w:r>
            <w:r w:rsidR="0014688A" w:rsidRPr="008050A9">
              <w:rPr>
                <w:lang w:val="en-AU"/>
              </w:rPr>
              <w:t xml:space="preserve">. </w:t>
            </w:r>
          </w:p>
          <w:p w14:paraId="77359B4F" w14:textId="3AF62309" w:rsidR="00BB542B" w:rsidRPr="008050A9" w:rsidRDefault="002C33FE" w:rsidP="0073475C">
            <w:pPr>
              <w:pStyle w:val="ListParagraph"/>
              <w:numPr>
                <w:ilvl w:val="0"/>
                <w:numId w:val="37"/>
              </w:numPr>
              <w:spacing w:after="120"/>
              <w:ind w:left="714" w:hanging="357"/>
              <w:contextualSpacing w:val="0"/>
              <w:jc w:val="both"/>
              <w:rPr>
                <w:lang w:val="en-AU"/>
              </w:rPr>
            </w:pPr>
            <w:r w:rsidRPr="008050A9">
              <w:rPr>
                <w:lang w:val="en-AU"/>
              </w:rPr>
              <w:t>T</w:t>
            </w:r>
            <w:r w:rsidR="0014688A" w:rsidRPr="008050A9">
              <w:rPr>
                <w:lang w:val="en-AU"/>
              </w:rPr>
              <w:t>here is considerable variation</w:t>
            </w:r>
            <w:r w:rsidR="002C0429" w:rsidRPr="008050A9">
              <w:rPr>
                <w:lang w:val="en-AU"/>
              </w:rPr>
              <w:t xml:space="preserve"> among participants</w:t>
            </w:r>
            <w:r w:rsidR="0014688A" w:rsidRPr="008050A9">
              <w:rPr>
                <w:lang w:val="en-AU"/>
              </w:rPr>
              <w:t xml:space="preserve"> in the proporti</w:t>
            </w:r>
            <w:r w:rsidR="00BB542B" w:rsidRPr="008050A9">
              <w:rPr>
                <w:lang w:val="en-AU"/>
              </w:rPr>
              <w:t xml:space="preserve">on of </w:t>
            </w:r>
            <w:r w:rsidR="00C35BEF" w:rsidRPr="008050A9">
              <w:rPr>
                <w:lang w:val="en-AU"/>
              </w:rPr>
              <w:t xml:space="preserve">Australian Government payments </w:t>
            </w:r>
            <w:r w:rsidR="00BB542B" w:rsidRPr="008050A9">
              <w:rPr>
                <w:lang w:val="en-AU"/>
              </w:rPr>
              <w:t>lost to penalties.</w:t>
            </w:r>
            <w:r w:rsidR="006D04DD" w:rsidRPr="008050A9">
              <w:rPr>
                <w:lang w:val="en-AU"/>
              </w:rPr>
              <w:t xml:space="preserve"> Around half of those penalised lost less than five per cent of their </w:t>
            </w:r>
            <w:r w:rsidR="003F2C14" w:rsidRPr="008050A9">
              <w:rPr>
                <w:lang w:val="en-AU"/>
              </w:rPr>
              <w:t xml:space="preserve">quarterly </w:t>
            </w:r>
            <w:r w:rsidR="006D04DD" w:rsidRPr="008050A9">
              <w:rPr>
                <w:lang w:val="en-AU"/>
              </w:rPr>
              <w:t>Australian Government payments.</w:t>
            </w:r>
            <w:r w:rsidR="00BB542B" w:rsidRPr="008050A9">
              <w:rPr>
                <w:lang w:val="en-AU"/>
              </w:rPr>
              <w:t xml:space="preserve"> Since mid-2016,</w:t>
            </w:r>
            <w:r w:rsidR="00FE7406" w:rsidRPr="008050A9">
              <w:rPr>
                <w:lang w:val="en-AU"/>
              </w:rPr>
              <w:t xml:space="preserve"> however</w:t>
            </w:r>
            <w:r w:rsidR="00BB542B" w:rsidRPr="008050A9">
              <w:rPr>
                <w:lang w:val="en-AU"/>
              </w:rPr>
              <w:t xml:space="preserve">, </w:t>
            </w:r>
            <w:r w:rsidR="00260602" w:rsidRPr="008050A9">
              <w:rPr>
                <w:lang w:val="en-AU"/>
              </w:rPr>
              <w:t xml:space="preserve">just under </w:t>
            </w:r>
            <w:r w:rsidR="00F950B2" w:rsidRPr="008050A9">
              <w:rPr>
                <w:lang w:val="en-AU"/>
              </w:rPr>
              <w:t>one in ten penalised participants</w:t>
            </w:r>
            <w:r w:rsidR="00F950B2" w:rsidRPr="008050A9" w:rsidDel="00837F94">
              <w:rPr>
                <w:lang w:val="en-AU"/>
              </w:rPr>
              <w:t xml:space="preserve"> </w:t>
            </w:r>
            <w:r w:rsidR="00F950B2" w:rsidRPr="008050A9">
              <w:rPr>
                <w:lang w:val="en-AU"/>
              </w:rPr>
              <w:t>lost t</w:t>
            </w:r>
            <w:r w:rsidR="00B95124" w:rsidRPr="008050A9">
              <w:rPr>
                <w:lang w:val="en-AU"/>
              </w:rPr>
              <w:t>wenty</w:t>
            </w:r>
            <w:r w:rsidR="00F950B2" w:rsidRPr="008050A9">
              <w:rPr>
                <w:lang w:val="en-AU"/>
              </w:rPr>
              <w:t> per cent or more of their payments</w:t>
            </w:r>
            <w:r w:rsidR="00F950B2" w:rsidRPr="008050A9" w:rsidDel="00837F94">
              <w:rPr>
                <w:lang w:val="en-AU"/>
              </w:rPr>
              <w:t xml:space="preserve"> </w:t>
            </w:r>
            <w:r w:rsidR="00F950B2" w:rsidRPr="008050A9">
              <w:rPr>
                <w:lang w:val="en-AU"/>
              </w:rPr>
              <w:t xml:space="preserve">over the quarter – this equates to </w:t>
            </w:r>
            <w:r w:rsidR="00260602" w:rsidRPr="008050A9">
              <w:rPr>
                <w:lang w:val="en-AU"/>
              </w:rPr>
              <w:t xml:space="preserve">between </w:t>
            </w:r>
            <w:r w:rsidR="00BD604E" w:rsidRPr="008050A9">
              <w:rPr>
                <w:lang w:val="en-AU"/>
              </w:rPr>
              <w:t>two</w:t>
            </w:r>
            <w:r w:rsidR="00F950B2" w:rsidRPr="008050A9">
              <w:rPr>
                <w:lang w:val="en-AU"/>
              </w:rPr>
              <w:t> </w:t>
            </w:r>
            <w:r w:rsidR="00260602" w:rsidRPr="008050A9">
              <w:rPr>
                <w:lang w:val="en-AU"/>
              </w:rPr>
              <w:t>and three </w:t>
            </w:r>
            <w:r w:rsidR="00F950B2" w:rsidRPr="008050A9">
              <w:rPr>
                <w:lang w:val="en-AU"/>
              </w:rPr>
              <w:t>per cent of all CDP participants</w:t>
            </w:r>
            <w:r w:rsidR="00B80582" w:rsidRPr="008050A9">
              <w:rPr>
                <w:lang w:val="en-AU"/>
              </w:rPr>
              <w:t>.</w:t>
            </w:r>
          </w:p>
          <w:p w14:paraId="5E941D49" w14:textId="77777777" w:rsidR="00C23983" w:rsidRPr="008050A9" w:rsidRDefault="0014688A" w:rsidP="0073475C">
            <w:pPr>
              <w:pStyle w:val="ListParagraph"/>
              <w:numPr>
                <w:ilvl w:val="0"/>
                <w:numId w:val="37"/>
              </w:numPr>
              <w:spacing w:after="120"/>
              <w:ind w:left="714" w:hanging="357"/>
              <w:contextualSpacing w:val="0"/>
              <w:jc w:val="both"/>
              <w:rPr>
                <w:lang w:val="en-AU"/>
              </w:rPr>
            </w:pPr>
            <w:r w:rsidRPr="008050A9">
              <w:rPr>
                <w:lang w:val="en-AU"/>
              </w:rPr>
              <w:t xml:space="preserve">Young </w:t>
            </w:r>
            <w:r w:rsidR="00E471E5" w:rsidRPr="008050A9">
              <w:rPr>
                <w:lang w:val="en-AU"/>
              </w:rPr>
              <w:t xml:space="preserve">people and </w:t>
            </w:r>
            <w:r w:rsidRPr="008050A9">
              <w:rPr>
                <w:lang w:val="en-AU"/>
              </w:rPr>
              <w:t xml:space="preserve">men </w:t>
            </w:r>
            <w:r w:rsidR="00E471E5" w:rsidRPr="008050A9">
              <w:rPr>
                <w:lang w:val="en-AU"/>
              </w:rPr>
              <w:t>we</w:t>
            </w:r>
            <w:r w:rsidRPr="008050A9">
              <w:rPr>
                <w:lang w:val="en-AU"/>
              </w:rPr>
              <w:t xml:space="preserve">re </w:t>
            </w:r>
            <w:r w:rsidR="00FB5F93" w:rsidRPr="008050A9">
              <w:rPr>
                <w:lang w:val="en-AU"/>
              </w:rPr>
              <w:t xml:space="preserve">more </w:t>
            </w:r>
            <w:r w:rsidRPr="008050A9">
              <w:rPr>
                <w:lang w:val="en-AU"/>
              </w:rPr>
              <w:t>likely to be penalised</w:t>
            </w:r>
            <w:r w:rsidR="00BA654C" w:rsidRPr="008050A9">
              <w:rPr>
                <w:lang w:val="en-AU"/>
              </w:rPr>
              <w:t>.</w:t>
            </w:r>
            <w:r w:rsidRPr="008050A9">
              <w:rPr>
                <w:lang w:val="en-AU"/>
              </w:rPr>
              <w:t xml:space="preserve"> </w:t>
            </w:r>
            <w:r w:rsidR="00832D74" w:rsidRPr="008050A9">
              <w:rPr>
                <w:lang w:val="en-AU"/>
              </w:rPr>
              <w:t xml:space="preserve">Younger participants </w:t>
            </w:r>
            <w:r w:rsidR="00B058D4" w:rsidRPr="008050A9">
              <w:rPr>
                <w:lang w:val="en-AU"/>
              </w:rPr>
              <w:t>under 35</w:t>
            </w:r>
            <w:r w:rsidR="00832D74" w:rsidRPr="008050A9">
              <w:rPr>
                <w:lang w:val="en-AU"/>
              </w:rPr>
              <w:t> years old,</w:t>
            </w:r>
            <w:r w:rsidR="00BE4053" w:rsidRPr="008050A9">
              <w:rPr>
                <w:lang w:val="en-AU"/>
              </w:rPr>
              <w:t xml:space="preserve"> also</w:t>
            </w:r>
            <w:r w:rsidR="00832D74" w:rsidRPr="008050A9">
              <w:rPr>
                <w:lang w:val="en-AU"/>
              </w:rPr>
              <w:t xml:space="preserve"> lost</w:t>
            </w:r>
            <w:r w:rsidRPr="008050A9">
              <w:rPr>
                <w:lang w:val="en-AU"/>
              </w:rPr>
              <w:t xml:space="preserve"> </w:t>
            </w:r>
            <w:r w:rsidR="00FB5F93" w:rsidRPr="008050A9">
              <w:rPr>
                <w:lang w:val="en-AU"/>
              </w:rPr>
              <w:t>more</w:t>
            </w:r>
            <w:r w:rsidRPr="008050A9">
              <w:rPr>
                <w:lang w:val="en-AU"/>
              </w:rPr>
              <w:t xml:space="preserve"> </w:t>
            </w:r>
            <w:r w:rsidR="00FB5F93" w:rsidRPr="008050A9">
              <w:rPr>
                <w:lang w:val="en-AU"/>
              </w:rPr>
              <w:t xml:space="preserve">of </w:t>
            </w:r>
            <w:r w:rsidRPr="008050A9">
              <w:rPr>
                <w:lang w:val="en-AU"/>
              </w:rPr>
              <w:t xml:space="preserve">their income support payments to financial penalties. The probability of being penalised and </w:t>
            </w:r>
            <w:r w:rsidR="004F7E1E" w:rsidRPr="008050A9">
              <w:rPr>
                <w:lang w:val="en-AU"/>
              </w:rPr>
              <w:t>the</w:t>
            </w:r>
            <w:r w:rsidRPr="008050A9">
              <w:rPr>
                <w:lang w:val="en-AU"/>
              </w:rPr>
              <w:t xml:space="preserve"> total value of penalties applied is also higher for some groups with barriers to participation, including </w:t>
            </w:r>
            <w:r w:rsidR="00FF59BB" w:rsidRPr="008050A9">
              <w:rPr>
                <w:lang w:val="en-AU"/>
              </w:rPr>
              <w:t>those</w:t>
            </w:r>
            <w:r w:rsidRPr="008050A9">
              <w:rPr>
                <w:lang w:val="en-AU"/>
              </w:rPr>
              <w:t xml:space="preserve"> with low education levels, </w:t>
            </w:r>
            <w:r w:rsidR="00B80582" w:rsidRPr="008050A9">
              <w:rPr>
                <w:lang w:val="en-AU"/>
              </w:rPr>
              <w:t xml:space="preserve">longer durations unemployed, </w:t>
            </w:r>
            <w:r w:rsidRPr="008050A9">
              <w:rPr>
                <w:lang w:val="en-AU"/>
              </w:rPr>
              <w:t>mixed or poor English literacy, without private transport</w:t>
            </w:r>
            <w:r w:rsidR="00B80582" w:rsidRPr="008050A9">
              <w:rPr>
                <w:lang w:val="en-AU"/>
              </w:rPr>
              <w:t xml:space="preserve">, </w:t>
            </w:r>
            <w:r w:rsidR="001B6E6E" w:rsidRPr="008050A9">
              <w:rPr>
                <w:lang w:val="en-AU"/>
              </w:rPr>
              <w:t xml:space="preserve">or </w:t>
            </w:r>
            <w:r w:rsidR="00B80582" w:rsidRPr="008050A9">
              <w:rPr>
                <w:lang w:val="en-AU"/>
              </w:rPr>
              <w:t>not contactable by phone</w:t>
            </w:r>
            <w:r w:rsidRPr="008050A9">
              <w:rPr>
                <w:lang w:val="en-AU"/>
              </w:rPr>
              <w:t>.</w:t>
            </w:r>
          </w:p>
          <w:p w14:paraId="73344F76" w14:textId="1F16D29C" w:rsidR="004C4348" w:rsidRPr="008050A9" w:rsidRDefault="00562BF4" w:rsidP="0073475C">
            <w:pPr>
              <w:pStyle w:val="ListParagraph"/>
              <w:numPr>
                <w:ilvl w:val="0"/>
                <w:numId w:val="37"/>
              </w:numPr>
              <w:spacing w:after="120"/>
              <w:ind w:left="714" w:hanging="357"/>
              <w:contextualSpacing w:val="0"/>
              <w:jc w:val="both"/>
              <w:rPr>
                <w:lang w:val="en-AU"/>
              </w:rPr>
            </w:pPr>
            <w:r w:rsidRPr="008050A9">
              <w:rPr>
                <w:lang w:val="en-AU"/>
              </w:rPr>
              <w:t>P</w:t>
            </w:r>
            <w:r w:rsidR="004C4348" w:rsidRPr="008050A9">
              <w:rPr>
                <w:lang w:val="en-AU"/>
              </w:rPr>
              <w:t>enalt</w:t>
            </w:r>
            <w:r w:rsidRPr="008050A9">
              <w:rPr>
                <w:lang w:val="en-AU"/>
              </w:rPr>
              <w:t>ies</w:t>
            </w:r>
            <w:r w:rsidR="004C4348" w:rsidRPr="008050A9">
              <w:rPr>
                <w:lang w:val="en-AU"/>
              </w:rPr>
              <w:t xml:space="preserve"> </w:t>
            </w:r>
            <w:r w:rsidR="00200569" w:rsidRPr="008050A9">
              <w:rPr>
                <w:lang w:val="en-AU"/>
              </w:rPr>
              <w:t>may</w:t>
            </w:r>
            <w:r w:rsidR="00FF2F1F" w:rsidRPr="008050A9">
              <w:rPr>
                <w:lang w:val="en-AU"/>
              </w:rPr>
              <w:t xml:space="preserve"> lead to a slight improvement in</w:t>
            </w:r>
            <w:r w:rsidR="004C4348" w:rsidRPr="008050A9">
              <w:rPr>
                <w:lang w:val="en-AU"/>
              </w:rPr>
              <w:t xml:space="preserve"> subsequent attendance at Work for the Dole activities among some CDP participants. The most highly penalised CDP participants in the first quarter of 2016 increased their subsequent attendance rate over the year</w:t>
            </w:r>
            <w:r w:rsidR="00EC5BA8" w:rsidRPr="008050A9">
              <w:rPr>
                <w:lang w:val="en-AU"/>
              </w:rPr>
              <w:t xml:space="preserve"> by seven</w:t>
            </w:r>
            <w:r w:rsidR="0009107A" w:rsidRPr="008050A9">
              <w:rPr>
                <w:lang w:val="en-AU"/>
              </w:rPr>
              <w:t> </w:t>
            </w:r>
            <w:r w:rsidR="00726201" w:rsidRPr="008050A9">
              <w:rPr>
                <w:lang w:val="en-AU"/>
              </w:rPr>
              <w:t>percentage point</w:t>
            </w:r>
            <w:r w:rsidR="0009107A" w:rsidRPr="008050A9">
              <w:rPr>
                <w:lang w:val="en-AU"/>
              </w:rPr>
              <w:t>s</w:t>
            </w:r>
            <w:r w:rsidR="004C4348" w:rsidRPr="008050A9">
              <w:rPr>
                <w:lang w:val="en-AU"/>
              </w:rPr>
              <w:t xml:space="preserve">, </w:t>
            </w:r>
            <w:r w:rsidR="0009107A" w:rsidRPr="008050A9">
              <w:rPr>
                <w:lang w:val="en-AU"/>
              </w:rPr>
              <w:t xml:space="preserve">but their </w:t>
            </w:r>
            <w:r w:rsidR="004C4348" w:rsidRPr="008050A9">
              <w:rPr>
                <w:lang w:val="en-AU"/>
              </w:rPr>
              <w:t>attendance w</w:t>
            </w:r>
            <w:r w:rsidR="00DA3879" w:rsidRPr="008050A9">
              <w:rPr>
                <w:lang w:val="en-AU"/>
              </w:rPr>
              <w:t>as</w:t>
            </w:r>
            <w:r w:rsidR="004C4348" w:rsidRPr="008050A9">
              <w:rPr>
                <w:lang w:val="en-AU"/>
              </w:rPr>
              <w:t xml:space="preserve"> still </w:t>
            </w:r>
            <w:r w:rsidR="00DA3879" w:rsidRPr="008050A9">
              <w:rPr>
                <w:lang w:val="en-AU"/>
              </w:rPr>
              <w:t xml:space="preserve">well </w:t>
            </w:r>
            <w:r w:rsidR="004C4348" w:rsidRPr="008050A9">
              <w:rPr>
                <w:lang w:val="en-AU"/>
              </w:rPr>
              <w:t>below average. Over the year, this group</w:t>
            </w:r>
            <w:r w:rsidR="00726201" w:rsidRPr="008050A9">
              <w:rPr>
                <w:lang w:val="en-AU"/>
              </w:rPr>
              <w:t xml:space="preserve"> </w:t>
            </w:r>
            <w:r w:rsidR="00EC5BA8" w:rsidRPr="008050A9">
              <w:rPr>
                <w:lang w:val="en-AU"/>
              </w:rPr>
              <w:t>lost</w:t>
            </w:r>
            <w:r w:rsidR="00BE4053" w:rsidRPr="008050A9">
              <w:rPr>
                <w:lang w:val="en-AU"/>
              </w:rPr>
              <w:t>, on average,</w:t>
            </w:r>
            <w:r w:rsidR="00726201" w:rsidRPr="008050A9">
              <w:rPr>
                <w:lang w:val="en-AU"/>
              </w:rPr>
              <w:t xml:space="preserve"> </w:t>
            </w:r>
            <w:r w:rsidR="00EC5BA8" w:rsidRPr="008050A9">
              <w:rPr>
                <w:lang w:val="en-AU"/>
              </w:rPr>
              <w:t>ten</w:t>
            </w:r>
            <w:r w:rsidR="00726201" w:rsidRPr="008050A9">
              <w:rPr>
                <w:lang w:val="en-AU"/>
              </w:rPr>
              <w:t> per </w:t>
            </w:r>
            <w:r w:rsidR="004C4348" w:rsidRPr="008050A9">
              <w:rPr>
                <w:lang w:val="en-AU"/>
              </w:rPr>
              <w:t>cent of their annual income support payments</w:t>
            </w:r>
            <w:r w:rsidR="00BE4053" w:rsidRPr="008050A9">
              <w:rPr>
                <w:lang w:val="en-AU"/>
              </w:rPr>
              <w:t xml:space="preserve"> in pena</w:t>
            </w:r>
            <w:r w:rsidR="00D11C84" w:rsidRPr="008050A9">
              <w:rPr>
                <w:lang w:val="en-AU"/>
              </w:rPr>
              <w:t>lt</w:t>
            </w:r>
            <w:r w:rsidR="00BE4053" w:rsidRPr="008050A9">
              <w:rPr>
                <w:lang w:val="en-AU"/>
              </w:rPr>
              <w:t>ies</w:t>
            </w:r>
            <w:r w:rsidR="004C4348" w:rsidRPr="008050A9">
              <w:rPr>
                <w:lang w:val="en-AU"/>
              </w:rPr>
              <w:t xml:space="preserve">. </w:t>
            </w:r>
          </w:p>
          <w:p w14:paraId="38D948D2" w14:textId="6AC587C9" w:rsidR="00590EA1" w:rsidRPr="008050A9" w:rsidRDefault="00FF2F1F" w:rsidP="0073475C">
            <w:pPr>
              <w:pStyle w:val="ListParagraph"/>
              <w:numPr>
                <w:ilvl w:val="0"/>
                <w:numId w:val="37"/>
              </w:numPr>
              <w:spacing w:after="120"/>
              <w:ind w:left="714" w:hanging="357"/>
              <w:contextualSpacing w:val="0"/>
              <w:jc w:val="both"/>
              <w:rPr>
                <w:lang w:val="en-AU"/>
              </w:rPr>
            </w:pPr>
            <w:r w:rsidRPr="008050A9">
              <w:rPr>
                <w:lang w:val="en-AU"/>
              </w:rPr>
              <w:t>While some program participants may respond to penalties by increasing their attendance, others may</w:t>
            </w:r>
            <w:r w:rsidR="009B3AA1" w:rsidRPr="008050A9">
              <w:rPr>
                <w:lang w:val="en-AU"/>
              </w:rPr>
              <w:t xml:space="preserve"> </w:t>
            </w:r>
            <w:r w:rsidRPr="008050A9">
              <w:rPr>
                <w:i/>
                <w:lang w:val="en-AU"/>
              </w:rPr>
              <w:t>disengage</w:t>
            </w:r>
            <w:r w:rsidRPr="008050A9">
              <w:rPr>
                <w:lang w:val="en-AU"/>
              </w:rPr>
              <w:t xml:space="preserve"> from the program for a period. </w:t>
            </w:r>
            <w:r w:rsidR="00635A2B" w:rsidRPr="008050A9">
              <w:rPr>
                <w:lang w:val="en-AU"/>
              </w:rPr>
              <w:t xml:space="preserve">Indicative analysis </w:t>
            </w:r>
            <w:r w:rsidR="001451A2" w:rsidRPr="008050A9">
              <w:rPr>
                <w:lang w:val="en-AU"/>
              </w:rPr>
              <w:t>suggest</w:t>
            </w:r>
            <w:r w:rsidR="00E665AF" w:rsidRPr="008050A9">
              <w:rPr>
                <w:lang w:val="en-AU"/>
              </w:rPr>
              <w:t>s</w:t>
            </w:r>
            <w:r w:rsidR="001451A2" w:rsidRPr="008050A9">
              <w:rPr>
                <w:lang w:val="en-AU"/>
              </w:rPr>
              <w:t xml:space="preserve"> </w:t>
            </w:r>
            <w:r w:rsidR="00CE7888" w:rsidRPr="008050A9">
              <w:rPr>
                <w:lang w:val="en-AU"/>
              </w:rPr>
              <w:t xml:space="preserve">that the </w:t>
            </w:r>
            <w:r w:rsidR="00560618" w:rsidRPr="008050A9">
              <w:rPr>
                <w:lang w:val="en-AU"/>
              </w:rPr>
              <w:t xml:space="preserve">proportion of </w:t>
            </w:r>
            <w:r w:rsidR="001451A2" w:rsidRPr="008050A9">
              <w:rPr>
                <w:lang w:val="en-AU"/>
              </w:rPr>
              <w:t xml:space="preserve">CDP </w:t>
            </w:r>
            <w:r w:rsidR="00560618" w:rsidRPr="008050A9">
              <w:rPr>
                <w:lang w:val="en-AU"/>
              </w:rPr>
              <w:t xml:space="preserve">participants who </w:t>
            </w:r>
            <w:r w:rsidR="00560618" w:rsidRPr="008050A9">
              <w:rPr>
                <w:i/>
                <w:lang w:val="en-AU"/>
              </w:rPr>
              <w:t>disengaged</w:t>
            </w:r>
            <w:r w:rsidR="008A6C19" w:rsidRPr="008050A9">
              <w:rPr>
                <w:i/>
                <w:lang w:val="en-AU"/>
              </w:rPr>
              <w:t xml:space="preserve"> </w:t>
            </w:r>
            <w:r w:rsidR="001451A2" w:rsidRPr="008050A9">
              <w:rPr>
                <w:lang w:val="en-AU"/>
              </w:rPr>
              <w:t>from the program</w:t>
            </w:r>
            <w:r w:rsidR="00635A2B" w:rsidRPr="008050A9">
              <w:rPr>
                <w:lang w:val="en-AU"/>
              </w:rPr>
              <w:t xml:space="preserve"> and income support system</w:t>
            </w:r>
            <w:r w:rsidR="001451A2" w:rsidRPr="008050A9">
              <w:rPr>
                <w:lang w:val="en-AU"/>
              </w:rPr>
              <w:t xml:space="preserve"> </w:t>
            </w:r>
            <w:r w:rsidR="00DA0CA9" w:rsidRPr="008050A9">
              <w:rPr>
                <w:lang w:val="en-AU"/>
              </w:rPr>
              <w:t xml:space="preserve">without a recorded employment outcome </w:t>
            </w:r>
            <w:r w:rsidR="00CE7888" w:rsidRPr="008050A9">
              <w:rPr>
                <w:lang w:val="en-AU"/>
              </w:rPr>
              <w:t>increased</w:t>
            </w:r>
            <w:r w:rsidR="007778BD" w:rsidRPr="008050A9">
              <w:rPr>
                <w:lang w:val="en-AU"/>
              </w:rPr>
              <w:t xml:space="preserve"> </w:t>
            </w:r>
            <w:r w:rsidR="00E665AF" w:rsidRPr="008050A9">
              <w:rPr>
                <w:lang w:val="en-AU"/>
              </w:rPr>
              <w:t xml:space="preserve">by around </w:t>
            </w:r>
            <w:r w:rsidR="00D30648">
              <w:rPr>
                <w:lang w:val="en-AU"/>
              </w:rPr>
              <w:t>one</w:t>
            </w:r>
            <w:r w:rsidR="00E665AF" w:rsidRPr="008050A9">
              <w:rPr>
                <w:lang w:val="en-AU"/>
              </w:rPr>
              <w:t xml:space="preserve"> percentage point</w:t>
            </w:r>
            <w:r w:rsidR="00572947" w:rsidRPr="008050A9">
              <w:rPr>
                <w:lang w:val="en-AU"/>
              </w:rPr>
              <w:t xml:space="preserve"> </w:t>
            </w:r>
            <w:r w:rsidR="007778BD" w:rsidRPr="008050A9">
              <w:rPr>
                <w:lang w:val="en-AU"/>
              </w:rPr>
              <w:t>between the RJCP and</w:t>
            </w:r>
            <w:r w:rsidR="00CE7888" w:rsidRPr="008050A9">
              <w:rPr>
                <w:lang w:val="en-AU"/>
              </w:rPr>
              <w:t xml:space="preserve"> the CDP</w:t>
            </w:r>
            <w:r w:rsidR="0089169B" w:rsidRPr="008050A9">
              <w:rPr>
                <w:lang w:val="en-AU"/>
              </w:rPr>
              <w:t>. The</w:t>
            </w:r>
            <w:r w:rsidR="006B2769" w:rsidRPr="008050A9">
              <w:rPr>
                <w:lang w:val="en-AU"/>
              </w:rPr>
              <w:t xml:space="preserve"> reasons for </w:t>
            </w:r>
            <w:r w:rsidR="006A54FC" w:rsidRPr="008050A9">
              <w:rPr>
                <w:i/>
                <w:lang w:val="en-AU"/>
              </w:rPr>
              <w:t>disengagement</w:t>
            </w:r>
            <w:r w:rsidR="006A54FC" w:rsidRPr="008050A9">
              <w:rPr>
                <w:lang w:val="en-AU"/>
              </w:rPr>
              <w:t xml:space="preserve"> </w:t>
            </w:r>
            <w:r w:rsidR="006B2769" w:rsidRPr="008050A9">
              <w:rPr>
                <w:lang w:val="en-AU"/>
              </w:rPr>
              <w:t>cannot be determined from available data</w:t>
            </w:r>
            <w:r w:rsidR="00CE7888" w:rsidRPr="008050A9">
              <w:rPr>
                <w:lang w:val="en-AU"/>
              </w:rPr>
              <w:t xml:space="preserve">. </w:t>
            </w:r>
          </w:p>
          <w:p w14:paraId="02CB69F3" w14:textId="52771D96" w:rsidR="006D5B26" w:rsidRPr="008050A9" w:rsidRDefault="00CE7888" w:rsidP="0073475C">
            <w:pPr>
              <w:pStyle w:val="ListParagraph"/>
              <w:numPr>
                <w:ilvl w:val="0"/>
                <w:numId w:val="37"/>
              </w:numPr>
              <w:spacing w:after="120"/>
              <w:ind w:left="714" w:hanging="357"/>
              <w:contextualSpacing w:val="0"/>
              <w:jc w:val="both"/>
              <w:rPr>
                <w:lang w:val="en-AU"/>
              </w:rPr>
            </w:pPr>
            <w:r w:rsidRPr="008050A9">
              <w:rPr>
                <w:lang w:val="en-AU"/>
              </w:rPr>
              <w:t xml:space="preserve">Of </w:t>
            </w:r>
            <w:r w:rsidR="00BE3B88" w:rsidRPr="008050A9">
              <w:rPr>
                <w:lang w:val="en-AU"/>
              </w:rPr>
              <w:t xml:space="preserve">those CDP participants penalised in the first quarter of </w:t>
            </w:r>
            <w:r w:rsidR="005B769E" w:rsidRPr="008050A9">
              <w:rPr>
                <w:lang w:val="en-AU"/>
              </w:rPr>
              <w:t>2016</w:t>
            </w:r>
            <w:r w:rsidR="000431BD" w:rsidRPr="008050A9">
              <w:rPr>
                <w:lang w:val="en-AU"/>
              </w:rPr>
              <w:t>,</w:t>
            </w:r>
            <w:r w:rsidR="005B769E" w:rsidRPr="008050A9">
              <w:rPr>
                <w:lang w:val="en-AU"/>
              </w:rPr>
              <w:t xml:space="preserve"> around</w:t>
            </w:r>
            <w:r w:rsidR="00BE3B88" w:rsidRPr="008050A9">
              <w:rPr>
                <w:lang w:val="en-AU"/>
              </w:rPr>
              <w:t xml:space="preserve"> </w:t>
            </w:r>
            <w:r w:rsidR="007F7444" w:rsidRPr="008050A9">
              <w:rPr>
                <w:lang w:val="en-AU"/>
              </w:rPr>
              <w:t>six</w:t>
            </w:r>
            <w:r w:rsidR="00BE3B88" w:rsidRPr="008050A9">
              <w:rPr>
                <w:lang w:val="en-AU"/>
              </w:rPr>
              <w:t> per cent</w:t>
            </w:r>
            <w:r w:rsidR="008A6C19" w:rsidRPr="008050A9">
              <w:rPr>
                <w:lang w:val="en-AU"/>
              </w:rPr>
              <w:t xml:space="preserve"> </w:t>
            </w:r>
            <w:r w:rsidR="008A6C19" w:rsidRPr="008050A9">
              <w:rPr>
                <w:i/>
                <w:lang w:val="en-AU"/>
              </w:rPr>
              <w:t xml:space="preserve">disengaged </w:t>
            </w:r>
            <w:r w:rsidR="008A6C19" w:rsidRPr="008050A9">
              <w:rPr>
                <w:lang w:val="en-AU"/>
              </w:rPr>
              <w:t>over the subsequent year</w:t>
            </w:r>
            <w:r w:rsidR="00BE3B88" w:rsidRPr="008050A9">
              <w:rPr>
                <w:lang w:val="en-AU"/>
              </w:rPr>
              <w:t xml:space="preserve">. </w:t>
            </w:r>
            <w:r w:rsidR="00FF2F1F" w:rsidRPr="008050A9">
              <w:rPr>
                <w:lang w:val="en-AU"/>
              </w:rPr>
              <w:t xml:space="preserve">Young men were disproportionally represented in </w:t>
            </w:r>
            <w:r w:rsidR="005C72F5" w:rsidRPr="008050A9">
              <w:rPr>
                <w:lang w:val="en-AU"/>
              </w:rPr>
              <w:t>this</w:t>
            </w:r>
            <w:r w:rsidR="00FF2F1F" w:rsidRPr="008050A9">
              <w:rPr>
                <w:lang w:val="en-AU"/>
              </w:rPr>
              <w:t xml:space="preserve"> group.</w:t>
            </w:r>
            <w:r w:rsidR="006E5AEB" w:rsidRPr="008050A9">
              <w:rPr>
                <w:lang w:val="en-AU"/>
              </w:rPr>
              <w:t xml:space="preserve"> </w:t>
            </w:r>
            <w:r w:rsidR="00EC5BA8" w:rsidRPr="008050A9">
              <w:rPr>
                <w:lang w:val="en-AU"/>
              </w:rPr>
              <w:t>Most of these</w:t>
            </w:r>
            <w:r w:rsidR="009B3AA1" w:rsidRPr="008050A9">
              <w:rPr>
                <w:lang w:val="en-AU"/>
              </w:rPr>
              <w:t xml:space="preserve"> </w:t>
            </w:r>
            <w:r w:rsidR="009B3AA1" w:rsidRPr="008050A9">
              <w:rPr>
                <w:i/>
                <w:lang w:val="en-AU"/>
              </w:rPr>
              <w:t>d</w:t>
            </w:r>
            <w:r w:rsidR="006E5AEB" w:rsidRPr="008050A9">
              <w:rPr>
                <w:i/>
                <w:lang w:val="en-AU"/>
              </w:rPr>
              <w:t xml:space="preserve">isengaged </w:t>
            </w:r>
            <w:r w:rsidR="005E3C0D" w:rsidRPr="008050A9">
              <w:rPr>
                <w:lang w:val="en-AU"/>
              </w:rPr>
              <w:t>participants</w:t>
            </w:r>
            <w:r w:rsidR="009B3AA1" w:rsidRPr="008050A9">
              <w:rPr>
                <w:lang w:val="en-AU"/>
              </w:rPr>
              <w:t xml:space="preserve"> </w:t>
            </w:r>
            <w:r w:rsidR="005A7297" w:rsidRPr="008050A9">
              <w:rPr>
                <w:lang w:val="en-AU"/>
              </w:rPr>
              <w:t>returned to the income support system over the following year</w:t>
            </w:r>
            <w:r w:rsidR="00113430" w:rsidRPr="008050A9">
              <w:rPr>
                <w:lang w:val="en-AU"/>
              </w:rPr>
              <w:t>,</w:t>
            </w:r>
            <w:r w:rsidR="009B3AA1" w:rsidRPr="008050A9">
              <w:rPr>
                <w:lang w:val="en-AU"/>
              </w:rPr>
              <w:t xml:space="preserve"> spending</w:t>
            </w:r>
            <w:r w:rsidR="003257EC" w:rsidRPr="008050A9">
              <w:rPr>
                <w:lang w:val="en-AU"/>
              </w:rPr>
              <w:t xml:space="preserve"> </w:t>
            </w:r>
            <w:r w:rsidR="005E3C0D" w:rsidRPr="008050A9">
              <w:rPr>
                <w:lang w:val="en-AU"/>
              </w:rPr>
              <w:t xml:space="preserve">an average of </w:t>
            </w:r>
            <w:r w:rsidR="00E7278B" w:rsidRPr="008050A9">
              <w:rPr>
                <w:lang w:val="en-AU"/>
              </w:rPr>
              <w:t>three</w:t>
            </w:r>
            <w:r w:rsidR="003257EC" w:rsidRPr="008050A9">
              <w:rPr>
                <w:lang w:val="en-AU"/>
              </w:rPr>
              <w:t> months</w:t>
            </w:r>
            <w:r w:rsidR="006E5AEB" w:rsidRPr="008050A9">
              <w:rPr>
                <w:lang w:val="en-AU"/>
              </w:rPr>
              <w:t xml:space="preserve"> off income support</w:t>
            </w:r>
            <w:r w:rsidR="003257EC" w:rsidRPr="008050A9">
              <w:rPr>
                <w:lang w:val="en-AU"/>
              </w:rPr>
              <w:t>.</w:t>
            </w:r>
            <w:r w:rsidR="002C1C57" w:rsidRPr="008050A9">
              <w:rPr>
                <w:lang w:val="en-AU"/>
              </w:rPr>
              <w:t xml:space="preserve"> </w:t>
            </w:r>
            <w:r w:rsidR="005A7297" w:rsidRPr="008050A9">
              <w:rPr>
                <w:lang w:val="en-AU"/>
              </w:rPr>
              <w:t xml:space="preserve">However, </w:t>
            </w:r>
            <w:r w:rsidR="00D36F66" w:rsidRPr="008050A9">
              <w:rPr>
                <w:lang w:val="en-AU"/>
              </w:rPr>
              <w:t>14</w:t>
            </w:r>
            <w:r w:rsidR="00EB0F93" w:rsidRPr="008050A9">
              <w:rPr>
                <w:lang w:val="en-AU"/>
              </w:rPr>
              <w:t> </w:t>
            </w:r>
            <w:r w:rsidR="00D36F66" w:rsidRPr="008050A9">
              <w:rPr>
                <w:lang w:val="en-AU"/>
              </w:rPr>
              <w:t>per</w:t>
            </w:r>
            <w:r w:rsidR="00EB0F93" w:rsidRPr="008050A9">
              <w:rPr>
                <w:lang w:val="en-AU"/>
              </w:rPr>
              <w:t> </w:t>
            </w:r>
            <w:r w:rsidR="00D36F66" w:rsidRPr="008050A9">
              <w:rPr>
                <w:lang w:val="en-AU"/>
              </w:rPr>
              <w:t xml:space="preserve">cent </w:t>
            </w:r>
            <w:r w:rsidR="006E5AEB" w:rsidRPr="008050A9">
              <w:rPr>
                <w:lang w:val="en-AU"/>
              </w:rPr>
              <w:t>spent over a year off income support.</w:t>
            </w:r>
          </w:p>
        </w:tc>
      </w:tr>
    </w:tbl>
    <w:p w14:paraId="78F77566" w14:textId="0FDD639C" w:rsidR="00113430" w:rsidRPr="00207DC2" w:rsidRDefault="001D2957" w:rsidP="00113430">
      <w:pPr>
        <w:tabs>
          <w:tab w:val="left" w:pos="5529"/>
        </w:tabs>
        <w:spacing w:before="240"/>
        <w:jc w:val="both"/>
        <w:rPr>
          <w:lang w:val="en-AU"/>
        </w:rPr>
      </w:pPr>
      <w:r w:rsidRPr="00207DC2">
        <w:rPr>
          <w:lang w:val="en-AU"/>
        </w:rPr>
        <w:t>A participant can be deemed to have not met their m</w:t>
      </w:r>
      <w:r w:rsidR="00113430" w:rsidRPr="00207DC2">
        <w:rPr>
          <w:lang w:val="en-AU"/>
        </w:rPr>
        <w:t>utual obligation</w:t>
      </w:r>
      <w:r w:rsidRPr="00207DC2">
        <w:rPr>
          <w:lang w:val="en-AU"/>
        </w:rPr>
        <w:t>s</w:t>
      </w:r>
      <w:r w:rsidR="00113430" w:rsidRPr="00207DC2">
        <w:rPr>
          <w:lang w:val="en-AU"/>
        </w:rPr>
        <w:t xml:space="preserve"> for </w:t>
      </w:r>
      <w:r w:rsidRPr="00207DC2">
        <w:rPr>
          <w:lang w:val="en-AU"/>
        </w:rPr>
        <w:t xml:space="preserve">failing to attend an </w:t>
      </w:r>
      <w:r w:rsidR="00113430" w:rsidRPr="00207DC2">
        <w:rPr>
          <w:lang w:val="en-AU"/>
        </w:rPr>
        <w:t xml:space="preserve">appointment, </w:t>
      </w:r>
      <w:r w:rsidRPr="00207DC2">
        <w:rPr>
          <w:lang w:val="en-AU"/>
        </w:rPr>
        <w:t xml:space="preserve">activity or job interview, or for </w:t>
      </w:r>
      <w:r w:rsidR="00D11C84" w:rsidRPr="00207DC2">
        <w:rPr>
          <w:lang w:val="en-AU"/>
        </w:rPr>
        <w:t>failing</w:t>
      </w:r>
      <w:r w:rsidRPr="00207DC2">
        <w:rPr>
          <w:lang w:val="en-AU"/>
        </w:rPr>
        <w:t xml:space="preserve"> to sign a job plan</w:t>
      </w:r>
      <w:r w:rsidR="00113430" w:rsidRPr="00207DC2">
        <w:rPr>
          <w:lang w:val="en-AU"/>
        </w:rPr>
        <w:t xml:space="preserve"> or to accept a suitable job (without a valid reason). </w:t>
      </w:r>
      <w:r w:rsidR="000A53B7" w:rsidRPr="00207DC2">
        <w:rPr>
          <w:lang w:val="en-AU"/>
        </w:rPr>
        <w:t>Under the compliance framework</w:t>
      </w:r>
      <w:r w:rsidR="00DD5E84" w:rsidRPr="00207DC2">
        <w:rPr>
          <w:lang w:val="en-AU"/>
        </w:rPr>
        <w:t>,</w:t>
      </w:r>
      <w:r w:rsidR="000A53B7" w:rsidRPr="00207DC2">
        <w:rPr>
          <w:lang w:val="en-AU"/>
        </w:rPr>
        <w:t xml:space="preserve"> which applies to all Australian </w:t>
      </w:r>
      <w:r w:rsidR="00903A7A">
        <w:rPr>
          <w:lang w:val="en-AU"/>
        </w:rPr>
        <w:t>activity-tested</w:t>
      </w:r>
      <w:r w:rsidR="00DA7C62" w:rsidRPr="00207DC2">
        <w:rPr>
          <w:lang w:val="en-AU"/>
        </w:rPr>
        <w:t xml:space="preserve"> income support recipients</w:t>
      </w:r>
      <w:r w:rsidR="000A53B7" w:rsidRPr="00207DC2">
        <w:rPr>
          <w:lang w:val="en-AU"/>
        </w:rPr>
        <w:t xml:space="preserve">, if a participant fails to fulfil their mutual obligation requirements </w:t>
      </w:r>
      <w:r w:rsidR="00FB5F93" w:rsidRPr="00207DC2">
        <w:rPr>
          <w:lang w:val="en-AU"/>
        </w:rPr>
        <w:t xml:space="preserve">then </w:t>
      </w:r>
      <w:r w:rsidR="000A53B7" w:rsidRPr="00207DC2">
        <w:rPr>
          <w:rFonts w:cstheme="minorHAnsi"/>
          <w:lang w:val="en-AU"/>
        </w:rPr>
        <w:t xml:space="preserve">their income </w:t>
      </w:r>
      <w:r w:rsidR="00C706FF" w:rsidRPr="00207DC2">
        <w:rPr>
          <w:rFonts w:cstheme="minorHAnsi"/>
          <w:lang w:val="en-AU"/>
        </w:rPr>
        <w:t>support</w:t>
      </w:r>
      <w:r w:rsidR="000A53B7" w:rsidRPr="00207DC2">
        <w:rPr>
          <w:rFonts w:cstheme="minorHAnsi"/>
          <w:lang w:val="en-AU"/>
        </w:rPr>
        <w:t xml:space="preserve"> payments may be suspended until they re-engage with the</w:t>
      </w:r>
      <w:r w:rsidR="0087120E" w:rsidRPr="00207DC2">
        <w:rPr>
          <w:rFonts w:cstheme="minorHAnsi"/>
          <w:lang w:val="en-AU"/>
        </w:rPr>
        <w:t>ir</w:t>
      </w:r>
      <w:r w:rsidR="000A53B7" w:rsidRPr="00207DC2">
        <w:rPr>
          <w:rFonts w:cstheme="minorHAnsi"/>
          <w:lang w:val="en-AU"/>
        </w:rPr>
        <w:t xml:space="preserve"> employment provide</w:t>
      </w:r>
      <w:r w:rsidR="00DB738B" w:rsidRPr="00207DC2">
        <w:rPr>
          <w:rFonts w:cstheme="minorHAnsi"/>
          <w:lang w:val="en-AU"/>
        </w:rPr>
        <w:t>r</w:t>
      </w:r>
      <w:r w:rsidR="00FB5F93" w:rsidRPr="00207DC2">
        <w:rPr>
          <w:rFonts w:cstheme="minorHAnsi"/>
          <w:lang w:val="en-AU"/>
        </w:rPr>
        <w:t>.</w:t>
      </w:r>
      <w:r w:rsidR="00DB738B" w:rsidRPr="00207DC2">
        <w:rPr>
          <w:rFonts w:cstheme="minorHAnsi"/>
          <w:lang w:val="en-AU"/>
        </w:rPr>
        <w:t xml:space="preserve"> </w:t>
      </w:r>
      <w:r w:rsidR="00FB5F93" w:rsidRPr="00207DC2">
        <w:rPr>
          <w:rFonts w:cstheme="minorHAnsi"/>
          <w:lang w:val="en-AU"/>
        </w:rPr>
        <w:t>E</w:t>
      </w:r>
      <w:r w:rsidR="00DB738B" w:rsidRPr="00207DC2">
        <w:rPr>
          <w:rFonts w:cstheme="minorHAnsi"/>
          <w:lang w:val="en-AU"/>
        </w:rPr>
        <w:t>ven after re</w:t>
      </w:r>
      <w:r w:rsidR="00C45611">
        <w:rPr>
          <w:rFonts w:cstheme="minorHAnsi"/>
          <w:lang w:val="en-AU"/>
        </w:rPr>
        <w:noBreakHyphen/>
      </w:r>
      <w:r w:rsidR="00DB738B" w:rsidRPr="00207DC2">
        <w:rPr>
          <w:rFonts w:cstheme="minorHAnsi"/>
          <w:lang w:val="en-AU"/>
        </w:rPr>
        <w:t>engaging</w:t>
      </w:r>
      <w:r w:rsidR="00994F17" w:rsidRPr="00207DC2">
        <w:rPr>
          <w:rFonts w:cstheme="minorHAnsi"/>
          <w:lang w:val="en-AU"/>
        </w:rPr>
        <w:t>,</w:t>
      </w:r>
      <w:r w:rsidR="00FB5F93" w:rsidRPr="00207DC2">
        <w:rPr>
          <w:rFonts w:cstheme="minorHAnsi"/>
          <w:lang w:val="en-AU"/>
        </w:rPr>
        <w:t xml:space="preserve"> </w:t>
      </w:r>
      <w:r w:rsidR="00113430" w:rsidRPr="00207DC2">
        <w:rPr>
          <w:rFonts w:cstheme="minorHAnsi"/>
          <w:lang w:val="en-AU"/>
        </w:rPr>
        <w:t xml:space="preserve">participants </w:t>
      </w:r>
      <w:r w:rsidR="000A53B7" w:rsidRPr="00207DC2">
        <w:rPr>
          <w:rFonts w:cstheme="minorHAnsi"/>
          <w:lang w:val="en-AU"/>
        </w:rPr>
        <w:t>can face financial penalties</w:t>
      </w:r>
      <w:r w:rsidR="000A53B7" w:rsidRPr="00207DC2">
        <w:rPr>
          <w:lang w:val="en-AU"/>
        </w:rPr>
        <w:t xml:space="preserve">. </w:t>
      </w:r>
    </w:p>
    <w:p w14:paraId="485FD173" w14:textId="65669EFD" w:rsidR="000A53B7" w:rsidRPr="00207DC2" w:rsidRDefault="000A53B7" w:rsidP="003532EC">
      <w:pPr>
        <w:tabs>
          <w:tab w:val="left" w:pos="8222"/>
        </w:tabs>
        <w:jc w:val="both"/>
        <w:rPr>
          <w:lang w:val="en-AU"/>
        </w:rPr>
      </w:pPr>
      <w:r w:rsidRPr="00207DC2">
        <w:rPr>
          <w:lang w:val="en-AU"/>
        </w:rPr>
        <w:t>When a</w:t>
      </w:r>
      <w:r w:rsidR="00C706FF" w:rsidRPr="00207DC2">
        <w:rPr>
          <w:lang w:val="en-AU"/>
        </w:rPr>
        <w:t>n employment</w:t>
      </w:r>
      <w:r w:rsidRPr="00207DC2">
        <w:rPr>
          <w:lang w:val="en-AU"/>
        </w:rPr>
        <w:t xml:space="preserve"> provider report</w:t>
      </w:r>
      <w:r w:rsidR="00C706FF" w:rsidRPr="00207DC2">
        <w:rPr>
          <w:lang w:val="en-AU"/>
        </w:rPr>
        <w:t>s</w:t>
      </w:r>
      <w:r w:rsidRPr="00207DC2">
        <w:rPr>
          <w:lang w:val="en-AU"/>
        </w:rPr>
        <w:t xml:space="preserve"> a failure to </w:t>
      </w:r>
      <w:r w:rsidR="003971CF" w:rsidRPr="00207DC2">
        <w:rPr>
          <w:lang w:val="en-AU"/>
        </w:rPr>
        <w:t>DHS</w:t>
      </w:r>
      <w:r w:rsidRPr="00207DC2">
        <w:rPr>
          <w:lang w:val="en-AU"/>
        </w:rPr>
        <w:t>, the participant</w:t>
      </w:r>
      <w:r w:rsidR="007B0599" w:rsidRPr="00207DC2">
        <w:rPr>
          <w:lang w:val="en-AU"/>
        </w:rPr>
        <w:t>’</w:t>
      </w:r>
      <w:r w:rsidRPr="00207DC2">
        <w:rPr>
          <w:lang w:val="en-AU"/>
        </w:rPr>
        <w:t xml:space="preserve">s income support payments are automatically suspended. </w:t>
      </w:r>
      <w:r w:rsidR="00504516" w:rsidRPr="00207DC2">
        <w:rPr>
          <w:lang w:val="en-AU"/>
        </w:rPr>
        <w:t>Participants</w:t>
      </w:r>
      <w:r w:rsidR="00E10B7B" w:rsidRPr="00207DC2">
        <w:rPr>
          <w:lang w:val="en-AU"/>
        </w:rPr>
        <w:t xml:space="preserve"> with a suspension</w:t>
      </w:r>
      <w:r w:rsidR="007D2C67" w:rsidRPr="00207DC2">
        <w:rPr>
          <w:lang w:val="en-AU"/>
        </w:rPr>
        <w:t xml:space="preserve"> </w:t>
      </w:r>
      <w:r w:rsidR="00010BFF" w:rsidRPr="00207DC2">
        <w:rPr>
          <w:lang w:val="en-AU"/>
        </w:rPr>
        <w:t>are</w:t>
      </w:r>
      <w:r w:rsidR="007D2C67" w:rsidRPr="00207DC2">
        <w:rPr>
          <w:lang w:val="en-AU"/>
        </w:rPr>
        <w:t xml:space="preserve"> required to </w:t>
      </w:r>
      <w:r w:rsidR="00306148" w:rsidRPr="00207DC2">
        <w:rPr>
          <w:lang w:val="en-AU"/>
        </w:rPr>
        <w:t>re</w:t>
      </w:r>
      <w:r w:rsidR="00ED3285" w:rsidRPr="00207DC2">
        <w:rPr>
          <w:lang w:val="en-AU"/>
        </w:rPr>
        <w:noBreakHyphen/>
      </w:r>
      <w:r w:rsidR="00306148" w:rsidRPr="00207DC2">
        <w:rPr>
          <w:lang w:val="en-AU"/>
        </w:rPr>
        <w:t xml:space="preserve">engage with their provider and/or </w:t>
      </w:r>
      <w:r w:rsidR="007D2C67" w:rsidRPr="00207DC2">
        <w:rPr>
          <w:lang w:val="en-AU"/>
        </w:rPr>
        <w:t>contact</w:t>
      </w:r>
      <w:r w:rsidR="007D2C67" w:rsidRPr="00207DC2" w:rsidDel="00CB6BB7">
        <w:rPr>
          <w:lang w:val="en-AU"/>
        </w:rPr>
        <w:t xml:space="preserve"> </w:t>
      </w:r>
      <w:r w:rsidR="00CB6BB7" w:rsidRPr="00207DC2">
        <w:rPr>
          <w:lang w:val="en-AU"/>
        </w:rPr>
        <w:t>DHS</w:t>
      </w:r>
      <w:r w:rsidR="007D2C67" w:rsidRPr="00207DC2">
        <w:rPr>
          <w:lang w:val="en-AU"/>
        </w:rPr>
        <w:t xml:space="preserve"> to discuss the reasons.</w:t>
      </w:r>
      <w:r w:rsidR="00010BFF" w:rsidRPr="00207DC2">
        <w:rPr>
          <w:lang w:val="en-AU"/>
        </w:rPr>
        <w:t xml:space="preserve"> </w:t>
      </w:r>
      <w:r w:rsidR="00F17FE5" w:rsidRPr="00207DC2">
        <w:rPr>
          <w:lang w:val="en-AU"/>
        </w:rPr>
        <w:t>DHS</w:t>
      </w:r>
      <w:r w:rsidR="00010BFF" w:rsidRPr="00207DC2">
        <w:rPr>
          <w:lang w:val="en-AU"/>
        </w:rPr>
        <w:t xml:space="preserve"> decides whether to apply a penalty</w:t>
      </w:r>
      <w:r w:rsidR="00926DD8" w:rsidRPr="00207DC2">
        <w:rPr>
          <w:lang w:val="en-AU"/>
        </w:rPr>
        <w:t xml:space="preserve"> based on the rules </w:t>
      </w:r>
      <w:r w:rsidR="00F17FE5" w:rsidRPr="00207DC2">
        <w:rPr>
          <w:lang w:val="en-AU"/>
        </w:rPr>
        <w:t>set out in social security law</w:t>
      </w:r>
      <w:r w:rsidR="008B4AC2" w:rsidRPr="00207DC2">
        <w:rPr>
          <w:lang w:val="en-AU"/>
        </w:rPr>
        <w:t>.</w:t>
      </w:r>
      <w:r w:rsidR="00926DD8" w:rsidRPr="00207DC2">
        <w:rPr>
          <w:lang w:val="en-AU"/>
        </w:rPr>
        <w:t xml:space="preserve"> </w:t>
      </w:r>
      <w:r w:rsidR="0065178B" w:rsidRPr="00207DC2">
        <w:rPr>
          <w:lang w:val="en-AU"/>
        </w:rPr>
        <w:t>A</w:t>
      </w:r>
      <w:r w:rsidR="00926DD8" w:rsidRPr="00207DC2">
        <w:rPr>
          <w:lang w:val="en-AU"/>
        </w:rPr>
        <w:t xml:space="preserve"> failure is only investigated by D</w:t>
      </w:r>
      <w:r w:rsidR="0098387F">
        <w:rPr>
          <w:lang w:val="en-AU"/>
        </w:rPr>
        <w:t xml:space="preserve">epartment of </w:t>
      </w:r>
      <w:r w:rsidR="00926DD8" w:rsidRPr="00207DC2">
        <w:rPr>
          <w:lang w:val="en-AU"/>
        </w:rPr>
        <w:t>H</w:t>
      </w:r>
      <w:r w:rsidR="0098387F">
        <w:rPr>
          <w:lang w:val="en-AU"/>
        </w:rPr>
        <w:t xml:space="preserve">uman </w:t>
      </w:r>
      <w:r w:rsidR="00926DD8" w:rsidRPr="00207DC2">
        <w:rPr>
          <w:lang w:val="en-AU"/>
        </w:rPr>
        <w:t>S</w:t>
      </w:r>
      <w:r w:rsidR="0098387F">
        <w:rPr>
          <w:lang w:val="en-AU"/>
        </w:rPr>
        <w:t>ervices (DHS)</w:t>
      </w:r>
      <w:r w:rsidR="00926DD8" w:rsidRPr="00207DC2">
        <w:rPr>
          <w:lang w:val="en-AU"/>
        </w:rPr>
        <w:t xml:space="preserve"> if reported by the </w:t>
      </w:r>
      <w:r w:rsidR="0098387F">
        <w:rPr>
          <w:lang w:val="en-AU"/>
        </w:rPr>
        <w:t>Community Development Programme (</w:t>
      </w:r>
      <w:r w:rsidR="00926DD8" w:rsidRPr="00207DC2">
        <w:rPr>
          <w:lang w:val="en-AU"/>
        </w:rPr>
        <w:t>CDP</w:t>
      </w:r>
      <w:r w:rsidR="0098387F">
        <w:rPr>
          <w:lang w:val="en-AU"/>
        </w:rPr>
        <w:t>)</w:t>
      </w:r>
      <w:r w:rsidR="00926DD8" w:rsidRPr="00207DC2">
        <w:rPr>
          <w:lang w:val="en-AU"/>
        </w:rPr>
        <w:t xml:space="preserve"> provider</w:t>
      </w:r>
      <w:r w:rsidR="0065178B" w:rsidRPr="00207DC2">
        <w:rPr>
          <w:lang w:val="en-AU"/>
        </w:rPr>
        <w:t>.</w:t>
      </w:r>
    </w:p>
    <w:p w14:paraId="1EF30B4F" w14:textId="1F000D9E" w:rsidR="000A53B7" w:rsidRPr="00207DC2" w:rsidRDefault="000A53B7" w:rsidP="000A53B7">
      <w:pPr>
        <w:jc w:val="both"/>
        <w:rPr>
          <w:rFonts w:cstheme="minorHAnsi"/>
          <w:lang w:val="en-AU"/>
        </w:rPr>
      </w:pPr>
      <w:r w:rsidRPr="00207DC2">
        <w:rPr>
          <w:rFonts w:cstheme="minorHAnsi"/>
          <w:lang w:val="en-AU"/>
        </w:rPr>
        <w:t>This chapter examines trends in suspensions and financial penalties</w:t>
      </w:r>
      <w:r w:rsidR="00B21BC3" w:rsidRPr="00207DC2">
        <w:rPr>
          <w:rFonts w:cstheme="minorHAnsi"/>
          <w:lang w:val="en-AU"/>
        </w:rPr>
        <w:t xml:space="preserve"> for CDP </w:t>
      </w:r>
      <w:r w:rsidR="000D6EBD" w:rsidRPr="00207DC2">
        <w:rPr>
          <w:rFonts w:cstheme="minorHAnsi"/>
          <w:lang w:val="en-AU"/>
        </w:rPr>
        <w:t xml:space="preserve">participants </w:t>
      </w:r>
      <w:r w:rsidRPr="00207DC2">
        <w:rPr>
          <w:rFonts w:cstheme="minorHAnsi"/>
          <w:lang w:val="en-AU"/>
        </w:rPr>
        <w:t>and the regional and individual financial impact</w:t>
      </w:r>
      <w:r w:rsidR="00B21BC3" w:rsidRPr="00207DC2">
        <w:rPr>
          <w:rFonts w:cstheme="minorHAnsi"/>
          <w:lang w:val="en-AU"/>
        </w:rPr>
        <w:t xml:space="preserve"> of penalties</w:t>
      </w:r>
      <w:r w:rsidRPr="00207DC2">
        <w:rPr>
          <w:rFonts w:cstheme="minorHAnsi"/>
          <w:lang w:val="en-AU"/>
        </w:rPr>
        <w:t>.</w:t>
      </w:r>
    </w:p>
    <w:tbl>
      <w:tblPr>
        <w:tblStyle w:val="TableGrid"/>
        <w:tblW w:w="0" w:type="auto"/>
        <w:tblLook w:val="04A0" w:firstRow="1" w:lastRow="0" w:firstColumn="1" w:lastColumn="0" w:noHBand="0" w:noVBand="1"/>
        <w:tblCaption w:val="Box 3.1 Program changes during the study period"/>
      </w:tblPr>
      <w:tblGrid>
        <w:gridCol w:w="9099"/>
      </w:tblGrid>
      <w:tr w:rsidR="008A4C86" w:rsidRPr="00207DC2" w14:paraId="086958D2" w14:textId="77777777" w:rsidTr="000A3951">
        <w:trPr>
          <w:tblHeader/>
        </w:trPr>
        <w:tc>
          <w:tcPr>
            <w:tcW w:w="9099" w:type="dxa"/>
          </w:tcPr>
          <w:p w14:paraId="770152FB" w14:textId="6D723510" w:rsidR="00AB3195" w:rsidRPr="003D7FEC" w:rsidRDefault="008A4C86" w:rsidP="0082764D">
            <w:pPr>
              <w:jc w:val="both"/>
              <w:rPr>
                <w:rFonts w:ascii="Montserrat" w:eastAsia="Times New Roman" w:hAnsi="Montserrat"/>
                <w:b/>
                <w:lang w:val="en-AU"/>
              </w:rPr>
            </w:pPr>
            <w:r w:rsidRPr="003D7FEC">
              <w:rPr>
                <w:rFonts w:ascii="Montserrat" w:eastAsia="Times New Roman" w:hAnsi="Montserrat"/>
                <w:b/>
                <w:lang w:val="en-AU"/>
              </w:rPr>
              <w:t xml:space="preserve">Box 3.1 </w:t>
            </w:r>
            <w:r w:rsidR="00364F96" w:rsidRPr="003D7FEC">
              <w:rPr>
                <w:rFonts w:ascii="Montserrat" w:eastAsia="Times New Roman" w:hAnsi="Montserrat"/>
                <w:b/>
                <w:lang w:val="en-AU"/>
              </w:rPr>
              <w:t xml:space="preserve">Program </w:t>
            </w:r>
            <w:r w:rsidRPr="003D7FEC">
              <w:rPr>
                <w:rFonts w:ascii="Montserrat" w:eastAsia="Times New Roman" w:hAnsi="Montserrat"/>
                <w:b/>
                <w:lang w:val="en-AU"/>
              </w:rPr>
              <w:t xml:space="preserve">changes </w:t>
            </w:r>
            <w:r w:rsidR="00AB3195" w:rsidRPr="003D7FEC">
              <w:rPr>
                <w:rFonts w:ascii="Montserrat" w:eastAsia="Times New Roman" w:hAnsi="Montserrat"/>
                <w:b/>
                <w:lang w:val="en-AU"/>
              </w:rPr>
              <w:t>during the study period</w:t>
            </w:r>
          </w:p>
          <w:p w14:paraId="6D05AA11" w14:textId="0356D90D" w:rsidR="008A4C86" w:rsidRPr="00CC6614" w:rsidRDefault="00364F96" w:rsidP="0082764D">
            <w:pPr>
              <w:jc w:val="both"/>
              <w:rPr>
                <w:rFonts w:eastAsia="Times New Roman"/>
                <w:b/>
                <w:lang w:val="en-AU"/>
              </w:rPr>
            </w:pPr>
            <w:r w:rsidRPr="00CC6614">
              <w:rPr>
                <w:rFonts w:eastAsia="Times New Roman"/>
                <w:b/>
                <w:lang w:val="en-AU"/>
              </w:rPr>
              <w:t>T</w:t>
            </w:r>
            <w:r w:rsidR="00AB3195" w:rsidRPr="00CC6614">
              <w:rPr>
                <w:rFonts w:eastAsia="Times New Roman"/>
                <w:b/>
                <w:lang w:val="en-AU"/>
              </w:rPr>
              <w:t xml:space="preserve">he compliance </w:t>
            </w:r>
            <w:r w:rsidRPr="00CC6614">
              <w:rPr>
                <w:rFonts w:eastAsia="Cambria" w:cs="Times New Roman"/>
                <w:b/>
                <w:color w:val="323536"/>
                <w:lang w:val="en-AU"/>
              </w:rPr>
              <w:t>framework</w:t>
            </w:r>
            <w:r w:rsidR="008A4C86" w:rsidRPr="00CC6614">
              <w:rPr>
                <w:rFonts w:eastAsia="Times New Roman"/>
                <w:b/>
                <w:lang w:val="en-AU"/>
              </w:rPr>
              <w:t xml:space="preserve"> </w:t>
            </w:r>
          </w:p>
          <w:p w14:paraId="0D5A3C40" w14:textId="283A0B3B" w:rsidR="008A4C86" w:rsidRPr="00207DC2" w:rsidRDefault="008B0D1C" w:rsidP="0082764D">
            <w:pPr>
              <w:jc w:val="both"/>
              <w:rPr>
                <w:rFonts w:eastAsia="Cambria" w:cs="Times New Roman"/>
                <w:color w:val="323536"/>
                <w:lang w:val="en-AU"/>
              </w:rPr>
            </w:pPr>
            <w:r w:rsidRPr="00207DC2">
              <w:rPr>
                <w:rFonts w:eastAsia="Cambria" w:cs="Times New Roman"/>
                <w:color w:val="323536"/>
                <w:lang w:val="en-AU"/>
              </w:rPr>
              <w:t xml:space="preserve">The compliance framework applies to all Australian jobseekers, including those in regional and metropolitan areas who are serviced by jobactive. </w:t>
            </w:r>
            <w:r w:rsidR="000F4621" w:rsidRPr="00207DC2">
              <w:rPr>
                <w:rFonts w:eastAsia="Cambria" w:cs="Times New Roman"/>
                <w:color w:val="323536"/>
                <w:lang w:val="en-AU"/>
              </w:rPr>
              <w:t>D</w:t>
            </w:r>
            <w:r w:rsidR="008A4C86" w:rsidRPr="00207DC2">
              <w:rPr>
                <w:rFonts w:eastAsia="Cambria" w:cs="Times New Roman"/>
                <w:color w:val="323536"/>
                <w:lang w:val="en-AU"/>
              </w:rPr>
              <w:t xml:space="preserve">uring the </w:t>
            </w:r>
            <w:r w:rsidR="000F4621" w:rsidRPr="00207DC2">
              <w:rPr>
                <w:rFonts w:eastAsia="Cambria" w:cs="Times New Roman"/>
                <w:color w:val="323536"/>
                <w:lang w:val="en-AU"/>
              </w:rPr>
              <w:t>study period</w:t>
            </w:r>
            <w:r w:rsidR="008A4C86" w:rsidRPr="00207DC2">
              <w:rPr>
                <w:rFonts w:eastAsia="Cambria" w:cs="Times New Roman"/>
                <w:color w:val="323536"/>
                <w:lang w:val="en-AU"/>
              </w:rPr>
              <w:t xml:space="preserve">, a number of measures were introduced for providers to re-engage participants when they fail to attend compulsory provider appointments. </w:t>
            </w:r>
          </w:p>
          <w:p w14:paraId="59C61048" w14:textId="7D5286E0" w:rsidR="008A4C86" w:rsidRPr="00207DC2" w:rsidRDefault="008A4C86" w:rsidP="0082764D">
            <w:pPr>
              <w:jc w:val="both"/>
              <w:rPr>
                <w:rFonts w:eastAsia="Cambria" w:cs="Times New Roman"/>
                <w:color w:val="323536"/>
                <w:lang w:val="en-AU"/>
              </w:rPr>
            </w:pPr>
            <w:r w:rsidRPr="00207DC2">
              <w:rPr>
                <w:rFonts w:eastAsia="Cambria" w:cs="Times New Roman"/>
                <w:color w:val="323536"/>
                <w:lang w:val="en-AU"/>
              </w:rPr>
              <w:t>First, f</w:t>
            </w:r>
            <w:r w:rsidRPr="00207DC2">
              <w:rPr>
                <w:lang w:val="en-AU"/>
              </w:rPr>
              <w:t>rom 1 July 2014, providers have been able to submit a report to DHS to indicate that the participant ha</w:t>
            </w:r>
            <w:r w:rsidR="00AB3195" w:rsidRPr="00207DC2">
              <w:rPr>
                <w:lang w:val="en-AU"/>
              </w:rPr>
              <w:t>s</w:t>
            </w:r>
            <w:r w:rsidRPr="00207DC2">
              <w:rPr>
                <w:lang w:val="en-AU"/>
              </w:rPr>
              <w:t xml:space="preserve"> failed to attend an appointment. These </w:t>
            </w:r>
            <w:r w:rsidRPr="00207DC2">
              <w:rPr>
                <w:i/>
                <w:lang w:val="en-AU"/>
              </w:rPr>
              <w:t>Non-attendance Reports</w:t>
            </w:r>
            <w:r w:rsidRPr="00207DC2">
              <w:rPr>
                <w:lang w:val="en-AU"/>
              </w:rPr>
              <w:t xml:space="preserve"> result in automatic suspension of the participant’s income support payment until the participant attends a re</w:t>
            </w:r>
            <w:r w:rsidR="00ED3285" w:rsidRPr="00207DC2">
              <w:rPr>
                <w:lang w:val="en-AU"/>
              </w:rPr>
              <w:noBreakHyphen/>
            </w:r>
            <w:r w:rsidRPr="00207DC2">
              <w:rPr>
                <w:lang w:val="en-AU"/>
              </w:rPr>
              <w:t xml:space="preserve">engagement appointment with their provider </w:t>
            </w:r>
            <w:r w:rsidRPr="00207DC2">
              <w:rPr>
                <w:rFonts w:eastAsia="Cambria" w:cs="Times New Roman"/>
                <w:color w:val="323536"/>
                <w:lang w:val="en-AU"/>
              </w:rPr>
              <w:t xml:space="preserve">or compliance action ceases for another reason. </w:t>
            </w:r>
          </w:p>
          <w:p w14:paraId="1E6B7A5E" w14:textId="7B9701E8" w:rsidR="008A4C86" w:rsidRPr="00207DC2" w:rsidRDefault="008A4C86" w:rsidP="0082764D">
            <w:pPr>
              <w:jc w:val="both"/>
              <w:rPr>
                <w:rFonts w:eastAsia="Cambria" w:cs="Times New Roman"/>
                <w:color w:val="323536"/>
                <w:lang w:val="en-AU"/>
              </w:rPr>
            </w:pPr>
            <w:r w:rsidRPr="00207DC2">
              <w:rPr>
                <w:rFonts w:eastAsia="Cambria" w:cs="Times New Roman"/>
                <w:color w:val="323536"/>
                <w:lang w:val="en-AU"/>
              </w:rPr>
              <w:t>Second, a ‘suspend until attend’ policy was also introduced at the start of 2015. Unlike the pr</w:t>
            </w:r>
            <w:r w:rsidR="00994F17" w:rsidRPr="00207DC2">
              <w:rPr>
                <w:rFonts w:eastAsia="Cambria" w:cs="Times New Roman"/>
                <w:color w:val="323536"/>
                <w:lang w:val="en-AU"/>
              </w:rPr>
              <w:t>e</w:t>
            </w:r>
            <w:r w:rsidR="0098387F">
              <w:rPr>
                <w:rFonts w:eastAsia="Cambria" w:cs="Times New Roman"/>
                <w:color w:val="323536"/>
                <w:lang w:val="en-AU"/>
              </w:rPr>
              <w:t>vious Remote Jobs and Communities P</w:t>
            </w:r>
            <w:r w:rsidRPr="00207DC2">
              <w:rPr>
                <w:rFonts w:eastAsia="Cambria" w:cs="Times New Roman"/>
                <w:color w:val="323536"/>
                <w:lang w:val="en-AU"/>
              </w:rPr>
              <w:t xml:space="preserve">rogram, participant’s income support payments remain suspended until they attend a subsequent appointment, not just agree to attend. </w:t>
            </w:r>
          </w:p>
          <w:p w14:paraId="1C422452" w14:textId="1FEC1996" w:rsidR="008A4C86" w:rsidRPr="00207DC2" w:rsidRDefault="008A4C86" w:rsidP="0082764D">
            <w:pPr>
              <w:jc w:val="both"/>
              <w:rPr>
                <w:lang w:val="en-AU"/>
              </w:rPr>
            </w:pPr>
            <w:r w:rsidRPr="00207DC2">
              <w:rPr>
                <w:rFonts w:eastAsia="Cambria" w:cs="Times New Roman"/>
                <w:color w:val="323536"/>
                <w:lang w:val="en-AU"/>
              </w:rPr>
              <w:t>Finally, from 1 July 2015, providers have also been able to recommend a financial penalty when, in the view of the providers, the participant has not provided a satisfactory reason for non-attendance at a provider appointment.</w:t>
            </w:r>
            <w:r w:rsidRPr="00207DC2">
              <w:rPr>
                <w:lang w:val="en-AU"/>
              </w:rPr>
              <w:t xml:space="preserve"> </w:t>
            </w:r>
          </w:p>
          <w:p w14:paraId="716E6AA6" w14:textId="23A8C938" w:rsidR="00AB3195" w:rsidRPr="00CC6614" w:rsidRDefault="00364F96" w:rsidP="0082764D">
            <w:pPr>
              <w:jc w:val="both"/>
              <w:rPr>
                <w:rFonts w:eastAsia="Times New Roman"/>
                <w:b/>
                <w:lang w:val="en-AU"/>
              </w:rPr>
            </w:pPr>
            <w:r w:rsidRPr="00CC6614">
              <w:rPr>
                <w:rFonts w:eastAsia="Times New Roman"/>
                <w:b/>
                <w:lang w:val="en-AU"/>
              </w:rPr>
              <w:t>P</w:t>
            </w:r>
            <w:r w:rsidR="00AB3195" w:rsidRPr="00CC6614">
              <w:rPr>
                <w:rFonts w:eastAsia="Times New Roman"/>
                <w:b/>
                <w:lang w:val="en-AU"/>
              </w:rPr>
              <w:t xml:space="preserve">rovider incentives </w:t>
            </w:r>
          </w:p>
          <w:p w14:paraId="32964D5B" w14:textId="288552A0" w:rsidR="0022756B" w:rsidRPr="00207DC2" w:rsidRDefault="00AB3195" w:rsidP="0082764D">
            <w:pPr>
              <w:jc w:val="both"/>
              <w:rPr>
                <w:rFonts w:eastAsia="Cambria" w:cs="Times New Roman"/>
                <w:color w:val="323536"/>
                <w:lang w:val="en-AU"/>
              </w:rPr>
            </w:pPr>
            <w:r w:rsidRPr="00207DC2">
              <w:rPr>
                <w:rFonts w:eastAsia="Cambria" w:cs="Times New Roman"/>
                <w:color w:val="323536"/>
                <w:lang w:val="en-AU"/>
              </w:rPr>
              <w:t>Under</w:t>
            </w:r>
            <w:r w:rsidR="0022756B" w:rsidRPr="00207DC2">
              <w:rPr>
                <w:rFonts w:eastAsia="Cambria" w:cs="Times New Roman"/>
                <w:color w:val="323536"/>
                <w:lang w:val="en-AU"/>
              </w:rPr>
              <w:t xml:space="preserve"> the</w:t>
            </w:r>
            <w:r w:rsidRPr="00207DC2">
              <w:rPr>
                <w:rFonts w:eastAsia="Cambria" w:cs="Times New Roman"/>
                <w:color w:val="323536"/>
                <w:lang w:val="en-AU"/>
              </w:rPr>
              <w:t xml:space="preserve"> C</w:t>
            </w:r>
            <w:r w:rsidR="0098387F">
              <w:rPr>
                <w:rFonts w:eastAsia="Cambria" w:cs="Times New Roman"/>
                <w:color w:val="323536"/>
                <w:lang w:val="en-AU"/>
              </w:rPr>
              <w:t xml:space="preserve">ommunity </w:t>
            </w:r>
            <w:r w:rsidRPr="00207DC2">
              <w:rPr>
                <w:rFonts w:eastAsia="Cambria" w:cs="Times New Roman"/>
                <w:color w:val="323536"/>
                <w:lang w:val="en-AU"/>
              </w:rPr>
              <w:t>D</w:t>
            </w:r>
            <w:r w:rsidR="0098387F">
              <w:rPr>
                <w:rFonts w:eastAsia="Cambria" w:cs="Times New Roman"/>
                <w:color w:val="323536"/>
                <w:lang w:val="en-AU"/>
              </w:rPr>
              <w:t xml:space="preserve">evelopment </w:t>
            </w:r>
            <w:r w:rsidRPr="00207DC2">
              <w:rPr>
                <w:rFonts w:eastAsia="Cambria" w:cs="Times New Roman"/>
                <w:color w:val="323536"/>
                <w:lang w:val="en-AU"/>
              </w:rPr>
              <w:t>P</w:t>
            </w:r>
            <w:r w:rsidR="0098387F">
              <w:rPr>
                <w:rFonts w:eastAsia="Cambria" w:cs="Times New Roman"/>
                <w:color w:val="323536"/>
                <w:lang w:val="en-AU"/>
              </w:rPr>
              <w:t>rogramme (CDP)</w:t>
            </w:r>
            <w:r w:rsidRPr="00207DC2">
              <w:rPr>
                <w:rFonts w:eastAsia="Cambria" w:cs="Times New Roman"/>
                <w:color w:val="323536"/>
                <w:lang w:val="en-AU"/>
              </w:rPr>
              <w:t xml:space="preserve">, changes were made to the provider payment model that increase provider incentives to use the </w:t>
            </w:r>
            <w:r w:rsidRPr="00207DC2">
              <w:rPr>
                <w:rFonts w:eastAsia="Cambria" w:cs="Times New Roman"/>
                <w:i/>
                <w:color w:val="323536"/>
                <w:lang w:val="en-AU"/>
              </w:rPr>
              <w:t>compliance framework</w:t>
            </w:r>
            <w:r w:rsidRPr="00207DC2">
              <w:rPr>
                <w:rFonts w:eastAsia="Cambria" w:cs="Times New Roman"/>
                <w:color w:val="323536"/>
                <w:lang w:val="en-AU"/>
              </w:rPr>
              <w:t xml:space="preserve"> to re-engage participants. </w:t>
            </w:r>
          </w:p>
          <w:p w14:paraId="30780BCC" w14:textId="7F2B91CB" w:rsidR="008A4C86" w:rsidRPr="00207DC2" w:rsidRDefault="00AB3195" w:rsidP="0082764D">
            <w:pPr>
              <w:jc w:val="both"/>
              <w:rPr>
                <w:rFonts w:eastAsia="Cambria" w:cs="Times New Roman"/>
                <w:color w:val="323536"/>
                <w:lang w:val="en-AU"/>
              </w:rPr>
            </w:pPr>
            <w:r w:rsidRPr="00207DC2">
              <w:rPr>
                <w:rFonts w:eastAsia="Cambria" w:cs="Times New Roman"/>
                <w:color w:val="323536"/>
                <w:lang w:val="en-AU"/>
              </w:rPr>
              <w:t xml:space="preserve">As noted in Chapter 2, </w:t>
            </w:r>
            <w:r w:rsidR="001D1994" w:rsidRPr="00207DC2">
              <w:rPr>
                <w:rFonts w:eastAsia="Cambria" w:cs="Times New Roman"/>
                <w:color w:val="323536"/>
                <w:lang w:val="en-AU"/>
              </w:rPr>
              <w:t xml:space="preserve">CDP </w:t>
            </w:r>
            <w:r w:rsidR="008A4C86" w:rsidRPr="00207DC2">
              <w:rPr>
                <w:rFonts w:eastAsia="Cambria" w:cs="Times New Roman"/>
                <w:color w:val="323536"/>
                <w:lang w:val="en-AU"/>
              </w:rPr>
              <w:t xml:space="preserve">providers have </w:t>
            </w:r>
            <w:r w:rsidRPr="00207DC2">
              <w:rPr>
                <w:rFonts w:eastAsia="Cambria" w:cs="Times New Roman"/>
                <w:color w:val="323536"/>
                <w:lang w:val="en-AU"/>
              </w:rPr>
              <w:t xml:space="preserve">some </w:t>
            </w:r>
            <w:r w:rsidR="008A4C86" w:rsidRPr="00207DC2">
              <w:rPr>
                <w:rFonts w:eastAsia="Cambria" w:cs="Times New Roman"/>
                <w:color w:val="323536"/>
                <w:lang w:val="en-AU"/>
              </w:rPr>
              <w:t xml:space="preserve">discretion as to whether to use the </w:t>
            </w:r>
            <w:r w:rsidR="008A4C86" w:rsidRPr="00207DC2">
              <w:rPr>
                <w:rFonts w:eastAsia="Cambria" w:cs="Times New Roman"/>
                <w:i/>
                <w:color w:val="323536"/>
                <w:lang w:val="en-AU"/>
              </w:rPr>
              <w:t>compliance framework</w:t>
            </w:r>
            <w:r w:rsidR="008A4C86" w:rsidRPr="00207DC2">
              <w:rPr>
                <w:rFonts w:eastAsia="Cambria" w:cs="Times New Roman"/>
                <w:color w:val="323536"/>
                <w:lang w:val="en-AU"/>
              </w:rPr>
              <w:t xml:space="preserve"> to re</w:t>
            </w:r>
            <w:r w:rsidR="00ED3285" w:rsidRPr="00207DC2">
              <w:rPr>
                <w:rFonts w:eastAsia="Cambria" w:cs="Times New Roman"/>
                <w:color w:val="323536"/>
                <w:lang w:val="en-AU"/>
              </w:rPr>
              <w:noBreakHyphen/>
            </w:r>
            <w:r w:rsidR="008A4C86" w:rsidRPr="00207DC2">
              <w:rPr>
                <w:rFonts w:eastAsia="Cambria" w:cs="Times New Roman"/>
                <w:color w:val="323536"/>
                <w:lang w:val="en-AU"/>
              </w:rPr>
              <w:t>engage participants</w:t>
            </w:r>
            <w:r w:rsidRPr="00207DC2">
              <w:rPr>
                <w:rFonts w:eastAsia="Cambria" w:cs="Times New Roman"/>
                <w:color w:val="323536"/>
                <w:lang w:val="en-AU"/>
              </w:rPr>
              <w:t>. However, w</w:t>
            </w:r>
            <w:r w:rsidR="008A4C86" w:rsidRPr="00207DC2">
              <w:rPr>
                <w:rFonts w:eastAsia="Cambria" w:cs="Times New Roman"/>
                <w:color w:val="323536"/>
                <w:lang w:val="en-AU"/>
              </w:rPr>
              <w:t xml:space="preserve">hen </w:t>
            </w:r>
            <w:r w:rsidR="00903A7A">
              <w:rPr>
                <w:rFonts w:eastAsia="Cambria" w:cs="Times New Roman"/>
                <w:color w:val="323536"/>
                <w:lang w:val="en-AU"/>
              </w:rPr>
              <w:t>activity-tested</w:t>
            </w:r>
            <w:r w:rsidR="007B3B50" w:rsidRPr="00207DC2">
              <w:rPr>
                <w:rFonts w:eastAsia="Cambria" w:cs="Times New Roman"/>
                <w:color w:val="323536"/>
                <w:lang w:val="en-AU"/>
              </w:rPr>
              <w:t xml:space="preserve"> </w:t>
            </w:r>
            <w:r w:rsidR="008C5F85" w:rsidRPr="00207DC2">
              <w:rPr>
                <w:rFonts w:eastAsia="Cambria" w:cs="Times New Roman"/>
                <w:color w:val="323536"/>
                <w:lang w:val="en-AU"/>
              </w:rPr>
              <w:t xml:space="preserve">Work for the Dole </w:t>
            </w:r>
            <w:r w:rsidR="007B3B50" w:rsidRPr="00207DC2">
              <w:rPr>
                <w:rFonts w:eastAsia="Cambria" w:cs="Times New Roman"/>
                <w:color w:val="323536"/>
                <w:lang w:val="en-AU"/>
              </w:rPr>
              <w:t xml:space="preserve">participants </w:t>
            </w:r>
            <w:r w:rsidR="008A4C86" w:rsidRPr="00207DC2">
              <w:rPr>
                <w:rFonts w:eastAsia="Cambria" w:cs="Times New Roman"/>
                <w:color w:val="323536"/>
                <w:lang w:val="en-AU"/>
              </w:rPr>
              <w:t xml:space="preserve">fail to attend their activities and do not provide a valid reason, the provider will not be paid a full service fee for the participant (for the period) unless they report the instance of </w:t>
            </w:r>
            <w:r w:rsidR="0026452C" w:rsidRPr="00207DC2">
              <w:rPr>
                <w:rFonts w:eastAsia="Cambria" w:cs="Times New Roman"/>
                <w:i/>
                <w:color w:val="323536"/>
                <w:lang w:val="en-AU"/>
              </w:rPr>
              <w:t>invalid</w:t>
            </w:r>
            <w:r w:rsidR="008A4C86" w:rsidRPr="00207DC2">
              <w:rPr>
                <w:rFonts w:eastAsia="Cambria" w:cs="Times New Roman"/>
                <w:i/>
                <w:color w:val="323536"/>
                <w:lang w:val="en-AU"/>
              </w:rPr>
              <w:t xml:space="preserve"> non-attendance</w:t>
            </w:r>
            <w:r w:rsidR="008A4C86" w:rsidRPr="00207DC2">
              <w:rPr>
                <w:rFonts w:eastAsia="Cambria" w:cs="Times New Roman"/>
                <w:color w:val="323536"/>
                <w:lang w:val="en-AU"/>
              </w:rPr>
              <w:t xml:space="preserve"> to D</w:t>
            </w:r>
            <w:r w:rsidR="0098387F">
              <w:rPr>
                <w:rFonts w:eastAsia="Cambria" w:cs="Times New Roman"/>
                <w:color w:val="323536"/>
                <w:lang w:val="en-AU"/>
              </w:rPr>
              <w:t xml:space="preserve">epartment of </w:t>
            </w:r>
            <w:r w:rsidR="008A4C86" w:rsidRPr="00207DC2">
              <w:rPr>
                <w:rFonts w:eastAsia="Cambria" w:cs="Times New Roman"/>
                <w:color w:val="323536"/>
                <w:lang w:val="en-AU"/>
              </w:rPr>
              <w:t>H</w:t>
            </w:r>
            <w:r w:rsidR="0098387F">
              <w:rPr>
                <w:rFonts w:eastAsia="Cambria" w:cs="Times New Roman"/>
                <w:color w:val="323536"/>
                <w:lang w:val="en-AU"/>
              </w:rPr>
              <w:t xml:space="preserve">uman </w:t>
            </w:r>
            <w:r w:rsidR="008A4C86" w:rsidRPr="00207DC2">
              <w:rPr>
                <w:rFonts w:eastAsia="Cambria" w:cs="Times New Roman"/>
                <w:color w:val="323536"/>
                <w:lang w:val="en-AU"/>
              </w:rPr>
              <w:t>S</w:t>
            </w:r>
            <w:r w:rsidR="0098387F">
              <w:rPr>
                <w:rFonts w:eastAsia="Cambria" w:cs="Times New Roman"/>
                <w:color w:val="323536"/>
                <w:lang w:val="en-AU"/>
              </w:rPr>
              <w:t>ervices</w:t>
            </w:r>
            <w:r w:rsidR="008A4C86" w:rsidRPr="00207DC2">
              <w:rPr>
                <w:rFonts w:eastAsia="Cambria" w:cs="Times New Roman"/>
                <w:color w:val="323536"/>
                <w:lang w:val="en-AU"/>
              </w:rPr>
              <w:t>, and re-engage the participant within 14 days (</w:t>
            </w:r>
            <w:r w:rsidR="0057565A" w:rsidRPr="00207DC2">
              <w:rPr>
                <w:rFonts w:eastAsia="Cambria" w:cs="Times New Roman"/>
                <w:color w:val="323536"/>
                <w:lang w:val="en-AU"/>
              </w:rPr>
              <w:t>PMC</w:t>
            </w:r>
            <w:r w:rsidR="008A4C86" w:rsidRPr="00207DC2">
              <w:rPr>
                <w:rFonts w:eastAsia="Cambria" w:cs="Times New Roman"/>
                <w:color w:val="323536"/>
                <w:lang w:val="en-AU"/>
              </w:rPr>
              <w:t xml:space="preserve"> </w:t>
            </w:r>
            <w:r w:rsidR="0073290A" w:rsidRPr="00207DC2">
              <w:rPr>
                <w:rFonts w:eastAsia="Cambria" w:cs="Times New Roman"/>
                <w:color w:val="323536"/>
                <w:lang w:val="en-AU"/>
              </w:rPr>
              <w:t>2018a</w:t>
            </w:r>
            <w:r w:rsidR="00EC66E2" w:rsidRPr="00207DC2">
              <w:rPr>
                <w:rFonts w:eastAsia="Cambria" w:cs="Times New Roman"/>
                <w:color w:val="323536"/>
                <w:lang w:val="en-AU"/>
              </w:rPr>
              <w:t>, pp.4-5</w:t>
            </w:r>
            <w:r w:rsidR="008A4C86" w:rsidRPr="00207DC2">
              <w:rPr>
                <w:rFonts w:eastAsia="Cambria" w:cs="Times New Roman"/>
                <w:color w:val="323536"/>
                <w:lang w:val="en-AU"/>
              </w:rPr>
              <w:t>).</w:t>
            </w:r>
          </w:p>
        </w:tc>
      </w:tr>
    </w:tbl>
    <w:p w14:paraId="4C811D3F" w14:textId="38EA64A7" w:rsidR="00CB6E7D" w:rsidRPr="00207DC2" w:rsidRDefault="005631B4" w:rsidP="008055FF">
      <w:pPr>
        <w:pStyle w:val="ZED4"/>
        <w:outlineLvl w:val="2"/>
      </w:pPr>
      <w:bookmarkStart w:id="290" w:name="_Toc509412976"/>
      <w:bookmarkStart w:id="291" w:name="_Toc509587039"/>
      <w:bookmarkStart w:id="292" w:name="_Toc509588065"/>
      <w:bookmarkStart w:id="293" w:name="_Toc509588328"/>
      <w:bookmarkStart w:id="294" w:name="_Toc509589476"/>
      <w:bookmarkStart w:id="295" w:name="_Toc509926894"/>
      <w:bookmarkStart w:id="296" w:name="_Toc511661244"/>
      <w:bookmarkStart w:id="297" w:name="_Toc511826295"/>
      <w:bookmarkStart w:id="298" w:name="_Toc511940612"/>
      <w:bookmarkStart w:id="299" w:name="_Toc515185457"/>
      <w:bookmarkStart w:id="300" w:name="_Toc516219831"/>
      <w:bookmarkStart w:id="301" w:name="_Toc516220472"/>
      <w:bookmarkStart w:id="302" w:name="_Toc516223292"/>
      <w:bookmarkStart w:id="303" w:name="_Toc516225200"/>
      <w:bookmarkStart w:id="304" w:name="_Toc516228976"/>
      <w:bookmarkStart w:id="305" w:name="_Toc518468055"/>
      <w:bookmarkStart w:id="306" w:name="_Toc518487836"/>
      <w:bookmarkStart w:id="307" w:name="_Toc518558799"/>
      <w:bookmarkStart w:id="308" w:name="_Toc518565322"/>
      <w:bookmarkStart w:id="309" w:name="_Toc518565566"/>
      <w:bookmarkStart w:id="310" w:name="_Toc519504737"/>
      <w:bookmarkStart w:id="311" w:name="_Toc519505961"/>
      <w:bookmarkStart w:id="312" w:name="_Toc519844067"/>
      <w:bookmarkStart w:id="313" w:name="_Toc521068569"/>
      <w:bookmarkStart w:id="314" w:name="_Toc521391083"/>
      <w:bookmarkStart w:id="315" w:name="_Toc522013252"/>
      <w:bookmarkStart w:id="316" w:name="_Toc534965162"/>
      <w:bookmarkStart w:id="317" w:name="_Toc535935050"/>
      <w:r>
        <w:t>3.1</w:t>
      </w:r>
      <w:r>
        <w:tab/>
      </w:r>
      <w:r w:rsidR="00CB6E7D" w:rsidRPr="00207DC2">
        <w:t>Trends in suspensions</w:t>
      </w:r>
      <w:r w:rsidR="000A53B7" w:rsidRPr="00207DC2">
        <w:t xml:space="preserve"> and penalties</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104BD321" w14:textId="565DEF86" w:rsidR="00B21BC3" w:rsidRPr="00207DC2" w:rsidRDefault="000A53B7" w:rsidP="000A53B7">
      <w:pPr>
        <w:spacing w:before="120" w:after="120"/>
        <w:jc w:val="both"/>
        <w:rPr>
          <w:rFonts w:cstheme="minorHAnsi"/>
          <w:lang w:val="en-AU"/>
        </w:rPr>
      </w:pPr>
      <w:r w:rsidRPr="00207DC2">
        <w:rPr>
          <w:rFonts w:cstheme="minorHAnsi"/>
          <w:lang w:val="en-AU"/>
        </w:rPr>
        <w:t xml:space="preserve">The number of </w:t>
      </w:r>
      <w:r w:rsidR="0022699F" w:rsidRPr="00207DC2">
        <w:rPr>
          <w:rFonts w:cstheme="minorHAnsi"/>
          <w:lang w:val="en-AU"/>
        </w:rPr>
        <w:t>payment</w:t>
      </w:r>
      <w:r w:rsidRPr="00207DC2">
        <w:rPr>
          <w:rFonts w:cstheme="minorHAnsi"/>
          <w:lang w:val="en-AU"/>
        </w:rPr>
        <w:t xml:space="preserve"> suspensions and financial penalties applied to remote employment program participants </w:t>
      </w:r>
      <w:r w:rsidR="00B87284" w:rsidRPr="00207DC2">
        <w:rPr>
          <w:rFonts w:cstheme="minorHAnsi"/>
          <w:lang w:val="en-AU"/>
        </w:rPr>
        <w:t xml:space="preserve">increased </w:t>
      </w:r>
      <w:r w:rsidR="00562BF4" w:rsidRPr="00207DC2">
        <w:rPr>
          <w:rFonts w:cstheme="minorHAnsi"/>
          <w:lang w:val="en-AU"/>
        </w:rPr>
        <w:t xml:space="preserve">steadily </w:t>
      </w:r>
      <w:r w:rsidR="00B87284" w:rsidRPr="00207DC2">
        <w:rPr>
          <w:rFonts w:cstheme="minorHAnsi"/>
          <w:lang w:val="en-AU"/>
        </w:rPr>
        <w:t xml:space="preserve">under </w:t>
      </w:r>
      <w:r w:rsidR="00610752" w:rsidRPr="00207DC2">
        <w:rPr>
          <w:rFonts w:cstheme="minorHAnsi"/>
          <w:lang w:val="en-AU"/>
        </w:rPr>
        <w:t xml:space="preserve">the </w:t>
      </w:r>
      <w:r w:rsidR="00170AFA">
        <w:rPr>
          <w:rFonts w:cstheme="minorHAnsi"/>
          <w:lang w:val="en-AU"/>
        </w:rPr>
        <w:t>Remote Jobs and Communities Program (</w:t>
      </w:r>
      <w:r w:rsidR="00B87284" w:rsidRPr="00207DC2">
        <w:rPr>
          <w:rFonts w:cstheme="minorHAnsi"/>
          <w:lang w:val="en-AU"/>
        </w:rPr>
        <w:t>RJCP</w:t>
      </w:r>
      <w:r w:rsidR="00170AFA">
        <w:rPr>
          <w:rFonts w:cstheme="minorHAnsi"/>
          <w:lang w:val="en-AU"/>
        </w:rPr>
        <w:t>)</w:t>
      </w:r>
      <w:r w:rsidR="00B87284" w:rsidRPr="00207DC2">
        <w:rPr>
          <w:rFonts w:cstheme="minorHAnsi"/>
          <w:lang w:val="en-AU"/>
        </w:rPr>
        <w:t xml:space="preserve"> </w:t>
      </w:r>
      <w:r w:rsidR="00562BF4" w:rsidRPr="00207DC2">
        <w:rPr>
          <w:rFonts w:cstheme="minorHAnsi"/>
          <w:lang w:val="en-AU"/>
        </w:rPr>
        <w:t xml:space="preserve">and </w:t>
      </w:r>
      <w:r w:rsidR="00610752" w:rsidRPr="00207DC2">
        <w:rPr>
          <w:rFonts w:cstheme="minorHAnsi"/>
          <w:lang w:val="en-AU"/>
        </w:rPr>
        <w:t xml:space="preserve">the </w:t>
      </w:r>
      <w:r w:rsidRPr="00207DC2">
        <w:rPr>
          <w:rFonts w:cstheme="minorHAnsi"/>
          <w:lang w:val="en-AU"/>
        </w:rPr>
        <w:t>CDP</w:t>
      </w:r>
      <w:r w:rsidR="00562BF4" w:rsidRPr="00207DC2">
        <w:rPr>
          <w:rFonts w:cstheme="minorHAnsi"/>
          <w:lang w:val="en-AU"/>
        </w:rPr>
        <w:t>, before stabilising in early 2016</w:t>
      </w:r>
      <w:r w:rsidRPr="00207DC2">
        <w:rPr>
          <w:rFonts w:cstheme="minorHAnsi"/>
          <w:lang w:val="en-AU"/>
        </w:rPr>
        <w:t xml:space="preserve"> (</w:t>
      </w:r>
      <w:r w:rsidR="00E11F98" w:rsidRPr="00207DC2">
        <w:rPr>
          <w:rFonts w:cstheme="minorHAnsi"/>
          <w:lang w:val="en-AU"/>
        </w:rPr>
        <w:t>Figure</w:t>
      </w:r>
      <w:r w:rsidRPr="00207DC2">
        <w:rPr>
          <w:rFonts w:cstheme="minorHAnsi"/>
          <w:lang w:val="en-AU"/>
        </w:rPr>
        <w:t xml:space="preserve"> 3.1). </w:t>
      </w:r>
    </w:p>
    <w:p w14:paraId="47EF5947" w14:textId="2E961318" w:rsidR="0065178B" w:rsidRPr="00207DC2" w:rsidRDefault="0065178B" w:rsidP="000A53B7">
      <w:pPr>
        <w:spacing w:before="120" w:after="120"/>
        <w:jc w:val="both"/>
        <w:rPr>
          <w:rFonts w:cstheme="minorHAnsi"/>
          <w:lang w:val="en-AU"/>
        </w:rPr>
      </w:pPr>
      <w:r w:rsidRPr="00207DC2">
        <w:rPr>
          <w:rFonts w:cstheme="minorHAnsi"/>
          <w:lang w:val="en-AU"/>
        </w:rPr>
        <w:t>Since January 2016, in any one quarter</w:t>
      </w:r>
      <w:r w:rsidR="00E91858" w:rsidRPr="00207DC2">
        <w:rPr>
          <w:rFonts w:cstheme="minorHAnsi"/>
          <w:lang w:val="en-AU"/>
        </w:rPr>
        <w:t xml:space="preserve"> of the year</w:t>
      </w:r>
      <w:r w:rsidR="006A26E5" w:rsidRPr="00207DC2">
        <w:rPr>
          <w:rFonts w:cstheme="minorHAnsi"/>
          <w:lang w:val="en-AU"/>
        </w:rPr>
        <w:t>,</w:t>
      </w:r>
      <w:r w:rsidRPr="00207DC2">
        <w:rPr>
          <w:rFonts w:cstheme="minorHAnsi"/>
          <w:lang w:val="en-AU"/>
        </w:rPr>
        <w:t xml:space="preserve"> around 60 per cent </w:t>
      </w:r>
      <w:r w:rsidR="00B521BC" w:rsidRPr="00207DC2">
        <w:rPr>
          <w:rFonts w:cstheme="minorHAnsi"/>
          <w:lang w:val="en-AU"/>
        </w:rPr>
        <w:t xml:space="preserve">of CDP participants </w:t>
      </w:r>
      <w:r w:rsidRPr="00207DC2">
        <w:rPr>
          <w:rFonts w:cstheme="minorHAnsi"/>
          <w:lang w:val="en-AU"/>
        </w:rPr>
        <w:t>experienced at least one payment suspension</w:t>
      </w:r>
      <w:r w:rsidR="00B521BC" w:rsidRPr="00207DC2">
        <w:rPr>
          <w:rFonts w:cstheme="minorHAnsi"/>
          <w:lang w:val="en-AU"/>
        </w:rPr>
        <w:t xml:space="preserve"> and approximately a third experienced at least one penalty</w:t>
      </w:r>
      <w:r w:rsidRPr="00207DC2">
        <w:rPr>
          <w:rFonts w:cstheme="minorHAnsi"/>
          <w:lang w:val="en-AU"/>
        </w:rPr>
        <w:t>.</w:t>
      </w:r>
      <w:r w:rsidRPr="00207DC2">
        <w:rPr>
          <w:rStyle w:val="FootnoteReference"/>
          <w:rFonts w:cstheme="minorHAnsi"/>
          <w:lang w:val="en-AU"/>
        </w:rPr>
        <w:footnoteReference w:id="24"/>
      </w:r>
      <w:r w:rsidRPr="00207DC2">
        <w:rPr>
          <w:rFonts w:cstheme="minorHAnsi"/>
          <w:lang w:val="en-AU"/>
        </w:rPr>
        <w:t xml:space="preserve"> </w:t>
      </w:r>
    </w:p>
    <w:p w14:paraId="4440CCCA" w14:textId="03CC4AC2" w:rsidR="002332E2" w:rsidRPr="00207DC2" w:rsidRDefault="000A53B7" w:rsidP="00EF1B43">
      <w:pPr>
        <w:pStyle w:val="Figures"/>
      </w:pPr>
      <w:r w:rsidRPr="00207DC2">
        <w:t xml:space="preserve">Figure </w:t>
      </w:r>
      <w:r w:rsidR="00905D1A">
        <w:t>3</w:t>
      </w:r>
      <w:r w:rsidR="00EF1B43" w:rsidRPr="00207DC2">
        <w:t>.</w:t>
      </w:r>
      <w:r w:rsidR="00905D1A">
        <w:t>1</w:t>
      </w:r>
      <w:r w:rsidR="00905D1A" w:rsidRPr="00207DC2">
        <w:t xml:space="preserve"> </w:t>
      </w:r>
      <w:r w:rsidR="00120491" w:rsidRPr="00207DC2">
        <w:tab/>
      </w:r>
      <w:r w:rsidR="00C10305" w:rsidRPr="00207DC2">
        <w:t>P</w:t>
      </w:r>
      <w:r w:rsidR="00120491" w:rsidRPr="00207DC2">
        <w:t xml:space="preserve">articipants </w:t>
      </w:r>
      <w:r w:rsidR="00203F0B" w:rsidRPr="00207DC2">
        <w:t>who received at least one i</w:t>
      </w:r>
      <w:r w:rsidRPr="00207DC2">
        <w:t>ncome support payment suspension</w:t>
      </w:r>
      <w:r w:rsidR="00203F0B" w:rsidRPr="00207DC2">
        <w:t xml:space="preserve"> or penalty </w:t>
      </w:r>
      <w:r w:rsidR="00CE713F" w:rsidRPr="00207DC2">
        <w:t>in a</w:t>
      </w:r>
      <w:r w:rsidR="00203F0B" w:rsidRPr="00207DC2">
        <w:t xml:space="preserve"> quarter,</w:t>
      </w:r>
      <w:r w:rsidRPr="00207DC2">
        <w:t xml:space="preserve"> </w:t>
      </w:r>
      <w:r w:rsidR="00203F0B" w:rsidRPr="00207DC2">
        <w:t>under</w:t>
      </w:r>
      <w:r w:rsidR="00B21BC3" w:rsidRPr="00207DC2">
        <w:t xml:space="preserve"> RJCP and CDP</w:t>
      </w:r>
      <w:r w:rsidR="00786142" w:rsidRPr="00207DC2">
        <w:rPr>
          <w:b/>
          <w:vertAlign w:val="superscript"/>
        </w:rPr>
        <w:t>a,b</w:t>
      </w:r>
    </w:p>
    <w:p w14:paraId="024578F4" w14:textId="19B0D24C" w:rsidR="00DF7D3E" w:rsidRPr="00207DC2" w:rsidRDefault="00B90F41" w:rsidP="00D57D1D">
      <w:pPr>
        <w:pStyle w:val="tablenotes"/>
      </w:pPr>
      <w:r w:rsidRPr="00207DC2">
        <w:drawing>
          <wp:inline distT="0" distB="0" distL="0" distR="0" wp14:anchorId="2F805F83" wp14:editId="7C2F64D3">
            <wp:extent cx="5640705" cy="3185795"/>
            <wp:effectExtent l="0" t="0" r="0" b="0"/>
            <wp:docPr id="26" name="Picture 26" descr="The figure is a line chart showing the proportion of RJCP and CDP participants who had received at least one suspension or penalty in a quarter, between the third quarter of 2013 to the second quarter of 2017. Specifically, the figures shows the: &#10;- proportion suspended for a failure to attend, and &#10;- proportion who received a reduction or zero-rate penalty. &#10;More information can be found in the previous paragraphs. &#10;" title="Participants who received at least one income support payment suspension or penalty in a quarter, under RJCP and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0705" cy="3185795"/>
                    </a:xfrm>
                    <a:prstGeom prst="rect">
                      <a:avLst/>
                    </a:prstGeom>
                  </pic:spPr>
                </pic:pic>
              </a:graphicData>
            </a:graphic>
          </wp:inline>
        </w:drawing>
      </w:r>
      <w:r w:rsidR="000A53B7" w:rsidRPr="00207DC2">
        <w:rPr>
          <w:i/>
        </w:rPr>
        <w:t>Source:</w:t>
      </w:r>
      <w:r w:rsidR="000A53B7" w:rsidRPr="00207DC2">
        <w:t xml:space="preserve"> </w:t>
      </w:r>
      <w:r w:rsidR="0057565A" w:rsidRPr="00207DC2">
        <w:t>PMC</w:t>
      </w:r>
      <w:r w:rsidR="00DB4A6E" w:rsidRPr="00207DC2">
        <w:t xml:space="preserve"> estimates based on u</w:t>
      </w:r>
      <w:r w:rsidR="00333CE7" w:rsidRPr="00207DC2">
        <w:t xml:space="preserve">npublished </w:t>
      </w:r>
      <w:r w:rsidR="00360ABB" w:rsidRPr="00207DC2">
        <w:t xml:space="preserve">ESS operational </w:t>
      </w:r>
      <w:r w:rsidR="00333CE7" w:rsidRPr="00207DC2">
        <w:t xml:space="preserve">data </w:t>
      </w:r>
      <w:r w:rsidR="00360ABB" w:rsidRPr="00207DC2">
        <w:t>(</w:t>
      </w:r>
      <w:r w:rsidR="000A53B7" w:rsidRPr="00207DC2">
        <w:t>extracted on 15 Aug</w:t>
      </w:r>
      <w:r w:rsidR="00360ABB" w:rsidRPr="00207DC2">
        <w:t>ust</w:t>
      </w:r>
      <w:r w:rsidR="000A53B7" w:rsidRPr="00207DC2">
        <w:t xml:space="preserve"> 2017</w:t>
      </w:r>
      <w:r w:rsidR="00360ABB" w:rsidRPr="00207DC2">
        <w:t xml:space="preserve">) and unpublished DHS operational data (extracted </w:t>
      </w:r>
      <w:r w:rsidR="00B54D93" w:rsidRPr="00207DC2">
        <w:t xml:space="preserve">from determination and circumstance files </w:t>
      </w:r>
      <w:r w:rsidR="00360ABB" w:rsidRPr="00207DC2">
        <w:t>on 20 November 2017 and 21 August 2017)</w:t>
      </w:r>
      <w:r w:rsidR="000A53B7" w:rsidRPr="00207DC2">
        <w:t xml:space="preserve">. </w:t>
      </w:r>
    </w:p>
    <w:p w14:paraId="3E3DD453" w14:textId="79F0E740" w:rsidR="000032EE" w:rsidRPr="00207DC2" w:rsidRDefault="000A53B7" w:rsidP="00D57D1D">
      <w:pPr>
        <w:pStyle w:val="tablenotes"/>
      </w:pPr>
      <w:r w:rsidRPr="00207DC2">
        <w:rPr>
          <w:i/>
        </w:rPr>
        <w:t>Notes:</w:t>
      </w:r>
      <w:r w:rsidRPr="00207DC2">
        <w:t xml:space="preserve"> </w:t>
      </w:r>
      <w:r w:rsidR="00786142" w:rsidRPr="00207DC2">
        <w:t xml:space="preserve">(a) </w:t>
      </w:r>
      <w:r w:rsidR="003E6851" w:rsidRPr="00207DC2">
        <w:t>E</w:t>
      </w:r>
      <w:r w:rsidRPr="00207DC2">
        <w:t xml:space="preserve">stimates </w:t>
      </w:r>
      <w:r w:rsidR="00504516" w:rsidRPr="00207DC2">
        <w:t>of the p</w:t>
      </w:r>
      <w:r w:rsidR="008F2195" w:rsidRPr="00207DC2">
        <w:t>roportion of participants experiencing a suspension or penalty each quarter</w:t>
      </w:r>
      <w:r w:rsidR="003E6851" w:rsidRPr="00207DC2">
        <w:t xml:space="preserve"> are</w:t>
      </w:r>
      <w:r w:rsidR="008F2195" w:rsidRPr="00207DC2">
        <w:t xml:space="preserve"> derived by dividing the number of individuals with a suspension or penalty in the quarter by the total number o</w:t>
      </w:r>
      <w:r w:rsidRPr="00207DC2">
        <w:t xml:space="preserve">f CDP </w:t>
      </w:r>
      <w:r w:rsidR="00994F17" w:rsidRPr="00207DC2">
        <w:t xml:space="preserve">participants </w:t>
      </w:r>
      <w:r w:rsidRPr="00207DC2">
        <w:t>at</w:t>
      </w:r>
      <w:r w:rsidR="00DB738B" w:rsidRPr="00207DC2">
        <w:t xml:space="preserve"> the beginning of each quarter.</w:t>
      </w:r>
      <w:r w:rsidR="007D76FC" w:rsidRPr="00207DC2">
        <w:t xml:space="preserve"> </w:t>
      </w:r>
      <w:r w:rsidR="00786142" w:rsidRPr="00207DC2">
        <w:t xml:space="preserve">(b) </w:t>
      </w:r>
      <w:r w:rsidR="007D76FC" w:rsidRPr="00207DC2">
        <w:t xml:space="preserve">Reductions and </w:t>
      </w:r>
      <w:r w:rsidR="00954EA4">
        <w:t>zero-rate</w:t>
      </w:r>
      <w:r w:rsidR="007D76FC" w:rsidRPr="00207DC2">
        <w:t xml:space="preserve"> penalties are penalties that reduce or stop a partic</w:t>
      </w:r>
      <w:r w:rsidR="009D227C" w:rsidRPr="00207DC2">
        <w:t>i</w:t>
      </w:r>
      <w:r w:rsidR="007D76FC" w:rsidRPr="00207DC2">
        <w:t>pant’s income support payment</w:t>
      </w:r>
      <w:r w:rsidR="00786142" w:rsidRPr="00207DC2">
        <w:t>.</w:t>
      </w:r>
      <w:r w:rsidR="007D76FC" w:rsidRPr="00207DC2">
        <w:t xml:space="preserve"> (</w:t>
      </w:r>
      <w:r w:rsidR="00786142" w:rsidRPr="00207DC2">
        <w:t>Penalty types are di</w:t>
      </w:r>
      <w:r w:rsidR="001D1994" w:rsidRPr="00207DC2">
        <w:t>s</w:t>
      </w:r>
      <w:r w:rsidR="00786142" w:rsidRPr="00207DC2">
        <w:t>cussed in more detail below</w:t>
      </w:r>
      <w:r w:rsidR="007D76FC" w:rsidRPr="00207DC2">
        <w:t>).</w:t>
      </w:r>
    </w:p>
    <w:p w14:paraId="65074A05" w14:textId="6635E0F5" w:rsidR="007602B6" w:rsidRPr="00207DC2" w:rsidRDefault="007602B6" w:rsidP="00496CB7">
      <w:pPr>
        <w:spacing w:before="240" w:after="120"/>
        <w:jc w:val="both"/>
        <w:rPr>
          <w:rFonts w:cstheme="minorHAnsi"/>
          <w:lang w:val="en-AU"/>
        </w:rPr>
      </w:pPr>
      <w:r w:rsidRPr="00207DC2">
        <w:rPr>
          <w:rFonts w:cstheme="minorHAnsi"/>
          <w:lang w:val="en-AU"/>
        </w:rPr>
        <w:t>Some suspensions may be lifted before the participant’s next pay period. For this reason, it is not clear how many of these recorded suspensions have</w:t>
      </w:r>
      <w:r w:rsidR="0039049C" w:rsidRPr="00207DC2">
        <w:rPr>
          <w:rFonts w:cstheme="minorHAnsi"/>
          <w:lang w:val="en-AU"/>
        </w:rPr>
        <w:t xml:space="preserve"> actually resulted in a</w:t>
      </w:r>
      <w:r w:rsidRPr="00207DC2">
        <w:rPr>
          <w:rFonts w:cstheme="minorHAnsi"/>
          <w:lang w:val="en-AU"/>
        </w:rPr>
        <w:t xml:space="preserve"> delay</w:t>
      </w:r>
      <w:r w:rsidR="00BC2F82" w:rsidRPr="00207DC2">
        <w:rPr>
          <w:rFonts w:cstheme="minorHAnsi"/>
          <w:lang w:val="en-AU"/>
        </w:rPr>
        <w:t xml:space="preserve"> in</w:t>
      </w:r>
      <w:r w:rsidRPr="00207DC2">
        <w:rPr>
          <w:rFonts w:cstheme="minorHAnsi"/>
          <w:lang w:val="en-AU"/>
        </w:rPr>
        <w:t xml:space="preserve"> a participant’s income support payment. A delay in income support payments</w:t>
      </w:r>
      <w:r w:rsidR="00A04483" w:rsidRPr="00207DC2">
        <w:rPr>
          <w:rFonts w:cstheme="minorHAnsi"/>
          <w:lang w:val="en-AU"/>
        </w:rPr>
        <w:t>,</w:t>
      </w:r>
      <w:r w:rsidRPr="00207DC2">
        <w:rPr>
          <w:rFonts w:cstheme="minorHAnsi"/>
          <w:lang w:val="en-AU"/>
        </w:rPr>
        <w:t xml:space="preserve"> where suspensions are applied</w:t>
      </w:r>
      <w:r w:rsidR="00A04483" w:rsidRPr="00207DC2">
        <w:rPr>
          <w:rFonts w:cstheme="minorHAnsi"/>
          <w:lang w:val="en-AU"/>
        </w:rPr>
        <w:t>,</w:t>
      </w:r>
      <w:r w:rsidRPr="00207DC2">
        <w:rPr>
          <w:rFonts w:cstheme="minorHAnsi"/>
          <w:lang w:val="en-AU"/>
        </w:rPr>
        <w:t xml:space="preserve"> </w:t>
      </w:r>
      <w:r w:rsidR="003B641E" w:rsidRPr="00207DC2">
        <w:rPr>
          <w:rFonts w:cstheme="minorHAnsi"/>
          <w:lang w:val="en-AU"/>
        </w:rPr>
        <w:t xml:space="preserve">may </w:t>
      </w:r>
      <w:r w:rsidRPr="00207DC2">
        <w:rPr>
          <w:rFonts w:cstheme="minorHAnsi"/>
          <w:lang w:val="en-AU"/>
        </w:rPr>
        <w:t>have a financial impact on CDP participants.</w:t>
      </w:r>
      <w:r w:rsidR="009E214F" w:rsidRPr="00207DC2">
        <w:rPr>
          <w:rFonts w:cstheme="minorHAnsi"/>
          <w:lang w:val="en-AU"/>
        </w:rPr>
        <w:t xml:space="preserve"> </w:t>
      </w:r>
    </w:p>
    <w:p w14:paraId="5F9D47BD" w14:textId="77777777" w:rsidR="009E214F" w:rsidRPr="00207DC2" w:rsidRDefault="007602B6" w:rsidP="009E214F">
      <w:pPr>
        <w:tabs>
          <w:tab w:val="left" w:pos="8364"/>
        </w:tabs>
        <w:spacing w:before="240" w:after="120"/>
        <w:jc w:val="both"/>
        <w:rPr>
          <w:lang w:val="en-AU"/>
        </w:rPr>
      </w:pPr>
      <w:r w:rsidRPr="00207DC2">
        <w:rPr>
          <w:lang w:val="en-AU"/>
        </w:rPr>
        <w:t xml:space="preserve">Before </w:t>
      </w:r>
      <w:r w:rsidR="00610752" w:rsidRPr="00207DC2">
        <w:rPr>
          <w:lang w:val="en-AU"/>
        </w:rPr>
        <w:t xml:space="preserve">the </w:t>
      </w:r>
      <w:r w:rsidRPr="00207DC2">
        <w:rPr>
          <w:lang w:val="en-AU"/>
        </w:rPr>
        <w:t xml:space="preserve">CDP commenced, the share of </w:t>
      </w:r>
      <w:r w:rsidR="000C0A00" w:rsidRPr="00207DC2">
        <w:rPr>
          <w:lang w:val="en-AU"/>
        </w:rPr>
        <w:t xml:space="preserve">remote </w:t>
      </w:r>
      <w:r w:rsidR="00425382" w:rsidRPr="00207DC2">
        <w:rPr>
          <w:lang w:val="en-AU"/>
        </w:rPr>
        <w:t xml:space="preserve">participants </w:t>
      </w:r>
      <w:r w:rsidRPr="00207DC2">
        <w:rPr>
          <w:lang w:val="en-AU"/>
        </w:rPr>
        <w:t xml:space="preserve">penalised or suspended (per quarter) had been rising steadily. </w:t>
      </w:r>
    </w:p>
    <w:p w14:paraId="7B6F0414" w14:textId="3AF18C39" w:rsidR="009E214F" w:rsidRPr="00207DC2" w:rsidRDefault="007602B6" w:rsidP="009E214F">
      <w:pPr>
        <w:tabs>
          <w:tab w:val="left" w:pos="8364"/>
        </w:tabs>
        <w:spacing w:before="240" w:after="120"/>
        <w:jc w:val="both"/>
        <w:rPr>
          <w:lang w:val="en-AU"/>
        </w:rPr>
      </w:pPr>
      <w:r w:rsidRPr="00207DC2">
        <w:rPr>
          <w:lang w:val="en-AU"/>
        </w:rPr>
        <w:t xml:space="preserve">The proportion suspended rose by ten percentage points in the six months </w:t>
      </w:r>
      <w:r w:rsidR="00BC2F82" w:rsidRPr="00207DC2">
        <w:rPr>
          <w:lang w:val="en-AU"/>
        </w:rPr>
        <w:t xml:space="preserve">prior </w:t>
      </w:r>
      <w:r w:rsidRPr="00207DC2">
        <w:rPr>
          <w:lang w:val="en-AU"/>
        </w:rPr>
        <w:t xml:space="preserve">to </w:t>
      </w:r>
      <w:r w:rsidR="00BC2F82" w:rsidRPr="00207DC2">
        <w:rPr>
          <w:lang w:val="en-AU"/>
        </w:rPr>
        <w:t xml:space="preserve">the </w:t>
      </w:r>
      <w:r w:rsidRPr="00207DC2">
        <w:rPr>
          <w:lang w:val="en-AU"/>
        </w:rPr>
        <w:t>commencement</w:t>
      </w:r>
      <w:r w:rsidR="00BC2F82" w:rsidRPr="00207DC2">
        <w:rPr>
          <w:lang w:val="en-AU"/>
        </w:rPr>
        <w:t xml:space="preserve"> of</w:t>
      </w:r>
      <w:r w:rsidR="00610752" w:rsidRPr="00207DC2">
        <w:rPr>
          <w:lang w:val="en-AU"/>
        </w:rPr>
        <w:t xml:space="preserve"> the</w:t>
      </w:r>
      <w:r w:rsidR="00BC2F82" w:rsidRPr="00207DC2">
        <w:rPr>
          <w:lang w:val="en-AU"/>
        </w:rPr>
        <w:t xml:space="preserve"> CDP</w:t>
      </w:r>
      <w:r w:rsidRPr="00207DC2">
        <w:rPr>
          <w:lang w:val="en-AU"/>
        </w:rPr>
        <w:t>. Suspensions then rose by about the same amount over the sixth month</w:t>
      </w:r>
      <w:r w:rsidR="00994F17" w:rsidRPr="00207DC2">
        <w:rPr>
          <w:lang w:val="en-AU"/>
        </w:rPr>
        <w:t xml:space="preserve"> period</w:t>
      </w:r>
      <w:r w:rsidRPr="00207DC2">
        <w:rPr>
          <w:lang w:val="en-AU"/>
        </w:rPr>
        <w:t xml:space="preserve"> after commencement, before levelling off from the start of 2016. </w:t>
      </w:r>
      <w:r w:rsidR="009E214F" w:rsidRPr="00207DC2">
        <w:rPr>
          <w:lang w:val="en-AU"/>
        </w:rPr>
        <w:t>T</w:t>
      </w:r>
      <w:r w:rsidR="009E214F" w:rsidRPr="00207DC2">
        <w:rPr>
          <w:rFonts w:cstheme="minorHAnsi"/>
          <w:lang w:val="en-AU"/>
        </w:rPr>
        <w:t xml:space="preserve">he rise in suspensions since the introduction of the CDP was largely driven by failures to attend </w:t>
      </w:r>
      <w:r w:rsidR="009E214F" w:rsidRPr="00207DC2">
        <w:rPr>
          <w:rFonts w:cstheme="minorHAnsi"/>
          <w:i/>
          <w:lang w:val="en-AU"/>
        </w:rPr>
        <w:t>activities</w:t>
      </w:r>
      <w:r w:rsidR="009E214F" w:rsidRPr="00207DC2">
        <w:rPr>
          <w:rFonts w:cstheme="minorHAnsi"/>
          <w:lang w:val="en-AU"/>
        </w:rPr>
        <w:t xml:space="preserve"> (Figure 3.2).</w:t>
      </w:r>
    </w:p>
    <w:p w14:paraId="0978DF12" w14:textId="6F8531A6" w:rsidR="003654CD" w:rsidRPr="00207DC2" w:rsidRDefault="007602B6" w:rsidP="007602B6">
      <w:pPr>
        <w:tabs>
          <w:tab w:val="left" w:pos="8364"/>
        </w:tabs>
        <w:spacing w:before="240" w:after="120"/>
        <w:jc w:val="both"/>
        <w:rPr>
          <w:lang w:val="en-AU"/>
        </w:rPr>
      </w:pPr>
      <w:r w:rsidRPr="00207DC2">
        <w:rPr>
          <w:lang w:val="en-AU"/>
        </w:rPr>
        <w:t xml:space="preserve">The proportion penalised rose by </w:t>
      </w:r>
      <w:r w:rsidR="00E77347" w:rsidRPr="00207DC2">
        <w:rPr>
          <w:lang w:val="en-AU"/>
        </w:rPr>
        <w:t>about</w:t>
      </w:r>
      <w:r w:rsidRPr="00207DC2">
        <w:rPr>
          <w:lang w:val="en-AU"/>
        </w:rPr>
        <w:t xml:space="preserve"> five</w:t>
      </w:r>
      <w:r w:rsidR="00EB0F93" w:rsidRPr="00207DC2">
        <w:rPr>
          <w:lang w:val="en-AU"/>
        </w:rPr>
        <w:t> </w:t>
      </w:r>
      <w:r w:rsidRPr="00207DC2">
        <w:rPr>
          <w:lang w:val="en-AU"/>
        </w:rPr>
        <w:t xml:space="preserve">percentage points in the six months </w:t>
      </w:r>
      <w:r w:rsidR="00BC2F82" w:rsidRPr="00207DC2">
        <w:rPr>
          <w:lang w:val="en-AU"/>
        </w:rPr>
        <w:t xml:space="preserve">prior </w:t>
      </w:r>
      <w:r w:rsidRPr="00207DC2">
        <w:rPr>
          <w:lang w:val="en-AU"/>
        </w:rPr>
        <w:t>to</w:t>
      </w:r>
      <w:r w:rsidR="00BC2F82" w:rsidRPr="00207DC2">
        <w:rPr>
          <w:lang w:val="en-AU"/>
        </w:rPr>
        <w:t xml:space="preserve"> the</w:t>
      </w:r>
      <w:r w:rsidRPr="00207DC2">
        <w:rPr>
          <w:lang w:val="en-AU"/>
        </w:rPr>
        <w:t xml:space="preserve"> commencement</w:t>
      </w:r>
      <w:r w:rsidR="00BC2F82" w:rsidRPr="00207DC2">
        <w:rPr>
          <w:lang w:val="en-AU"/>
        </w:rPr>
        <w:t xml:space="preserve"> of </w:t>
      </w:r>
      <w:r w:rsidR="00610752" w:rsidRPr="00207DC2">
        <w:rPr>
          <w:lang w:val="en-AU"/>
        </w:rPr>
        <w:t xml:space="preserve">the </w:t>
      </w:r>
      <w:r w:rsidR="00BC2F82" w:rsidRPr="00207DC2">
        <w:rPr>
          <w:lang w:val="en-AU"/>
        </w:rPr>
        <w:t>CDP</w:t>
      </w:r>
      <w:r w:rsidRPr="00207DC2">
        <w:rPr>
          <w:lang w:val="en-AU"/>
        </w:rPr>
        <w:t xml:space="preserve">. After commencement, penalties accelerated – there was a rise of over 15 percentage points during the </w:t>
      </w:r>
      <w:r w:rsidR="0026452C" w:rsidRPr="00207DC2">
        <w:rPr>
          <w:lang w:val="en-AU"/>
        </w:rPr>
        <w:t>initial</w:t>
      </w:r>
      <w:r w:rsidR="000379D5" w:rsidRPr="00207DC2">
        <w:rPr>
          <w:lang w:val="en-AU"/>
        </w:rPr>
        <w:t xml:space="preserve"> </w:t>
      </w:r>
      <w:r w:rsidRPr="00207DC2">
        <w:rPr>
          <w:lang w:val="en-AU"/>
        </w:rPr>
        <w:t>six months of the program, before also levelling off in 2016.</w:t>
      </w:r>
      <w:r w:rsidR="003654CD" w:rsidRPr="00207DC2">
        <w:rPr>
          <w:lang w:val="en-AU"/>
        </w:rPr>
        <w:t xml:space="preserve"> Changes introduced under the CDP</w:t>
      </w:r>
      <w:r w:rsidR="00396552">
        <w:rPr>
          <w:lang w:val="en-AU"/>
        </w:rPr>
        <w:t xml:space="preserve"> – </w:t>
      </w:r>
      <w:r w:rsidR="003654CD" w:rsidRPr="00207DC2">
        <w:rPr>
          <w:lang w:val="en-AU"/>
        </w:rPr>
        <w:t xml:space="preserve">including </w:t>
      </w:r>
      <w:r w:rsidR="003654CD" w:rsidRPr="00207DC2">
        <w:rPr>
          <w:rFonts w:cstheme="minorHAnsi"/>
          <w:lang w:val="en-AU"/>
        </w:rPr>
        <w:t>additional Work for the Dole requirements and greater incentives for providers to utilise the compliance framework to maximise attendance at Work for the Dole activities (</w:t>
      </w:r>
      <w:r w:rsidR="007C7535" w:rsidRPr="00207DC2">
        <w:rPr>
          <w:rFonts w:cstheme="minorHAnsi"/>
          <w:lang w:val="en-AU"/>
        </w:rPr>
        <w:t>see discussion of provider incentives in Box 3.1</w:t>
      </w:r>
      <w:r w:rsidR="003654CD" w:rsidRPr="00207DC2">
        <w:rPr>
          <w:rFonts w:cstheme="minorHAnsi"/>
          <w:lang w:val="en-AU"/>
        </w:rPr>
        <w:t>)</w:t>
      </w:r>
      <w:r w:rsidR="00396552">
        <w:rPr>
          <w:lang w:val="en-AU"/>
        </w:rPr>
        <w:t xml:space="preserve"> – </w:t>
      </w:r>
      <w:r w:rsidR="003654CD" w:rsidRPr="00207DC2">
        <w:rPr>
          <w:rFonts w:cstheme="minorHAnsi"/>
          <w:lang w:val="en-AU"/>
        </w:rPr>
        <w:t>may have contributed to th</w:t>
      </w:r>
      <w:r w:rsidR="00C77E5F" w:rsidRPr="00207DC2">
        <w:rPr>
          <w:rFonts w:cstheme="minorHAnsi"/>
          <w:lang w:val="en-AU"/>
        </w:rPr>
        <w:t>e</w:t>
      </w:r>
      <w:r w:rsidR="003654CD" w:rsidRPr="00207DC2">
        <w:rPr>
          <w:rFonts w:cstheme="minorHAnsi"/>
          <w:lang w:val="en-AU"/>
        </w:rPr>
        <w:t xml:space="preserve"> increase</w:t>
      </w:r>
      <w:r w:rsidR="009E214F" w:rsidRPr="00207DC2">
        <w:rPr>
          <w:rFonts w:cstheme="minorHAnsi"/>
          <w:lang w:val="en-AU"/>
        </w:rPr>
        <w:t xml:space="preserve"> in penalties</w:t>
      </w:r>
      <w:r w:rsidR="003654CD" w:rsidRPr="00207DC2">
        <w:rPr>
          <w:rFonts w:cstheme="minorHAnsi"/>
          <w:lang w:val="en-AU"/>
        </w:rPr>
        <w:t>.</w:t>
      </w:r>
    </w:p>
    <w:p w14:paraId="296D82EA" w14:textId="0BA20555" w:rsidR="00B90F41" w:rsidRPr="00207DC2" w:rsidRDefault="000A53B7" w:rsidP="00B90F41">
      <w:pPr>
        <w:pStyle w:val="Figures"/>
      </w:pPr>
      <w:r w:rsidRPr="00207DC2">
        <w:t xml:space="preserve">Figure </w:t>
      </w:r>
      <w:r w:rsidR="00905D1A">
        <w:t>3</w:t>
      </w:r>
      <w:r w:rsidR="00EF1B43" w:rsidRPr="00207DC2">
        <w:t>.</w:t>
      </w:r>
      <w:r w:rsidR="00905D1A">
        <w:t>2</w:t>
      </w:r>
      <w:r w:rsidRPr="00207DC2">
        <w:t xml:space="preserve"> </w:t>
      </w:r>
      <w:r w:rsidR="00987CAC" w:rsidRPr="00207DC2">
        <w:t>Share of participants suspended from i</w:t>
      </w:r>
      <w:r w:rsidR="002F1477" w:rsidRPr="00207DC2">
        <w:t>ncome support payment</w:t>
      </w:r>
      <w:r w:rsidR="003F1008" w:rsidRPr="00207DC2">
        <w:t>s</w:t>
      </w:r>
      <w:r w:rsidR="00CE713F" w:rsidRPr="00207DC2">
        <w:t xml:space="preserve"> due to failure to attend </w:t>
      </w:r>
      <w:r w:rsidR="00203F0B" w:rsidRPr="00207DC2">
        <w:t>ap</w:t>
      </w:r>
      <w:r w:rsidR="00CE713F" w:rsidRPr="00207DC2">
        <w:t>pointment</w:t>
      </w:r>
      <w:r w:rsidR="00203F0B" w:rsidRPr="00207DC2">
        <w:t xml:space="preserve">s </w:t>
      </w:r>
      <w:r w:rsidR="00CE713F" w:rsidRPr="00207DC2">
        <w:t xml:space="preserve">or </w:t>
      </w:r>
      <w:r w:rsidR="00203F0B" w:rsidRPr="00207DC2">
        <w:t>activit</w:t>
      </w:r>
      <w:r w:rsidR="00CE713F" w:rsidRPr="00207DC2">
        <w:t>ie</w:t>
      </w:r>
      <w:r w:rsidR="00203F0B" w:rsidRPr="00207DC2">
        <w:t>s</w:t>
      </w:r>
      <w:r w:rsidR="00786142" w:rsidRPr="00207DC2">
        <w:rPr>
          <w:b/>
          <w:vertAlign w:val="superscript"/>
        </w:rPr>
        <w:t>a</w:t>
      </w:r>
    </w:p>
    <w:p w14:paraId="213E97BD" w14:textId="35E15D78" w:rsidR="00DF7D3E" w:rsidRPr="00207DC2" w:rsidRDefault="00B90F41" w:rsidP="00D57D1D">
      <w:pPr>
        <w:pStyle w:val="tablenotes"/>
      </w:pPr>
      <w:r w:rsidRPr="00207DC2">
        <w:drawing>
          <wp:inline distT="0" distB="0" distL="0" distR="0" wp14:anchorId="21CB89C1" wp14:editId="558F758C">
            <wp:extent cx="5640705" cy="3224530"/>
            <wp:effectExtent l="0" t="0" r="0" b="0"/>
            <wp:docPr id="192" name="Picture 192" descr="The figure is a line chart between the first quarter of 2014 and the second quarter of 2017. It shows the proportion of participants each quarter who received a suspension for: &#10;- failing to attend appointments; and &#10;- failing to attend activities. &#10;&#10;Under CDP, there was an increase in the share of participants who received a suspension for failing to attend activities. The share of participants who received a suspension for failing to attend appointments remained fairly steady over the time period. &#10;" title="Share of participants suspended from income support payments due to failure to attend appointments 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40705" cy="3224530"/>
                    </a:xfrm>
                    <a:prstGeom prst="rect">
                      <a:avLst/>
                    </a:prstGeom>
                  </pic:spPr>
                </pic:pic>
              </a:graphicData>
            </a:graphic>
          </wp:inline>
        </w:drawing>
      </w:r>
      <w:r w:rsidR="002F1477" w:rsidRPr="00207DC2">
        <w:rPr>
          <w:i/>
        </w:rPr>
        <w:t xml:space="preserve">Source: </w:t>
      </w:r>
      <w:r w:rsidR="0057565A" w:rsidRPr="00207DC2">
        <w:t>PMC</w:t>
      </w:r>
      <w:r w:rsidR="00D25884" w:rsidRPr="00207DC2">
        <w:t xml:space="preserve"> estimates based on u</w:t>
      </w:r>
      <w:r w:rsidR="002F1477" w:rsidRPr="00207DC2">
        <w:t>npublished ESS operational data (extracted on 15</w:t>
      </w:r>
      <w:r w:rsidR="00100238" w:rsidRPr="00207DC2">
        <w:t> </w:t>
      </w:r>
      <w:r w:rsidR="002F1477" w:rsidRPr="00207DC2">
        <w:t>August</w:t>
      </w:r>
      <w:r w:rsidR="00100238" w:rsidRPr="00207DC2">
        <w:t> </w:t>
      </w:r>
      <w:r w:rsidR="002F1477" w:rsidRPr="00207DC2">
        <w:t>2017) and unpublished DHS operational data (</w:t>
      </w:r>
      <w:r w:rsidR="00A71834" w:rsidRPr="00207DC2">
        <w:t xml:space="preserve">extracted </w:t>
      </w:r>
      <w:r w:rsidR="00B54D93" w:rsidRPr="00207DC2">
        <w:t xml:space="preserve">from determination and circumstance files </w:t>
      </w:r>
      <w:r w:rsidR="00A71834" w:rsidRPr="00207DC2">
        <w:t>on 20 November 2017</w:t>
      </w:r>
      <w:r w:rsidR="002F1477" w:rsidRPr="00207DC2">
        <w:t xml:space="preserve">). </w:t>
      </w:r>
    </w:p>
    <w:p w14:paraId="794FED45" w14:textId="2F3CDE17" w:rsidR="003E5C9D" w:rsidRPr="00207DC2" w:rsidRDefault="002F1477" w:rsidP="00D57D1D">
      <w:pPr>
        <w:pStyle w:val="tablenotes"/>
      </w:pPr>
      <w:r w:rsidRPr="00207DC2">
        <w:rPr>
          <w:i/>
        </w:rPr>
        <w:t>Notes:</w:t>
      </w:r>
      <w:r w:rsidRPr="00207DC2">
        <w:t xml:space="preserve"> </w:t>
      </w:r>
      <w:r w:rsidR="00786142" w:rsidRPr="00207DC2">
        <w:t xml:space="preserve">(a) </w:t>
      </w:r>
      <w:r w:rsidRPr="00207DC2">
        <w:t>Estimates are</w:t>
      </w:r>
      <w:r w:rsidR="003E5C9D" w:rsidRPr="00207DC2">
        <w:t xml:space="preserve"> derived by dividing the number of individuals with a suspension each quarter by the total number of CDP </w:t>
      </w:r>
      <w:r w:rsidR="00610752" w:rsidRPr="00207DC2">
        <w:t>participants</w:t>
      </w:r>
      <w:r w:rsidR="003E5C9D" w:rsidRPr="00207DC2">
        <w:t xml:space="preserve"> at the beginning of each quarter.</w:t>
      </w:r>
      <w:r w:rsidR="007D76FC" w:rsidRPr="00207DC2">
        <w:t xml:space="preserve"> </w:t>
      </w:r>
    </w:p>
    <w:p w14:paraId="783C2506" w14:textId="77777777" w:rsidR="00FB626D" w:rsidRPr="00207DC2" w:rsidRDefault="00FB626D" w:rsidP="00FB626D">
      <w:pPr>
        <w:spacing w:before="120" w:after="120"/>
        <w:jc w:val="both"/>
        <w:rPr>
          <w:rFonts w:cstheme="minorHAnsi"/>
          <w:lang w:val="en-AU"/>
        </w:rPr>
      </w:pPr>
      <w:r w:rsidRPr="00207DC2">
        <w:rPr>
          <w:rFonts w:cstheme="minorHAnsi"/>
          <w:lang w:val="en-AU"/>
        </w:rPr>
        <w:t>The proportion of participants suspended due to failure to attend</w:t>
      </w:r>
      <w:r w:rsidRPr="00207DC2">
        <w:rPr>
          <w:lang w:val="en-AU"/>
        </w:rPr>
        <w:t xml:space="preserve"> </w:t>
      </w:r>
      <w:r w:rsidRPr="00207DC2">
        <w:rPr>
          <w:i/>
          <w:lang w:val="en-AU"/>
        </w:rPr>
        <w:t>ap</w:t>
      </w:r>
      <w:r w:rsidRPr="00207DC2">
        <w:rPr>
          <w:rFonts w:cstheme="minorHAnsi"/>
          <w:i/>
          <w:lang w:val="en-AU"/>
        </w:rPr>
        <w:t>pointments</w:t>
      </w:r>
      <w:r w:rsidRPr="00207DC2">
        <w:rPr>
          <w:rFonts w:cstheme="minorHAnsi"/>
          <w:lang w:val="en-AU"/>
        </w:rPr>
        <w:t xml:space="preserve"> (with a </w:t>
      </w:r>
      <w:r w:rsidRPr="00207DC2">
        <w:rPr>
          <w:lang w:val="en-AU"/>
        </w:rPr>
        <w:t xml:space="preserve">provider or third party) </w:t>
      </w:r>
      <w:r w:rsidRPr="00207DC2">
        <w:rPr>
          <w:rFonts w:cstheme="minorHAnsi"/>
          <w:lang w:val="en-AU"/>
        </w:rPr>
        <w:t xml:space="preserve">was almost as high in the RJCP period as in the CDP period. While estimates for the first 12 months of the RJCP are excluded from Figure 3.2 due to incomplete data for this period, suspensions due to failure to attend provider appointments increased in the middle of 2014. This coincides with the introduction of the </w:t>
      </w:r>
      <w:r w:rsidRPr="00207DC2">
        <w:rPr>
          <w:rFonts w:cstheme="minorHAnsi"/>
          <w:i/>
          <w:lang w:val="en-AU"/>
        </w:rPr>
        <w:t>Non</w:t>
      </w:r>
      <w:r w:rsidRPr="00207DC2">
        <w:rPr>
          <w:rFonts w:cstheme="minorHAnsi"/>
          <w:i/>
          <w:lang w:val="en-AU"/>
        </w:rPr>
        <w:noBreakHyphen/>
        <w:t>attendance Report</w:t>
      </w:r>
      <w:r w:rsidRPr="00207DC2">
        <w:rPr>
          <w:rFonts w:cstheme="minorHAnsi"/>
          <w:lang w:val="en-AU"/>
        </w:rPr>
        <w:t xml:space="preserve">, which allowed providers to submit a report to DHS to indicate that the participant had failed to attend an appointment, resulting in automatic suspension of the participant (Box 3.1). </w:t>
      </w:r>
    </w:p>
    <w:p w14:paraId="0A4E7871" w14:textId="420CD629" w:rsidR="00BB4FBB" w:rsidRPr="00207DC2" w:rsidRDefault="00BD0F3F" w:rsidP="005A01FD">
      <w:pPr>
        <w:spacing w:before="240"/>
        <w:jc w:val="both"/>
        <w:rPr>
          <w:lang w:val="en-AU"/>
        </w:rPr>
      </w:pPr>
      <w:r w:rsidRPr="00207DC2">
        <w:rPr>
          <w:rFonts w:cstheme="minorHAnsi"/>
          <w:lang w:val="en-AU"/>
        </w:rPr>
        <w:t>Under CDP, the increase in p</w:t>
      </w:r>
      <w:r w:rsidR="00A33FD1" w:rsidRPr="00207DC2" w:rsidDel="0065159E">
        <w:rPr>
          <w:rFonts w:cstheme="minorHAnsi"/>
          <w:lang w:val="en-AU"/>
        </w:rPr>
        <w:t>enalties</w:t>
      </w:r>
      <w:r w:rsidR="00A33FD1" w:rsidRPr="00207DC2">
        <w:rPr>
          <w:rFonts w:cstheme="minorHAnsi"/>
          <w:lang w:val="en-AU"/>
        </w:rPr>
        <w:t xml:space="preserve"> </w:t>
      </w:r>
      <w:r w:rsidR="003F1008" w:rsidRPr="00207DC2">
        <w:rPr>
          <w:rFonts w:cstheme="minorHAnsi"/>
          <w:lang w:val="en-AU"/>
        </w:rPr>
        <w:t>ha</w:t>
      </w:r>
      <w:r w:rsidR="00BF5C41" w:rsidRPr="00207DC2">
        <w:rPr>
          <w:rFonts w:cstheme="minorHAnsi"/>
          <w:lang w:val="en-AU"/>
        </w:rPr>
        <w:t>s</w:t>
      </w:r>
      <w:r w:rsidRPr="00207DC2">
        <w:rPr>
          <w:rFonts w:cstheme="minorHAnsi"/>
          <w:lang w:val="en-AU"/>
        </w:rPr>
        <w:t xml:space="preserve"> also largely </w:t>
      </w:r>
      <w:r w:rsidR="003F1008" w:rsidRPr="00207DC2">
        <w:rPr>
          <w:rFonts w:cstheme="minorHAnsi"/>
          <w:lang w:val="en-AU"/>
        </w:rPr>
        <w:t xml:space="preserve">been </w:t>
      </w:r>
      <w:r w:rsidRPr="00207DC2">
        <w:rPr>
          <w:rFonts w:cstheme="minorHAnsi"/>
          <w:lang w:val="en-AU"/>
        </w:rPr>
        <w:t xml:space="preserve">driven by an increase in </w:t>
      </w:r>
      <w:r w:rsidR="00892FC7" w:rsidRPr="00207DC2">
        <w:rPr>
          <w:rFonts w:cstheme="minorHAnsi"/>
          <w:lang w:val="en-AU"/>
        </w:rPr>
        <w:t xml:space="preserve">failures to attend </w:t>
      </w:r>
      <w:r w:rsidR="00A33FD1" w:rsidRPr="00207DC2">
        <w:rPr>
          <w:rFonts w:cstheme="minorHAnsi"/>
          <w:i/>
          <w:lang w:val="en-AU"/>
        </w:rPr>
        <w:t>activities</w:t>
      </w:r>
      <w:r w:rsidR="00BF5C41" w:rsidRPr="00207DC2">
        <w:rPr>
          <w:rFonts w:cstheme="minorHAnsi"/>
          <w:lang w:val="en-AU"/>
        </w:rPr>
        <w:t>,</w:t>
      </w:r>
      <w:r w:rsidRPr="00207DC2">
        <w:rPr>
          <w:rFonts w:cstheme="minorHAnsi"/>
          <w:lang w:val="en-AU"/>
        </w:rPr>
        <w:t xml:space="preserve"> </w:t>
      </w:r>
      <w:r w:rsidR="00892FC7" w:rsidRPr="00207DC2">
        <w:rPr>
          <w:rFonts w:cstheme="minorHAnsi"/>
          <w:lang w:val="en-AU"/>
        </w:rPr>
        <w:t>referred to as</w:t>
      </w:r>
      <w:r w:rsidRPr="00207DC2">
        <w:rPr>
          <w:rFonts w:cstheme="minorHAnsi"/>
          <w:lang w:val="en-AU"/>
        </w:rPr>
        <w:t xml:space="preserve"> ‘No Show No Pay’ failures</w:t>
      </w:r>
      <w:r w:rsidR="00EB5F1F" w:rsidRPr="00207DC2">
        <w:rPr>
          <w:rFonts w:cstheme="minorHAnsi"/>
          <w:lang w:val="en-AU"/>
        </w:rPr>
        <w:t>.</w:t>
      </w:r>
      <w:r w:rsidR="00A33FD1" w:rsidRPr="00207DC2" w:rsidDel="00BF6E8C">
        <w:rPr>
          <w:rFonts w:cstheme="minorHAnsi"/>
          <w:lang w:val="en-AU"/>
        </w:rPr>
        <w:t xml:space="preserve"> </w:t>
      </w:r>
      <w:r w:rsidR="00C06295" w:rsidRPr="00207DC2">
        <w:rPr>
          <w:lang w:val="en-AU"/>
        </w:rPr>
        <w:t>The proportion of payment</w:t>
      </w:r>
      <w:r w:rsidR="00534DBE" w:rsidRPr="00207DC2">
        <w:rPr>
          <w:lang w:val="en-AU"/>
        </w:rPr>
        <w:t>s</w:t>
      </w:r>
      <w:r w:rsidR="00C06295" w:rsidRPr="00207DC2">
        <w:rPr>
          <w:lang w:val="en-AU"/>
        </w:rPr>
        <w:t xml:space="preserve"> lost depends on the number of days the participant fails</w:t>
      </w:r>
      <w:r w:rsidR="00CB7D71" w:rsidRPr="00207DC2">
        <w:rPr>
          <w:lang w:val="en-AU"/>
        </w:rPr>
        <w:t xml:space="preserve"> to attend or engage</w:t>
      </w:r>
      <w:r w:rsidR="00E91858" w:rsidRPr="00207DC2">
        <w:rPr>
          <w:lang w:val="en-AU"/>
        </w:rPr>
        <w:t xml:space="preserve"> with their provider</w:t>
      </w:r>
      <w:r w:rsidR="00C06295" w:rsidRPr="00207DC2">
        <w:rPr>
          <w:lang w:val="en-AU"/>
        </w:rPr>
        <w:t xml:space="preserve">. Participants receive one </w:t>
      </w:r>
      <w:r w:rsidR="00CB7D71" w:rsidRPr="00207DC2">
        <w:rPr>
          <w:i/>
          <w:lang w:val="en-AU"/>
        </w:rPr>
        <w:t>No Show No Pay</w:t>
      </w:r>
      <w:r w:rsidR="00C06295" w:rsidRPr="00207DC2">
        <w:rPr>
          <w:lang w:val="en-AU"/>
        </w:rPr>
        <w:t xml:space="preserve"> </w:t>
      </w:r>
      <w:r w:rsidR="00DF2395" w:rsidRPr="00207DC2">
        <w:rPr>
          <w:lang w:val="en-AU"/>
        </w:rPr>
        <w:t>penalty</w:t>
      </w:r>
      <w:r w:rsidR="00C06295" w:rsidRPr="00207DC2">
        <w:rPr>
          <w:lang w:val="en-AU"/>
        </w:rPr>
        <w:t xml:space="preserve"> for each day they fail to attend as required. For each </w:t>
      </w:r>
      <w:r w:rsidR="00C06295" w:rsidRPr="00207DC2">
        <w:rPr>
          <w:i/>
          <w:lang w:val="en-AU"/>
        </w:rPr>
        <w:t>No Show No Pay</w:t>
      </w:r>
      <w:r w:rsidR="00C06295" w:rsidRPr="00207DC2">
        <w:rPr>
          <w:lang w:val="en-AU"/>
        </w:rPr>
        <w:t xml:space="preserve"> penalty, participants lose </w:t>
      </w:r>
      <w:r w:rsidR="0080201F" w:rsidRPr="00207DC2">
        <w:rPr>
          <w:lang w:val="en-AU"/>
        </w:rPr>
        <w:t>ten</w:t>
      </w:r>
      <w:r w:rsidR="00C06295" w:rsidRPr="00207DC2">
        <w:rPr>
          <w:lang w:val="en-AU"/>
        </w:rPr>
        <w:t xml:space="preserve"> per cent of their fortnightly income support payment (equivalent to the loss of income support payme</w:t>
      </w:r>
      <w:r w:rsidR="000A7713" w:rsidRPr="00207DC2">
        <w:rPr>
          <w:lang w:val="en-AU"/>
        </w:rPr>
        <w:t>nts for a single business day).</w:t>
      </w:r>
    </w:p>
    <w:p w14:paraId="46930C6F" w14:textId="5455893E" w:rsidR="00B244BD" w:rsidRPr="00207DC2" w:rsidRDefault="00C06295" w:rsidP="004A6705">
      <w:pPr>
        <w:jc w:val="both"/>
        <w:rPr>
          <w:rFonts w:cstheme="minorHAnsi"/>
          <w:lang w:val="en-AU"/>
        </w:rPr>
      </w:pPr>
      <w:r w:rsidRPr="00207DC2">
        <w:rPr>
          <w:lang w:val="en-AU"/>
        </w:rPr>
        <w:t>No</w:t>
      </w:r>
      <w:r w:rsidR="00CB7D71" w:rsidRPr="00207DC2">
        <w:rPr>
          <w:lang w:val="en-AU"/>
        </w:rPr>
        <w:t xml:space="preserve"> more than three </w:t>
      </w:r>
      <w:r w:rsidR="00CB7D71" w:rsidRPr="00207DC2">
        <w:rPr>
          <w:i/>
          <w:lang w:val="en-AU"/>
        </w:rPr>
        <w:t>No Show No Pay</w:t>
      </w:r>
      <w:r w:rsidRPr="00207DC2">
        <w:rPr>
          <w:lang w:val="en-AU"/>
        </w:rPr>
        <w:t xml:space="preserve"> penalties can be applied in any fortnightly period</w:t>
      </w:r>
      <w:r w:rsidR="00BB6321" w:rsidRPr="00207DC2">
        <w:rPr>
          <w:lang w:val="en-AU"/>
        </w:rPr>
        <w:t>,</w:t>
      </w:r>
      <w:r w:rsidRPr="00207DC2">
        <w:rPr>
          <w:lang w:val="en-AU"/>
        </w:rPr>
        <w:t xml:space="preserve"> as three applied failures of any kind within a six</w:t>
      </w:r>
      <w:r w:rsidR="006739A3" w:rsidRPr="00207DC2">
        <w:rPr>
          <w:lang w:val="en-AU"/>
        </w:rPr>
        <w:t>-</w:t>
      </w:r>
      <w:r w:rsidRPr="00207DC2">
        <w:rPr>
          <w:lang w:val="en-AU"/>
        </w:rPr>
        <w:t>month period will automatically trigger a Comprehensive Compliance Assessment (CCA)</w:t>
      </w:r>
      <w:r w:rsidR="00BB6321" w:rsidRPr="00207DC2">
        <w:rPr>
          <w:lang w:val="en-AU"/>
        </w:rPr>
        <w:t>,</w:t>
      </w:r>
      <w:r w:rsidRPr="00207DC2">
        <w:rPr>
          <w:lang w:val="en-AU"/>
        </w:rPr>
        <w:t xml:space="preserve"> and no further penalties can be applied while a CCA is being undertaken</w:t>
      </w:r>
      <w:r w:rsidR="00E64759" w:rsidRPr="00207DC2">
        <w:rPr>
          <w:lang w:val="en-AU"/>
        </w:rPr>
        <w:t>.</w:t>
      </w:r>
      <w:r w:rsidRPr="00207DC2">
        <w:rPr>
          <w:lang w:val="en-AU"/>
        </w:rPr>
        <w:t xml:space="preserve"> </w:t>
      </w:r>
      <w:r w:rsidR="00BB4FBB" w:rsidRPr="00207DC2">
        <w:rPr>
          <w:rFonts w:eastAsia="Cambria" w:cs="Times New Roman"/>
          <w:color w:val="323536"/>
          <w:lang w:val="en-AU"/>
        </w:rPr>
        <w:t xml:space="preserve">A CCA is a holistic assessment undertaken by a DHS officer, </w:t>
      </w:r>
      <w:r w:rsidR="004A6705" w:rsidRPr="00207DC2">
        <w:rPr>
          <w:rFonts w:eastAsia="Cambria" w:cs="Times New Roman"/>
          <w:color w:val="323536"/>
          <w:lang w:val="en-AU"/>
        </w:rPr>
        <w:t>to determine why a participant is not meeting their Mutual Obligation requirement</w:t>
      </w:r>
      <w:r w:rsidR="00E91858" w:rsidRPr="00207DC2">
        <w:rPr>
          <w:rFonts w:eastAsia="Cambria" w:cs="Times New Roman"/>
          <w:color w:val="323536"/>
          <w:lang w:val="en-AU"/>
        </w:rPr>
        <w:t>s</w:t>
      </w:r>
      <w:r w:rsidR="009310C7" w:rsidRPr="00207DC2">
        <w:rPr>
          <w:rFonts w:eastAsia="Cambria" w:cs="Times New Roman"/>
          <w:color w:val="323536"/>
          <w:lang w:val="en-AU"/>
        </w:rPr>
        <w:t>,</w:t>
      </w:r>
      <w:r w:rsidR="004A6705" w:rsidRPr="00207DC2">
        <w:rPr>
          <w:rFonts w:eastAsia="Cambria" w:cs="Times New Roman"/>
          <w:color w:val="323536"/>
          <w:lang w:val="en-AU"/>
        </w:rPr>
        <w:t xml:space="preserve"> including if there </w:t>
      </w:r>
      <w:r w:rsidR="00BB4FBB" w:rsidRPr="00207DC2">
        <w:rPr>
          <w:rFonts w:eastAsia="Cambria" w:cs="Times New Roman"/>
          <w:color w:val="323536"/>
          <w:lang w:val="en-AU"/>
        </w:rPr>
        <w:t xml:space="preserve">are unidentified barriers preventing the participant from meeting their </w:t>
      </w:r>
      <w:r w:rsidR="004A6705" w:rsidRPr="00207DC2">
        <w:rPr>
          <w:rFonts w:eastAsia="Cambria" w:cs="Times New Roman"/>
          <w:color w:val="323536"/>
          <w:lang w:val="en-AU"/>
        </w:rPr>
        <w:t>requirements</w:t>
      </w:r>
      <w:r w:rsidR="00BB4FBB" w:rsidRPr="00207DC2">
        <w:rPr>
          <w:rFonts w:eastAsia="Cambria" w:cs="Times New Roman"/>
          <w:color w:val="323536"/>
          <w:lang w:val="en-AU"/>
        </w:rPr>
        <w:t>.</w:t>
      </w:r>
      <w:r w:rsidR="00B244BD" w:rsidRPr="00207DC2">
        <w:rPr>
          <w:rFonts w:eastAsia="Cambria" w:cs="Times New Roman"/>
          <w:color w:val="323536"/>
          <w:lang w:val="en-AU"/>
        </w:rPr>
        <w:t xml:space="preserve"> </w:t>
      </w:r>
      <w:r w:rsidR="000947EF" w:rsidRPr="00207DC2">
        <w:rPr>
          <w:rFonts w:eastAsia="Cambria" w:cs="Times New Roman"/>
          <w:color w:val="323536"/>
          <w:lang w:val="en-AU"/>
        </w:rPr>
        <w:t>I</w:t>
      </w:r>
      <w:r w:rsidR="00120491" w:rsidRPr="00207DC2">
        <w:rPr>
          <w:rFonts w:eastAsia="Cambria" w:cs="Times New Roman"/>
          <w:color w:val="323536"/>
          <w:lang w:val="en-AU"/>
        </w:rPr>
        <w:t>f the</w:t>
      </w:r>
      <w:r w:rsidR="000947EF" w:rsidRPr="00207DC2">
        <w:rPr>
          <w:rFonts w:eastAsia="Cambria" w:cs="Times New Roman"/>
          <w:color w:val="323536"/>
          <w:lang w:val="en-AU"/>
        </w:rPr>
        <w:t xml:space="preserve"> participant</w:t>
      </w:r>
      <w:r w:rsidR="00120491" w:rsidRPr="00207DC2">
        <w:rPr>
          <w:rFonts w:eastAsia="Cambria" w:cs="Times New Roman"/>
          <w:color w:val="323536"/>
          <w:lang w:val="en-AU"/>
        </w:rPr>
        <w:t xml:space="preserve"> </w:t>
      </w:r>
      <w:r w:rsidR="00AB3195" w:rsidRPr="00207DC2">
        <w:rPr>
          <w:rFonts w:eastAsia="Cambria" w:cs="Times New Roman"/>
          <w:color w:val="323536"/>
          <w:lang w:val="en-AU"/>
        </w:rPr>
        <w:t>i</w:t>
      </w:r>
      <w:r w:rsidR="00120491" w:rsidRPr="00207DC2">
        <w:rPr>
          <w:rFonts w:eastAsia="Cambria" w:cs="Times New Roman"/>
          <w:color w:val="323536"/>
          <w:lang w:val="en-AU"/>
        </w:rPr>
        <w:t xml:space="preserve">s </w:t>
      </w:r>
      <w:r w:rsidR="00AB3195" w:rsidRPr="00207DC2">
        <w:rPr>
          <w:rFonts w:eastAsia="Cambria" w:cs="Times New Roman"/>
          <w:color w:val="323536"/>
          <w:lang w:val="en-AU"/>
        </w:rPr>
        <w:t xml:space="preserve">found to have </w:t>
      </w:r>
      <w:r w:rsidR="00120491" w:rsidRPr="00207DC2">
        <w:rPr>
          <w:rFonts w:eastAsia="Cambria" w:cs="Times New Roman"/>
          <w:color w:val="323536"/>
          <w:lang w:val="en-AU"/>
        </w:rPr>
        <w:t xml:space="preserve">been deliberately and persistently non-compliant, a </w:t>
      </w:r>
      <w:r w:rsidR="00120491" w:rsidRPr="00207DC2">
        <w:rPr>
          <w:rFonts w:eastAsia="Cambria" w:cs="Times New Roman"/>
          <w:i/>
          <w:color w:val="323536"/>
          <w:lang w:val="en-AU"/>
        </w:rPr>
        <w:t>serious failure</w:t>
      </w:r>
      <w:r w:rsidR="00120491" w:rsidRPr="00207DC2">
        <w:rPr>
          <w:rFonts w:eastAsia="Cambria" w:cs="Times New Roman"/>
          <w:color w:val="323536"/>
          <w:lang w:val="en-AU"/>
        </w:rPr>
        <w:t xml:space="preserve"> penalty may be applied</w:t>
      </w:r>
      <w:r w:rsidR="000947EF" w:rsidRPr="00207DC2">
        <w:rPr>
          <w:rFonts w:eastAsia="Cambria" w:cs="Times New Roman"/>
          <w:color w:val="323536"/>
          <w:lang w:val="en-AU"/>
        </w:rPr>
        <w:t xml:space="preserve"> (</w:t>
      </w:r>
      <w:r w:rsidR="00CF5DA4" w:rsidRPr="00207DC2">
        <w:rPr>
          <w:rFonts w:eastAsia="Cambria" w:cs="Times New Roman"/>
          <w:color w:val="323536"/>
          <w:lang w:val="en-AU"/>
        </w:rPr>
        <w:t>discussed</w:t>
      </w:r>
      <w:r w:rsidR="000947EF" w:rsidRPr="00207DC2">
        <w:rPr>
          <w:rFonts w:eastAsia="Cambria" w:cs="Times New Roman"/>
          <w:color w:val="323536"/>
          <w:lang w:val="en-AU"/>
        </w:rPr>
        <w:t xml:space="preserve"> bel</w:t>
      </w:r>
      <w:r w:rsidR="00120491" w:rsidRPr="00207DC2">
        <w:rPr>
          <w:rFonts w:eastAsia="Cambria" w:cs="Times New Roman"/>
          <w:color w:val="323536"/>
          <w:lang w:val="en-AU"/>
        </w:rPr>
        <w:t>ow).</w:t>
      </w:r>
    </w:p>
    <w:p w14:paraId="66C3BA21" w14:textId="1E1F1E21" w:rsidR="00A33FD1" w:rsidRPr="00207DC2" w:rsidRDefault="001E14FA" w:rsidP="00A33FD1">
      <w:pPr>
        <w:jc w:val="both"/>
        <w:rPr>
          <w:lang w:val="en-AU"/>
        </w:rPr>
      </w:pPr>
      <w:r w:rsidRPr="00207DC2">
        <w:rPr>
          <w:lang w:val="en-AU"/>
        </w:rPr>
        <w:t xml:space="preserve">For appointment related failures, participants lose </w:t>
      </w:r>
      <w:r w:rsidR="0080201F" w:rsidRPr="00207DC2">
        <w:rPr>
          <w:lang w:val="en-AU"/>
        </w:rPr>
        <w:t>ten</w:t>
      </w:r>
      <w:r w:rsidRPr="00207DC2">
        <w:rPr>
          <w:lang w:val="en-AU"/>
        </w:rPr>
        <w:t xml:space="preserve"> per cent of their fortnightly income support per day until they attend a new appointment with their provider</w:t>
      </w:r>
      <w:r w:rsidR="00803B5C" w:rsidRPr="00207DC2">
        <w:rPr>
          <w:lang w:val="en-AU"/>
        </w:rPr>
        <w:t xml:space="preserve"> (PMC 2018a</w:t>
      </w:r>
      <w:r w:rsidR="00803B5C" w:rsidRPr="00207DC2" w:rsidDel="00BF6E8C">
        <w:rPr>
          <w:lang w:val="en-AU"/>
        </w:rPr>
        <w:t>)</w:t>
      </w:r>
      <w:r w:rsidRPr="00207DC2">
        <w:rPr>
          <w:lang w:val="en-AU"/>
        </w:rPr>
        <w:t xml:space="preserve">. It is possible for a participant to lose income support continuously for a fortnight or longer </w:t>
      </w:r>
      <w:r w:rsidR="00E91858" w:rsidRPr="00207DC2">
        <w:rPr>
          <w:lang w:val="en-AU"/>
        </w:rPr>
        <w:t xml:space="preserve">due to </w:t>
      </w:r>
      <w:r w:rsidRPr="00207DC2">
        <w:rPr>
          <w:lang w:val="en-AU"/>
        </w:rPr>
        <w:t>appointment related failure(s</w:t>
      </w:r>
      <w:r w:rsidR="00BF6E8C" w:rsidRPr="00207DC2">
        <w:rPr>
          <w:lang w:val="en-AU"/>
        </w:rPr>
        <w:t>)</w:t>
      </w:r>
      <w:r w:rsidRPr="00207DC2">
        <w:rPr>
          <w:lang w:val="en-AU"/>
        </w:rPr>
        <w:t xml:space="preserve">, </w:t>
      </w:r>
      <w:r w:rsidR="00182441">
        <w:rPr>
          <w:lang w:val="en-AU"/>
        </w:rPr>
        <w:t>however</w:t>
      </w:r>
      <w:r w:rsidR="00416707" w:rsidRPr="00207DC2">
        <w:rPr>
          <w:lang w:val="en-AU"/>
        </w:rPr>
        <w:t xml:space="preserve"> this is not common</w:t>
      </w:r>
      <w:r w:rsidR="00803B5C" w:rsidRPr="00207DC2">
        <w:rPr>
          <w:lang w:val="en-AU"/>
        </w:rPr>
        <w:t>.</w:t>
      </w:r>
    </w:p>
    <w:p w14:paraId="38FA6580" w14:textId="3C429DA0" w:rsidR="00B437CB" w:rsidRPr="00207DC2" w:rsidRDefault="00B437CB" w:rsidP="00B437CB">
      <w:pPr>
        <w:jc w:val="both"/>
        <w:rPr>
          <w:lang w:val="en-AU"/>
        </w:rPr>
      </w:pPr>
      <w:r w:rsidRPr="00207DC2">
        <w:rPr>
          <w:lang w:val="en-AU"/>
        </w:rPr>
        <w:t xml:space="preserve">The </w:t>
      </w:r>
      <w:r w:rsidR="00161646" w:rsidRPr="00207DC2">
        <w:rPr>
          <w:lang w:val="en-AU"/>
        </w:rPr>
        <w:t>other</w:t>
      </w:r>
      <w:r w:rsidRPr="00207DC2">
        <w:rPr>
          <w:lang w:val="en-AU"/>
        </w:rPr>
        <w:t xml:space="preserve"> type of penalty </w:t>
      </w:r>
      <w:r w:rsidR="00161646" w:rsidRPr="00207DC2">
        <w:rPr>
          <w:lang w:val="en-AU"/>
        </w:rPr>
        <w:t xml:space="preserve">that can be applied </w:t>
      </w:r>
      <w:r w:rsidRPr="00207DC2">
        <w:rPr>
          <w:lang w:val="en-AU"/>
        </w:rPr>
        <w:t xml:space="preserve">is a </w:t>
      </w:r>
      <w:r w:rsidRPr="00207DC2">
        <w:rPr>
          <w:rFonts w:eastAsia="Cambria" w:cs="Times New Roman"/>
          <w:i/>
          <w:color w:val="323536"/>
          <w:lang w:val="en-AU"/>
        </w:rPr>
        <w:t>serious failure</w:t>
      </w:r>
      <w:r w:rsidRPr="00207DC2">
        <w:rPr>
          <w:rFonts w:eastAsia="Cambria" w:cs="Times New Roman"/>
          <w:color w:val="323536"/>
          <w:lang w:val="en-AU"/>
        </w:rPr>
        <w:t xml:space="preserve"> penalty, which can result in the participant</w:t>
      </w:r>
      <w:r w:rsidR="000947EF" w:rsidRPr="00207DC2">
        <w:rPr>
          <w:rFonts w:eastAsia="Cambria" w:cs="Times New Roman"/>
          <w:color w:val="323536"/>
          <w:lang w:val="en-AU"/>
        </w:rPr>
        <w:t>’</w:t>
      </w:r>
      <w:r w:rsidRPr="00207DC2">
        <w:rPr>
          <w:rFonts w:eastAsia="Cambria" w:cs="Times New Roman"/>
          <w:color w:val="323536"/>
          <w:lang w:val="en-AU"/>
        </w:rPr>
        <w:t xml:space="preserve">s </w:t>
      </w:r>
      <w:r w:rsidRPr="00207DC2">
        <w:rPr>
          <w:lang w:val="en-AU"/>
        </w:rPr>
        <w:t xml:space="preserve">income </w:t>
      </w:r>
      <w:r w:rsidR="000947EF" w:rsidRPr="00207DC2">
        <w:rPr>
          <w:lang w:val="en-AU"/>
        </w:rPr>
        <w:t>support payment</w:t>
      </w:r>
      <w:r w:rsidRPr="00207DC2">
        <w:rPr>
          <w:lang w:val="en-AU"/>
        </w:rPr>
        <w:t xml:space="preserve"> being stopped for up to eight weeks</w:t>
      </w:r>
      <w:r w:rsidRPr="00207DC2">
        <w:rPr>
          <w:rFonts w:eastAsia="Cambria" w:cs="Times New Roman"/>
          <w:color w:val="323536"/>
          <w:lang w:val="en-AU"/>
        </w:rPr>
        <w:t xml:space="preserve">. Three main situations may lead to a </w:t>
      </w:r>
      <w:r w:rsidRPr="00207DC2">
        <w:rPr>
          <w:rFonts w:eastAsia="Cambria" w:cs="Times New Roman"/>
          <w:i/>
          <w:color w:val="323536"/>
          <w:lang w:val="en-AU"/>
        </w:rPr>
        <w:t>serious failure</w:t>
      </w:r>
      <w:r w:rsidRPr="00207DC2">
        <w:rPr>
          <w:rFonts w:eastAsia="Cambria" w:cs="Times New Roman"/>
          <w:color w:val="323536"/>
          <w:lang w:val="en-AU"/>
        </w:rPr>
        <w:t xml:space="preserve"> penalty: failure to accept or commence in suitable employment; leaving suitable employment voluntarily or being dismissed for misconduct; and persistent non-compliance (that is, repeated failures to attend appointments, job interviews or activities or refusing to enter into a Job Plan)</w:t>
      </w:r>
      <w:r w:rsidRPr="00207DC2">
        <w:rPr>
          <w:lang w:val="en-AU"/>
        </w:rPr>
        <w:t>.</w:t>
      </w:r>
    </w:p>
    <w:p w14:paraId="3981A799" w14:textId="5FD54A2F" w:rsidR="00B437CB" w:rsidRPr="00207DC2" w:rsidRDefault="00476E91" w:rsidP="00A33FD1">
      <w:pPr>
        <w:jc w:val="both"/>
        <w:rPr>
          <w:lang w:val="en-AU"/>
        </w:rPr>
      </w:pPr>
      <w:r w:rsidRPr="00207DC2">
        <w:rPr>
          <w:lang w:val="en-AU"/>
        </w:rPr>
        <w:t>A</w:t>
      </w:r>
      <w:r w:rsidR="00B437CB" w:rsidRPr="00207DC2">
        <w:rPr>
          <w:lang w:val="en-AU"/>
        </w:rPr>
        <w:t xml:space="preserve"> participant can avoid or shorten </w:t>
      </w:r>
      <w:r w:rsidRPr="00207DC2">
        <w:rPr>
          <w:lang w:val="en-AU"/>
        </w:rPr>
        <w:t xml:space="preserve">a </w:t>
      </w:r>
      <w:r w:rsidRPr="00207DC2">
        <w:rPr>
          <w:i/>
          <w:lang w:val="en-AU"/>
        </w:rPr>
        <w:t>serious failure</w:t>
      </w:r>
      <w:r w:rsidR="000947EF" w:rsidRPr="00207DC2">
        <w:rPr>
          <w:lang w:val="en-AU"/>
        </w:rPr>
        <w:t xml:space="preserve"> financial</w:t>
      </w:r>
      <w:r w:rsidR="00B437CB" w:rsidRPr="00207DC2">
        <w:rPr>
          <w:lang w:val="en-AU"/>
        </w:rPr>
        <w:t xml:space="preserve"> penalty by agreeing to undertake a compliance activity</w:t>
      </w:r>
      <w:r w:rsidRPr="00207DC2">
        <w:rPr>
          <w:lang w:val="en-AU"/>
        </w:rPr>
        <w:t xml:space="preserve"> (</w:t>
      </w:r>
      <w:r w:rsidRPr="00207DC2">
        <w:rPr>
          <w:rFonts w:cstheme="minorHAnsi"/>
          <w:lang w:val="en-AU"/>
        </w:rPr>
        <w:t>DSS 2018a, sec. 3.1.12.40)</w:t>
      </w:r>
      <w:r w:rsidR="00B437CB" w:rsidRPr="00207DC2">
        <w:rPr>
          <w:lang w:val="en-AU"/>
        </w:rPr>
        <w:t xml:space="preserve">, which </w:t>
      </w:r>
      <w:r w:rsidR="00161646" w:rsidRPr="00207DC2">
        <w:rPr>
          <w:lang w:val="en-AU"/>
        </w:rPr>
        <w:t>typically</w:t>
      </w:r>
      <w:r w:rsidR="00B437CB" w:rsidRPr="00207DC2">
        <w:rPr>
          <w:lang w:val="en-AU"/>
        </w:rPr>
        <w:t xml:space="preserve"> involves undertaking Work for the Dole for 25 hours per week. As most CDP participants are already required to undertake Work for the Dole for 25 hours per week, they can meet this requirement through re-engaging in activities.</w:t>
      </w:r>
    </w:p>
    <w:p w14:paraId="7DC87B32" w14:textId="13D82493" w:rsidR="000A53B7" w:rsidRPr="00207DC2" w:rsidRDefault="00B07D60" w:rsidP="00C426AB">
      <w:pPr>
        <w:tabs>
          <w:tab w:val="left" w:pos="5387"/>
        </w:tabs>
        <w:spacing w:after="120"/>
        <w:rPr>
          <w:rFonts w:cstheme="minorHAnsi"/>
          <w:lang w:val="en-AU"/>
        </w:rPr>
      </w:pPr>
      <w:r w:rsidRPr="00207DC2">
        <w:rPr>
          <w:rFonts w:cstheme="minorHAnsi"/>
          <w:lang w:val="en-AU"/>
        </w:rPr>
        <w:t>In the following analysis</w:t>
      </w:r>
      <w:r w:rsidR="00050239" w:rsidRPr="00207DC2">
        <w:rPr>
          <w:rFonts w:cstheme="minorHAnsi"/>
          <w:lang w:val="en-AU"/>
        </w:rPr>
        <w:t>,</w:t>
      </w:r>
      <w:r w:rsidRPr="00207DC2">
        <w:rPr>
          <w:rFonts w:cstheme="minorHAnsi"/>
          <w:lang w:val="en-AU"/>
        </w:rPr>
        <w:t xml:space="preserve"> penalties </w:t>
      </w:r>
      <w:r w:rsidR="007B21E5" w:rsidRPr="00207DC2">
        <w:rPr>
          <w:rFonts w:cstheme="minorHAnsi"/>
          <w:lang w:val="en-AU"/>
        </w:rPr>
        <w:t xml:space="preserve">have been grouped </w:t>
      </w:r>
      <w:r w:rsidRPr="00207DC2">
        <w:rPr>
          <w:rFonts w:cstheme="minorHAnsi"/>
          <w:lang w:val="en-AU"/>
        </w:rPr>
        <w:t>into t</w:t>
      </w:r>
      <w:r w:rsidR="000A7713" w:rsidRPr="00207DC2">
        <w:rPr>
          <w:rFonts w:cstheme="minorHAnsi"/>
          <w:lang w:val="en-AU"/>
        </w:rPr>
        <w:t>wo broad categories:</w:t>
      </w:r>
    </w:p>
    <w:p w14:paraId="0F2B2CFF" w14:textId="5FC0939C" w:rsidR="000A53B7" w:rsidRPr="00207DC2" w:rsidRDefault="00256F67" w:rsidP="00F90446">
      <w:pPr>
        <w:pStyle w:val="ListParagraph"/>
        <w:numPr>
          <w:ilvl w:val="0"/>
          <w:numId w:val="7"/>
        </w:numPr>
        <w:spacing w:before="0" w:after="160" w:line="259" w:lineRule="auto"/>
        <w:jc w:val="both"/>
        <w:rPr>
          <w:lang w:val="en-AU"/>
        </w:rPr>
      </w:pPr>
      <w:r w:rsidRPr="00207DC2">
        <w:rPr>
          <w:i/>
          <w:lang w:val="en-AU"/>
        </w:rPr>
        <w:t>R</w:t>
      </w:r>
      <w:r w:rsidR="000A53B7" w:rsidRPr="00207DC2">
        <w:rPr>
          <w:i/>
          <w:lang w:val="en-AU"/>
        </w:rPr>
        <w:t>eduction penalties</w:t>
      </w:r>
      <w:r w:rsidR="000A53B7" w:rsidRPr="00207DC2">
        <w:rPr>
          <w:lang w:val="en-AU"/>
        </w:rPr>
        <w:t xml:space="preserve"> </w:t>
      </w:r>
      <w:r w:rsidR="007B21E5" w:rsidRPr="00207DC2">
        <w:rPr>
          <w:lang w:val="en-AU"/>
        </w:rPr>
        <w:t>where</w:t>
      </w:r>
      <w:r w:rsidR="000A53B7" w:rsidRPr="00207DC2">
        <w:rPr>
          <w:lang w:val="en-AU"/>
        </w:rPr>
        <w:t xml:space="preserve"> </w:t>
      </w:r>
      <w:r w:rsidR="00B437CB" w:rsidRPr="00207DC2">
        <w:rPr>
          <w:lang w:val="en-AU"/>
        </w:rPr>
        <w:t xml:space="preserve">there has been </w:t>
      </w:r>
      <w:r w:rsidR="000A53B7" w:rsidRPr="00207DC2">
        <w:rPr>
          <w:lang w:val="en-AU"/>
        </w:rPr>
        <w:t xml:space="preserve">a reduction in </w:t>
      </w:r>
      <w:r w:rsidR="00161646" w:rsidRPr="00207DC2">
        <w:rPr>
          <w:lang w:val="en-AU"/>
        </w:rPr>
        <w:t xml:space="preserve">the participant’s </w:t>
      </w:r>
      <w:r w:rsidR="000A53B7" w:rsidRPr="00207DC2">
        <w:rPr>
          <w:lang w:val="en-AU"/>
        </w:rPr>
        <w:t>income support payment</w:t>
      </w:r>
      <w:r w:rsidR="00B437CB" w:rsidRPr="00207DC2">
        <w:rPr>
          <w:lang w:val="en-AU"/>
        </w:rPr>
        <w:t xml:space="preserve"> due to </w:t>
      </w:r>
      <w:r w:rsidR="00B07D60" w:rsidRPr="00207DC2">
        <w:rPr>
          <w:i/>
          <w:lang w:val="en-AU"/>
        </w:rPr>
        <w:t>No Show No Pay</w:t>
      </w:r>
      <w:r w:rsidR="00B07D60" w:rsidRPr="00207DC2">
        <w:rPr>
          <w:lang w:val="en-AU"/>
        </w:rPr>
        <w:t xml:space="preserve"> </w:t>
      </w:r>
      <w:r w:rsidR="00B437CB" w:rsidRPr="00207DC2">
        <w:rPr>
          <w:lang w:val="en-AU"/>
        </w:rPr>
        <w:t>or</w:t>
      </w:r>
      <w:r w:rsidR="00B07D60" w:rsidRPr="00207DC2">
        <w:rPr>
          <w:lang w:val="en-AU"/>
        </w:rPr>
        <w:t xml:space="preserve"> appointment</w:t>
      </w:r>
      <w:r w:rsidR="00AF745D" w:rsidRPr="00207DC2">
        <w:rPr>
          <w:lang w:val="en-AU"/>
        </w:rPr>
        <w:t>-</w:t>
      </w:r>
      <w:r w:rsidR="00B07D60" w:rsidRPr="00207DC2">
        <w:rPr>
          <w:lang w:val="en-AU"/>
        </w:rPr>
        <w:t>related failure</w:t>
      </w:r>
      <w:r w:rsidR="00161646" w:rsidRPr="00207DC2">
        <w:rPr>
          <w:lang w:val="en-AU"/>
        </w:rPr>
        <w:t>s</w:t>
      </w:r>
      <w:r w:rsidR="00192B3A" w:rsidRPr="00207DC2">
        <w:rPr>
          <w:rStyle w:val="FootnoteReference"/>
          <w:lang w:val="en-AU"/>
        </w:rPr>
        <w:footnoteReference w:id="25"/>
      </w:r>
      <w:r w:rsidR="000A53B7" w:rsidRPr="00207DC2">
        <w:rPr>
          <w:rFonts w:cstheme="minorHAnsi"/>
          <w:lang w:val="en-AU"/>
        </w:rPr>
        <w:t xml:space="preserve"> </w:t>
      </w:r>
    </w:p>
    <w:p w14:paraId="0669E19F" w14:textId="7AA4BCED" w:rsidR="000379D5" w:rsidRPr="00207DC2" w:rsidRDefault="00D10DE1" w:rsidP="00F90446">
      <w:pPr>
        <w:pStyle w:val="ListParagraph"/>
        <w:numPr>
          <w:ilvl w:val="0"/>
          <w:numId w:val="7"/>
        </w:numPr>
        <w:spacing w:before="0" w:after="160" w:line="259" w:lineRule="auto"/>
        <w:jc w:val="both"/>
        <w:rPr>
          <w:rFonts w:eastAsia="Cambria" w:cs="Times New Roman"/>
          <w:color w:val="323536"/>
          <w:lang w:val="en-AU"/>
        </w:rPr>
      </w:pPr>
      <w:r w:rsidRPr="00207DC2">
        <w:rPr>
          <w:rFonts w:cstheme="minorHAnsi"/>
          <w:i/>
          <w:lang w:val="en-AU"/>
        </w:rPr>
        <w:t>Zero-</w:t>
      </w:r>
      <w:r w:rsidR="000A53B7" w:rsidRPr="00207DC2">
        <w:rPr>
          <w:rFonts w:cstheme="minorHAnsi"/>
          <w:i/>
          <w:lang w:val="en-AU"/>
        </w:rPr>
        <w:t>rate penalties</w:t>
      </w:r>
      <w:r w:rsidR="000A53B7" w:rsidRPr="00207DC2">
        <w:rPr>
          <w:rFonts w:cstheme="minorHAnsi"/>
          <w:lang w:val="en-AU"/>
        </w:rPr>
        <w:t xml:space="preserve"> </w:t>
      </w:r>
      <w:r w:rsidR="007B21E5" w:rsidRPr="00207DC2">
        <w:rPr>
          <w:lang w:val="en-AU"/>
        </w:rPr>
        <w:t>where</w:t>
      </w:r>
      <w:r w:rsidR="00161646" w:rsidRPr="00207DC2">
        <w:rPr>
          <w:lang w:val="en-AU"/>
        </w:rPr>
        <w:t xml:space="preserve"> the participant’s</w:t>
      </w:r>
      <w:r w:rsidR="00B437CB" w:rsidRPr="00207DC2">
        <w:rPr>
          <w:lang w:val="en-AU"/>
        </w:rPr>
        <w:t xml:space="preserve"> </w:t>
      </w:r>
      <w:r w:rsidR="000A53B7" w:rsidRPr="00207DC2">
        <w:rPr>
          <w:lang w:val="en-AU"/>
        </w:rPr>
        <w:t>income support payment</w:t>
      </w:r>
      <w:r w:rsidR="00161646" w:rsidRPr="00207DC2">
        <w:rPr>
          <w:lang w:val="en-AU"/>
        </w:rPr>
        <w:t xml:space="preserve"> has been</w:t>
      </w:r>
      <w:r w:rsidR="000A53B7" w:rsidRPr="00207DC2">
        <w:rPr>
          <w:lang w:val="en-AU"/>
        </w:rPr>
        <w:t xml:space="preserve"> stopped (reduced to zero) for </w:t>
      </w:r>
      <w:r w:rsidR="000947EF" w:rsidRPr="00207DC2">
        <w:rPr>
          <w:lang w:val="en-AU"/>
        </w:rPr>
        <w:t>a period</w:t>
      </w:r>
      <w:r w:rsidR="00161646" w:rsidRPr="00207DC2">
        <w:rPr>
          <w:rFonts w:cstheme="minorHAnsi"/>
          <w:lang w:val="en-AU"/>
        </w:rPr>
        <w:t xml:space="preserve"> as a </w:t>
      </w:r>
      <w:r w:rsidR="00B437CB" w:rsidRPr="00207DC2">
        <w:rPr>
          <w:rFonts w:cstheme="minorHAnsi"/>
          <w:lang w:val="en-AU"/>
        </w:rPr>
        <w:t xml:space="preserve">result </w:t>
      </w:r>
      <w:r w:rsidR="00161646" w:rsidRPr="00207DC2">
        <w:rPr>
          <w:rFonts w:cstheme="minorHAnsi"/>
          <w:lang w:val="en-AU"/>
        </w:rPr>
        <w:t xml:space="preserve">of a </w:t>
      </w:r>
      <w:r w:rsidR="00B437CB" w:rsidRPr="00207DC2">
        <w:rPr>
          <w:rFonts w:cstheme="minorHAnsi"/>
          <w:i/>
          <w:lang w:val="en-AU"/>
        </w:rPr>
        <w:t>serious failure</w:t>
      </w:r>
      <w:r w:rsidR="00B437CB" w:rsidRPr="00207DC2">
        <w:rPr>
          <w:rFonts w:cstheme="minorHAnsi"/>
          <w:lang w:val="en-AU"/>
        </w:rPr>
        <w:t xml:space="preserve"> </w:t>
      </w:r>
      <w:r w:rsidR="00161646" w:rsidRPr="00207DC2">
        <w:rPr>
          <w:rFonts w:cstheme="minorHAnsi"/>
          <w:lang w:val="en-AU"/>
        </w:rPr>
        <w:t>breach</w:t>
      </w:r>
      <w:r w:rsidR="00B437CB" w:rsidRPr="00207DC2">
        <w:rPr>
          <w:rFonts w:cstheme="minorHAnsi"/>
          <w:lang w:val="en-AU"/>
        </w:rPr>
        <w:t>.</w:t>
      </w:r>
    </w:p>
    <w:p w14:paraId="27013FF8" w14:textId="77777777" w:rsidR="00956A0D" w:rsidRPr="00207DC2" w:rsidRDefault="00956A0D" w:rsidP="00847FC1">
      <w:pPr>
        <w:spacing w:before="0" w:after="160" w:line="259" w:lineRule="auto"/>
        <w:jc w:val="both"/>
        <w:rPr>
          <w:rFonts w:cstheme="minorHAnsi"/>
          <w:lang w:val="en-AU"/>
        </w:rPr>
      </w:pPr>
      <w:r w:rsidRPr="00207DC2">
        <w:rPr>
          <w:rFonts w:cstheme="minorHAnsi"/>
          <w:lang w:val="en-AU"/>
        </w:rPr>
        <w:t xml:space="preserve">Since January 2016, </w:t>
      </w:r>
      <w:r w:rsidR="001641CB" w:rsidRPr="00207DC2">
        <w:rPr>
          <w:rFonts w:cstheme="minorHAnsi"/>
          <w:lang w:val="en-AU"/>
        </w:rPr>
        <w:t>in any one quarter</w:t>
      </w:r>
      <w:r w:rsidR="00E91858" w:rsidRPr="00207DC2">
        <w:rPr>
          <w:rFonts w:cstheme="minorHAnsi"/>
          <w:lang w:val="en-AU"/>
        </w:rPr>
        <w:t xml:space="preserve"> of the year,</w:t>
      </w:r>
      <w:r w:rsidR="001641CB" w:rsidRPr="00207DC2">
        <w:rPr>
          <w:rFonts w:cstheme="minorHAnsi"/>
          <w:lang w:val="en-AU"/>
        </w:rPr>
        <w:t xml:space="preserve"> </w:t>
      </w:r>
      <w:r w:rsidRPr="00207DC2">
        <w:rPr>
          <w:rFonts w:cstheme="minorHAnsi"/>
          <w:lang w:val="en-AU"/>
        </w:rPr>
        <w:t>approximately a third of CDP participants</w:t>
      </w:r>
      <w:r w:rsidR="00986013" w:rsidRPr="00207DC2">
        <w:rPr>
          <w:rFonts w:cstheme="minorHAnsi"/>
          <w:lang w:val="en-AU"/>
        </w:rPr>
        <w:t xml:space="preserve"> </w:t>
      </w:r>
      <w:r w:rsidR="00A83137" w:rsidRPr="00207DC2">
        <w:rPr>
          <w:rFonts w:cstheme="minorHAnsi"/>
          <w:lang w:val="en-AU"/>
        </w:rPr>
        <w:t>receive</w:t>
      </w:r>
      <w:r w:rsidR="00662E44" w:rsidRPr="00207DC2">
        <w:rPr>
          <w:rFonts w:cstheme="minorHAnsi"/>
          <w:lang w:val="en-AU"/>
        </w:rPr>
        <w:t>d</w:t>
      </w:r>
      <w:r w:rsidRPr="00207DC2">
        <w:rPr>
          <w:rFonts w:cstheme="minorHAnsi"/>
          <w:lang w:val="en-AU"/>
        </w:rPr>
        <w:t xml:space="preserve"> </w:t>
      </w:r>
      <w:r w:rsidR="00F0539C" w:rsidRPr="00207DC2">
        <w:rPr>
          <w:rFonts w:cstheme="minorHAnsi"/>
          <w:lang w:val="en-AU"/>
        </w:rPr>
        <w:t>at least one</w:t>
      </w:r>
      <w:r w:rsidRPr="00207DC2">
        <w:rPr>
          <w:rFonts w:cstheme="minorHAnsi"/>
          <w:lang w:val="en-AU"/>
        </w:rPr>
        <w:t xml:space="preserve"> reduction penalty</w:t>
      </w:r>
      <w:r w:rsidR="00E91858" w:rsidRPr="00207DC2">
        <w:rPr>
          <w:rFonts w:cstheme="minorHAnsi"/>
          <w:lang w:val="en-AU"/>
        </w:rPr>
        <w:t>.</w:t>
      </w:r>
      <w:r w:rsidRPr="00207DC2">
        <w:rPr>
          <w:rFonts w:cstheme="minorHAnsi"/>
          <w:lang w:val="en-AU"/>
        </w:rPr>
        <w:t xml:space="preserve"> </w:t>
      </w:r>
      <w:r w:rsidR="00E91858" w:rsidRPr="00207DC2">
        <w:rPr>
          <w:rFonts w:cstheme="minorHAnsi"/>
          <w:lang w:val="en-AU"/>
        </w:rPr>
        <w:t>B</w:t>
      </w:r>
      <w:r w:rsidRPr="00207DC2">
        <w:rPr>
          <w:rFonts w:cstheme="minorHAnsi"/>
          <w:lang w:val="en-AU"/>
        </w:rPr>
        <w:t xml:space="preserve">etween </w:t>
      </w:r>
      <w:r w:rsidR="001E14FA" w:rsidRPr="00207DC2">
        <w:rPr>
          <w:rFonts w:cstheme="minorHAnsi"/>
          <w:lang w:val="en-AU"/>
        </w:rPr>
        <w:t>three</w:t>
      </w:r>
      <w:r w:rsidRPr="00207DC2">
        <w:rPr>
          <w:rFonts w:cstheme="minorHAnsi"/>
          <w:lang w:val="en-AU"/>
        </w:rPr>
        <w:t xml:space="preserve"> and </w:t>
      </w:r>
      <w:r w:rsidR="001E14FA" w:rsidRPr="00207DC2">
        <w:rPr>
          <w:rFonts w:cstheme="minorHAnsi"/>
          <w:lang w:val="en-AU"/>
        </w:rPr>
        <w:t>five</w:t>
      </w:r>
      <w:r w:rsidRPr="00207DC2">
        <w:rPr>
          <w:rFonts w:cstheme="minorHAnsi"/>
          <w:lang w:val="en-AU"/>
        </w:rPr>
        <w:t xml:space="preserve"> per cent </w:t>
      </w:r>
      <w:r w:rsidR="00A83137" w:rsidRPr="00207DC2">
        <w:rPr>
          <w:rFonts w:cstheme="minorHAnsi"/>
          <w:lang w:val="en-AU"/>
        </w:rPr>
        <w:t>received</w:t>
      </w:r>
      <w:r w:rsidRPr="00207DC2">
        <w:rPr>
          <w:rFonts w:cstheme="minorHAnsi"/>
          <w:lang w:val="en-AU"/>
        </w:rPr>
        <w:t xml:space="preserve"> </w:t>
      </w:r>
      <w:r w:rsidR="00A35C27" w:rsidRPr="00207DC2">
        <w:rPr>
          <w:rFonts w:cstheme="minorHAnsi"/>
          <w:lang w:val="en-AU"/>
        </w:rPr>
        <w:t xml:space="preserve">at least one </w:t>
      </w:r>
      <w:r w:rsidRPr="00207DC2">
        <w:rPr>
          <w:rFonts w:cstheme="minorHAnsi"/>
          <w:lang w:val="en-AU"/>
        </w:rPr>
        <w:t>zero-rate penalty</w:t>
      </w:r>
      <w:r w:rsidR="00B07D60" w:rsidRPr="00207DC2">
        <w:rPr>
          <w:rFonts w:cstheme="minorHAnsi"/>
          <w:lang w:val="en-AU"/>
        </w:rPr>
        <w:t xml:space="preserve"> (</w:t>
      </w:r>
      <w:r w:rsidR="00E11F98" w:rsidRPr="00207DC2">
        <w:rPr>
          <w:rFonts w:cstheme="minorHAnsi"/>
          <w:lang w:val="en-AU"/>
        </w:rPr>
        <w:t>Figure</w:t>
      </w:r>
      <w:r w:rsidR="00B07D60" w:rsidRPr="00207DC2">
        <w:rPr>
          <w:rFonts w:cstheme="minorHAnsi"/>
          <w:lang w:val="en-AU"/>
        </w:rPr>
        <w:t xml:space="preserve"> 3.3)</w:t>
      </w:r>
      <w:r w:rsidR="00847FC1" w:rsidRPr="00207DC2">
        <w:rPr>
          <w:lang w:val="en-AU"/>
        </w:rPr>
        <w:t>.</w:t>
      </w:r>
      <w:r w:rsidR="00847FC1" w:rsidRPr="00207DC2">
        <w:rPr>
          <w:rStyle w:val="FootnoteReference"/>
          <w:lang w:val="en-AU"/>
        </w:rPr>
        <w:footnoteReference w:id="26"/>
      </w:r>
    </w:p>
    <w:p w14:paraId="5F219B8A" w14:textId="60F6369A" w:rsidR="002332E2" w:rsidRPr="00207DC2" w:rsidRDefault="00A83137" w:rsidP="00EF1B43">
      <w:pPr>
        <w:pStyle w:val="Figures"/>
      </w:pPr>
      <w:r w:rsidRPr="00207DC2">
        <w:t xml:space="preserve">Figure </w:t>
      </w:r>
      <w:r w:rsidR="00905D1A">
        <w:t>3</w:t>
      </w:r>
      <w:r w:rsidR="00EF1B43" w:rsidRPr="00207DC2">
        <w:t>.</w:t>
      </w:r>
      <w:r w:rsidR="00905D1A">
        <w:t>3</w:t>
      </w:r>
      <w:r w:rsidR="00956A0D" w:rsidRPr="00207DC2">
        <w:t xml:space="preserve"> </w:t>
      </w:r>
      <w:r w:rsidR="00203F0B" w:rsidRPr="00207DC2">
        <w:t>Share of participants receiving</w:t>
      </w:r>
      <w:r w:rsidR="005104E0" w:rsidRPr="00207DC2">
        <w:t xml:space="preserve"> at least one reduction or zero</w:t>
      </w:r>
      <w:r w:rsidR="005104E0" w:rsidRPr="00207DC2">
        <w:noBreakHyphen/>
      </w:r>
      <w:r w:rsidR="00203F0B" w:rsidRPr="00207DC2">
        <w:t xml:space="preserve">rate penalty in a given quarter, </w:t>
      </w:r>
      <w:r w:rsidR="007B38C6" w:rsidRPr="00207DC2">
        <w:t>under the RJCP and CDP</w:t>
      </w:r>
      <w:r w:rsidR="00BC521D" w:rsidRPr="00207DC2">
        <w:rPr>
          <w:b/>
          <w:vertAlign w:val="superscript"/>
        </w:rPr>
        <w:t>a</w:t>
      </w:r>
    </w:p>
    <w:p w14:paraId="17366B09" w14:textId="4241A4A8" w:rsidR="00B90F41" w:rsidRPr="00207DC2" w:rsidRDefault="00B225BF" w:rsidP="00D57D1D">
      <w:pPr>
        <w:pStyle w:val="tablenotes"/>
      </w:pPr>
      <w:r>
        <w:pict w14:anchorId="2088AC15">
          <v:rect id="_x0000_i1041" style="width:0;height:1.5pt" o:hralign="center" o:hrstd="t" o:hr="t" fillcolor="#a0a0a0" stroked="f"/>
        </w:pict>
      </w:r>
    </w:p>
    <w:p w14:paraId="4BC1CC51" w14:textId="368B4081" w:rsidR="00B90F41" w:rsidRPr="00207DC2" w:rsidRDefault="00B90F41" w:rsidP="00D57D1D">
      <w:pPr>
        <w:pStyle w:val="tablenotes"/>
        <w:rPr>
          <w:rStyle w:val="tablenotesChar"/>
          <w:i/>
        </w:rPr>
      </w:pPr>
      <w:r w:rsidRPr="00207DC2">
        <w:drawing>
          <wp:inline distT="0" distB="0" distL="0" distR="0" wp14:anchorId="468E1B57" wp14:editId="6418F6DA">
            <wp:extent cx="5637192" cy="3012141"/>
            <wp:effectExtent l="0" t="0" r="1905" b="0"/>
            <wp:docPr id="18" name="Picture 18" descr="The figure is a line chart between the third quarter of 2013 to the second quarter of 2017. It shows the proportion of participants each quarter who received a: &#10;- reduction penalty &#10;- zero-rate penalty. &#10;More information can be found in the previous paragraph.&#10;" title="Share of participants receiving at least one reduction or zero rate penalty in a given quarter, under the RJCP and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rotWithShape="1">
                    <a:blip r:embed="rId31">
                      <a:extLst>
                        <a:ext uri="{28A0092B-C50C-407E-A947-70E740481C1C}">
                          <a14:useLocalDpi xmlns:a14="http://schemas.microsoft.com/office/drawing/2010/main" val="0"/>
                        </a:ext>
                      </a:extLst>
                    </a:blip>
                    <a:srcRect t="1694" b="3352"/>
                    <a:stretch/>
                  </pic:blipFill>
                  <pic:spPr bwMode="auto">
                    <a:xfrm>
                      <a:off x="0" y="0"/>
                      <a:ext cx="5637530" cy="3012322"/>
                    </a:xfrm>
                    <a:prstGeom prst="rect">
                      <a:avLst/>
                    </a:prstGeom>
                    <a:noFill/>
                    <a:ln>
                      <a:noFill/>
                    </a:ln>
                    <a:extLst>
                      <a:ext uri="{53640926-AAD7-44D8-BBD7-CCE9431645EC}">
                        <a14:shadowObscured xmlns:a14="http://schemas.microsoft.com/office/drawing/2010/main"/>
                      </a:ext>
                    </a:extLst>
                  </pic:spPr>
                </pic:pic>
              </a:graphicData>
            </a:graphic>
          </wp:inline>
        </w:drawing>
      </w:r>
    </w:p>
    <w:p w14:paraId="6B83D71D" w14:textId="61AE9065" w:rsidR="00B90F41" w:rsidRPr="00207DC2" w:rsidRDefault="00B225BF" w:rsidP="00D57D1D">
      <w:pPr>
        <w:pStyle w:val="tablenotes"/>
        <w:rPr>
          <w:rStyle w:val="tablenotesChar"/>
          <w:i/>
        </w:rPr>
      </w:pPr>
      <w:r>
        <w:pict w14:anchorId="0C7438AA">
          <v:rect id="_x0000_i1042" style="width:0;height:1.5pt" o:hralign="center" o:hrstd="t" o:hr="t" fillcolor="#a0a0a0" stroked="f"/>
        </w:pict>
      </w:r>
    </w:p>
    <w:p w14:paraId="0FAED2E4" w14:textId="64C8196A" w:rsidR="00DF7D3E" w:rsidRPr="00207DC2" w:rsidRDefault="00E9044F" w:rsidP="00D57D1D">
      <w:pPr>
        <w:pStyle w:val="tablenotes"/>
        <w:rPr>
          <w:rStyle w:val="tablenotesChar"/>
        </w:rPr>
      </w:pPr>
      <w:r w:rsidRPr="00207DC2">
        <w:rPr>
          <w:rStyle w:val="tablenotesChar"/>
          <w:i/>
        </w:rPr>
        <w:t>Source:</w:t>
      </w:r>
      <w:r w:rsidRPr="00207DC2">
        <w:rPr>
          <w:rStyle w:val="tablenotesChar"/>
        </w:rPr>
        <w:t xml:space="preserve"> </w:t>
      </w:r>
      <w:r w:rsidR="0057565A" w:rsidRPr="00207DC2">
        <w:t>PMC</w:t>
      </w:r>
      <w:r w:rsidR="00D25884" w:rsidRPr="00207DC2">
        <w:t xml:space="preserve"> estimates based on u</w:t>
      </w:r>
      <w:r w:rsidRPr="00207DC2">
        <w:rPr>
          <w:rStyle w:val="tablenotesChar"/>
        </w:rPr>
        <w:t>npublished ESS operational data (extracted on 15</w:t>
      </w:r>
      <w:r w:rsidR="0080201F" w:rsidRPr="00207DC2">
        <w:rPr>
          <w:rStyle w:val="tablenotesChar"/>
        </w:rPr>
        <w:t> </w:t>
      </w:r>
      <w:r w:rsidRPr="00207DC2">
        <w:rPr>
          <w:rStyle w:val="tablenotesChar"/>
        </w:rPr>
        <w:t>August</w:t>
      </w:r>
      <w:r w:rsidR="0080201F" w:rsidRPr="00207DC2">
        <w:rPr>
          <w:rStyle w:val="tablenotesChar"/>
        </w:rPr>
        <w:t> </w:t>
      </w:r>
      <w:r w:rsidRPr="00207DC2">
        <w:rPr>
          <w:rStyle w:val="tablenotesChar"/>
        </w:rPr>
        <w:t xml:space="preserve">2017) and unpublished DHS operational data (extracted </w:t>
      </w:r>
      <w:r w:rsidR="00B54D93" w:rsidRPr="00207DC2">
        <w:rPr>
          <w:rStyle w:val="tablenotesChar"/>
        </w:rPr>
        <w:t xml:space="preserve">from determination and circumstance files </w:t>
      </w:r>
      <w:r w:rsidRPr="00207DC2">
        <w:rPr>
          <w:rStyle w:val="tablenotesChar"/>
        </w:rPr>
        <w:t>on 20</w:t>
      </w:r>
      <w:r w:rsidR="0080201F" w:rsidRPr="00207DC2">
        <w:rPr>
          <w:rStyle w:val="tablenotesChar"/>
        </w:rPr>
        <w:t> </w:t>
      </w:r>
      <w:r w:rsidRPr="00207DC2">
        <w:rPr>
          <w:rStyle w:val="tablenotesChar"/>
        </w:rPr>
        <w:t>November</w:t>
      </w:r>
      <w:r w:rsidR="0080201F" w:rsidRPr="00207DC2">
        <w:rPr>
          <w:rStyle w:val="tablenotesChar"/>
        </w:rPr>
        <w:t> </w:t>
      </w:r>
      <w:r w:rsidRPr="00207DC2">
        <w:rPr>
          <w:rStyle w:val="tablenotesChar"/>
        </w:rPr>
        <w:t>2017 and 21</w:t>
      </w:r>
      <w:r w:rsidR="0080201F" w:rsidRPr="00207DC2">
        <w:rPr>
          <w:rStyle w:val="tablenotesChar"/>
        </w:rPr>
        <w:t> </w:t>
      </w:r>
      <w:r w:rsidRPr="00207DC2">
        <w:rPr>
          <w:rStyle w:val="tablenotesChar"/>
        </w:rPr>
        <w:t>August</w:t>
      </w:r>
      <w:r w:rsidR="0080201F" w:rsidRPr="00207DC2">
        <w:rPr>
          <w:rStyle w:val="tablenotesChar"/>
        </w:rPr>
        <w:t> </w:t>
      </w:r>
      <w:r w:rsidRPr="00207DC2">
        <w:rPr>
          <w:rStyle w:val="tablenotesChar"/>
        </w:rPr>
        <w:t xml:space="preserve">2017). </w:t>
      </w:r>
    </w:p>
    <w:p w14:paraId="40DD23E2" w14:textId="77777777" w:rsidR="00A83137" w:rsidRPr="00207DC2" w:rsidRDefault="00E9044F" w:rsidP="00D57D1D">
      <w:pPr>
        <w:pStyle w:val="tablenotes"/>
      </w:pPr>
      <w:r w:rsidRPr="00207DC2">
        <w:rPr>
          <w:i/>
        </w:rPr>
        <w:t xml:space="preserve">Notes: </w:t>
      </w:r>
      <w:r w:rsidR="00BC521D" w:rsidRPr="00207DC2">
        <w:t xml:space="preserve">(a) </w:t>
      </w:r>
      <w:r w:rsidRPr="00207DC2">
        <w:t xml:space="preserve">Estimates </w:t>
      </w:r>
      <w:r w:rsidR="003E5C9D" w:rsidRPr="00207DC2">
        <w:t xml:space="preserve">are derived by dividing the number of individuals with a penalty in the quarter by the total number of CDP </w:t>
      </w:r>
      <w:r w:rsidR="00E91858" w:rsidRPr="00207DC2">
        <w:t xml:space="preserve">participants </w:t>
      </w:r>
      <w:r w:rsidR="003E5C9D" w:rsidRPr="00207DC2">
        <w:t>at the beginning of each quarter.</w:t>
      </w:r>
    </w:p>
    <w:p w14:paraId="6005A8C3" w14:textId="127DCE8D" w:rsidR="005D2941" w:rsidRPr="00207DC2" w:rsidRDefault="005D2941" w:rsidP="005A01FD">
      <w:pPr>
        <w:spacing w:before="240"/>
        <w:jc w:val="both"/>
        <w:rPr>
          <w:lang w:val="en-AU"/>
        </w:rPr>
      </w:pPr>
      <w:r w:rsidRPr="00207DC2">
        <w:rPr>
          <w:lang w:val="en-AU"/>
        </w:rPr>
        <w:t>Looking over a longer time period, over half (60 per cent) of those participating in the CDP at the beginning of 2016 received one or more reduction penalties over the following year, and about one fifth experienced a zero-rate penalty.</w:t>
      </w:r>
    </w:p>
    <w:p w14:paraId="64D68044" w14:textId="0740602A" w:rsidR="005D2941" w:rsidRPr="00207DC2" w:rsidRDefault="005D2941" w:rsidP="005D2941">
      <w:pPr>
        <w:spacing w:before="240"/>
        <w:jc w:val="both"/>
        <w:rPr>
          <w:lang w:val="en-AU"/>
        </w:rPr>
      </w:pPr>
      <w:r w:rsidRPr="00207DC2">
        <w:rPr>
          <w:rFonts w:cstheme="minorHAnsi"/>
          <w:lang w:val="en-AU"/>
        </w:rPr>
        <w:t>Under the RJCP, one reduction penalty per quarter was the most common frequency per participant. However, Figure 3.4 shows a large increase in the number of people experiencing multiple reduction penalties per quarter, following the introduction of the CDP (since September quarter 2015).</w:t>
      </w:r>
      <w:r w:rsidRPr="00207DC2">
        <w:rPr>
          <w:lang w:val="en-AU"/>
        </w:rPr>
        <w:t xml:space="preserve"> </w:t>
      </w:r>
    </w:p>
    <w:p w14:paraId="4BB5E2C7" w14:textId="3EACE531" w:rsidR="001272FC" w:rsidRPr="00207DC2" w:rsidRDefault="001272FC" w:rsidP="00B7089D">
      <w:pPr>
        <w:spacing w:before="240"/>
        <w:jc w:val="both"/>
        <w:rPr>
          <w:lang w:val="en-AU"/>
        </w:rPr>
      </w:pPr>
      <w:r w:rsidRPr="00207DC2">
        <w:rPr>
          <w:lang w:val="en-AU"/>
        </w:rPr>
        <w:t xml:space="preserve">Most </w:t>
      </w:r>
      <w:r w:rsidR="00B7089D">
        <w:rPr>
          <w:lang w:val="en-AU"/>
        </w:rPr>
        <w:t xml:space="preserve">CDP </w:t>
      </w:r>
      <w:r w:rsidRPr="00207DC2">
        <w:rPr>
          <w:lang w:val="en-AU"/>
        </w:rPr>
        <w:t>participants experience no more than one zero-rate penalty per quarter, however, a small proportion of have experienced two or more</w:t>
      </w:r>
      <w:r w:rsidR="00B7089D">
        <w:rPr>
          <w:lang w:val="en-AU"/>
        </w:rPr>
        <w:t xml:space="preserve"> in a single quarter (</w:t>
      </w:r>
      <w:r w:rsidR="00B7089D" w:rsidRPr="00207DC2">
        <w:rPr>
          <w:lang w:val="en-AU"/>
        </w:rPr>
        <w:t>about ten per cent</w:t>
      </w:r>
      <w:r w:rsidR="00B7089D">
        <w:rPr>
          <w:lang w:val="en-AU"/>
        </w:rPr>
        <w:t xml:space="preserve"> of </w:t>
      </w:r>
      <w:r w:rsidR="00B7089D" w:rsidRPr="00207DC2">
        <w:rPr>
          <w:lang w:val="en-AU"/>
        </w:rPr>
        <w:t>participants</w:t>
      </w:r>
      <w:r w:rsidR="00B7089D">
        <w:rPr>
          <w:lang w:val="en-AU"/>
        </w:rPr>
        <w:t xml:space="preserve"> each quarter since CDP commenced).</w:t>
      </w:r>
    </w:p>
    <w:p w14:paraId="7EB671A2" w14:textId="02623A23" w:rsidR="000A53B7" w:rsidRPr="00207DC2" w:rsidRDefault="000A53B7" w:rsidP="00EF1B43">
      <w:pPr>
        <w:pStyle w:val="Figures"/>
      </w:pPr>
      <w:r w:rsidRPr="00207DC2">
        <w:t>Figure</w:t>
      </w:r>
      <w:r w:rsidR="00A83137" w:rsidRPr="00207DC2">
        <w:t xml:space="preserve"> </w:t>
      </w:r>
      <w:r w:rsidR="00905D1A">
        <w:t>3</w:t>
      </w:r>
      <w:r w:rsidR="00EF1B43" w:rsidRPr="00207DC2">
        <w:t>.</w:t>
      </w:r>
      <w:r w:rsidR="00905D1A">
        <w:t>4</w:t>
      </w:r>
      <w:r w:rsidRPr="00207DC2">
        <w:t xml:space="preserve"> </w:t>
      </w:r>
      <w:r w:rsidR="00B7089D">
        <w:t>The number of p</w:t>
      </w:r>
      <w:r w:rsidR="00C15EF8" w:rsidRPr="00207DC2">
        <w:t xml:space="preserve">articipants receiving multiple </w:t>
      </w:r>
      <w:r w:rsidRPr="00207DC2">
        <w:t>r</w:t>
      </w:r>
      <w:r w:rsidR="00C15EF8" w:rsidRPr="00207DC2">
        <w:t>eduction penalties each quarter has increased under the CDP</w:t>
      </w:r>
    </w:p>
    <w:p w14:paraId="5F643583" w14:textId="576434E4" w:rsidR="00496CB7" w:rsidRPr="00207DC2" w:rsidRDefault="00B90F41" w:rsidP="00D57D1D">
      <w:pPr>
        <w:pStyle w:val="tablenotes"/>
      </w:pPr>
      <w:r w:rsidRPr="00207DC2">
        <w:drawing>
          <wp:inline distT="0" distB="0" distL="0" distR="0" wp14:anchorId="3A4DEB37" wp14:editId="15685C5C">
            <wp:extent cx="5640705" cy="3216910"/>
            <wp:effectExtent l="0" t="0" r="0" b="2540"/>
            <wp:docPr id="193" name="Picture 193" descr="The figure is a bar chart showing the number of participants who received a reduction penalty each quarter by the number of reduction penalties received, between the third quarter of 2013 and the second quarter of 2017. Five categories are shown including those who received: one reduction penalty in the quarter; two penalties; three penalties; four or five penalties; and six or more penalties in the quarter.&#10;&#10;The figures shows that under the RJCP, one reduction penalty per quarter was the most common frequency per participant. Under the CDP, there was a large increase in the number of people experiencing multiple reduction penalties per quarter.&#10;" title="Participants receiving multiple reduction penalties each quarter has increased under the 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40705" cy="3216910"/>
                    </a:xfrm>
                    <a:prstGeom prst="rect">
                      <a:avLst/>
                    </a:prstGeom>
                  </pic:spPr>
                </pic:pic>
              </a:graphicData>
            </a:graphic>
          </wp:inline>
        </w:drawing>
      </w:r>
      <w:r w:rsidR="000A53B7" w:rsidRPr="00207DC2">
        <w:rPr>
          <w:i/>
        </w:rPr>
        <w:t>Source:</w:t>
      </w:r>
      <w:r w:rsidR="00360ABB" w:rsidRPr="00207DC2">
        <w:t xml:space="preserve"> </w:t>
      </w:r>
      <w:r w:rsidR="0057565A" w:rsidRPr="00207DC2">
        <w:t>PMC</w:t>
      </w:r>
      <w:r w:rsidR="00014F0E" w:rsidRPr="00207DC2">
        <w:t xml:space="preserve"> estimates based on u</w:t>
      </w:r>
      <w:r w:rsidR="00360ABB" w:rsidRPr="00207DC2">
        <w:t>npublished</w:t>
      </w:r>
      <w:r w:rsidR="000A53B7" w:rsidRPr="00207DC2">
        <w:t xml:space="preserve"> DHS </w:t>
      </w:r>
      <w:r w:rsidR="00360ABB" w:rsidRPr="00207DC2">
        <w:t xml:space="preserve">operational data (extracted </w:t>
      </w:r>
      <w:r w:rsidR="007E7CFC" w:rsidRPr="00207DC2">
        <w:t xml:space="preserve">from determination and circumstance files </w:t>
      </w:r>
      <w:r w:rsidR="00360ABB" w:rsidRPr="00207DC2">
        <w:t>on</w:t>
      </w:r>
      <w:r w:rsidR="000A53B7" w:rsidRPr="00207DC2">
        <w:t> 21 Aug</w:t>
      </w:r>
      <w:r w:rsidR="00360ABB" w:rsidRPr="00207DC2">
        <w:t>ust</w:t>
      </w:r>
      <w:r w:rsidR="000A53B7" w:rsidRPr="00207DC2">
        <w:t> 2017</w:t>
      </w:r>
      <w:r w:rsidR="00360ABB" w:rsidRPr="00207DC2">
        <w:t>)</w:t>
      </w:r>
      <w:r w:rsidR="000A53B7" w:rsidRPr="00207DC2">
        <w:t>.</w:t>
      </w:r>
    </w:p>
    <w:p w14:paraId="2DB635DD" w14:textId="6F6451F5" w:rsidR="008F2C47" w:rsidRPr="00207DC2" w:rsidRDefault="008F2C47" w:rsidP="00EF1B43">
      <w:pPr>
        <w:pStyle w:val="Figures"/>
      </w:pPr>
      <w:r w:rsidRPr="00207DC2">
        <w:t xml:space="preserve">Figure </w:t>
      </w:r>
      <w:r w:rsidR="00905D1A">
        <w:t>3</w:t>
      </w:r>
      <w:r w:rsidRPr="00207DC2">
        <w:t xml:space="preserve">.5 </w:t>
      </w:r>
      <w:r w:rsidR="00910218">
        <w:t>Length of z</w:t>
      </w:r>
      <w:r w:rsidRPr="00207DC2">
        <w:t>ero-rate penalties</w:t>
      </w:r>
      <w:r w:rsidR="00910218">
        <w:t xml:space="preserve"> by weeks</w:t>
      </w:r>
      <w:r w:rsidRPr="00207DC2">
        <w:t xml:space="preserve"> </w:t>
      </w:r>
    </w:p>
    <w:p w14:paraId="2147A305" w14:textId="05D69A7E" w:rsidR="005D2941" w:rsidRPr="00207DC2" w:rsidRDefault="00B90F41" w:rsidP="00D57D1D">
      <w:pPr>
        <w:pStyle w:val="tablenotes"/>
      </w:pPr>
      <w:r w:rsidRPr="00207DC2">
        <w:drawing>
          <wp:inline distT="0" distB="0" distL="0" distR="0" wp14:anchorId="14F18D06" wp14:editId="541ED6CA">
            <wp:extent cx="5640705" cy="3201035"/>
            <wp:effectExtent l="0" t="0" r="0" b="0"/>
            <wp:docPr id="194" name="Picture 194" descr="The figure is a stacked area chart showing the proportion of participants who received a zero-rate penalty each quarter by the duration of the penalty, between the third quarter of 2013 and the second quarter of 2017. Five categories are shown including those whose zero-rate penalty lasted: less than two weeks; between two and four weeks; between four and six weeks; six to less than eight weeks; and the full eight weeks. More information can be found in the paragraph below." title="Proportion of zero-rate penalties by d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40705" cy="3201035"/>
                    </a:xfrm>
                    <a:prstGeom prst="rect">
                      <a:avLst/>
                    </a:prstGeom>
                  </pic:spPr>
                </pic:pic>
              </a:graphicData>
            </a:graphic>
          </wp:inline>
        </w:drawing>
      </w:r>
      <w:r w:rsidR="00821D54" w:rsidRPr="00207DC2">
        <w:rPr>
          <w:i/>
        </w:rPr>
        <w:t>Source:</w:t>
      </w:r>
      <w:r w:rsidR="00821D54" w:rsidRPr="00207DC2">
        <w:t xml:space="preserve"> </w:t>
      </w:r>
      <w:r w:rsidR="0057565A" w:rsidRPr="00207DC2">
        <w:t>PMC</w:t>
      </w:r>
      <w:r w:rsidR="00821D54" w:rsidRPr="00207DC2">
        <w:t xml:space="preserve"> estimates based on unpublished DHS operational data (extracted from determination and circumstance files on 21 August 2017).</w:t>
      </w:r>
    </w:p>
    <w:p w14:paraId="3DC5101D" w14:textId="60639667" w:rsidR="001272FC" w:rsidRPr="00207DC2" w:rsidRDefault="001272FC" w:rsidP="001272FC">
      <w:pPr>
        <w:spacing w:before="240"/>
        <w:jc w:val="both"/>
        <w:rPr>
          <w:lang w:val="en-AU"/>
        </w:rPr>
      </w:pPr>
      <w:r w:rsidRPr="00207DC2">
        <w:rPr>
          <w:lang w:val="en-AU"/>
        </w:rPr>
        <w:t>While zero-rate penalties can be applied for up to eight weeks, the majority are shorter, because the CDP participant agree</w:t>
      </w:r>
      <w:r w:rsidR="00954EA4">
        <w:rPr>
          <w:lang w:val="en-AU"/>
        </w:rPr>
        <w:t>s to re-engage before the eight-</w:t>
      </w:r>
      <w:r w:rsidRPr="00207DC2">
        <w:rPr>
          <w:lang w:val="en-AU"/>
        </w:rPr>
        <w:t>week period is reached. Under the CDP, most applied zero-rate penalties (47 per cent to 54 per cent per quarter) lasted up to two weeks, and the proportion that lasted the full eight weeks (Figure 3.5) decreased markedly. In 2016, a zero-rate penalty lasted 23 days on average.</w:t>
      </w:r>
    </w:p>
    <w:p w14:paraId="5445AF03" w14:textId="39A49408" w:rsidR="00CB6E7D" w:rsidRPr="00207DC2" w:rsidRDefault="005631B4" w:rsidP="008055FF">
      <w:pPr>
        <w:pStyle w:val="ZED4"/>
        <w:outlineLvl w:val="2"/>
      </w:pPr>
      <w:bookmarkStart w:id="318" w:name="_Toc509412977"/>
      <w:bookmarkStart w:id="319" w:name="_Toc509587040"/>
      <w:bookmarkStart w:id="320" w:name="_Toc509588066"/>
      <w:bookmarkStart w:id="321" w:name="_Toc509588329"/>
      <w:bookmarkStart w:id="322" w:name="_Toc509589477"/>
      <w:bookmarkStart w:id="323" w:name="_Toc509926895"/>
      <w:bookmarkStart w:id="324" w:name="_Toc511661245"/>
      <w:bookmarkStart w:id="325" w:name="_Toc511826296"/>
      <w:bookmarkStart w:id="326" w:name="_Toc511940613"/>
      <w:bookmarkStart w:id="327" w:name="_Toc515185460"/>
      <w:bookmarkStart w:id="328" w:name="_Toc516219834"/>
      <w:bookmarkStart w:id="329" w:name="_Toc516220475"/>
      <w:bookmarkStart w:id="330" w:name="_Toc516223295"/>
      <w:bookmarkStart w:id="331" w:name="_Toc516225203"/>
      <w:bookmarkStart w:id="332" w:name="_Toc516228979"/>
      <w:bookmarkStart w:id="333" w:name="_Toc518468056"/>
      <w:bookmarkStart w:id="334" w:name="_Toc518487837"/>
      <w:bookmarkStart w:id="335" w:name="_Toc518558800"/>
      <w:bookmarkStart w:id="336" w:name="_Toc518565323"/>
      <w:bookmarkStart w:id="337" w:name="_Toc518565567"/>
      <w:bookmarkStart w:id="338" w:name="_Toc519504738"/>
      <w:bookmarkStart w:id="339" w:name="_Toc519505962"/>
      <w:bookmarkStart w:id="340" w:name="_Toc519844068"/>
      <w:bookmarkStart w:id="341" w:name="_Toc521068570"/>
      <w:bookmarkStart w:id="342" w:name="_Toc521391084"/>
      <w:bookmarkStart w:id="343" w:name="_Toc522013253"/>
      <w:bookmarkStart w:id="344" w:name="_Toc534965163"/>
      <w:bookmarkStart w:id="345" w:name="_Toc535935051"/>
      <w:r>
        <w:t>3.2</w:t>
      </w:r>
      <w:r>
        <w:tab/>
      </w:r>
      <w:r w:rsidR="00C35BEF" w:rsidRPr="00207DC2">
        <w:t xml:space="preserve">Payments </w:t>
      </w:r>
      <w:r w:rsidR="00CB6E7D" w:rsidRPr="00207DC2">
        <w:t>lost to penalties</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057E8C6" w14:textId="21E8B604" w:rsidR="001024BC" w:rsidRPr="00207DC2" w:rsidRDefault="00261463" w:rsidP="001024BC">
      <w:pPr>
        <w:spacing w:before="120" w:after="120"/>
        <w:jc w:val="both"/>
        <w:rPr>
          <w:rFonts w:cstheme="minorHAnsi"/>
          <w:lang w:val="en-AU"/>
        </w:rPr>
      </w:pPr>
      <w:r w:rsidRPr="00207DC2">
        <w:rPr>
          <w:rFonts w:cstheme="minorHAnsi"/>
          <w:lang w:val="en-AU"/>
        </w:rPr>
        <w:t>A</w:t>
      </w:r>
      <w:r w:rsidR="00144AE5" w:rsidRPr="00207DC2">
        <w:rPr>
          <w:rFonts w:cstheme="minorHAnsi"/>
          <w:lang w:val="en-AU"/>
        </w:rPr>
        <w:t>veraged a</w:t>
      </w:r>
      <w:r w:rsidRPr="00207DC2">
        <w:rPr>
          <w:rFonts w:cstheme="minorHAnsi"/>
          <w:lang w:val="en-AU"/>
        </w:rPr>
        <w:t>cross</w:t>
      </w:r>
      <w:r w:rsidR="00144AE5" w:rsidRPr="00207DC2">
        <w:rPr>
          <w:rFonts w:cstheme="minorHAnsi"/>
          <w:lang w:val="en-AU"/>
        </w:rPr>
        <w:t xml:space="preserve"> all</w:t>
      </w:r>
      <w:r w:rsidR="003315B1" w:rsidRPr="00207DC2">
        <w:rPr>
          <w:rFonts w:cstheme="minorHAnsi"/>
          <w:lang w:val="en-AU"/>
        </w:rPr>
        <w:t xml:space="preserve"> </w:t>
      </w:r>
      <w:r w:rsidR="000A53B7" w:rsidRPr="00207DC2">
        <w:rPr>
          <w:rFonts w:cstheme="minorHAnsi"/>
          <w:lang w:val="en-AU"/>
        </w:rPr>
        <w:t>CDP</w:t>
      </w:r>
      <w:r w:rsidRPr="00207DC2">
        <w:rPr>
          <w:rFonts w:cstheme="minorHAnsi"/>
          <w:lang w:val="en-AU"/>
        </w:rPr>
        <w:t xml:space="preserve"> regions</w:t>
      </w:r>
      <w:r w:rsidR="006D509E" w:rsidRPr="00207DC2">
        <w:rPr>
          <w:rFonts w:cstheme="minorHAnsi"/>
          <w:lang w:val="en-AU"/>
        </w:rPr>
        <w:t>,</w:t>
      </w:r>
      <w:r w:rsidR="000A53B7" w:rsidRPr="00207DC2">
        <w:rPr>
          <w:rFonts w:cstheme="minorHAnsi"/>
          <w:lang w:val="en-AU"/>
        </w:rPr>
        <w:t xml:space="preserve"> financial penalties</w:t>
      </w:r>
      <w:r w:rsidR="001641CB" w:rsidRPr="00207DC2">
        <w:rPr>
          <w:rFonts w:cstheme="minorHAnsi"/>
          <w:lang w:val="en-AU"/>
        </w:rPr>
        <w:t xml:space="preserve"> </w:t>
      </w:r>
      <w:r w:rsidR="000A53B7" w:rsidRPr="00207DC2">
        <w:rPr>
          <w:rFonts w:cstheme="minorHAnsi"/>
          <w:lang w:val="en-AU"/>
        </w:rPr>
        <w:t xml:space="preserve">represent </w:t>
      </w:r>
      <w:r w:rsidR="00144AE5" w:rsidRPr="00207DC2">
        <w:rPr>
          <w:rFonts w:cstheme="minorHAnsi"/>
          <w:lang w:val="en-AU"/>
        </w:rPr>
        <w:t xml:space="preserve">less than one per cent </w:t>
      </w:r>
      <w:r w:rsidR="000A53B7" w:rsidRPr="00207DC2">
        <w:rPr>
          <w:rFonts w:cstheme="minorHAnsi"/>
          <w:lang w:val="en-AU"/>
        </w:rPr>
        <w:t xml:space="preserve">of </w:t>
      </w:r>
      <w:r w:rsidR="00610752" w:rsidRPr="00207DC2">
        <w:rPr>
          <w:rFonts w:cstheme="minorHAnsi"/>
          <w:lang w:val="en-AU"/>
        </w:rPr>
        <w:t>Australian Go</w:t>
      </w:r>
      <w:r w:rsidR="006B26C5" w:rsidRPr="00207DC2">
        <w:rPr>
          <w:rFonts w:cstheme="minorHAnsi"/>
          <w:lang w:val="en-AU"/>
        </w:rPr>
        <w:t>vernment</w:t>
      </w:r>
      <w:r w:rsidR="00610752" w:rsidRPr="00207DC2">
        <w:rPr>
          <w:rFonts w:cstheme="minorHAnsi"/>
          <w:lang w:val="en-AU"/>
        </w:rPr>
        <w:t xml:space="preserve"> </w:t>
      </w:r>
      <w:r w:rsidR="00BC2F82" w:rsidRPr="00207DC2">
        <w:rPr>
          <w:rFonts w:cstheme="minorHAnsi"/>
          <w:lang w:val="en-AU"/>
        </w:rPr>
        <w:t xml:space="preserve">payments </w:t>
      </w:r>
      <w:r w:rsidR="000A53B7" w:rsidRPr="00207DC2">
        <w:rPr>
          <w:rFonts w:cstheme="minorHAnsi"/>
          <w:lang w:val="en-AU"/>
        </w:rPr>
        <w:t>entering CDP regions</w:t>
      </w:r>
      <w:r w:rsidR="00C7244E" w:rsidRPr="00207DC2">
        <w:rPr>
          <w:rFonts w:cstheme="minorHAnsi"/>
          <w:lang w:val="en-AU"/>
        </w:rPr>
        <w:t>.</w:t>
      </w:r>
      <w:r w:rsidR="00C33011" w:rsidRPr="00207DC2">
        <w:rPr>
          <w:rFonts w:cstheme="minorHAnsi"/>
          <w:lang w:val="en-AU"/>
        </w:rPr>
        <w:t xml:space="preserve"> </w:t>
      </w:r>
      <w:r w:rsidR="000A53B7" w:rsidRPr="00207DC2">
        <w:rPr>
          <w:lang w:val="en-AU"/>
        </w:rPr>
        <w:t>T</w:t>
      </w:r>
      <w:r w:rsidR="000A53B7" w:rsidRPr="00207DC2">
        <w:rPr>
          <w:rFonts w:cstheme="minorHAnsi"/>
          <w:lang w:val="en-AU"/>
        </w:rPr>
        <w:t>here is</w:t>
      </w:r>
      <w:r w:rsidR="003315B1" w:rsidRPr="00207DC2">
        <w:rPr>
          <w:rFonts w:cstheme="minorHAnsi"/>
          <w:lang w:val="en-AU"/>
        </w:rPr>
        <w:t>, however,</w:t>
      </w:r>
      <w:r w:rsidR="000A53B7" w:rsidRPr="00207DC2">
        <w:rPr>
          <w:rFonts w:cstheme="minorHAnsi"/>
          <w:lang w:val="en-AU"/>
        </w:rPr>
        <w:t xml:space="preserve"> variation </w:t>
      </w:r>
      <w:r w:rsidR="00144AE5" w:rsidRPr="00207DC2">
        <w:rPr>
          <w:rFonts w:cstheme="minorHAnsi"/>
          <w:lang w:val="en-AU"/>
        </w:rPr>
        <w:t xml:space="preserve">between </w:t>
      </w:r>
      <w:r w:rsidR="000A53B7" w:rsidRPr="00207DC2">
        <w:rPr>
          <w:rFonts w:cstheme="minorHAnsi"/>
          <w:lang w:val="en-AU"/>
        </w:rPr>
        <w:t>regions</w:t>
      </w:r>
      <w:r w:rsidR="00396552">
        <w:rPr>
          <w:rFonts w:cstheme="minorHAnsi"/>
          <w:lang w:val="en-AU"/>
        </w:rPr>
        <w:t xml:space="preserve"> – </w:t>
      </w:r>
      <w:r w:rsidR="000A53B7" w:rsidRPr="00207DC2">
        <w:rPr>
          <w:rFonts w:cstheme="minorHAnsi"/>
          <w:lang w:val="en-AU"/>
        </w:rPr>
        <w:t xml:space="preserve">with estimated penalty amounts as a proportion of total </w:t>
      </w:r>
      <w:r w:rsidR="00535D4D" w:rsidRPr="00207DC2">
        <w:rPr>
          <w:rFonts w:cstheme="minorHAnsi"/>
          <w:lang w:val="en-AU"/>
        </w:rPr>
        <w:t>qua</w:t>
      </w:r>
      <w:r w:rsidR="00AA24B8" w:rsidRPr="00207DC2">
        <w:rPr>
          <w:rFonts w:cstheme="minorHAnsi"/>
          <w:lang w:val="en-AU"/>
        </w:rPr>
        <w:t>r</w:t>
      </w:r>
      <w:r w:rsidR="00535D4D" w:rsidRPr="00207DC2">
        <w:rPr>
          <w:rFonts w:cstheme="minorHAnsi"/>
          <w:lang w:val="en-AU"/>
        </w:rPr>
        <w:t>terl</w:t>
      </w:r>
      <w:r w:rsidR="000A53B7" w:rsidRPr="00207DC2">
        <w:rPr>
          <w:rFonts w:cstheme="minorHAnsi"/>
          <w:lang w:val="en-AU"/>
        </w:rPr>
        <w:t xml:space="preserve">y </w:t>
      </w:r>
      <w:r w:rsidR="00DF407F" w:rsidRPr="00207DC2">
        <w:rPr>
          <w:rFonts w:cstheme="minorHAnsi"/>
          <w:lang w:val="en-AU"/>
        </w:rPr>
        <w:t xml:space="preserve">income support </w:t>
      </w:r>
      <w:r w:rsidR="00CF0475" w:rsidRPr="00207DC2">
        <w:rPr>
          <w:rFonts w:cstheme="minorHAnsi"/>
          <w:lang w:val="en-AU"/>
        </w:rPr>
        <w:t>payment</w:t>
      </w:r>
      <w:r w:rsidR="00B7089D">
        <w:rPr>
          <w:rFonts w:cstheme="minorHAnsi"/>
          <w:lang w:val="en-AU"/>
        </w:rPr>
        <w:t>s</w:t>
      </w:r>
      <w:r w:rsidR="00CF0475" w:rsidRPr="00207DC2">
        <w:rPr>
          <w:rFonts w:cstheme="minorHAnsi"/>
          <w:lang w:val="en-AU"/>
        </w:rPr>
        <w:t xml:space="preserve"> </w:t>
      </w:r>
      <w:r w:rsidR="000A53B7" w:rsidRPr="00207DC2">
        <w:rPr>
          <w:rFonts w:cstheme="minorHAnsi"/>
          <w:lang w:val="en-AU"/>
        </w:rPr>
        <w:t xml:space="preserve">ranging from zero to </w:t>
      </w:r>
      <w:r w:rsidR="00A75650" w:rsidRPr="00207DC2">
        <w:rPr>
          <w:rFonts w:cstheme="minorHAnsi"/>
          <w:lang w:val="en-AU"/>
        </w:rPr>
        <w:t xml:space="preserve">almost </w:t>
      </w:r>
      <w:r w:rsidR="00535D4D" w:rsidRPr="00207DC2">
        <w:rPr>
          <w:rFonts w:cstheme="minorHAnsi"/>
          <w:lang w:val="en-AU"/>
        </w:rPr>
        <w:t>2</w:t>
      </w:r>
      <w:r w:rsidR="000A53B7" w:rsidRPr="00207DC2">
        <w:rPr>
          <w:rFonts w:cstheme="minorHAnsi"/>
          <w:lang w:val="en-AU"/>
        </w:rPr>
        <w:t>.5 per cent over the 60</w:t>
      </w:r>
      <w:r w:rsidR="00DF407F" w:rsidRPr="00207DC2">
        <w:rPr>
          <w:rFonts w:cstheme="minorHAnsi"/>
          <w:lang w:val="en-AU"/>
        </w:rPr>
        <w:t> </w:t>
      </w:r>
      <w:r w:rsidR="000A53B7" w:rsidRPr="00207DC2">
        <w:rPr>
          <w:rFonts w:cstheme="minorHAnsi"/>
          <w:lang w:val="en-AU"/>
        </w:rPr>
        <w:t>CDP regions</w:t>
      </w:r>
      <w:r w:rsidR="00A75650" w:rsidRPr="00207DC2">
        <w:rPr>
          <w:rFonts w:cstheme="minorHAnsi"/>
          <w:lang w:val="en-AU"/>
        </w:rPr>
        <w:t xml:space="preserve"> by 2016</w:t>
      </w:r>
      <w:r w:rsidR="001024BC" w:rsidRPr="00207DC2">
        <w:rPr>
          <w:rFonts w:cstheme="minorHAnsi"/>
          <w:lang w:val="en-AU"/>
        </w:rPr>
        <w:t xml:space="preserve"> (Figure 3.</w:t>
      </w:r>
      <w:r w:rsidR="00821D54" w:rsidRPr="00207DC2">
        <w:rPr>
          <w:rFonts w:cstheme="minorHAnsi"/>
          <w:lang w:val="en-AU"/>
        </w:rPr>
        <w:t>6</w:t>
      </w:r>
      <w:r w:rsidR="001024BC" w:rsidRPr="00207DC2">
        <w:rPr>
          <w:rFonts w:cstheme="minorHAnsi"/>
          <w:lang w:val="en-AU"/>
        </w:rPr>
        <w:t>)</w:t>
      </w:r>
      <w:r w:rsidR="000A53B7" w:rsidRPr="00207DC2">
        <w:rPr>
          <w:rFonts w:cstheme="minorHAnsi"/>
          <w:lang w:val="en-AU"/>
        </w:rPr>
        <w:t>.</w:t>
      </w:r>
      <w:r w:rsidR="00E1301F" w:rsidRPr="00207DC2">
        <w:rPr>
          <w:rFonts w:cstheme="minorHAnsi"/>
          <w:lang w:val="en-AU"/>
        </w:rPr>
        <w:t xml:space="preserve"> </w:t>
      </w:r>
    </w:p>
    <w:p w14:paraId="1789AFE0" w14:textId="77777777" w:rsidR="003A1BD8" w:rsidRPr="00207DC2" w:rsidRDefault="001024BC" w:rsidP="001024BC">
      <w:pPr>
        <w:spacing w:before="120" w:after="120"/>
        <w:jc w:val="both"/>
        <w:rPr>
          <w:rFonts w:cstheme="minorHAnsi"/>
          <w:lang w:val="en-AU"/>
        </w:rPr>
      </w:pPr>
      <w:r w:rsidRPr="00207DC2">
        <w:rPr>
          <w:rFonts w:cstheme="minorHAnsi"/>
          <w:lang w:val="en-AU"/>
        </w:rPr>
        <w:t>Since</w:t>
      </w:r>
      <w:r w:rsidR="00610752" w:rsidRPr="00207DC2">
        <w:rPr>
          <w:rFonts w:cstheme="minorHAnsi"/>
          <w:lang w:val="en-AU"/>
        </w:rPr>
        <w:t xml:space="preserve"> the</w:t>
      </w:r>
      <w:r w:rsidRPr="00207DC2">
        <w:rPr>
          <w:rFonts w:cstheme="minorHAnsi"/>
          <w:lang w:val="en-AU"/>
        </w:rPr>
        <w:t xml:space="preserve"> CDP commenced, </w:t>
      </w:r>
      <w:r w:rsidR="00C7244E" w:rsidRPr="00207DC2">
        <w:rPr>
          <w:rFonts w:cstheme="minorHAnsi"/>
          <w:lang w:val="en-AU"/>
        </w:rPr>
        <w:t xml:space="preserve">the estimated size of penalties relative to total </w:t>
      </w:r>
      <w:r w:rsidR="006B26C5" w:rsidRPr="00207DC2">
        <w:rPr>
          <w:rFonts w:cstheme="minorHAnsi"/>
          <w:lang w:val="en-AU"/>
        </w:rPr>
        <w:t>Australian Government</w:t>
      </w:r>
      <w:r w:rsidR="00D06964" w:rsidRPr="00207DC2">
        <w:rPr>
          <w:rFonts w:cstheme="minorHAnsi"/>
          <w:lang w:val="en-AU"/>
        </w:rPr>
        <w:t xml:space="preserve"> </w:t>
      </w:r>
      <w:r w:rsidR="00C7244E" w:rsidRPr="00207DC2">
        <w:rPr>
          <w:rFonts w:cstheme="minorHAnsi"/>
          <w:lang w:val="en-AU"/>
        </w:rPr>
        <w:t>payments entering the CDP regions has tended to increase for individual CDP regions and the area as a whole.</w:t>
      </w:r>
    </w:p>
    <w:p w14:paraId="182CE3D8" w14:textId="4B593439" w:rsidR="00535D4D" w:rsidRPr="00207DC2" w:rsidRDefault="003A1BD8" w:rsidP="00EF1B43">
      <w:pPr>
        <w:pStyle w:val="Figures"/>
      </w:pPr>
      <w:r w:rsidRPr="00207DC2">
        <w:t xml:space="preserve">Figure </w:t>
      </w:r>
      <w:r w:rsidR="00905D1A">
        <w:t>3</w:t>
      </w:r>
      <w:r w:rsidRPr="00207DC2">
        <w:t>.</w:t>
      </w:r>
      <w:r w:rsidR="00821D54" w:rsidRPr="00207DC2">
        <w:t>6</w:t>
      </w:r>
      <w:r w:rsidRPr="00207DC2">
        <w:t xml:space="preserve"> </w:t>
      </w:r>
      <w:r w:rsidR="00E91858" w:rsidRPr="00207DC2">
        <w:t>The value of p</w:t>
      </w:r>
      <w:r w:rsidRPr="00207DC2">
        <w:t>enalt</w:t>
      </w:r>
      <w:r w:rsidR="00671162" w:rsidRPr="00207DC2">
        <w:t>ies</w:t>
      </w:r>
      <w:r w:rsidRPr="00207DC2">
        <w:t xml:space="preserve"> </w:t>
      </w:r>
      <w:r w:rsidR="00E91858" w:rsidRPr="00207DC2">
        <w:t xml:space="preserve">are </w:t>
      </w:r>
      <w:r w:rsidR="00CB2355" w:rsidRPr="00207DC2">
        <w:t xml:space="preserve">small </w:t>
      </w:r>
      <w:r w:rsidR="00E91858" w:rsidRPr="00207DC2">
        <w:t xml:space="preserve">as a </w:t>
      </w:r>
      <w:r w:rsidRPr="00207DC2">
        <w:t>proportion of total</w:t>
      </w:r>
      <w:r w:rsidR="00535D4D" w:rsidRPr="00207DC2">
        <w:t xml:space="preserve"> </w:t>
      </w:r>
      <w:r w:rsidRPr="00207DC2">
        <w:t>regional</w:t>
      </w:r>
      <w:r w:rsidR="00841473" w:rsidRPr="00207DC2">
        <w:t xml:space="preserve"> </w:t>
      </w:r>
      <w:r w:rsidR="006B26C5" w:rsidRPr="00207DC2">
        <w:t>Australian Government</w:t>
      </w:r>
      <w:r w:rsidR="00D06964" w:rsidRPr="00207DC2">
        <w:t xml:space="preserve"> </w:t>
      </w:r>
      <w:r w:rsidR="00841473" w:rsidRPr="00207DC2">
        <w:t>payments</w:t>
      </w:r>
      <w:r w:rsidR="009B54CE" w:rsidRPr="00207DC2">
        <w:rPr>
          <w:b/>
          <w:vertAlign w:val="superscript"/>
        </w:rPr>
        <w:t>a,b</w:t>
      </w:r>
    </w:p>
    <w:p w14:paraId="0D2D832E" w14:textId="77777777" w:rsidR="00195A98" w:rsidRPr="00207DC2" w:rsidRDefault="00195A98" w:rsidP="006772A8">
      <w:pPr>
        <w:keepNext/>
        <w:spacing w:before="0" w:after="0"/>
        <w:rPr>
          <w:lang w:val="en-AU"/>
        </w:rPr>
      </w:pPr>
      <w:r w:rsidRPr="00207DC2">
        <w:rPr>
          <w:lang w:val="en-AU"/>
        </w:rPr>
        <w:t>Quarterly data for CDP regions, including lower- and upper-bound regions</w:t>
      </w:r>
    </w:p>
    <w:p w14:paraId="7B8E16AD" w14:textId="3A6ECF73" w:rsidR="00B90F41" w:rsidRPr="00207DC2" w:rsidRDefault="00B90F41" w:rsidP="00D57D1D">
      <w:pPr>
        <w:pStyle w:val="tablenotes"/>
        <w:rPr>
          <w:i/>
        </w:rPr>
      </w:pPr>
      <w:r w:rsidRPr="00207DC2">
        <w:drawing>
          <wp:inline distT="0" distB="0" distL="0" distR="0" wp14:anchorId="481932AA" wp14:editId="72A618F0">
            <wp:extent cx="5640705" cy="3202940"/>
            <wp:effectExtent l="0" t="0" r="0" b="0"/>
            <wp:docPr id="195" name="Picture 195" descr="The figure is a line chart showing penalties as a proportion of total Australian Government payments entering CDP regions per quarter. Specifically, for each quarter between the first quarter of 2014 and the second quarter of 2017, the figure shows the: &#10;- average proportion over all regions ; and &#10;- range of region-level proportions. &#10;More information can be found in the paragraph above.&#10;" title="The value of penalties are small as a proportion of total regional Australian Government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0705" cy="3202940"/>
                    </a:xfrm>
                    <a:prstGeom prst="rect">
                      <a:avLst/>
                    </a:prstGeom>
                  </pic:spPr>
                </pic:pic>
              </a:graphicData>
            </a:graphic>
          </wp:inline>
        </w:drawing>
      </w:r>
    </w:p>
    <w:p w14:paraId="648FD8B6" w14:textId="52394EBA" w:rsidR="00DF7D3E" w:rsidRPr="00207DC2" w:rsidRDefault="003A1BD8" w:rsidP="00D57D1D">
      <w:pPr>
        <w:pStyle w:val="tablenotes"/>
      </w:pPr>
      <w:r w:rsidRPr="00207DC2">
        <w:rPr>
          <w:i/>
        </w:rPr>
        <w:t xml:space="preserve">Source: </w:t>
      </w:r>
      <w:r w:rsidR="0057565A" w:rsidRPr="00207DC2">
        <w:t>PMC</w:t>
      </w:r>
      <w:r w:rsidR="00014F0E" w:rsidRPr="00207DC2">
        <w:t xml:space="preserve"> estimates based on u</w:t>
      </w:r>
      <w:r w:rsidRPr="00207DC2">
        <w:t xml:space="preserve">npublished DHS operational data </w:t>
      </w:r>
      <w:r w:rsidR="00B045BA" w:rsidRPr="00207DC2">
        <w:t xml:space="preserve">(extracted from </w:t>
      </w:r>
      <w:r w:rsidR="0014407B" w:rsidRPr="00207DC2">
        <w:t>p</w:t>
      </w:r>
      <w:r w:rsidRPr="00207DC2">
        <w:t xml:space="preserve">ayment </w:t>
      </w:r>
      <w:r w:rsidR="0014407B" w:rsidRPr="00207DC2">
        <w:t>f</w:t>
      </w:r>
      <w:r w:rsidRPr="00207DC2">
        <w:t xml:space="preserve">iles </w:t>
      </w:r>
      <w:r w:rsidR="0014407B" w:rsidRPr="00207DC2">
        <w:t>on</w:t>
      </w:r>
      <w:r w:rsidRPr="00207DC2">
        <w:t xml:space="preserve"> 28 August 2017). Data are </w:t>
      </w:r>
      <w:r w:rsidR="00255FCF" w:rsidRPr="00207DC2">
        <w:t>quarterly</w:t>
      </w:r>
      <w:r w:rsidRPr="00207DC2">
        <w:t>, January 2014 to June 2017.</w:t>
      </w:r>
    </w:p>
    <w:p w14:paraId="7D79B2DA" w14:textId="3CB3D05D" w:rsidR="0002114E" w:rsidRPr="00207DC2" w:rsidRDefault="0002114E" w:rsidP="00D57D1D">
      <w:pPr>
        <w:pStyle w:val="tablenotes"/>
      </w:pPr>
      <w:r w:rsidRPr="00207DC2">
        <w:rPr>
          <w:i/>
        </w:rPr>
        <w:t>Notes:</w:t>
      </w:r>
      <w:r w:rsidRPr="00207DC2">
        <w:t xml:space="preserve"> </w:t>
      </w:r>
      <w:r w:rsidR="009B54CE" w:rsidRPr="00207DC2">
        <w:t xml:space="preserve">(a) </w:t>
      </w:r>
      <w:r w:rsidRPr="00207DC2">
        <w:t>Estimates of penalties includ</w:t>
      </w:r>
      <w:r w:rsidR="0000141E" w:rsidRPr="00207DC2">
        <w:t>e all reductions in pay and non-payment periods</w:t>
      </w:r>
      <w:r w:rsidRPr="00207DC2">
        <w:t xml:space="preserve"> due to CDP penalties imposed in a particular time period, even where a</w:t>
      </w:r>
      <w:r w:rsidR="009B54CE" w:rsidRPr="00207DC2">
        <w:t xml:space="preserve"> participant</w:t>
      </w:r>
      <w:r w:rsidRPr="00207DC2">
        <w:t xml:space="preserve"> may have been subsequently reimbursed. </w:t>
      </w:r>
      <w:r w:rsidR="009B54CE" w:rsidRPr="00207DC2">
        <w:t xml:space="preserve">Subsequent penalty </w:t>
      </w:r>
      <w:r w:rsidR="00A32B18" w:rsidRPr="00207DC2">
        <w:t>w</w:t>
      </w:r>
      <w:r w:rsidRPr="00207DC2">
        <w:t>aiver</w:t>
      </w:r>
      <w:r w:rsidR="009B54CE" w:rsidRPr="00207DC2">
        <w:t>s</w:t>
      </w:r>
      <w:r w:rsidRPr="00207DC2">
        <w:t xml:space="preserve"> </w:t>
      </w:r>
      <w:r w:rsidR="00A32B18" w:rsidRPr="00207DC2">
        <w:t xml:space="preserve">appear as </w:t>
      </w:r>
      <w:r w:rsidRPr="00207DC2">
        <w:t>arrears payment</w:t>
      </w:r>
      <w:r w:rsidR="00A32B18" w:rsidRPr="00207DC2">
        <w:t>s, and</w:t>
      </w:r>
      <w:r w:rsidRPr="00207DC2">
        <w:t xml:space="preserve"> </w:t>
      </w:r>
      <w:r w:rsidR="009B54CE" w:rsidRPr="00207DC2">
        <w:t xml:space="preserve">are </w:t>
      </w:r>
      <w:r w:rsidRPr="00207DC2">
        <w:t xml:space="preserve">included in the total payment amount. </w:t>
      </w:r>
      <w:r w:rsidR="009B54CE" w:rsidRPr="00207DC2">
        <w:t xml:space="preserve">(b) </w:t>
      </w:r>
      <w:r w:rsidRPr="00207DC2">
        <w:t xml:space="preserve">Total </w:t>
      </w:r>
      <w:r w:rsidR="00DF407F" w:rsidRPr="00207DC2">
        <w:t>income sup</w:t>
      </w:r>
      <w:r w:rsidR="00954EA4">
        <w:t>p</w:t>
      </w:r>
      <w:r w:rsidR="00DF407F" w:rsidRPr="00207DC2">
        <w:t xml:space="preserve">ort </w:t>
      </w:r>
      <w:r w:rsidR="0069210C" w:rsidRPr="00207DC2">
        <w:t>payment</w:t>
      </w:r>
      <w:r w:rsidR="00DF407F" w:rsidRPr="00207DC2">
        <w:t>s</w:t>
      </w:r>
      <w:r w:rsidR="00510454" w:rsidRPr="00207DC2">
        <w:t xml:space="preserve"> includes all non-</w:t>
      </w:r>
      <w:r w:rsidR="00903A7A">
        <w:t>activity-tested</w:t>
      </w:r>
      <w:r w:rsidRPr="00207DC2">
        <w:t xml:space="preserve"> </w:t>
      </w:r>
      <w:r w:rsidR="00DF407F" w:rsidRPr="00207DC2">
        <w:t>i</w:t>
      </w:r>
      <w:r w:rsidRPr="00207DC2">
        <w:t xml:space="preserve">ncome </w:t>
      </w:r>
      <w:r w:rsidR="00DF407F" w:rsidRPr="00207DC2">
        <w:t>s</w:t>
      </w:r>
      <w:r w:rsidRPr="00207DC2">
        <w:t xml:space="preserve">upport </w:t>
      </w:r>
      <w:r w:rsidR="00DF407F" w:rsidRPr="00207DC2">
        <w:t>p</w:t>
      </w:r>
      <w:r w:rsidRPr="00207DC2">
        <w:t>ayments (Disability Support Pension, Age Pension, Carer Payment, and Parenti</w:t>
      </w:r>
      <w:r w:rsidR="00510454" w:rsidRPr="00207DC2">
        <w:t xml:space="preserve">ng Payment), </w:t>
      </w:r>
      <w:r w:rsidR="00903A7A">
        <w:t>activity-tested</w:t>
      </w:r>
      <w:r w:rsidRPr="00207DC2">
        <w:t xml:space="preserve"> </w:t>
      </w:r>
      <w:r w:rsidR="00DF407F" w:rsidRPr="00207DC2">
        <w:t>i</w:t>
      </w:r>
      <w:r w:rsidRPr="00207DC2">
        <w:t xml:space="preserve">ncome </w:t>
      </w:r>
      <w:r w:rsidR="00DF407F" w:rsidRPr="00207DC2">
        <w:t>s</w:t>
      </w:r>
      <w:r w:rsidRPr="00207DC2">
        <w:t xml:space="preserve">upport </w:t>
      </w:r>
      <w:r w:rsidR="00DF407F" w:rsidRPr="00207DC2">
        <w:t>p</w:t>
      </w:r>
      <w:r w:rsidRPr="00207DC2">
        <w:t>ayments (Newstart Allowance and Youth Allowance (other)</w:t>
      </w:r>
      <w:r w:rsidR="00E91858" w:rsidRPr="00207DC2">
        <w:t>),</w:t>
      </w:r>
      <w:r w:rsidRPr="00207DC2">
        <w:t xml:space="preserve"> and </w:t>
      </w:r>
      <w:r w:rsidR="00DF407F" w:rsidRPr="00207DC2">
        <w:t>n</w:t>
      </w:r>
      <w:r w:rsidRPr="00207DC2">
        <w:t>on-</w:t>
      </w:r>
      <w:r w:rsidR="00DF407F" w:rsidRPr="00207DC2">
        <w:t>i</w:t>
      </w:r>
      <w:r w:rsidRPr="00207DC2">
        <w:t xml:space="preserve">ncome </w:t>
      </w:r>
      <w:r w:rsidR="00DF407F" w:rsidRPr="00207DC2">
        <w:t>s</w:t>
      </w:r>
      <w:r w:rsidRPr="00207DC2">
        <w:t xml:space="preserve">upport </w:t>
      </w:r>
      <w:r w:rsidR="00DF407F" w:rsidRPr="00207DC2">
        <w:t>p</w:t>
      </w:r>
      <w:r w:rsidRPr="00207DC2">
        <w:t>ayments (Family Tax Benefit, Carer Allowance, Dad and Partner Pay, and ABSTUDY)</w:t>
      </w:r>
      <w:r w:rsidR="0069210C" w:rsidRPr="00207DC2">
        <w:t>.</w:t>
      </w:r>
    </w:p>
    <w:p w14:paraId="1FF285DA" w14:textId="77777777" w:rsidR="001272FC" w:rsidRPr="00207DC2" w:rsidRDefault="001272FC">
      <w:pPr>
        <w:spacing w:after="160"/>
        <w:rPr>
          <w:rFonts w:cstheme="minorHAnsi"/>
          <w:lang w:val="en-AU"/>
        </w:rPr>
      </w:pPr>
      <w:bookmarkStart w:id="346" w:name="_Toc474083971"/>
      <w:r w:rsidRPr="00207DC2">
        <w:rPr>
          <w:rFonts w:cstheme="minorHAnsi"/>
          <w:lang w:val="en-AU"/>
        </w:rPr>
        <w:br w:type="page"/>
      </w:r>
    </w:p>
    <w:p w14:paraId="5B419FAC" w14:textId="2842960A" w:rsidR="00AF416B" w:rsidRPr="00207DC2" w:rsidRDefault="0081563A" w:rsidP="004B52CB">
      <w:pPr>
        <w:spacing w:before="240" w:after="120"/>
        <w:jc w:val="both"/>
        <w:rPr>
          <w:rFonts w:cstheme="minorHAnsi"/>
          <w:lang w:val="en-AU"/>
        </w:rPr>
      </w:pPr>
      <w:r w:rsidRPr="00207DC2">
        <w:rPr>
          <w:rFonts w:cstheme="minorHAnsi"/>
          <w:lang w:val="en-AU"/>
        </w:rPr>
        <w:t xml:space="preserve">At an individual participant level, </w:t>
      </w:r>
      <w:r w:rsidR="00A26968" w:rsidRPr="00207DC2">
        <w:rPr>
          <w:rFonts w:cstheme="minorHAnsi"/>
          <w:lang w:val="en-AU"/>
        </w:rPr>
        <w:t xml:space="preserve">penalties as a share of </w:t>
      </w:r>
      <w:r w:rsidR="00DF407F" w:rsidRPr="00207DC2">
        <w:rPr>
          <w:rFonts w:cstheme="minorHAnsi"/>
          <w:lang w:val="en-AU"/>
        </w:rPr>
        <w:t xml:space="preserve">payments </w:t>
      </w:r>
      <w:r w:rsidRPr="00207DC2">
        <w:rPr>
          <w:rFonts w:cstheme="minorHAnsi"/>
          <w:lang w:val="en-AU"/>
        </w:rPr>
        <w:t xml:space="preserve">can be </w:t>
      </w:r>
      <w:r w:rsidR="00A26968" w:rsidRPr="00207DC2">
        <w:rPr>
          <w:rFonts w:cstheme="minorHAnsi"/>
          <w:lang w:val="en-AU"/>
        </w:rPr>
        <w:t>much higher</w:t>
      </w:r>
      <w:r w:rsidRPr="00207DC2">
        <w:rPr>
          <w:rFonts w:cstheme="minorHAnsi"/>
          <w:lang w:val="en-AU"/>
        </w:rPr>
        <w:t xml:space="preserve">. </w:t>
      </w:r>
    </w:p>
    <w:p w14:paraId="2A24E18C" w14:textId="05FBA56A" w:rsidR="000519F7" w:rsidRPr="00207DC2" w:rsidRDefault="0081563A" w:rsidP="0081563A">
      <w:pPr>
        <w:spacing w:before="120" w:after="120"/>
        <w:jc w:val="both"/>
        <w:rPr>
          <w:rFonts w:cstheme="minorHAnsi"/>
          <w:lang w:val="en-AU"/>
        </w:rPr>
      </w:pPr>
      <w:r w:rsidRPr="00207DC2">
        <w:rPr>
          <w:rFonts w:cstheme="minorHAnsi"/>
          <w:lang w:val="en-AU"/>
        </w:rPr>
        <w:t xml:space="preserve">Under the RJCP, the most common amount for a </w:t>
      </w:r>
      <w:r w:rsidR="000519F7" w:rsidRPr="00207DC2">
        <w:rPr>
          <w:rFonts w:cstheme="minorHAnsi"/>
          <w:lang w:val="en-AU"/>
        </w:rPr>
        <w:t>penalised</w:t>
      </w:r>
      <w:r w:rsidRPr="00207DC2">
        <w:rPr>
          <w:rFonts w:cstheme="minorHAnsi"/>
          <w:lang w:val="en-AU"/>
        </w:rPr>
        <w:t xml:space="preserve"> individual to lose in penalties (across all penalty types) in a quarter was less than two per cent of their </w:t>
      </w:r>
      <w:r w:rsidR="0041588C" w:rsidRPr="00207DC2">
        <w:rPr>
          <w:rFonts w:cstheme="minorHAnsi"/>
          <w:lang w:val="en-AU"/>
        </w:rPr>
        <w:t xml:space="preserve">quarterly </w:t>
      </w:r>
      <w:r w:rsidRPr="00207DC2">
        <w:rPr>
          <w:rFonts w:cstheme="minorHAnsi"/>
          <w:lang w:val="en-AU"/>
        </w:rPr>
        <w:t>payments (Figure 3.</w:t>
      </w:r>
      <w:r w:rsidR="00F8349E" w:rsidRPr="00207DC2">
        <w:rPr>
          <w:rFonts w:cstheme="minorHAnsi"/>
          <w:lang w:val="en-AU"/>
        </w:rPr>
        <w:t>7</w:t>
      </w:r>
      <w:r w:rsidRPr="00207DC2">
        <w:rPr>
          <w:rFonts w:cstheme="minorHAnsi"/>
          <w:lang w:val="en-AU"/>
        </w:rPr>
        <w:t>)</w:t>
      </w:r>
      <w:r w:rsidR="00182B90" w:rsidRPr="00207DC2">
        <w:rPr>
          <w:rFonts w:cstheme="minorHAnsi"/>
          <w:lang w:val="en-AU"/>
        </w:rPr>
        <w:t>.</w:t>
      </w:r>
      <w:r w:rsidRPr="00207DC2">
        <w:rPr>
          <w:rFonts w:cstheme="minorHAnsi"/>
          <w:lang w:val="en-AU"/>
        </w:rPr>
        <w:t xml:space="preserve"> </w:t>
      </w:r>
      <w:r w:rsidR="0041588C" w:rsidRPr="00207DC2">
        <w:rPr>
          <w:rFonts w:cstheme="minorHAnsi"/>
          <w:lang w:val="en-AU"/>
        </w:rPr>
        <w:t>Under</w:t>
      </w:r>
      <w:r w:rsidR="009C3783" w:rsidRPr="00207DC2">
        <w:rPr>
          <w:rFonts w:cstheme="minorHAnsi"/>
          <w:lang w:val="en-AU"/>
        </w:rPr>
        <w:t xml:space="preserve"> the</w:t>
      </w:r>
      <w:r w:rsidR="0041588C" w:rsidRPr="00207DC2">
        <w:rPr>
          <w:rFonts w:cstheme="minorHAnsi"/>
          <w:lang w:val="en-AU"/>
        </w:rPr>
        <w:t xml:space="preserve"> CDP</w:t>
      </w:r>
      <w:r w:rsidRPr="00207DC2">
        <w:rPr>
          <w:rFonts w:cstheme="minorHAnsi"/>
          <w:lang w:val="en-AU"/>
        </w:rPr>
        <w:t xml:space="preserve">, the most common amount for a </w:t>
      </w:r>
      <w:r w:rsidR="000519F7" w:rsidRPr="00207DC2">
        <w:rPr>
          <w:rFonts w:cstheme="minorHAnsi"/>
          <w:lang w:val="en-AU"/>
        </w:rPr>
        <w:t>penalised</w:t>
      </w:r>
      <w:r w:rsidRPr="00207DC2">
        <w:rPr>
          <w:rFonts w:cstheme="minorHAnsi"/>
          <w:lang w:val="en-AU"/>
        </w:rPr>
        <w:t xml:space="preserve"> individual to lose in penalties was between two and five per cent of their quarterly payments.</w:t>
      </w:r>
    </w:p>
    <w:p w14:paraId="1D877901" w14:textId="072B1978" w:rsidR="0081563A" w:rsidRPr="00207DC2" w:rsidRDefault="00941005" w:rsidP="0081563A">
      <w:pPr>
        <w:spacing w:before="120" w:after="120"/>
        <w:jc w:val="both"/>
        <w:rPr>
          <w:rFonts w:cstheme="minorHAnsi"/>
          <w:lang w:val="en-AU"/>
        </w:rPr>
      </w:pPr>
      <w:r w:rsidRPr="00207DC2">
        <w:rPr>
          <w:rFonts w:cstheme="minorHAnsi"/>
          <w:lang w:val="en-AU"/>
        </w:rPr>
        <w:t>However, there is considerable variation among</w:t>
      </w:r>
      <w:r w:rsidR="00A46C51" w:rsidRPr="00207DC2">
        <w:rPr>
          <w:rFonts w:cstheme="minorHAnsi"/>
          <w:lang w:val="en-AU"/>
        </w:rPr>
        <w:t xml:space="preserve"> </w:t>
      </w:r>
      <w:r w:rsidRPr="00207DC2">
        <w:rPr>
          <w:rFonts w:cstheme="minorHAnsi"/>
          <w:lang w:val="en-AU"/>
        </w:rPr>
        <w:t xml:space="preserve">participants in the proportion of </w:t>
      </w:r>
      <w:r w:rsidR="00DF407F" w:rsidRPr="00207DC2">
        <w:rPr>
          <w:rFonts w:cstheme="minorHAnsi"/>
          <w:lang w:val="en-AU"/>
        </w:rPr>
        <w:t xml:space="preserve">payments </w:t>
      </w:r>
      <w:r w:rsidRPr="00207DC2">
        <w:rPr>
          <w:rFonts w:cstheme="minorHAnsi"/>
          <w:lang w:val="en-AU"/>
        </w:rPr>
        <w:t xml:space="preserve">lost to penalties. For example, in the second quarter of 2017, </w:t>
      </w:r>
      <w:r w:rsidR="00E33FC3" w:rsidRPr="00207DC2">
        <w:rPr>
          <w:rFonts w:cstheme="minorHAnsi"/>
          <w:lang w:val="en-AU"/>
        </w:rPr>
        <w:t xml:space="preserve">nine </w:t>
      </w:r>
      <w:r w:rsidR="00182B90" w:rsidRPr="00207DC2">
        <w:rPr>
          <w:rFonts w:cstheme="minorHAnsi"/>
          <w:lang w:val="en-AU"/>
        </w:rPr>
        <w:t xml:space="preserve">per cent of </w:t>
      </w:r>
      <w:r w:rsidR="000519F7" w:rsidRPr="00207DC2">
        <w:rPr>
          <w:rFonts w:cstheme="minorHAnsi"/>
          <w:lang w:val="en-AU"/>
        </w:rPr>
        <w:t xml:space="preserve">all </w:t>
      </w:r>
      <w:r w:rsidR="00182B90" w:rsidRPr="00207DC2">
        <w:rPr>
          <w:rFonts w:cstheme="minorHAnsi"/>
          <w:lang w:val="en-AU"/>
        </w:rPr>
        <w:t xml:space="preserve">CDP participants </w:t>
      </w:r>
      <w:r w:rsidR="000519F7" w:rsidRPr="00207DC2">
        <w:rPr>
          <w:rFonts w:cstheme="minorHAnsi"/>
          <w:lang w:val="en-AU"/>
        </w:rPr>
        <w:t>lost between two and five per cent</w:t>
      </w:r>
      <w:r w:rsidR="008F30C5" w:rsidRPr="00207DC2">
        <w:rPr>
          <w:rFonts w:cstheme="minorHAnsi"/>
          <w:lang w:val="en-AU"/>
        </w:rPr>
        <w:t xml:space="preserve"> of their quarterly payments</w:t>
      </w:r>
      <w:r w:rsidR="00A57EEA" w:rsidRPr="00207DC2">
        <w:rPr>
          <w:rFonts w:cstheme="minorHAnsi"/>
          <w:lang w:val="en-AU"/>
        </w:rPr>
        <w:t xml:space="preserve"> </w:t>
      </w:r>
      <w:r w:rsidR="00182B90" w:rsidRPr="00207DC2">
        <w:rPr>
          <w:rFonts w:cstheme="minorHAnsi"/>
          <w:lang w:val="en-AU"/>
        </w:rPr>
        <w:t>(Figure 3.</w:t>
      </w:r>
      <w:r w:rsidR="00F8349E" w:rsidRPr="00207DC2">
        <w:rPr>
          <w:rFonts w:cstheme="minorHAnsi"/>
          <w:lang w:val="en-AU"/>
        </w:rPr>
        <w:t>8</w:t>
      </w:r>
      <w:r w:rsidR="00182B90" w:rsidRPr="00207DC2">
        <w:rPr>
          <w:rFonts w:cstheme="minorHAnsi"/>
          <w:lang w:val="en-AU"/>
        </w:rPr>
        <w:t xml:space="preserve">). </w:t>
      </w:r>
      <w:r w:rsidR="008F30C5" w:rsidRPr="00207DC2">
        <w:rPr>
          <w:rFonts w:cstheme="minorHAnsi"/>
          <w:lang w:val="en-AU"/>
        </w:rPr>
        <w:t>A</w:t>
      </w:r>
      <w:r w:rsidRPr="00207DC2">
        <w:rPr>
          <w:rFonts w:cstheme="minorHAnsi"/>
          <w:lang w:val="en-AU"/>
        </w:rPr>
        <w:t xml:space="preserve"> further</w:t>
      </w:r>
      <w:r w:rsidR="0081563A" w:rsidRPr="00207DC2">
        <w:rPr>
          <w:rFonts w:cstheme="minorHAnsi"/>
          <w:lang w:val="en-AU"/>
        </w:rPr>
        <w:t>:</w:t>
      </w:r>
    </w:p>
    <w:p w14:paraId="7139E324" w14:textId="71695866" w:rsidR="0081563A" w:rsidRPr="00207DC2" w:rsidRDefault="00E33FC3" w:rsidP="00F90446">
      <w:pPr>
        <w:pStyle w:val="ListParagraph"/>
        <w:numPr>
          <w:ilvl w:val="0"/>
          <w:numId w:val="32"/>
        </w:numPr>
        <w:spacing w:before="120" w:after="120"/>
        <w:jc w:val="both"/>
        <w:rPr>
          <w:lang w:val="en-AU"/>
        </w:rPr>
      </w:pPr>
      <w:r w:rsidRPr="00207DC2">
        <w:rPr>
          <w:rFonts w:cstheme="minorHAnsi"/>
          <w:lang w:val="en-AU"/>
        </w:rPr>
        <w:t xml:space="preserve">eight </w:t>
      </w:r>
      <w:r w:rsidR="004A04A5" w:rsidRPr="00207DC2">
        <w:rPr>
          <w:rFonts w:cstheme="minorHAnsi"/>
          <w:lang w:val="en-AU"/>
        </w:rPr>
        <w:t xml:space="preserve">per cent lost </w:t>
      </w:r>
      <w:r w:rsidR="00676DE2" w:rsidRPr="00207DC2">
        <w:rPr>
          <w:rFonts w:cstheme="minorHAnsi"/>
          <w:lang w:val="en-AU"/>
        </w:rPr>
        <w:t xml:space="preserve">between </w:t>
      </w:r>
      <w:r w:rsidR="0081563A" w:rsidRPr="00207DC2">
        <w:rPr>
          <w:rFonts w:cstheme="minorHAnsi"/>
          <w:lang w:val="en-AU"/>
        </w:rPr>
        <w:t xml:space="preserve">five </w:t>
      </w:r>
      <w:r w:rsidR="00676DE2" w:rsidRPr="00207DC2">
        <w:rPr>
          <w:rFonts w:cstheme="minorHAnsi"/>
          <w:lang w:val="en-AU"/>
        </w:rPr>
        <w:t>and</w:t>
      </w:r>
      <w:r w:rsidR="0081563A" w:rsidRPr="00207DC2">
        <w:rPr>
          <w:rFonts w:cstheme="minorHAnsi"/>
          <w:lang w:val="en-AU"/>
        </w:rPr>
        <w:t xml:space="preserve"> ten per cent of their</w:t>
      </w:r>
      <w:r w:rsidR="00182B90" w:rsidRPr="00207DC2">
        <w:rPr>
          <w:rFonts w:cstheme="minorHAnsi"/>
          <w:lang w:val="en-AU"/>
        </w:rPr>
        <w:t xml:space="preserve"> </w:t>
      </w:r>
      <w:r w:rsidR="00C822E5" w:rsidRPr="00207DC2">
        <w:rPr>
          <w:rFonts w:cstheme="minorHAnsi"/>
          <w:lang w:val="en-AU"/>
        </w:rPr>
        <w:t>quarterly</w:t>
      </w:r>
      <w:r w:rsidR="0081563A" w:rsidRPr="00207DC2">
        <w:rPr>
          <w:rFonts w:cstheme="minorHAnsi"/>
          <w:lang w:val="en-AU"/>
        </w:rPr>
        <w:t xml:space="preserve"> payments (Figure 3.</w:t>
      </w:r>
      <w:r w:rsidR="00F8349E" w:rsidRPr="00207DC2">
        <w:rPr>
          <w:rFonts w:cstheme="minorHAnsi"/>
          <w:lang w:val="en-AU"/>
        </w:rPr>
        <w:t>8</w:t>
      </w:r>
      <w:r w:rsidR="0081563A" w:rsidRPr="00207DC2">
        <w:rPr>
          <w:rFonts w:cstheme="minorHAnsi"/>
          <w:lang w:val="en-AU"/>
        </w:rPr>
        <w:t xml:space="preserve">). This </w:t>
      </w:r>
      <w:r w:rsidR="005664DE" w:rsidRPr="00207DC2">
        <w:rPr>
          <w:rFonts w:cstheme="minorHAnsi"/>
          <w:lang w:val="en-AU"/>
        </w:rPr>
        <w:t>was</w:t>
      </w:r>
      <w:r w:rsidR="0081563A" w:rsidRPr="00207DC2">
        <w:rPr>
          <w:rFonts w:cstheme="minorHAnsi"/>
          <w:lang w:val="en-AU"/>
        </w:rPr>
        <w:t xml:space="preserve"> </w:t>
      </w:r>
      <w:r w:rsidRPr="00207DC2">
        <w:rPr>
          <w:rFonts w:cstheme="minorHAnsi"/>
          <w:lang w:val="en-AU"/>
        </w:rPr>
        <w:t xml:space="preserve">around </w:t>
      </w:r>
      <w:r w:rsidR="00676DE2" w:rsidRPr="00207DC2">
        <w:rPr>
          <w:rFonts w:cstheme="minorHAnsi"/>
          <w:lang w:val="en-AU"/>
        </w:rPr>
        <w:t>3,</w:t>
      </w:r>
      <w:r w:rsidRPr="00207DC2">
        <w:rPr>
          <w:rFonts w:cstheme="minorHAnsi"/>
          <w:lang w:val="en-AU"/>
        </w:rPr>
        <w:t>1</w:t>
      </w:r>
      <w:r w:rsidR="00676DE2" w:rsidRPr="00207DC2">
        <w:rPr>
          <w:rFonts w:cstheme="minorHAnsi"/>
          <w:lang w:val="en-AU"/>
        </w:rPr>
        <w:t xml:space="preserve">00 </w:t>
      </w:r>
      <w:r w:rsidRPr="00207DC2">
        <w:rPr>
          <w:rFonts w:cstheme="minorHAnsi"/>
          <w:lang w:val="en-AU"/>
        </w:rPr>
        <w:t>participants</w:t>
      </w:r>
      <w:r w:rsidR="0081563A" w:rsidRPr="00207DC2">
        <w:rPr>
          <w:rFonts w:cstheme="minorHAnsi"/>
          <w:lang w:val="en-AU"/>
        </w:rPr>
        <w:t xml:space="preserve"> (Figure 3.</w:t>
      </w:r>
      <w:r w:rsidR="00F8349E" w:rsidRPr="00207DC2">
        <w:rPr>
          <w:rFonts w:cstheme="minorHAnsi"/>
          <w:lang w:val="en-AU"/>
        </w:rPr>
        <w:t>7</w:t>
      </w:r>
      <w:r w:rsidR="00676DE2" w:rsidRPr="00207DC2">
        <w:rPr>
          <w:rFonts w:cstheme="minorHAnsi"/>
          <w:lang w:val="en-AU"/>
        </w:rPr>
        <w:t>)</w:t>
      </w:r>
    </w:p>
    <w:p w14:paraId="54CBDCBB" w14:textId="6C1F7787" w:rsidR="0081563A" w:rsidRPr="00207DC2" w:rsidRDefault="005664DE" w:rsidP="00F90446">
      <w:pPr>
        <w:pStyle w:val="ListParagraph"/>
        <w:numPr>
          <w:ilvl w:val="0"/>
          <w:numId w:val="32"/>
        </w:numPr>
        <w:spacing w:before="120" w:after="120"/>
        <w:jc w:val="both"/>
        <w:rPr>
          <w:lang w:val="en-AU"/>
        </w:rPr>
      </w:pPr>
      <w:r w:rsidRPr="00207DC2">
        <w:rPr>
          <w:lang w:val="en-AU"/>
        </w:rPr>
        <w:t>five</w:t>
      </w:r>
      <w:r w:rsidR="009B071F" w:rsidRPr="00207DC2">
        <w:rPr>
          <w:lang w:val="en-AU"/>
        </w:rPr>
        <w:t xml:space="preserve"> </w:t>
      </w:r>
      <w:r w:rsidR="0081563A" w:rsidRPr="00207DC2">
        <w:rPr>
          <w:lang w:val="en-AU"/>
        </w:rPr>
        <w:t xml:space="preserve">per cent </w:t>
      </w:r>
      <w:r w:rsidR="00182B90" w:rsidRPr="00207DC2">
        <w:rPr>
          <w:lang w:val="en-AU"/>
        </w:rPr>
        <w:t>lost</w:t>
      </w:r>
      <w:r w:rsidR="0081563A" w:rsidRPr="00207DC2">
        <w:rPr>
          <w:lang w:val="en-AU"/>
        </w:rPr>
        <w:t xml:space="preserve"> between ten and twenty per</w:t>
      </w:r>
      <w:r w:rsidR="002803C8">
        <w:rPr>
          <w:lang w:val="en-AU"/>
        </w:rPr>
        <w:t xml:space="preserve"> </w:t>
      </w:r>
      <w:r w:rsidR="0081563A" w:rsidRPr="00207DC2">
        <w:rPr>
          <w:lang w:val="en-AU"/>
        </w:rPr>
        <w:t>cent of the</w:t>
      </w:r>
      <w:r w:rsidR="00182B90" w:rsidRPr="00207DC2">
        <w:rPr>
          <w:lang w:val="en-AU"/>
        </w:rPr>
        <w:t>i</w:t>
      </w:r>
      <w:r w:rsidR="0081563A" w:rsidRPr="00207DC2">
        <w:rPr>
          <w:lang w:val="en-AU"/>
        </w:rPr>
        <w:t>r</w:t>
      </w:r>
      <w:r w:rsidR="00182B90" w:rsidRPr="00207DC2">
        <w:rPr>
          <w:lang w:val="en-AU"/>
        </w:rPr>
        <w:t xml:space="preserve"> </w:t>
      </w:r>
      <w:r w:rsidR="00C822E5" w:rsidRPr="00207DC2">
        <w:rPr>
          <w:lang w:val="en-AU"/>
        </w:rPr>
        <w:t>quarterly</w:t>
      </w:r>
      <w:r w:rsidR="0081563A" w:rsidRPr="00207DC2">
        <w:rPr>
          <w:lang w:val="en-AU"/>
        </w:rPr>
        <w:t xml:space="preserve"> payments</w:t>
      </w:r>
      <w:r w:rsidR="00342C3E" w:rsidRPr="00207DC2">
        <w:rPr>
          <w:lang w:val="en-AU"/>
        </w:rPr>
        <w:t xml:space="preserve"> (Figure 3.</w:t>
      </w:r>
      <w:r w:rsidR="00F8349E" w:rsidRPr="00207DC2">
        <w:rPr>
          <w:lang w:val="en-AU"/>
        </w:rPr>
        <w:t>8</w:t>
      </w:r>
      <w:r w:rsidR="00342C3E" w:rsidRPr="00207DC2">
        <w:rPr>
          <w:lang w:val="en-AU"/>
        </w:rPr>
        <w:t>)</w:t>
      </w:r>
      <w:r w:rsidR="0087220D" w:rsidRPr="00207DC2">
        <w:rPr>
          <w:lang w:val="en-AU"/>
        </w:rPr>
        <w:t xml:space="preserve">. </w:t>
      </w:r>
      <w:r w:rsidR="0087220D" w:rsidRPr="00207DC2">
        <w:rPr>
          <w:rFonts w:cstheme="minorHAnsi"/>
          <w:lang w:val="en-AU"/>
        </w:rPr>
        <w:t xml:space="preserve">This </w:t>
      </w:r>
      <w:r w:rsidRPr="00207DC2">
        <w:rPr>
          <w:rFonts w:cstheme="minorHAnsi"/>
          <w:lang w:val="en-AU"/>
        </w:rPr>
        <w:t>was</w:t>
      </w:r>
      <w:r w:rsidR="0087220D" w:rsidRPr="00207DC2">
        <w:rPr>
          <w:rFonts w:cstheme="minorHAnsi"/>
          <w:lang w:val="en-AU"/>
        </w:rPr>
        <w:t xml:space="preserve"> </w:t>
      </w:r>
      <w:r w:rsidRPr="00207DC2">
        <w:rPr>
          <w:rFonts w:cstheme="minorHAnsi"/>
          <w:lang w:val="en-AU"/>
        </w:rPr>
        <w:t>around</w:t>
      </w:r>
      <w:r w:rsidRPr="00207DC2">
        <w:rPr>
          <w:lang w:val="en-AU"/>
        </w:rPr>
        <w:t xml:space="preserve"> </w:t>
      </w:r>
      <w:r w:rsidR="0087220D" w:rsidRPr="00207DC2">
        <w:rPr>
          <w:lang w:val="en-AU"/>
        </w:rPr>
        <w:t>1,</w:t>
      </w:r>
      <w:r w:rsidR="00E33FC3" w:rsidRPr="00207DC2">
        <w:rPr>
          <w:lang w:val="en-AU"/>
        </w:rPr>
        <w:t>9</w:t>
      </w:r>
      <w:r w:rsidR="0087220D" w:rsidRPr="00207DC2">
        <w:rPr>
          <w:lang w:val="en-AU"/>
        </w:rPr>
        <w:t>00</w:t>
      </w:r>
      <w:r w:rsidR="00A46C51" w:rsidRPr="00207DC2">
        <w:rPr>
          <w:lang w:val="en-AU"/>
        </w:rPr>
        <w:t xml:space="preserve"> </w:t>
      </w:r>
      <w:r w:rsidR="0087220D" w:rsidRPr="00207DC2">
        <w:rPr>
          <w:lang w:val="en-AU"/>
        </w:rPr>
        <w:t>participants (Figure 3.</w:t>
      </w:r>
      <w:r w:rsidR="00F8349E" w:rsidRPr="00207DC2">
        <w:rPr>
          <w:lang w:val="en-AU"/>
        </w:rPr>
        <w:t>7</w:t>
      </w:r>
      <w:r w:rsidR="0087220D" w:rsidRPr="00207DC2">
        <w:rPr>
          <w:lang w:val="en-AU"/>
        </w:rPr>
        <w:t>)</w:t>
      </w:r>
      <w:r w:rsidR="0081563A" w:rsidRPr="00207DC2">
        <w:rPr>
          <w:lang w:val="en-AU"/>
        </w:rPr>
        <w:t xml:space="preserve"> </w:t>
      </w:r>
    </w:p>
    <w:p w14:paraId="2EF0FBDB" w14:textId="3C118183" w:rsidR="00AB41C8" w:rsidRPr="00207DC2" w:rsidRDefault="005664DE" w:rsidP="00F90446">
      <w:pPr>
        <w:pStyle w:val="ListParagraph"/>
        <w:numPr>
          <w:ilvl w:val="0"/>
          <w:numId w:val="32"/>
        </w:numPr>
        <w:spacing w:before="120" w:after="120"/>
        <w:jc w:val="both"/>
        <w:rPr>
          <w:lang w:val="en-AU"/>
        </w:rPr>
      </w:pPr>
      <w:r w:rsidRPr="00207DC2">
        <w:rPr>
          <w:lang w:val="en-AU"/>
        </w:rPr>
        <w:t>three</w:t>
      </w:r>
      <w:r w:rsidR="009B071F" w:rsidRPr="00207DC2">
        <w:rPr>
          <w:lang w:val="en-AU"/>
        </w:rPr>
        <w:t xml:space="preserve"> </w:t>
      </w:r>
      <w:r w:rsidR="0081563A" w:rsidRPr="00207DC2">
        <w:rPr>
          <w:lang w:val="en-AU"/>
        </w:rPr>
        <w:t xml:space="preserve">per cent </w:t>
      </w:r>
      <w:r w:rsidR="00342C3E" w:rsidRPr="00207DC2">
        <w:rPr>
          <w:lang w:val="en-AU"/>
        </w:rPr>
        <w:t xml:space="preserve">lost more than 20 per cent of their quarterly </w:t>
      </w:r>
      <w:r w:rsidR="00182B90" w:rsidRPr="00207DC2">
        <w:rPr>
          <w:lang w:val="en-AU"/>
        </w:rPr>
        <w:t>pay</w:t>
      </w:r>
      <w:r w:rsidR="00342C3E" w:rsidRPr="00207DC2">
        <w:rPr>
          <w:lang w:val="en-AU"/>
        </w:rPr>
        <w:t>ments</w:t>
      </w:r>
      <w:r w:rsidR="004C4409">
        <w:rPr>
          <w:lang w:val="en-AU"/>
        </w:rPr>
        <w:t xml:space="preserve"> (Figure </w:t>
      </w:r>
      <w:r w:rsidR="005A3461" w:rsidRPr="00207DC2">
        <w:rPr>
          <w:lang w:val="en-AU"/>
        </w:rPr>
        <w:t>3.8)</w:t>
      </w:r>
      <w:r w:rsidR="0041588C" w:rsidRPr="00207DC2">
        <w:rPr>
          <w:lang w:val="en-AU"/>
        </w:rPr>
        <w:t xml:space="preserve">. </w:t>
      </w:r>
      <w:r w:rsidR="0041588C" w:rsidRPr="00207DC2">
        <w:rPr>
          <w:rFonts w:cstheme="minorHAnsi"/>
          <w:lang w:val="en-AU"/>
        </w:rPr>
        <w:t xml:space="preserve">This </w:t>
      </w:r>
      <w:r w:rsidRPr="00207DC2">
        <w:rPr>
          <w:rFonts w:cstheme="minorHAnsi"/>
          <w:lang w:val="en-AU"/>
        </w:rPr>
        <w:t>was</w:t>
      </w:r>
      <w:r w:rsidR="0041588C" w:rsidRPr="00207DC2">
        <w:rPr>
          <w:rFonts w:cstheme="minorHAnsi"/>
          <w:lang w:val="en-AU"/>
        </w:rPr>
        <w:t xml:space="preserve"> </w:t>
      </w:r>
      <w:r w:rsidRPr="00207DC2">
        <w:rPr>
          <w:rFonts w:cstheme="minorHAnsi"/>
          <w:lang w:val="en-AU"/>
        </w:rPr>
        <w:t xml:space="preserve">around </w:t>
      </w:r>
      <w:r w:rsidR="005A4215" w:rsidRPr="00207DC2">
        <w:rPr>
          <w:lang w:val="en-AU"/>
        </w:rPr>
        <w:t>1,</w:t>
      </w:r>
      <w:r w:rsidRPr="00207DC2">
        <w:rPr>
          <w:lang w:val="en-AU"/>
        </w:rPr>
        <w:t>0</w:t>
      </w:r>
      <w:r w:rsidR="005A4215" w:rsidRPr="00207DC2">
        <w:rPr>
          <w:lang w:val="en-AU"/>
        </w:rPr>
        <w:t>00</w:t>
      </w:r>
      <w:r w:rsidR="0081563A" w:rsidRPr="00207DC2">
        <w:rPr>
          <w:lang w:val="en-AU"/>
        </w:rPr>
        <w:t xml:space="preserve"> participants </w:t>
      </w:r>
      <w:r w:rsidRPr="00207DC2">
        <w:rPr>
          <w:lang w:val="en-AU"/>
        </w:rPr>
        <w:t>that</w:t>
      </w:r>
      <w:r w:rsidR="0081563A" w:rsidRPr="00207DC2">
        <w:rPr>
          <w:lang w:val="en-AU"/>
        </w:rPr>
        <w:t xml:space="preserve"> quarter </w:t>
      </w:r>
      <w:r w:rsidR="00AF416B" w:rsidRPr="00207DC2">
        <w:rPr>
          <w:lang w:val="en-AU"/>
        </w:rPr>
        <w:t>(</w:t>
      </w:r>
      <w:r w:rsidR="005A4215" w:rsidRPr="00207DC2">
        <w:rPr>
          <w:lang w:val="en-AU"/>
        </w:rPr>
        <w:t>Figure 3.</w:t>
      </w:r>
      <w:r w:rsidR="00F8349E" w:rsidRPr="00207DC2">
        <w:rPr>
          <w:lang w:val="en-AU"/>
        </w:rPr>
        <w:t>7</w:t>
      </w:r>
      <w:r w:rsidR="00AF416B" w:rsidRPr="00207DC2">
        <w:rPr>
          <w:lang w:val="en-AU"/>
        </w:rPr>
        <w:t>)</w:t>
      </w:r>
      <w:r w:rsidR="0081563A" w:rsidRPr="00207DC2">
        <w:rPr>
          <w:lang w:val="en-AU"/>
        </w:rPr>
        <w:t xml:space="preserve">. </w:t>
      </w:r>
    </w:p>
    <w:p w14:paraId="4122E3AB" w14:textId="12F240BB" w:rsidR="000A53B7" w:rsidRPr="00207DC2" w:rsidRDefault="000A53B7" w:rsidP="00EF1B43">
      <w:pPr>
        <w:pStyle w:val="Figures"/>
      </w:pPr>
      <w:r w:rsidRPr="00207DC2">
        <w:t xml:space="preserve">Figure </w:t>
      </w:r>
      <w:r w:rsidR="00905D1A">
        <w:t>3</w:t>
      </w:r>
      <w:r w:rsidR="006F58A5" w:rsidRPr="00207DC2">
        <w:t>.</w:t>
      </w:r>
      <w:r w:rsidR="00F8349E" w:rsidRPr="00207DC2">
        <w:t>7</w:t>
      </w:r>
      <w:r w:rsidR="00ED7DDF" w:rsidRPr="00207DC2">
        <w:t xml:space="preserve"> </w:t>
      </w:r>
      <w:r w:rsidRPr="00207DC2">
        <w:t xml:space="preserve">Number of participants </w:t>
      </w:r>
      <w:r w:rsidR="0069210C" w:rsidRPr="00207DC2">
        <w:t>with penalties by proportion of</w:t>
      </w:r>
      <w:r w:rsidR="00D06964" w:rsidRPr="00207DC2">
        <w:t xml:space="preserve"> </w:t>
      </w:r>
      <w:r w:rsidR="0069210C" w:rsidRPr="00207DC2">
        <w:t>payments lost</w:t>
      </w:r>
      <w:bookmarkEnd w:id="346"/>
      <w:r w:rsidR="00CB2355" w:rsidRPr="00207DC2">
        <w:rPr>
          <w:b/>
          <w:vertAlign w:val="superscript"/>
        </w:rPr>
        <w:t>a</w:t>
      </w:r>
    </w:p>
    <w:p w14:paraId="065C8243" w14:textId="67B41BF3" w:rsidR="00B90F41" w:rsidRPr="00207DC2" w:rsidRDefault="00B90F41" w:rsidP="00D57D1D">
      <w:pPr>
        <w:pStyle w:val="tablenotes"/>
        <w:rPr>
          <w:i/>
        </w:rPr>
      </w:pPr>
      <w:r w:rsidRPr="00207DC2">
        <w:drawing>
          <wp:inline distT="0" distB="0" distL="0" distR="0" wp14:anchorId="03A125B4" wp14:editId="448F73D8">
            <wp:extent cx="5640705" cy="2835275"/>
            <wp:effectExtent l="0" t="0" r="0" b="3175"/>
            <wp:docPr id="196" name="Picture 196" descr="The figure is a bar chart showing the number of penalised participants by the proportion of quarterly Australian Government payments lost to penalties, between the third quarter of 2013 and the second quarter of 2017. Five categories are shown including participants penalised: &#10;- less than 2 per cent;&#10;- 2 per cent to less than 5 per cent;&#10;- 5 per cent to less than 10 per cent; &#10;- 10 per cent to less than 20 per cent; and &#10;- 20 per cent or more of their quarterly payments. &#10;&#10;Under the RJCP, the most common amount for a penalised individual to lose in penalties (across all penalty types) in a quarter was less than two per cent of their quarterly payments. Under the CDP, the most common amount for a penalised individual to lose in penalties was between two and five per cent of their quarterly payments.&#10;" title="Number of participants with penalties by proportion of Centrelink payments l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40705" cy="2835275"/>
                    </a:xfrm>
                    <a:prstGeom prst="rect">
                      <a:avLst/>
                    </a:prstGeom>
                  </pic:spPr>
                </pic:pic>
              </a:graphicData>
            </a:graphic>
          </wp:inline>
        </w:drawing>
      </w:r>
    </w:p>
    <w:p w14:paraId="25CEF1C4" w14:textId="00D33352" w:rsidR="00DF7D3E" w:rsidRPr="00207DC2" w:rsidRDefault="000A53B7" w:rsidP="00D57D1D">
      <w:pPr>
        <w:pStyle w:val="tablenotes"/>
      </w:pPr>
      <w:r w:rsidRPr="00207DC2">
        <w:rPr>
          <w:i/>
        </w:rPr>
        <w:t>Source:</w:t>
      </w:r>
      <w:r w:rsidRPr="00207DC2">
        <w:t xml:space="preserve"> </w:t>
      </w:r>
      <w:r w:rsidR="0057565A" w:rsidRPr="00207DC2">
        <w:t>PMC</w:t>
      </w:r>
      <w:r w:rsidR="00014F0E" w:rsidRPr="00207DC2">
        <w:t xml:space="preserve"> estimates based on u</w:t>
      </w:r>
      <w:r w:rsidR="00360ABB" w:rsidRPr="00207DC2">
        <w:t>npublished</w:t>
      </w:r>
      <w:r w:rsidRPr="00207DC2">
        <w:t xml:space="preserve"> </w:t>
      </w:r>
      <w:r w:rsidR="00954EA4">
        <w:t>DHS</w:t>
      </w:r>
      <w:r w:rsidRPr="00207DC2">
        <w:t> </w:t>
      </w:r>
      <w:r w:rsidR="00360ABB" w:rsidRPr="00207DC2">
        <w:t>operational data</w:t>
      </w:r>
      <w:r w:rsidR="00B7162A" w:rsidRPr="00207DC2">
        <w:t xml:space="preserve"> </w:t>
      </w:r>
      <w:r w:rsidR="002D6796" w:rsidRPr="00207DC2">
        <w:t>(</w:t>
      </w:r>
      <w:r w:rsidR="00647422" w:rsidRPr="00207DC2">
        <w:t xml:space="preserve">extracted from </w:t>
      </w:r>
      <w:r w:rsidR="0069210C" w:rsidRPr="00207DC2">
        <w:t>payment files</w:t>
      </w:r>
      <w:r w:rsidR="00C972D2" w:rsidRPr="00207DC2">
        <w:t xml:space="preserve"> </w:t>
      </w:r>
      <w:r w:rsidR="00D54720" w:rsidRPr="00207DC2">
        <w:t>on</w:t>
      </w:r>
      <w:r w:rsidR="0069210C" w:rsidRPr="00207DC2">
        <w:t xml:space="preserve"> 28 August 2017</w:t>
      </w:r>
      <w:r w:rsidR="00D54720" w:rsidRPr="00207DC2">
        <w:t>)</w:t>
      </w:r>
      <w:r w:rsidRPr="00207DC2">
        <w:t>.</w:t>
      </w:r>
      <w:r w:rsidR="00A05613" w:rsidRPr="00207DC2">
        <w:t xml:space="preserve"> </w:t>
      </w:r>
    </w:p>
    <w:p w14:paraId="0F1DA407" w14:textId="77777777" w:rsidR="000A53B7" w:rsidRPr="00207DC2" w:rsidRDefault="000A53B7" w:rsidP="00D57D1D">
      <w:pPr>
        <w:pStyle w:val="tablenotes"/>
      </w:pPr>
      <w:r w:rsidRPr="00207DC2">
        <w:rPr>
          <w:i/>
        </w:rPr>
        <w:t>Notes:</w:t>
      </w:r>
      <w:r w:rsidRPr="00207DC2">
        <w:t xml:space="preserve"> </w:t>
      </w:r>
      <w:r w:rsidR="00CB2355" w:rsidRPr="00207DC2">
        <w:t>(a) Estimates e</w:t>
      </w:r>
      <w:r w:rsidR="00EE4D14" w:rsidRPr="00207DC2">
        <w:t>x</w:t>
      </w:r>
      <w:r w:rsidRPr="00207DC2">
        <w:t xml:space="preserve">clude </w:t>
      </w:r>
      <w:r w:rsidR="007E5CCA" w:rsidRPr="00207DC2">
        <w:t xml:space="preserve">the </w:t>
      </w:r>
      <w:r w:rsidRPr="00207DC2">
        <w:t>total amount</w:t>
      </w:r>
      <w:r w:rsidR="007E5CCA" w:rsidRPr="00207DC2">
        <w:t>s of penalties</w:t>
      </w:r>
      <w:r w:rsidRPr="00207DC2">
        <w:t xml:space="preserve"> per quarter for </w:t>
      </w:r>
      <w:r w:rsidR="00200FC7" w:rsidRPr="00207DC2">
        <w:t>participants</w:t>
      </w:r>
      <w:r w:rsidRPr="00207DC2">
        <w:t xml:space="preserve"> for whom financial penalt</w:t>
      </w:r>
      <w:r w:rsidR="007E5CCA" w:rsidRPr="00207DC2">
        <w:t>ies</w:t>
      </w:r>
      <w:r w:rsidRPr="00207DC2">
        <w:t xml:space="preserve"> w</w:t>
      </w:r>
      <w:r w:rsidR="007E5CCA" w:rsidRPr="00207DC2">
        <w:t>ere</w:t>
      </w:r>
      <w:r w:rsidR="00EE4D14" w:rsidRPr="00207DC2">
        <w:t xml:space="preserve"> not</w:t>
      </w:r>
      <w:r w:rsidRPr="00207DC2">
        <w:t xml:space="preserve"> imposed</w:t>
      </w:r>
      <w:bookmarkStart w:id="347" w:name="_Toc474083973"/>
      <w:r w:rsidR="00CF3577" w:rsidRPr="00207DC2">
        <w:t xml:space="preserve"> </w:t>
      </w:r>
      <w:r w:rsidR="00CF3577" w:rsidRPr="00207DC2">
        <w:rPr>
          <w:rFonts w:cstheme="minorHAnsi"/>
        </w:rPr>
        <w:t>(</w:t>
      </w:r>
      <w:r w:rsidR="00A05613" w:rsidRPr="00207DC2">
        <w:rPr>
          <w:rFonts w:cstheme="minorHAnsi"/>
        </w:rPr>
        <w:t>this is,</w:t>
      </w:r>
      <w:r w:rsidR="00CF3577" w:rsidRPr="00207DC2">
        <w:rPr>
          <w:rFonts w:cstheme="minorHAnsi"/>
        </w:rPr>
        <w:t xml:space="preserve"> overturned for the quarter</w:t>
      </w:r>
      <w:r w:rsidR="00A05613" w:rsidRPr="00207DC2">
        <w:rPr>
          <w:rFonts w:cstheme="minorHAnsi"/>
        </w:rPr>
        <w:t>)</w:t>
      </w:r>
      <w:r w:rsidR="00CF3577" w:rsidRPr="00207DC2">
        <w:rPr>
          <w:rFonts w:cstheme="minorHAnsi"/>
        </w:rPr>
        <w:t>.</w:t>
      </w:r>
    </w:p>
    <w:bookmarkEnd w:id="347"/>
    <w:p w14:paraId="7F2A6061" w14:textId="6E2BFE1D" w:rsidR="00C84DE0" w:rsidRPr="00207DC2" w:rsidRDefault="00C84DE0" w:rsidP="00EF1B43">
      <w:pPr>
        <w:pStyle w:val="Figures"/>
      </w:pPr>
      <w:r w:rsidRPr="00207DC2">
        <w:t xml:space="preserve">Figure </w:t>
      </w:r>
      <w:r w:rsidR="00905D1A">
        <w:t>3</w:t>
      </w:r>
      <w:r w:rsidRPr="00207DC2">
        <w:t>.</w:t>
      </w:r>
      <w:r w:rsidR="00F8349E" w:rsidRPr="00207DC2">
        <w:t>8</w:t>
      </w:r>
      <w:r w:rsidRPr="00207DC2">
        <w:t xml:space="preserve"> Penalties as a proportion of payments for all CDP participants</w:t>
      </w:r>
      <w:r w:rsidR="00CB2355" w:rsidRPr="00207DC2">
        <w:rPr>
          <w:b/>
          <w:vertAlign w:val="superscript"/>
        </w:rPr>
        <w:t>a</w:t>
      </w:r>
    </w:p>
    <w:p w14:paraId="7FF65905" w14:textId="286A9FB2" w:rsidR="00DF7D3E" w:rsidRPr="00207DC2" w:rsidRDefault="00B90F41" w:rsidP="00D57D1D">
      <w:pPr>
        <w:pStyle w:val="tablenotes"/>
      </w:pPr>
      <w:r w:rsidRPr="00207DC2">
        <w:drawing>
          <wp:inline distT="0" distB="0" distL="0" distR="0" wp14:anchorId="1D7D24F1" wp14:editId="1C89F403">
            <wp:extent cx="5640705" cy="2883535"/>
            <wp:effectExtent l="0" t="0" r="0" b="0"/>
            <wp:docPr id="197" name="Picture 197" descr="The figure is a stacked bar chart showing the distribution of participants by the proportion of quarterly Australian Government payments lost to penalties, between the third quarter of 2015 and the second quarter of 2017. Six categories are shown including participants penalised:&#10;- up less than 2 per cent of their quarterly payments; &#10;- 2 per cent to less than 5 per cent;&#10;- 5 per cent to less than 10 per cent; &#10;- 10 per cent to less than 20 per cent; &#10;- 20 per cent or more; and &#10;- a nil amount. &#10;&#10;The figure shows considerable variation among participants in the proportion of payments lost to penalties. In the second quarter of 2017:&#10;- nine per cent of CDP participants lost between 2 and 5 per cent of their quarterly payments;&#10;- eight per cent lost between 5 and 10 per cent of their quarterly payments; &#10;- five per cent lost between 10 and 20 percent of their quarterly payments; and&#10;- three per cent lost more than 20 per cent of their quarterly payments.&#10;" title="Penalties as a proportion of payments for all CDP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0705" cy="2883535"/>
                    </a:xfrm>
                    <a:prstGeom prst="rect">
                      <a:avLst/>
                    </a:prstGeom>
                  </pic:spPr>
                </pic:pic>
              </a:graphicData>
            </a:graphic>
          </wp:inline>
        </w:drawing>
      </w:r>
      <w:r w:rsidR="00C84DE0" w:rsidRPr="00207DC2">
        <w:rPr>
          <w:i/>
        </w:rPr>
        <w:t>Source:</w:t>
      </w:r>
      <w:r w:rsidR="00C84DE0" w:rsidRPr="00207DC2">
        <w:t xml:space="preserve"> </w:t>
      </w:r>
      <w:r w:rsidR="0057565A" w:rsidRPr="00207DC2">
        <w:t>PMC</w:t>
      </w:r>
      <w:r w:rsidR="00C84DE0" w:rsidRPr="00207DC2">
        <w:t xml:space="preserve"> estimates based on unpublished DHS operational data (extracted from payment files on 28 August 2017). </w:t>
      </w:r>
    </w:p>
    <w:p w14:paraId="45CAC050" w14:textId="6D78A9BA" w:rsidR="002260E9" w:rsidRPr="00207DC2" w:rsidRDefault="00C84DE0" w:rsidP="00D57D1D">
      <w:pPr>
        <w:pStyle w:val="tablenotes"/>
      </w:pPr>
      <w:r w:rsidRPr="00207DC2">
        <w:rPr>
          <w:i/>
        </w:rPr>
        <w:t>Notes:</w:t>
      </w:r>
      <w:r w:rsidRPr="00207DC2">
        <w:t xml:space="preserve"> </w:t>
      </w:r>
      <w:r w:rsidR="00CB2355" w:rsidRPr="00207DC2">
        <w:t>(a) Estimates i</w:t>
      </w:r>
      <w:r w:rsidRPr="00207DC2">
        <w:t>ncludes all penalties for all CDP participants, including those who were not penalised at all in the quarter</w:t>
      </w:r>
      <w:r w:rsidR="00CB2355" w:rsidRPr="00207DC2">
        <w:t xml:space="preserve"> (referred to as </w:t>
      </w:r>
      <w:r w:rsidR="009B0EBF" w:rsidRPr="00207DC2">
        <w:rPr>
          <w:i/>
        </w:rPr>
        <w:t>nil penalties</w:t>
      </w:r>
      <w:r w:rsidR="009B0EBF" w:rsidRPr="00207DC2">
        <w:t>)</w:t>
      </w:r>
      <w:r w:rsidRPr="00207DC2">
        <w:t xml:space="preserve">. </w:t>
      </w:r>
    </w:p>
    <w:p w14:paraId="3BDA707F" w14:textId="3273F24C" w:rsidR="00C84DE0" w:rsidRPr="00207DC2" w:rsidRDefault="00C84DE0" w:rsidP="00EF1B43">
      <w:pPr>
        <w:pStyle w:val="Figures"/>
      </w:pPr>
      <w:r w:rsidRPr="00207DC2">
        <w:t xml:space="preserve">Figure </w:t>
      </w:r>
      <w:r w:rsidR="00905D1A">
        <w:t>3</w:t>
      </w:r>
      <w:r w:rsidRPr="00207DC2">
        <w:t>.</w:t>
      </w:r>
      <w:r w:rsidR="00F8349E" w:rsidRPr="00207DC2">
        <w:t>9</w:t>
      </w:r>
      <w:r w:rsidRPr="00207DC2">
        <w:t xml:space="preserve"> Penalties a</w:t>
      </w:r>
      <w:r w:rsidR="00CF5DA4" w:rsidRPr="00207DC2">
        <w:t>s a proportion of</w:t>
      </w:r>
      <w:r w:rsidRPr="00207DC2">
        <w:t xml:space="preserve"> payments for penalised participants</w:t>
      </w:r>
      <w:r w:rsidR="003358CA" w:rsidRPr="00207DC2">
        <w:rPr>
          <w:b/>
          <w:vertAlign w:val="superscript"/>
        </w:rPr>
        <w:t>a</w:t>
      </w:r>
    </w:p>
    <w:p w14:paraId="26A8AD0E" w14:textId="57D02C07" w:rsidR="00DF7D3E" w:rsidRPr="00207DC2" w:rsidRDefault="00B90F41" w:rsidP="00D57D1D">
      <w:pPr>
        <w:pStyle w:val="tablenotes"/>
      </w:pPr>
      <w:r w:rsidRPr="00207DC2">
        <w:drawing>
          <wp:inline distT="0" distB="0" distL="0" distR="0" wp14:anchorId="6835DF3C" wp14:editId="09C71A5C">
            <wp:extent cx="5640705" cy="2842895"/>
            <wp:effectExtent l="0" t="0" r="0" b="0"/>
            <wp:docPr id="198" name="Picture 198" descr="The figure is a stacked bar chart showing the distribution of penalised participants by the proportion of quarterly Australian Government payments lost to penalties, between the third quarter of 2015 to the second quarter of 2017. Five categories are shown including participants penalised: &#10;- less than 2 per cent of payments; &#10;- 2 per cent to less than 5 per cent; &#10;- 5 per cent to less than 10 per cent; &#10;- 10 per cent to less than 20 per cent; and &#10;- 20 per cent or more. &#10;More information is provided in the paragraph below.&#10;" title="Penalties as a proportion of payments for penalis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40705" cy="2842895"/>
                    </a:xfrm>
                    <a:prstGeom prst="rect">
                      <a:avLst/>
                    </a:prstGeom>
                  </pic:spPr>
                </pic:pic>
              </a:graphicData>
            </a:graphic>
          </wp:inline>
        </w:drawing>
      </w:r>
      <w:r w:rsidR="00C84DE0" w:rsidRPr="00207DC2">
        <w:rPr>
          <w:i/>
        </w:rPr>
        <w:t>Source:</w:t>
      </w:r>
      <w:r w:rsidR="00C84DE0" w:rsidRPr="00207DC2">
        <w:t xml:space="preserve"> </w:t>
      </w:r>
      <w:r w:rsidR="0057565A" w:rsidRPr="00207DC2">
        <w:t>PMC</w:t>
      </w:r>
      <w:r w:rsidR="00C84DE0" w:rsidRPr="00207DC2">
        <w:t xml:space="preserve"> estimates based on unpublished DHS operational data (extracted from payment files on 28 August 2017). </w:t>
      </w:r>
    </w:p>
    <w:p w14:paraId="1E283204" w14:textId="29A64695" w:rsidR="002260E9" w:rsidRPr="00207DC2" w:rsidRDefault="00C84DE0" w:rsidP="00D57D1D">
      <w:pPr>
        <w:pStyle w:val="tablenotes"/>
      </w:pPr>
      <w:r w:rsidRPr="00207DC2">
        <w:rPr>
          <w:i/>
        </w:rPr>
        <w:t>Notes:</w:t>
      </w:r>
      <w:r w:rsidRPr="00207DC2">
        <w:t xml:space="preserve"> </w:t>
      </w:r>
      <w:r w:rsidR="003358CA" w:rsidRPr="00207DC2">
        <w:t>(a) Estimates i</w:t>
      </w:r>
      <w:r w:rsidRPr="00207DC2">
        <w:t>ncludes all penalties for</w:t>
      </w:r>
      <w:r w:rsidR="00087A28" w:rsidRPr="00207DC2">
        <w:t xml:space="preserve"> CDP</w:t>
      </w:r>
      <w:r w:rsidRPr="00207DC2">
        <w:t xml:space="preserve"> participants for whom any financial penalty was imposed in the quarter.</w:t>
      </w:r>
    </w:p>
    <w:p w14:paraId="5F6F0095" w14:textId="6517661A" w:rsidR="002260E9" w:rsidRPr="00207DC2" w:rsidRDefault="002260E9" w:rsidP="002260E9">
      <w:pPr>
        <w:spacing w:before="240"/>
        <w:jc w:val="both"/>
        <w:rPr>
          <w:lang w:val="en-AU"/>
        </w:rPr>
      </w:pPr>
      <w:r w:rsidRPr="00207DC2">
        <w:rPr>
          <w:lang w:val="en-AU"/>
        </w:rPr>
        <w:t xml:space="preserve">Focusing only on those penalised, since mid-2016, </w:t>
      </w:r>
      <w:r w:rsidR="004152E7" w:rsidRPr="00207DC2">
        <w:rPr>
          <w:lang w:val="en-AU"/>
        </w:rPr>
        <w:t>around half</w:t>
      </w:r>
      <w:r w:rsidRPr="00207DC2">
        <w:rPr>
          <w:lang w:val="en-AU"/>
        </w:rPr>
        <w:t xml:space="preserve"> of </w:t>
      </w:r>
      <w:r w:rsidRPr="00207DC2">
        <w:rPr>
          <w:i/>
          <w:lang w:val="en-AU"/>
        </w:rPr>
        <w:t>penalised</w:t>
      </w:r>
      <w:r w:rsidRPr="00207DC2">
        <w:rPr>
          <w:lang w:val="en-AU"/>
        </w:rPr>
        <w:t xml:space="preserve"> participants lost less than five per cent of their payments to penalties within a given quarter (Figure</w:t>
      </w:r>
      <w:r w:rsidR="00A46C51" w:rsidRPr="00207DC2">
        <w:rPr>
          <w:lang w:val="en-AU"/>
        </w:rPr>
        <w:t> </w:t>
      </w:r>
      <w:r w:rsidRPr="00207DC2">
        <w:rPr>
          <w:lang w:val="en-AU"/>
        </w:rPr>
        <w:t xml:space="preserve">3.9). For the remainder, </w:t>
      </w:r>
      <w:r w:rsidR="004152E7" w:rsidRPr="00207DC2">
        <w:rPr>
          <w:lang w:val="en-AU"/>
        </w:rPr>
        <w:t xml:space="preserve">roughly </w:t>
      </w:r>
      <w:r w:rsidRPr="00207DC2">
        <w:rPr>
          <w:lang w:val="en-AU"/>
        </w:rPr>
        <w:t xml:space="preserve">a quarter lost between five and ten per cent of their payments to penalties, about 15 per cent lost 10 to 20 per cent of their payments, and </w:t>
      </w:r>
      <w:r w:rsidR="002C77EA" w:rsidRPr="00207DC2">
        <w:rPr>
          <w:lang w:val="en-AU"/>
        </w:rPr>
        <w:t xml:space="preserve">just under </w:t>
      </w:r>
      <w:r w:rsidR="00E53DB1">
        <w:rPr>
          <w:lang w:val="en-AU"/>
        </w:rPr>
        <w:t>ten</w:t>
      </w:r>
      <w:r w:rsidRPr="00207DC2">
        <w:rPr>
          <w:lang w:val="en-AU"/>
        </w:rPr>
        <w:t xml:space="preserve"> per cent lost twenty per cent or more of their payments.</w:t>
      </w:r>
    </w:p>
    <w:p w14:paraId="2EB56996" w14:textId="23FD5485" w:rsidR="00A667C4" w:rsidRPr="00207DC2" w:rsidDel="00847FC1" w:rsidRDefault="00A667C4" w:rsidP="00524AC8">
      <w:pPr>
        <w:spacing w:before="240"/>
        <w:jc w:val="both"/>
        <w:rPr>
          <w:rFonts w:cstheme="minorHAnsi"/>
          <w:lang w:val="en-AU"/>
        </w:rPr>
      </w:pPr>
      <w:r w:rsidRPr="00207DC2">
        <w:rPr>
          <w:rFonts w:cstheme="minorHAnsi"/>
          <w:lang w:val="en-AU"/>
        </w:rPr>
        <w:t>Looking across a year, t</w:t>
      </w:r>
      <w:r w:rsidRPr="00207DC2" w:rsidDel="00847FC1">
        <w:rPr>
          <w:rFonts w:cstheme="minorHAnsi"/>
          <w:lang w:val="en-AU"/>
        </w:rPr>
        <w:t xml:space="preserve">he proportion of CDP participants that lost </w:t>
      </w:r>
      <w:r w:rsidR="001B796C" w:rsidRPr="00207DC2">
        <w:rPr>
          <w:rFonts w:cstheme="minorHAnsi"/>
          <w:lang w:val="en-AU"/>
        </w:rPr>
        <w:t>ten</w:t>
      </w:r>
      <w:r w:rsidR="001B796C" w:rsidRPr="00207DC2" w:rsidDel="00847FC1">
        <w:rPr>
          <w:rFonts w:cstheme="minorHAnsi"/>
          <w:lang w:val="en-AU"/>
        </w:rPr>
        <w:t xml:space="preserve"> </w:t>
      </w:r>
      <w:r w:rsidRPr="00207DC2" w:rsidDel="00847FC1">
        <w:rPr>
          <w:rFonts w:cstheme="minorHAnsi"/>
          <w:lang w:val="en-AU"/>
        </w:rPr>
        <w:t xml:space="preserve">per cent </w:t>
      </w:r>
      <w:r w:rsidRPr="00207DC2">
        <w:rPr>
          <w:rFonts w:cstheme="minorHAnsi"/>
          <w:lang w:val="en-AU"/>
        </w:rPr>
        <w:t>or more</w:t>
      </w:r>
      <w:r w:rsidRPr="00207DC2" w:rsidDel="00847FC1">
        <w:rPr>
          <w:rFonts w:cstheme="minorHAnsi"/>
          <w:lang w:val="en-AU"/>
        </w:rPr>
        <w:t xml:space="preserve"> of their payments was higher among younger age groups and highest for men </w:t>
      </w:r>
      <w:r w:rsidR="00524AC8" w:rsidRPr="00207DC2">
        <w:rPr>
          <w:rFonts w:cstheme="minorHAnsi"/>
          <w:lang w:val="en-AU"/>
        </w:rPr>
        <w:t>aged under 30 years old</w:t>
      </w:r>
      <w:r w:rsidRPr="00207DC2" w:rsidDel="00847FC1">
        <w:rPr>
          <w:rFonts w:cstheme="minorHAnsi"/>
          <w:lang w:val="en-AU"/>
        </w:rPr>
        <w:t xml:space="preserve"> (Figure 3.1</w:t>
      </w:r>
      <w:r w:rsidR="00F8349E" w:rsidRPr="00207DC2">
        <w:rPr>
          <w:rFonts w:cstheme="minorHAnsi"/>
          <w:lang w:val="en-AU"/>
        </w:rPr>
        <w:t>0</w:t>
      </w:r>
      <w:r w:rsidRPr="00207DC2" w:rsidDel="00847FC1">
        <w:rPr>
          <w:rFonts w:cstheme="minorHAnsi"/>
          <w:lang w:val="en-AU"/>
        </w:rPr>
        <w:t>).</w:t>
      </w:r>
    </w:p>
    <w:p w14:paraId="176C118E" w14:textId="3D3F4CAC" w:rsidR="00D905BA" w:rsidRPr="00207DC2" w:rsidRDefault="00D905BA" w:rsidP="00EF1B43">
      <w:pPr>
        <w:pStyle w:val="Figures"/>
      </w:pPr>
      <w:r w:rsidRPr="00207DC2">
        <w:t xml:space="preserve">Figure </w:t>
      </w:r>
      <w:r w:rsidR="00905D1A">
        <w:t>3</w:t>
      </w:r>
      <w:r w:rsidRPr="00207DC2">
        <w:t>.</w:t>
      </w:r>
      <w:r w:rsidR="00821D54" w:rsidRPr="00207DC2">
        <w:t>1</w:t>
      </w:r>
      <w:r w:rsidR="00F8349E" w:rsidRPr="00207DC2">
        <w:t>0</w:t>
      </w:r>
      <w:r w:rsidRPr="00207DC2">
        <w:t xml:space="preserve"> </w:t>
      </w:r>
      <w:r w:rsidRPr="00207DC2" w:rsidDel="00966D8D">
        <w:t xml:space="preserve">Proportion of </w:t>
      </w:r>
      <w:r w:rsidRPr="00207DC2" w:rsidDel="000967A6">
        <w:t xml:space="preserve">penalised CDP participants who </w:t>
      </w:r>
      <w:r w:rsidR="004044C7" w:rsidRPr="00207DC2">
        <w:t>lost</w:t>
      </w:r>
      <w:r w:rsidR="004D13C7" w:rsidRPr="00207DC2">
        <w:t xml:space="preserve"> </w:t>
      </w:r>
      <w:r w:rsidR="001B796C" w:rsidRPr="00207DC2">
        <w:t xml:space="preserve">ten </w:t>
      </w:r>
      <w:r w:rsidRPr="00207DC2">
        <w:t>per</w:t>
      </w:r>
      <w:r w:rsidR="00B40284" w:rsidRPr="00207DC2">
        <w:t> </w:t>
      </w:r>
      <w:r w:rsidRPr="00207DC2">
        <w:t>cent</w:t>
      </w:r>
      <w:r w:rsidR="00433372" w:rsidRPr="00207DC2">
        <w:t xml:space="preserve"> or more</w:t>
      </w:r>
      <w:r w:rsidRPr="00207DC2">
        <w:t xml:space="preserve"> of their payments</w:t>
      </w:r>
      <w:r w:rsidR="00C341B8" w:rsidRPr="00207DC2">
        <w:t xml:space="preserve"> in</w:t>
      </w:r>
      <w:r w:rsidR="00C341B8" w:rsidRPr="00207DC2" w:rsidDel="000967A6">
        <w:t xml:space="preserve"> </w:t>
      </w:r>
      <w:r w:rsidRPr="00207DC2" w:rsidDel="000967A6">
        <w:t>2016</w:t>
      </w:r>
      <w:r w:rsidR="009B54CE" w:rsidRPr="00207DC2">
        <w:rPr>
          <w:b/>
          <w:vertAlign w:val="superscript"/>
        </w:rPr>
        <w:t>a</w:t>
      </w:r>
    </w:p>
    <w:p w14:paraId="27EA3A59" w14:textId="2A05D9EC" w:rsidR="00D905BA" w:rsidRPr="00207DC2" w:rsidRDefault="00C64D9B" w:rsidP="00C64D9B">
      <w:pPr>
        <w:pStyle w:val="TableText"/>
        <w:keepNext/>
        <w:keepLines/>
        <w:ind w:left="2160" w:hanging="2160"/>
        <w:rPr>
          <w:lang w:val="en-AU"/>
        </w:rPr>
      </w:pPr>
      <w:r w:rsidRPr="00207DC2">
        <w:rPr>
          <w:lang w:val="en-AU"/>
        </w:rPr>
        <w:t>By age and gender</w:t>
      </w:r>
    </w:p>
    <w:p w14:paraId="76F8F562" w14:textId="03C5F515" w:rsidR="00DF7D3E" w:rsidRPr="00207DC2" w:rsidRDefault="000A3951" w:rsidP="00D57D1D">
      <w:pPr>
        <w:pStyle w:val="tablenotes"/>
      </w:pPr>
      <w:r w:rsidRPr="00207DC2">
        <w:drawing>
          <wp:inline distT="0" distB="0" distL="0" distR="0" wp14:anchorId="5C57C8DF" wp14:editId="37CF4947">
            <wp:extent cx="5640705" cy="2969895"/>
            <wp:effectExtent l="0" t="0" r="0" b="1905"/>
            <wp:docPr id="199" name="Picture 199" descr="The figure is a bar chart showing the proportion of penalised participants who lost 10 per cent or more of their Australian Government payments in 2016. The figure shows a breakdown by gender and by age (under 19 years, 19 to 23 years, 24 to 29 years, 30 to 39 years, 40 to 49 years, and 50 years and over). More information is provided in the paragraph above." title="Proportion of penalised CDP participants who lost ten per cent or more of their payment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40705" cy="2969895"/>
                    </a:xfrm>
                    <a:prstGeom prst="rect">
                      <a:avLst/>
                    </a:prstGeom>
                  </pic:spPr>
                </pic:pic>
              </a:graphicData>
            </a:graphic>
          </wp:inline>
        </w:drawing>
      </w:r>
      <w:r w:rsidR="00D905BA" w:rsidRPr="00207DC2">
        <w:rPr>
          <w:i/>
        </w:rPr>
        <w:t xml:space="preserve">Source: </w:t>
      </w:r>
      <w:r w:rsidR="0057565A" w:rsidRPr="00207DC2">
        <w:t>PMC</w:t>
      </w:r>
      <w:r w:rsidR="00D905BA" w:rsidRPr="00207DC2">
        <w:t xml:space="preserve"> estimates based on unpublished DHS operational data (extracted </w:t>
      </w:r>
      <w:r w:rsidR="00647422" w:rsidRPr="00207DC2">
        <w:t xml:space="preserve">from payment files </w:t>
      </w:r>
      <w:r w:rsidR="00D905BA" w:rsidRPr="00207DC2">
        <w:t>on 28 August 2017).</w:t>
      </w:r>
      <w:r w:rsidR="00176B7F" w:rsidRPr="00207DC2">
        <w:t xml:space="preserve"> </w:t>
      </w:r>
    </w:p>
    <w:p w14:paraId="47EAB9CC" w14:textId="5B6ACAEE" w:rsidR="00D905BA" w:rsidRPr="00207DC2" w:rsidRDefault="00D905BA" w:rsidP="00D57D1D">
      <w:pPr>
        <w:pStyle w:val="tablenotes"/>
      </w:pPr>
      <w:r w:rsidRPr="00207DC2">
        <w:rPr>
          <w:i/>
        </w:rPr>
        <w:t>Notes:</w:t>
      </w:r>
      <w:r w:rsidRPr="00207DC2">
        <w:t xml:space="preserve"> </w:t>
      </w:r>
      <w:r w:rsidR="009B54CE" w:rsidRPr="00207DC2">
        <w:t xml:space="preserve">(a) </w:t>
      </w:r>
      <w:r w:rsidRPr="00207DC2">
        <w:t>Includes all CDP participants for whom any financial penalty was imposed in 2016</w:t>
      </w:r>
      <w:r w:rsidR="00A32DB0" w:rsidRPr="00207DC2">
        <w:t>.</w:t>
      </w:r>
    </w:p>
    <w:p w14:paraId="12E69111" w14:textId="669F7723" w:rsidR="00D905BA" w:rsidRPr="00207DC2" w:rsidRDefault="00D905BA" w:rsidP="00F35F78">
      <w:pPr>
        <w:pStyle w:val="ZED5"/>
        <w:outlineLvl w:val="3"/>
      </w:pPr>
      <w:bookmarkStart w:id="348" w:name="_Toc509587041"/>
      <w:bookmarkStart w:id="349" w:name="_Toc509588067"/>
      <w:bookmarkStart w:id="350" w:name="_Toc509588330"/>
      <w:bookmarkStart w:id="351" w:name="_Toc509589478"/>
      <w:bookmarkStart w:id="352" w:name="_Toc509926896"/>
      <w:bookmarkStart w:id="353" w:name="_Toc511661246"/>
      <w:bookmarkStart w:id="354" w:name="_Toc511826297"/>
      <w:bookmarkStart w:id="355" w:name="_Toc511940614"/>
      <w:bookmarkStart w:id="356" w:name="_Toc515185461"/>
      <w:bookmarkStart w:id="357" w:name="_Toc516219835"/>
      <w:bookmarkStart w:id="358" w:name="_Toc516220476"/>
      <w:bookmarkStart w:id="359" w:name="_Toc516223296"/>
      <w:bookmarkStart w:id="360" w:name="_Toc516225204"/>
      <w:bookmarkStart w:id="361" w:name="_Toc516228980"/>
      <w:bookmarkStart w:id="362" w:name="_Toc535935052"/>
      <w:r w:rsidRPr="00207DC2">
        <w:t xml:space="preserve">Who is losing the most </w:t>
      </w:r>
      <w:r w:rsidR="00DF407F" w:rsidRPr="00207DC2">
        <w:t xml:space="preserve">payments </w:t>
      </w:r>
      <w:r w:rsidRPr="00207DC2">
        <w:t xml:space="preserve">to penalties under </w:t>
      </w:r>
      <w:r w:rsidR="006B26C5" w:rsidRPr="00207DC2">
        <w:t xml:space="preserve">the </w:t>
      </w:r>
      <w:r w:rsidRPr="00207DC2">
        <w:t>CDP?</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14:paraId="3257F75E" w14:textId="64B1DC24" w:rsidR="00750013" w:rsidRPr="00207DC2" w:rsidRDefault="00AD59A8" w:rsidP="00750013">
      <w:pPr>
        <w:jc w:val="both"/>
        <w:rPr>
          <w:lang w:val="en-AU"/>
        </w:rPr>
      </w:pPr>
      <w:r w:rsidRPr="00207DC2">
        <w:rPr>
          <w:rFonts w:cstheme="minorHAnsi"/>
          <w:lang w:val="en-AU"/>
        </w:rPr>
        <w:t>M</w:t>
      </w:r>
      <w:r w:rsidR="00986D8D" w:rsidRPr="00207DC2">
        <w:rPr>
          <w:rFonts w:cstheme="minorHAnsi"/>
          <w:lang w:val="en-AU"/>
        </w:rPr>
        <w:t xml:space="preserve">odelling </w:t>
      </w:r>
      <w:r w:rsidRPr="00207DC2">
        <w:rPr>
          <w:rFonts w:cstheme="minorHAnsi"/>
          <w:lang w:val="en-AU"/>
        </w:rPr>
        <w:t>suggests t</w:t>
      </w:r>
      <w:r w:rsidR="0064168E" w:rsidRPr="00207DC2">
        <w:rPr>
          <w:rFonts w:cstheme="minorHAnsi"/>
          <w:lang w:val="en-AU"/>
        </w:rPr>
        <w:t xml:space="preserve">hat </w:t>
      </w:r>
      <w:r w:rsidRPr="00207DC2">
        <w:rPr>
          <w:rFonts w:cstheme="minorHAnsi"/>
          <w:lang w:val="en-AU"/>
        </w:rPr>
        <w:t xml:space="preserve">CDP participant’s individual </w:t>
      </w:r>
      <w:r w:rsidR="00D905BA" w:rsidRPr="00207DC2">
        <w:rPr>
          <w:rFonts w:cstheme="minorHAnsi"/>
          <w:lang w:val="en-AU"/>
        </w:rPr>
        <w:t xml:space="preserve">characteristics </w:t>
      </w:r>
      <w:r w:rsidR="006F7B27" w:rsidRPr="00207DC2">
        <w:rPr>
          <w:rFonts w:cstheme="minorHAnsi"/>
          <w:lang w:val="en-AU"/>
        </w:rPr>
        <w:t xml:space="preserve">are related to </w:t>
      </w:r>
      <w:r w:rsidR="0064168E" w:rsidRPr="00207DC2">
        <w:rPr>
          <w:rFonts w:cstheme="minorHAnsi"/>
          <w:lang w:val="en-AU"/>
        </w:rPr>
        <w:t>the</w:t>
      </w:r>
      <w:r w:rsidRPr="00207DC2">
        <w:rPr>
          <w:rFonts w:cstheme="minorHAnsi"/>
          <w:lang w:val="en-AU"/>
        </w:rPr>
        <w:t xml:space="preserve"> </w:t>
      </w:r>
      <w:r w:rsidR="00860532" w:rsidRPr="00207DC2">
        <w:rPr>
          <w:lang w:val="en-AU"/>
        </w:rPr>
        <w:t xml:space="preserve">probability </w:t>
      </w:r>
      <w:r w:rsidRPr="00207DC2">
        <w:rPr>
          <w:lang w:val="en-AU"/>
        </w:rPr>
        <w:t>of being penalised,</w:t>
      </w:r>
      <w:r w:rsidR="00860532" w:rsidRPr="00207DC2">
        <w:rPr>
          <w:lang w:val="en-AU"/>
        </w:rPr>
        <w:t xml:space="preserve"> </w:t>
      </w:r>
      <w:r w:rsidRPr="00207DC2">
        <w:rPr>
          <w:lang w:val="en-AU"/>
        </w:rPr>
        <w:t xml:space="preserve">receiving a </w:t>
      </w:r>
      <w:r w:rsidR="0064168E" w:rsidRPr="00207DC2">
        <w:rPr>
          <w:lang w:val="en-AU"/>
        </w:rPr>
        <w:t>zero-rate penalty</w:t>
      </w:r>
      <w:r w:rsidRPr="00207DC2">
        <w:rPr>
          <w:lang w:val="en-AU"/>
        </w:rPr>
        <w:t xml:space="preserve">, </w:t>
      </w:r>
      <w:r w:rsidR="00860532" w:rsidRPr="00207DC2">
        <w:rPr>
          <w:lang w:val="en-AU"/>
        </w:rPr>
        <w:t xml:space="preserve">and the </w:t>
      </w:r>
      <w:r w:rsidRPr="00207DC2">
        <w:rPr>
          <w:lang w:val="en-AU"/>
        </w:rPr>
        <w:t xml:space="preserve">amount of </w:t>
      </w:r>
      <w:r w:rsidR="00DF407F" w:rsidRPr="00207DC2">
        <w:rPr>
          <w:lang w:val="en-AU"/>
        </w:rPr>
        <w:t>Australian Government payments</w:t>
      </w:r>
      <w:r w:rsidRPr="00207DC2">
        <w:rPr>
          <w:lang w:val="en-AU"/>
        </w:rPr>
        <w:t xml:space="preserve"> </w:t>
      </w:r>
      <w:r w:rsidR="00860532" w:rsidRPr="00207DC2">
        <w:rPr>
          <w:lang w:val="en-AU"/>
        </w:rPr>
        <w:t>lost to penalties over the year</w:t>
      </w:r>
      <w:r w:rsidR="00332BCE" w:rsidRPr="00207DC2">
        <w:rPr>
          <w:lang w:val="en-AU"/>
        </w:rPr>
        <w:t xml:space="preserve"> </w:t>
      </w:r>
      <w:r w:rsidR="00332BCE" w:rsidRPr="00207DC2">
        <w:rPr>
          <w:rFonts w:cstheme="minorHAnsi"/>
          <w:lang w:val="en-AU"/>
        </w:rPr>
        <w:t>(Tab</w:t>
      </w:r>
      <w:r w:rsidR="00D11C84" w:rsidRPr="00207DC2">
        <w:rPr>
          <w:rFonts w:cstheme="minorHAnsi"/>
          <w:lang w:val="en-AU"/>
        </w:rPr>
        <w:t>le</w:t>
      </w:r>
      <w:r w:rsidR="00332BCE" w:rsidRPr="00207DC2">
        <w:rPr>
          <w:rFonts w:cstheme="minorHAnsi"/>
          <w:lang w:val="en-AU"/>
        </w:rPr>
        <w:t> 3.1 and Appendix B)</w:t>
      </w:r>
      <w:r w:rsidR="00860532" w:rsidRPr="00207DC2">
        <w:rPr>
          <w:lang w:val="en-AU"/>
        </w:rPr>
        <w:t>.</w:t>
      </w:r>
      <w:r w:rsidR="00750013" w:rsidRPr="00207DC2">
        <w:rPr>
          <w:lang w:val="en-AU"/>
        </w:rPr>
        <w:t xml:space="preserve"> Three penalty outcomes were modelled: </w:t>
      </w:r>
    </w:p>
    <w:p w14:paraId="73B9A1D8" w14:textId="719C3FDF" w:rsidR="00750013" w:rsidRPr="00207DC2" w:rsidRDefault="00750013" w:rsidP="00F90446">
      <w:pPr>
        <w:pStyle w:val="ListParagraph"/>
        <w:numPr>
          <w:ilvl w:val="0"/>
          <w:numId w:val="24"/>
        </w:numPr>
        <w:jc w:val="both"/>
        <w:rPr>
          <w:lang w:val="en-AU"/>
        </w:rPr>
      </w:pPr>
      <w:r w:rsidRPr="00207DC2">
        <w:rPr>
          <w:lang w:val="en-AU"/>
        </w:rPr>
        <w:t>the probability that a participant was ever penalised throughout the year (any type of penalty)</w:t>
      </w:r>
    </w:p>
    <w:p w14:paraId="3382CD5C" w14:textId="4DBF530F" w:rsidR="00750013" w:rsidRPr="00207DC2" w:rsidRDefault="00750013" w:rsidP="00F90446">
      <w:pPr>
        <w:pStyle w:val="ListParagraph"/>
        <w:numPr>
          <w:ilvl w:val="0"/>
          <w:numId w:val="24"/>
        </w:numPr>
        <w:jc w:val="both"/>
        <w:rPr>
          <w:lang w:val="en-AU"/>
        </w:rPr>
      </w:pPr>
      <w:r w:rsidRPr="00207DC2">
        <w:rPr>
          <w:lang w:val="en-AU"/>
        </w:rPr>
        <w:t>the probability that a participant who was ever penalised, ever had a zero-rate penalty throughout the year</w:t>
      </w:r>
    </w:p>
    <w:p w14:paraId="3C0D1FDC" w14:textId="4E6BB215" w:rsidR="00750013" w:rsidRPr="00207DC2" w:rsidRDefault="00750013" w:rsidP="00F90446">
      <w:pPr>
        <w:pStyle w:val="ListParagraph"/>
        <w:numPr>
          <w:ilvl w:val="0"/>
          <w:numId w:val="24"/>
        </w:numPr>
        <w:jc w:val="both"/>
        <w:rPr>
          <w:lang w:val="en-AU"/>
        </w:rPr>
      </w:pPr>
      <w:r w:rsidRPr="00207DC2">
        <w:rPr>
          <w:lang w:val="en-AU"/>
        </w:rPr>
        <w:t>the total amount that a participant who was ever penalised lost to penalties throughout the year</w:t>
      </w:r>
      <w:r w:rsidR="00351286" w:rsidRPr="00207DC2">
        <w:rPr>
          <w:lang w:val="en-AU"/>
        </w:rPr>
        <w:t>.</w:t>
      </w:r>
    </w:p>
    <w:p w14:paraId="5E8C01CD" w14:textId="48A400BF" w:rsidR="00AD59A8" w:rsidRPr="00207DC2" w:rsidRDefault="00750013" w:rsidP="00D905BA">
      <w:pPr>
        <w:jc w:val="both"/>
        <w:rPr>
          <w:lang w:val="en-AU"/>
        </w:rPr>
      </w:pPr>
      <w:r w:rsidRPr="00207DC2">
        <w:rPr>
          <w:lang w:val="en-AU"/>
        </w:rPr>
        <w:t>The estimated effects of an individual characteristic (Table 3.1) are expressed as: a ratio of the probability (compared to the probability with a reference characteristic) for the first two models; and the dollar amount added to or subtracted from the total value of penalties for the third model.</w:t>
      </w:r>
      <w:r w:rsidR="00986D8D" w:rsidRPr="00207DC2">
        <w:rPr>
          <w:rStyle w:val="FootnoteReference"/>
          <w:lang w:val="en-AU"/>
        </w:rPr>
        <w:footnoteReference w:id="27"/>
      </w:r>
      <w:r w:rsidR="00986D8D" w:rsidRPr="00207DC2">
        <w:rPr>
          <w:rFonts w:cstheme="minorHAnsi"/>
          <w:lang w:val="en-AU"/>
        </w:rPr>
        <w:t xml:space="preserve"> </w:t>
      </w:r>
    </w:p>
    <w:p w14:paraId="3C2E0F3B" w14:textId="77777777" w:rsidR="00797D06" w:rsidRPr="00207DC2" w:rsidRDefault="00CD00C3" w:rsidP="00797D06">
      <w:pPr>
        <w:jc w:val="both"/>
        <w:rPr>
          <w:rFonts w:cstheme="minorHAnsi"/>
          <w:lang w:val="en-AU"/>
        </w:rPr>
      </w:pPr>
      <w:r w:rsidRPr="00207DC2">
        <w:rPr>
          <w:rFonts w:cstheme="minorHAnsi"/>
          <w:lang w:val="en-AU"/>
        </w:rPr>
        <w:t>In particular, younger participant</w:t>
      </w:r>
      <w:r w:rsidR="00050239" w:rsidRPr="00207DC2">
        <w:rPr>
          <w:rFonts w:cstheme="minorHAnsi"/>
          <w:lang w:val="en-AU"/>
        </w:rPr>
        <w:t>s</w:t>
      </w:r>
      <w:r w:rsidRPr="00207DC2">
        <w:rPr>
          <w:rFonts w:cstheme="minorHAnsi"/>
          <w:lang w:val="en-AU"/>
        </w:rPr>
        <w:t xml:space="preserve"> and men</w:t>
      </w:r>
      <w:r w:rsidR="00A87DCF" w:rsidRPr="00207DC2">
        <w:rPr>
          <w:rFonts w:cstheme="minorHAnsi"/>
          <w:lang w:val="en-AU"/>
        </w:rPr>
        <w:t xml:space="preserve"> </w:t>
      </w:r>
      <w:r w:rsidRPr="00207DC2">
        <w:rPr>
          <w:rFonts w:cstheme="minorHAnsi"/>
          <w:lang w:val="en-AU"/>
        </w:rPr>
        <w:t>were estimated to have a higher</w:t>
      </w:r>
      <w:r w:rsidR="00A87DCF" w:rsidRPr="00207DC2">
        <w:rPr>
          <w:rFonts w:cstheme="minorHAnsi"/>
          <w:lang w:val="en-AU"/>
        </w:rPr>
        <w:t xml:space="preserve"> </w:t>
      </w:r>
      <w:r w:rsidR="00797D06" w:rsidRPr="00207DC2">
        <w:rPr>
          <w:rFonts w:cstheme="minorHAnsi"/>
          <w:lang w:val="en-AU"/>
        </w:rPr>
        <w:t>probability of being penalised</w:t>
      </w:r>
      <w:r w:rsidR="00DE5EF0" w:rsidRPr="00207DC2">
        <w:rPr>
          <w:rFonts w:cstheme="minorHAnsi"/>
          <w:lang w:val="en-AU"/>
        </w:rPr>
        <w:t>. Among those penalised, t</w:t>
      </w:r>
      <w:r w:rsidR="00797D06" w:rsidRPr="00207DC2">
        <w:rPr>
          <w:rFonts w:cstheme="minorHAnsi"/>
          <w:lang w:val="en-AU"/>
        </w:rPr>
        <w:t>he probability o</w:t>
      </w:r>
      <w:r w:rsidR="00DE5EF0" w:rsidRPr="00207DC2">
        <w:rPr>
          <w:rFonts w:cstheme="minorHAnsi"/>
          <w:lang w:val="en-AU"/>
        </w:rPr>
        <w:t xml:space="preserve">f receiving a zero-rate penalty, </w:t>
      </w:r>
      <w:r w:rsidR="00797D06" w:rsidRPr="00207DC2">
        <w:rPr>
          <w:rFonts w:cstheme="minorHAnsi"/>
          <w:lang w:val="en-AU"/>
        </w:rPr>
        <w:t xml:space="preserve">and the total value of dollars lost to penalties, decreased after about 35 years of age. One </w:t>
      </w:r>
      <w:r w:rsidR="00DE5EF0" w:rsidRPr="00207DC2">
        <w:rPr>
          <w:rFonts w:cstheme="minorHAnsi"/>
          <w:lang w:val="en-AU"/>
        </w:rPr>
        <w:t xml:space="preserve">possible </w:t>
      </w:r>
      <w:r w:rsidR="00797D06" w:rsidRPr="00207DC2">
        <w:rPr>
          <w:rFonts w:cstheme="minorHAnsi"/>
          <w:lang w:val="en-AU"/>
        </w:rPr>
        <w:t>reason for this is that attendance at activities is lower among younger participants (Chapter 2 and Appendix B).</w:t>
      </w:r>
    </w:p>
    <w:p w14:paraId="4E0B2AA4" w14:textId="77777777" w:rsidR="00797D06" w:rsidRPr="00207DC2" w:rsidRDefault="00797D06" w:rsidP="00797D06">
      <w:pPr>
        <w:tabs>
          <w:tab w:val="left" w:pos="4253"/>
        </w:tabs>
        <w:jc w:val="both"/>
        <w:rPr>
          <w:rFonts w:cstheme="minorHAnsi"/>
          <w:lang w:val="en-AU"/>
        </w:rPr>
      </w:pPr>
      <w:r w:rsidRPr="00207DC2">
        <w:rPr>
          <w:rFonts w:cstheme="minorHAnsi"/>
          <w:lang w:val="en-AU"/>
        </w:rPr>
        <w:t>After controlling for age and gender, participants with certain observed employment and communication barriers were found to have a higher probability of being penalised, a higher probability of having a zero-rate penalty, and a higher total value of penalties</w:t>
      </w:r>
      <w:r w:rsidRPr="00207DC2">
        <w:rPr>
          <w:rFonts w:cstheme="minorHAnsi"/>
          <w:lang w:val="en-AU"/>
        </w:rPr>
        <w:softHyphen/>
      </w:r>
      <w:r w:rsidRPr="00207DC2">
        <w:rPr>
          <w:lang w:val="en-AU"/>
        </w:rPr>
        <w:softHyphen/>
      </w:r>
      <w:r w:rsidRPr="00207DC2">
        <w:rPr>
          <w:rFonts w:cstheme="minorHAnsi"/>
          <w:lang w:val="en-AU"/>
        </w:rPr>
        <w:t>. This includes participants who: had been unemployed for longer; had poor or mixed English skills; who were not contactable by phone for more of the year; and spent a larger share of this time without access to private transport.</w:t>
      </w:r>
    </w:p>
    <w:p w14:paraId="1D6FB81C" w14:textId="4F7CE3B9" w:rsidR="00797D06" w:rsidRPr="00207DC2" w:rsidRDefault="00797D06" w:rsidP="00797D06">
      <w:pPr>
        <w:jc w:val="both"/>
        <w:rPr>
          <w:lang w:val="en-AU"/>
        </w:rPr>
      </w:pPr>
      <w:r w:rsidRPr="00207DC2">
        <w:rPr>
          <w:lang w:val="en-AU"/>
        </w:rPr>
        <w:t xml:space="preserve">Conversely, participants with post-school </w:t>
      </w:r>
      <w:r w:rsidR="003E6F0A" w:rsidRPr="00207DC2">
        <w:rPr>
          <w:lang w:val="en-AU"/>
        </w:rPr>
        <w:t>education</w:t>
      </w:r>
      <w:r w:rsidRPr="00207DC2">
        <w:rPr>
          <w:lang w:val="en-AU"/>
        </w:rPr>
        <w:t xml:space="preserve">, those with a disability and identified workplace support need, and those who were primary carers </w:t>
      </w:r>
      <w:r w:rsidR="00A04483" w:rsidRPr="00207DC2">
        <w:rPr>
          <w:lang w:val="en-AU"/>
        </w:rPr>
        <w:t>(</w:t>
      </w:r>
      <w:r w:rsidRPr="00207DC2">
        <w:rPr>
          <w:lang w:val="en-AU"/>
        </w:rPr>
        <w:t>for more of the year</w:t>
      </w:r>
      <w:r w:rsidR="00A04483" w:rsidRPr="00207DC2">
        <w:rPr>
          <w:lang w:val="en-AU"/>
        </w:rPr>
        <w:t>)</w:t>
      </w:r>
      <w:r w:rsidRPr="00207DC2">
        <w:rPr>
          <w:lang w:val="en-AU"/>
        </w:rPr>
        <w:t xml:space="preserve"> were less likely to be penalised. This is consistent with the results from the attendance modelling (Chapter 2 and Appendix B), which found that these groups were more likely to have a valid reason recorded by their provider when they did not attend their Work for Dole activities.</w:t>
      </w:r>
    </w:p>
    <w:p w14:paraId="61F6DE8A" w14:textId="468B0758" w:rsidR="00601B99" w:rsidRPr="00207DC2" w:rsidRDefault="00797D06" w:rsidP="00797D06">
      <w:pPr>
        <w:tabs>
          <w:tab w:val="left" w:pos="5387"/>
        </w:tabs>
        <w:jc w:val="both"/>
        <w:rPr>
          <w:lang w:val="en-AU"/>
        </w:rPr>
      </w:pPr>
      <w:r w:rsidRPr="00207DC2">
        <w:rPr>
          <w:lang w:val="en-AU"/>
        </w:rPr>
        <w:t xml:space="preserve">Transport availability </w:t>
      </w:r>
      <w:r w:rsidR="00015CA0" w:rsidRPr="00207DC2">
        <w:rPr>
          <w:lang w:val="en-AU"/>
        </w:rPr>
        <w:t>was</w:t>
      </w:r>
      <w:r w:rsidRPr="00207DC2">
        <w:rPr>
          <w:lang w:val="en-AU"/>
        </w:rPr>
        <w:t xml:space="preserve"> </w:t>
      </w:r>
      <w:r w:rsidR="00015CA0" w:rsidRPr="00207DC2">
        <w:rPr>
          <w:lang w:val="en-AU"/>
        </w:rPr>
        <w:t>strongly related to the likelihood of being penalised</w:t>
      </w:r>
      <w:r w:rsidRPr="00207DC2">
        <w:rPr>
          <w:lang w:val="en-AU"/>
        </w:rPr>
        <w:t>.</w:t>
      </w:r>
      <w:r w:rsidR="000F3C51" w:rsidRPr="00207DC2">
        <w:rPr>
          <w:lang w:val="en-AU"/>
        </w:rPr>
        <w:t xml:space="preserve"> Spending </w:t>
      </w:r>
      <w:r w:rsidR="001D2363" w:rsidRPr="00207DC2">
        <w:rPr>
          <w:lang w:val="en-AU"/>
        </w:rPr>
        <w:t xml:space="preserve">a higher share </w:t>
      </w:r>
      <w:r w:rsidR="000F3C51" w:rsidRPr="00207DC2">
        <w:rPr>
          <w:lang w:val="en-AU"/>
        </w:rPr>
        <w:t>of the year without private transport increased both the likelihood and total amount of penalties.</w:t>
      </w:r>
      <w:r w:rsidRPr="00207DC2">
        <w:rPr>
          <w:lang w:val="en-AU"/>
        </w:rPr>
        <w:t xml:space="preserve"> As </w:t>
      </w:r>
      <w:r w:rsidR="00601B99" w:rsidRPr="00207DC2">
        <w:rPr>
          <w:lang w:val="en-AU"/>
        </w:rPr>
        <w:t>discussed</w:t>
      </w:r>
      <w:r w:rsidRPr="00207DC2">
        <w:rPr>
          <w:lang w:val="en-AU"/>
        </w:rPr>
        <w:t xml:space="preserve"> in Chapter 2, given transport issues are a potential valid reason for non</w:t>
      </w:r>
      <w:r w:rsidRPr="00207DC2">
        <w:rPr>
          <w:lang w:val="en-AU"/>
        </w:rPr>
        <w:noBreakHyphen/>
        <w:t xml:space="preserve">attendance, it is possible </w:t>
      </w:r>
      <w:r w:rsidR="00AB5F8E" w:rsidRPr="00207DC2">
        <w:rPr>
          <w:lang w:val="en-AU"/>
        </w:rPr>
        <w:t xml:space="preserve">that </w:t>
      </w:r>
      <w:r w:rsidRPr="00207DC2">
        <w:rPr>
          <w:lang w:val="en-AU"/>
        </w:rPr>
        <w:t>the</w:t>
      </w:r>
      <w:r w:rsidR="00601B99" w:rsidRPr="00207DC2">
        <w:rPr>
          <w:lang w:val="en-AU"/>
        </w:rPr>
        <w:t xml:space="preserve"> estimated association between transport availability and penalties </w:t>
      </w:r>
      <w:r w:rsidRPr="00207DC2">
        <w:rPr>
          <w:lang w:val="en-AU"/>
        </w:rPr>
        <w:t xml:space="preserve">are picking up </w:t>
      </w:r>
      <w:r w:rsidR="00601B99" w:rsidRPr="00207DC2">
        <w:rPr>
          <w:lang w:val="en-AU"/>
        </w:rPr>
        <w:t xml:space="preserve">broader </w:t>
      </w:r>
      <w:r w:rsidRPr="00207DC2">
        <w:rPr>
          <w:lang w:val="en-AU"/>
        </w:rPr>
        <w:t xml:space="preserve">socio-economic effects. </w:t>
      </w:r>
      <w:r w:rsidR="00AD65AD" w:rsidRPr="00207DC2">
        <w:rPr>
          <w:lang w:val="en-AU"/>
        </w:rPr>
        <w:t>However</w:t>
      </w:r>
      <w:r w:rsidR="0076212E" w:rsidRPr="00207DC2">
        <w:rPr>
          <w:lang w:val="en-AU"/>
        </w:rPr>
        <w:t>,</w:t>
      </w:r>
      <w:r w:rsidR="00AD65AD" w:rsidRPr="00207DC2">
        <w:rPr>
          <w:lang w:val="en-AU"/>
        </w:rPr>
        <w:t xml:space="preserve"> </w:t>
      </w:r>
      <w:r w:rsidRPr="00207DC2">
        <w:rPr>
          <w:lang w:val="en-AU"/>
        </w:rPr>
        <w:t xml:space="preserve">having access to your own private transport </w:t>
      </w:r>
      <w:r w:rsidR="0076212E" w:rsidRPr="00207DC2">
        <w:rPr>
          <w:lang w:val="en-AU"/>
        </w:rPr>
        <w:t xml:space="preserve">may </w:t>
      </w:r>
      <w:r w:rsidR="00AD65AD" w:rsidRPr="00207DC2">
        <w:rPr>
          <w:lang w:val="en-AU"/>
        </w:rPr>
        <w:t xml:space="preserve">make it easier to attend or to </w:t>
      </w:r>
      <w:r w:rsidRPr="00207DC2">
        <w:rPr>
          <w:lang w:val="en-AU"/>
        </w:rPr>
        <w:t>report reasons for non</w:t>
      </w:r>
      <w:r w:rsidRPr="00207DC2">
        <w:rPr>
          <w:lang w:val="en-AU"/>
        </w:rPr>
        <w:noBreakHyphen/>
        <w:t>attendance</w:t>
      </w:r>
      <w:r w:rsidR="0076212E" w:rsidRPr="00207DC2">
        <w:rPr>
          <w:lang w:val="en-AU"/>
        </w:rPr>
        <w:t xml:space="preserve"> and, as such, </w:t>
      </w:r>
      <w:r w:rsidR="00351286" w:rsidRPr="00207DC2">
        <w:rPr>
          <w:lang w:val="en-AU"/>
        </w:rPr>
        <w:t xml:space="preserve">these participants </w:t>
      </w:r>
      <w:r w:rsidR="0076212E" w:rsidRPr="00207DC2">
        <w:rPr>
          <w:lang w:val="en-AU"/>
        </w:rPr>
        <w:t>may be less likely to be penalised</w:t>
      </w:r>
      <w:r w:rsidRPr="00207DC2">
        <w:rPr>
          <w:lang w:val="en-AU"/>
        </w:rPr>
        <w:t>.</w:t>
      </w:r>
    </w:p>
    <w:p w14:paraId="56C44234" w14:textId="63138140" w:rsidR="00D905BA" w:rsidRPr="00207DC2" w:rsidRDefault="00D905BA" w:rsidP="00FB626D">
      <w:pPr>
        <w:pStyle w:val="Table"/>
        <w:tabs>
          <w:tab w:val="left" w:pos="6804"/>
        </w:tabs>
        <w:outlineLvl w:val="9"/>
        <w:rPr>
          <w:rFonts w:ascii="Calibri Light" w:eastAsiaTheme="minorHAnsi" w:hAnsi="Calibri Light" w:cstheme="minorBidi"/>
          <w:color w:val="323536" w:themeColor="background2" w:themeShade="40"/>
          <w:spacing w:val="20"/>
          <w:sz w:val="20"/>
          <w:szCs w:val="19"/>
          <w:lang w:eastAsia="ja-JP"/>
        </w:rPr>
      </w:pPr>
      <w:r w:rsidRPr="00207DC2">
        <w:t xml:space="preserve">Table </w:t>
      </w:r>
      <w:r w:rsidR="00905D1A">
        <w:t>3</w:t>
      </w:r>
      <w:r w:rsidR="00581320" w:rsidRPr="00207DC2">
        <w:t>.</w:t>
      </w:r>
      <w:r w:rsidR="00905D1A">
        <w:t>1</w:t>
      </w:r>
      <w:r w:rsidR="00905D1A" w:rsidRPr="00207DC2">
        <w:t xml:space="preserve"> </w:t>
      </w:r>
      <w:r w:rsidRPr="00207DC2">
        <w:t>Estimated effects from the penalties models</w:t>
      </w:r>
      <w:r w:rsidR="00986D8D" w:rsidRPr="00207DC2">
        <w:rPr>
          <w:b/>
          <w:vertAlign w:val="superscript"/>
        </w:rPr>
        <w:t>a</w:t>
      </w:r>
      <w:r w:rsidRPr="00207DC2">
        <w:rPr>
          <w:rFonts w:ascii="Calibri Light" w:eastAsiaTheme="minorHAnsi" w:hAnsi="Calibri Light" w:cstheme="minorBidi"/>
          <w:color w:val="323536" w:themeColor="background2" w:themeShade="40"/>
          <w:spacing w:val="20"/>
          <w:sz w:val="20"/>
          <w:szCs w:val="19"/>
          <w:lang w:eastAsia="ja-JP"/>
        </w:rPr>
        <w:t xml:space="preserve"> </w:t>
      </w:r>
    </w:p>
    <w:p w14:paraId="422C9836" w14:textId="482D5374" w:rsidR="00D905BA" w:rsidRPr="00207DC2" w:rsidRDefault="00903A7A" w:rsidP="00FB626D">
      <w:pPr>
        <w:keepNext/>
        <w:keepLines/>
        <w:spacing w:before="0" w:after="0"/>
        <w:jc w:val="both"/>
        <w:rPr>
          <w:lang w:val="en-AU"/>
        </w:rPr>
      </w:pPr>
      <w:r>
        <w:rPr>
          <w:lang w:val="en-AU"/>
        </w:rPr>
        <w:t>Activity-tested</w:t>
      </w:r>
      <w:r w:rsidR="00476E91" w:rsidRPr="00207DC2">
        <w:rPr>
          <w:lang w:val="en-AU"/>
        </w:rPr>
        <w:t xml:space="preserve"> income support recipients participating in CDP on 1 January 2016</w:t>
      </w:r>
      <w:r w:rsidR="00D905BA" w:rsidRPr="00207DC2">
        <w:rPr>
          <w:lang w:val="en-AU"/>
        </w:rPr>
        <w:t>.</w:t>
      </w:r>
      <w:r w:rsidR="00207F69" w:rsidRPr="00207DC2">
        <w:rPr>
          <w:lang w:val="en-AU"/>
        </w:rPr>
        <w:t xml:space="preserve"> </w:t>
      </w:r>
      <w:r w:rsidR="000D3F55" w:rsidRPr="00207DC2">
        <w:rPr>
          <w:lang w:val="en-AU"/>
        </w:rPr>
        <w:t>T</w:t>
      </w:r>
      <w:r w:rsidR="00207F69" w:rsidRPr="00207DC2">
        <w:rPr>
          <w:lang w:val="en-AU"/>
        </w:rPr>
        <w:t>he z</w:t>
      </w:r>
      <w:r w:rsidR="00C34942" w:rsidRPr="00207DC2">
        <w:rPr>
          <w:lang w:val="en-AU"/>
        </w:rPr>
        <w:t>ero</w:t>
      </w:r>
      <w:r w:rsidR="00707986" w:rsidRPr="00207DC2">
        <w:rPr>
          <w:lang w:val="en-AU"/>
        </w:rPr>
        <w:t>-</w:t>
      </w:r>
      <w:r w:rsidR="00207F69" w:rsidRPr="00207DC2">
        <w:rPr>
          <w:lang w:val="en-AU"/>
        </w:rPr>
        <w:t>rate probability and p</w:t>
      </w:r>
      <w:r w:rsidR="00C34942" w:rsidRPr="00207DC2">
        <w:rPr>
          <w:lang w:val="en-AU"/>
        </w:rPr>
        <w:t xml:space="preserve">enalty amount </w:t>
      </w:r>
      <w:r w:rsidR="000D3F55" w:rsidRPr="00207DC2">
        <w:rPr>
          <w:lang w:val="en-AU"/>
        </w:rPr>
        <w:t xml:space="preserve">models (last two columns), </w:t>
      </w:r>
      <w:r w:rsidR="001103B5" w:rsidRPr="00207DC2">
        <w:rPr>
          <w:lang w:val="en-AU"/>
        </w:rPr>
        <w:t>are limited to</w:t>
      </w:r>
      <w:r w:rsidR="00C34942" w:rsidRPr="00207DC2">
        <w:rPr>
          <w:lang w:val="en-AU"/>
        </w:rPr>
        <w:t xml:space="preserve"> those wi</w:t>
      </w:r>
      <w:r w:rsidR="006948DF" w:rsidRPr="00207DC2">
        <w:rPr>
          <w:lang w:val="en-AU"/>
        </w:rPr>
        <w:t>th at least one penalty in 2016</w:t>
      </w:r>
    </w:p>
    <w:tbl>
      <w:tblPr>
        <w:tblStyle w:val="FinancialTable"/>
        <w:tblW w:w="5088" w:type="pct"/>
        <w:jc w:val="center"/>
        <w:tblLayout w:type="fixed"/>
        <w:tblLook w:val="04A0" w:firstRow="1" w:lastRow="0" w:firstColumn="1" w:lastColumn="0" w:noHBand="0" w:noVBand="1"/>
        <w:tblCaption w:val="Estimated effects from the penalties models"/>
        <w:tblDescription w:val="The table presents the estimated effects of participant characteristics in the three models of penalty outcomes. &#10;- The first column of values shows the estimated odds ratio for the probability that a participant was ever penalised in 2016. &#10;- The second column shows the estimated odds ratio for the probability that a participant who was penalised ever had a zero-rate penalty in 2016. &#10;- The third column shows the estimated the additional penalty value for a participant who was penalised lost to penalties in 2016. &#10;"/>
      </w:tblPr>
      <w:tblGrid>
        <w:gridCol w:w="6293"/>
        <w:gridCol w:w="895"/>
        <w:gridCol w:w="1021"/>
        <w:gridCol w:w="830"/>
      </w:tblGrid>
      <w:tr w:rsidR="004D5EFA" w:rsidRPr="00207DC2" w14:paraId="28957F44" w14:textId="77777777" w:rsidTr="00A802F2">
        <w:trPr>
          <w:cnfStyle w:val="100000000000" w:firstRow="1" w:lastRow="0" w:firstColumn="0" w:lastColumn="0" w:oddVBand="0" w:evenVBand="0" w:oddHBand="0" w:evenHBand="0" w:firstRowFirstColumn="0" w:firstRowLastColumn="0" w:lastRowFirstColumn="0" w:lastRowLastColumn="0"/>
          <w:trHeight w:val="76"/>
          <w:tblHeader/>
          <w:jc w:val="center"/>
        </w:trPr>
        <w:tc>
          <w:tcPr>
            <w:cnfStyle w:val="001000000000" w:firstRow="0" w:lastRow="0" w:firstColumn="1" w:lastColumn="0" w:oddVBand="0" w:evenVBand="0" w:oddHBand="0" w:evenHBand="0" w:firstRowFirstColumn="0" w:firstRowLastColumn="0" w:lastRowFirstColumn="0" w:lastRowLastColumn="0"/>
            <w:tcW w:w="3481" w:type="pct"/>
            <w:vMerge w:val="restart"/>
            <w:tcBorders>
              <w:top w:val="single" w:sz="8" w:space="0" w:color="auto"/>
            </w:tcBorders>
            <w:shd w:val="clear" w:color="auto" w:fill="auto"/>
          </w:tcPr>
          <w:p w14:paraId="43D828DB" w14:textId="77777777" w:rsidR="004D5EFA" w:rsidRPr="00207DC2" w:rsidRDefault="004D5EFA" w:rsidP="00FB626D">
            <w:pPr>
              <w:pStyle w:val="TableText"/>
              <w:keepNext/>
              <w:keepLines/>
              <w:spacing w:before="0" w:after="0"/>
              <w:ind w:left="113" w:right="0"/>
              <w:rPr>
                <w:rFonts w:cs="Calibri Light"/>
                <w:b/>
                <w:sz w:val="20"/>
                <w:szCs w:val="20"/>
                <w:lang w:val="en-AU"/>
              </w:rPr>
            </w:pPr>
          </w:p>
          <w:p w14:paraId="56A44036" w14:textId="370D9193" w:rsidR="004D5EFA" w:rsidRPr="00207DC2" w:rsidRDefault="0030761D" w:rsidP="00FB626D">
            <w:pPr>
              <w:pStyle w:val="TableText"/>
              <w:keepNext/>
              <w:keepLines/>
              <w:spacing w:before="40" w:after="0"/>
              <w:ind w:left="113" w:right="0"/>
              <w:jc w:val="left"/>
              <w:rPr>
                <w:rFonts w:cs="Calibri Light"/>
                <w:b/>
                <w:caps w:val="0"/>
                <w:sz w:val="20"/>
                <w:szCs w:val="20"/>
                <w:lang w:val="en-AU"/>
              </w:rPr>
            </w:pPr>
            <w:r w:rsidRPr="00207DC2">
              <w:rPr>
                <w:rFonts w:cs="Calibri Light"/>
                <w:b/>
                <w:caps w:val="0"/>
                <w:sz w:val="20"/>
                <w:szCs w:val="20"/>
                <w:lang w:val="en-AU"/>
              </w:rPr>
              <w:t>Participant characteristic</w:t>
            </w:r>
          </w:p>
        </w:tc>
        <w:tc>
          <w:tcPr>
            <w:tcW w:w="1060" w:type="pct"/>
            <w:gridSpan w:val="2"/>
            <w:tcBorders>
              <w:top w:val="single" w:sz="8" w:space="0" w:color="auto"/>
              <w:bottom w:val="nil"/>
            </w:tcBorders>
            <w:shd w:val="clear" w:color="auto" w:fill="auto"/>
          </w:tcPr>
          <w:p w14:paraId="76402B9C" w14:textId="77777777" w:rsidR="004D5EFA" w:rsidRPr="00207DC2" w:rsidRDefault="004D5EFA" w:rsidP="00FB626D">
            <w:pPr>
              <w:pStyle w:val="TableText"/>
              <w:keepNext/>
              <w:keepLines/>
              <w:spacing w:before="40" w:after="0"/>
              <w:ind w:left="0" w:right="0"/>
              <w:jc w:val="center"/>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Odds ratio</w:t>
            </w:r>
          </w:p>
        </w:tc>
        <w:tc>
          <w:tcPr>
            <w:tcW w:w="459" w:type="pct"/>
            <w:tcBorders>
              <w:top w:val="single" w:sz="8" w:space="0" w:color="auto"/>
              <w:bottom w:val="nil"/>
            </w:tcBorders>
          </w:tcPr>
          <w:p w14:paraId="16D5F144" w14:textId="77777777" w:rsidR="004D5EFA" w:rsidRPr="00207DC2" w:rsidRDefault="004D5EFA" w:rsidP="00FB626D">
            <w:pPr>
              <w:pStyle w:val="TableText"/>
              <w:keepNext/>
              <w:keepLines/>
              <w:spacing w:before="40" w:after="0"/>
              <w:ind w:left="0" w:right="0"/>
              <w:jc w:val="center"/>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w:t>
            </w:r>
          </w:p>
        </w:tc>
      </w:tr>
      <w:tr w:rsidR="004D5EFA" w:rsidRPr="00207DC2" w14:paraId="7530A700" w14:textId="77777777" w:rsidTr="00A802F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81" w:type="pct"/>
            <w:vMerge/>
            <w:tcBorders>
              <w:bottom w:val="single" w:sz="8" w:space="0" w:color="auto"/>
            </w:tcBorders>
            <w:shd w:val="clear" w:color="auto" w:fill="auto"/>
          </w:tcPr>
          <w:p w14:paraId="0A402B13" w14:textId="77777777" w:rsidR="004D5EFA" w:rsidRPr="00207DC2" w:rsidRDefault="004D5EFA" w:rsidP="00FB626D">
            <w:pPr>
              <w:pStyle w:val="TableText"/>
              <w:keepNext/>
              <w:keepLines/>
              <w:spacing w:before="40" w:after="0"/>
              <w:ind w:left="113" w:right="0"/>
              <w:jc w:val="left"/>
              <w:rPr>
                <w:rFonts w:cs="Calibri Light"/>
                <w:b/>
                <w:sz w:val="20"/>
                <w:szCs w:val="20"/>
                <w:lang w:val="en-AU"/>
              </w:rPr>
            </w:pPr>
          </w:p>
        </w:tc>
        <w:tc>
          <w:tcPr>
            <w:tcW w:w="495" w:type="pct"/>
            <w:tcBorders>
              <w:top w:val="nil"/>
              <w:bottom w:val="single" w:sz="8" w:space="0" w:color="auto"/>
            </w:tcBorders>
            <w:shd w:val="clear" w:color="auto" w:fill="auto"/>
          </w:tcPr>
          <w:p w14:paraId="5AC1236F" w14:textId="77777777" w:rsidR="004D5EFA" w:rsidRPr="00207DC2" w:rsidRDefault="004D5EFA" w:rsidP="00FB626D">
            <w:pPr>
              <w:pStyle w:val="TableText"/>
              <w:keepNext/>
              <w:keepLines/>
              <w:spacing w:before="40" w:after="0"/>
              <w:ind w:left="0" w:right="0"/>
              <w:jc w:val="left"/>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Penalty</w:t>
            </w:r>
          </w:p>
        </w:tc>
        <w:tc>
          <w:tcPr>
            <w:tcW w:w="565" w:type="pct"/>
            <w:tcBorders>
              <w:top w:val="nil"/>
              <w:bottom w:val="single" w:sz="8" w:space="0" w:color="auto"/>
            </w:tcBorders>
            <w:shd w:val="clear" w:color="auto" w:fill="auto"/>
          </w:tcPr>
          <w:p w14:paraId="3E79479E" w14:textId="77777777" w:rsidR="004D5EFA" w:rsidRPr="00207DC2" w:rsidRDefault="004D5EFA" w:rsidP="00FB626D">
            <w:pPr>
              <w:pStyle w:val="TableText"/>
              <w:keepNext/>
              <w:keepLines/>
              <w:spacing w:before="40" w:after="0"/>
              <w:ind w:left="0" w:right="0"/>
              <w:jc w:val="left"/>
              <w:cnfStyle w:val="100000000000" w:firstRow="1" w:lastRow="0" w:firstColumn="0" w:lastColumn="0" w:oddVBand="0" w:evenVBand="0" w:oddHBand="0" w:evenHBand="0" w:firstRowFirstColumn="0" w:firstRowLastColumn="0" w:lastRowFirstColumn="0" w:lastRowLastColumn="0"/>
              <w:rPr>
                <w:rFonts w:cs="Calibri Light"/>
                <w:b/>
                <w:caps w:val="0"/>
                <w:sz w:val="20"/>
                <w:szCs w:val="20"/>
                <w:lang w:val="en-AU"/>
              </w:rPr>
            </w:pPr>
            <w:r w:rsidRPr="00207DC2">
              <w:rPr>
                <w:rFonts w:cs="Calibri Light"/>
                <w:b/>
                <w:caps w:val="0"/>
                <w:sz w:val="20"/>
                <w:szCs w:val="20"/>
                <w:lang w:val="en-AU"/>
              </w:rPr>
              <w:t>Zero-rate</w:t>
            </w:r>
          </w:p>
        </w:tc>
        <w:tc>
          <w:tcPr>
            <w:tcW w:w="459" w:type="pct"/>
            <w:tcBorders>
              <w:top w:val="nil"/>
              <w:bottom w:val="single" w:sz="8" w:space="0" w:color="auto"/>
            </w:tcBorders>
          </w:tcPr>
          <w:p w14:paraId="4DBD60A0" w14:textId="77777777" w:rsidR="004D5EFA" w:rsidRPr="00207DC2" w:rsidRDefault="004D5EFA" w:rsidP="00FB626D">
            <w:pPr>
              <w:pStyle w:val="TableText"/>
              <w:keepNext/>
              <w:keepLines/>
              <w:spacing w:before="40" w:after="0"/>
              <w:ind w:left="0" w:right="0"/>
              <w:jc w:val="left"/>
              <w:cnfStyle w:val="100000000000" w:firstRow="1" w:lastRow="0" w:firstColumn="0" w:lastColumn="0" w:oddVBand="0" w:evenVBand="0" w:oddHBand="0" w:evenHBand="0" w:firstRowFirstColumn="0" w:firstRowLastColumn="0" w:lastRowFirstColumn="0" w:lastRowLastColumn="0"/>
              <w:rPr>
                <w:rFonts w:cs="Calibri Light"/>
                <w:b/>
                <w:sz w:val="20"/>
                <w:szCs w:val="20"/>
                <w:lang w:val="en-AU"/>
              </w:rPr>
            </w:pPr>
            <w:r w:rsidRPr="00207DC2">
              <w:rPr>
                <w:rFonts w:cs="Calibri Light"/>
                <w:b/>
                <w:caps w:val="0"/>
                <w:sz w:val="20"/>
                <w:szCs w:val="20"/>
                <w:lang w:val="en-AU"/>
              </w:rPr>
              <w:t xml:space="preserve"> Penalty</w:t>
            </w:r>
          </w:p>
        </w:tc>
      </w:tr>
      <w:tr w:rsidR="000C072D" w:rsidRPr="00207DC2" w14:paraId="3EAF0E10"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single" w:sz="8" w:space="0" w:color="auto"/>
              <w:bottom w:val="dashSmallGap" w:sz="4" w:space="0" w:color="auto"/>
            </w:tcBorders>
            <w:vAlign w:val="top"/>
          </w:tcPr>
          <w:p w14:paraId="668392C6"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Indigenous (compared with non-Indigenous)</w:t>
            </w:r>
          </w:p>
        </w:tc>
        <w:tc>
          <w:tcPr>
            <w:tcW w:w="495" w:type="pct"/>
            <w:tcBorders>
              <w:top w:val="single" w:sz="8" w:space="0" w:color="auto"/>
              <w:bottom w:val="dashSmallGap" w:sz="4" w:space="0" w:color="auto"/>
            </w:tcBorders>
          </w:tcPr>
          <w:p w14:paraId="60A2A5CC"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3.</w:t>
            </w:r>
            <w:r w:rsidR="006F7CC2" w:rsidRPr="00207DC2">
              <w:rPr>
                <w:lang w:val="en-AU"/>
              </w:rPr>
              <w:t>3</w:t>
            </w:r>
            <w:r w:rsidRPr="00207DC2">
              <w:rPr>
                <w:rFonts w:cs="Calibri Light"/>
                <w:szCs w:val="20"/>
                <w:lang w:val="en-AU"/>
              </w:rPr>
              <w:t>*</w:t>
            </w:r>
          </w:p>
        </w:tc>
        <w:tc>
          <w:tcPr>
            <w:tcW w:w="565" w:type="pct"/>
            <w:tcBorders>
              <w:top w:val="single" w:sz="8" w:space="0" w:color="auto"/>
              <w:bottom w:val="dashSmallGap" w:sz="4" w:space="0" w:color="auto"/>
            </w:tcBorders>
          </w:tcPr>
          <w:p w14:paraId="5ABF6437" w14:textId="77777777" w:rsidR="000C072D" w:rsidRPr="00207DC2" w:rsidRDefault="006F7CC2"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2.7</w:t>
            </w:r>
            <w:r w:rsidR="000C072D" w:rsidRPr="00207DC2">
              <w:rPr>
                <w:rFonts w:cs="Calibri Light"/>
                <w:szCs w:val="20"/>
                <w:lang w:val="en-AU"/>
              </w:rPr>
              <w:t>*</w:t>
            </w:r>
          </w:p>
        </w:tc>
        <w:tc>
          <w:tcPr>
            <w:tcW w:w="459" w:type="pct"/>
            <w:tcBorders>
              <w:top w:val="single" w:sz="8" w:space="0" w:color="auto"/>
              <w:bottom w:val="dashSmallGap" w:sz="4" w:space="0" w:color="auto"/>
            </w:tcBorders>
          </w:tcPr>
          <w:p w14:paraId="7B747B67"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166*</w:t>
            </w:r>
          </w:p>
        </w:tc>
      </w:tr>
      <w:tr w:rsidR="00F15DFA" w:rsidRPr="00207DC2" w14:paraId="3C03FE9E"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nil"/>
            </w:tcBorders>
            <w:shd w:val="clear" w:color="auto" w:fill="D0D2D3" w:themeFill="background2"/>
            <w:vAlign w:val="top"/>
          </w:tcPr>
          <w:p w14:paraId="5CBB482A" w14:textId="77777777" w:rsidR="00F15DFA" w:rsidRPr="00207DC2" w:rsidRDefault="00F15DFA" w:rsidP="00FB626D">
            <w:pPr>
              <w:keepNext/>
              <w:keepLines/>
              <w:spacing w:before="0" w:after="0"/>
              <w:ind w:left="113"/>
              <w:rPr>
                <w:lang w:val="en-AU"/>
              </w:rPr>
            </w:pPr>
            <w:r w:rsidRPr="00207DC2">
              <w:rPr>
                <w:lang w:val="en-AU"/>
              </w:rPr>
              <w:t>Disability status (compared with No disability)</w:t>
            </w:r>
          </w:p>
        </w:tc>
        <w:tc>
          <w:tcPr>
            <w:tcW w:w="495" w:type="pct"/>
            <w:tcBorders>
              <w:top w:val="dashSmallGap" w:sz="4" w:space="0" w:color="auto"/>
              <w:bottom w:val="nil"/>
            </w:tcBorders>
            <w:shd w:val="clear" w:color="auto" w:fill="D0D2D3" w:themeFill="background2"/>
          </w:tcPr>
          <w:p w14:paraId="17CC509F" w14:textId="77777777" w:rsidR="00F15DFA" w:rsidRPr="00207DC2" w:rsidRDefault="00F15DFA" w:rsidP="00FB626D">
            <w:pPr>
              <w:keepNext/>
              <w:keepLines/>
              <w:tabs>
                <w:tab w:val="decimal" w:pos="392"/>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565" w:type="pct"/>
            <w:tcBorders>
              <w:top w:val="dashSmallGap" w:sz="4" w:space="0" w:color="auto"/>
              <w:bottom w:val="nil"/>
            </w:tcBorders>
            <w:shd w:val="clear" w:color="auto" w:fill="D0D2D3" w:themeFill="background2"/>
          </w:tcPr>
          <w:p w14:paraId="143DA3AE" w14:textId="77777777" w:rsidR="00F15DFA" w:rsidRPr="00207DC2" w:rsidRDefault="00F15DFA" w:rsidP="00FB626D">
            <w:pPr>
              <w:keepNext/>
              <w:keepLines/>
              <w:tabs>
                <w:tab w:val="decimal" w:pos="376"/>
              </w:tabs>
              <w:spacing w:before="0" w:after="0"/>
              <w:ind w:left="170"/>
              <w:cnfStyle w:val="000000000000" w:firstRow="0" w:lastRow="0" w:firstColumn="0" w:lastColumn="0" w:oddVBand="0" w:evenVBand="0" w:oddHBand="0" w:evenHBand="0" w:firstRowFirstColumn="0" w:firstRowLastColumn="0" w:lastRowFirstColumn="0" w:lastRowLastColumn="0"/>
              <w:rPr>
                <w:lang w:val="en-AU"/>
              </w:rPr>
            </w:pPr>
          </w:p>
        </w:tc>
        <w:tc>
          <w:tcPr>
            <w:tcW w:w="459" w:type="pct"/>
            <w:tcBorders>
              <w:top w:val="dashSmallGap" w:sz="4" w:space="0" w:color="auto"/>
              <w:bottom w:val="nil"/>
            </w:tcBorders>
            <w:shd w:val="clear" w:color="auto" w:fill="D0D2D3" w:themeFill="background2"/>
          </w:tcPr>
          <w:p w14:paraId="1BBCFB5E" w14:textId="77777777" w:rsidR="00F15DFA" w:rsidRPr="00207DC2" w:rsidRDefault="00F15DFA" w:rsidP="00FB626D">
            <w:pPr>
              <w:keepNext/>
              <w:keepLines/>
              <w:tabs>
                <w:tab w:val="decimal" w:pos="558"/>
              </w:tabs>
              <w:spacing w:before="0" w:after="0"/>
              <w:ind w:right="113"/>
              <w:cnfStyle w:val="000000000000" w:firstRow="0" w:lastRow="0" w:firstColumn="0" w:lastColumn="0" w:oddVBand="0" w:evenVBand="0" w:oddHBand="0" w:evenHBand="0" w:firstRowFirstColumn="0" w:firstRowLastColumn="0" w:lastRowFirstColumn="0" w:lastRowLastColumn="0"/>
              <w:rPr>
                <w:lang w:val="en-AU"/>
              </w:rPr>
            </w:pPr>
          </w:p>
        </w:tc>
      </w:tr>
      <w:tr w:rsidR="000C072D" w:rsidRPr="00207DC2" w14:paraId="167B70D1"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004BD974"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Disabili</w:t>
            </w:r>
            <w:r w:rsidR="009C27BE" w:rsidRPr="00207DC2">
              <w:rPr>
                <w:b w:val="0"/>
                <w:lang w:val="en-AU"/>
              </w:rPr>
              <w:t>ty with an i</w:t>
            </w:r>
            <w:r w:rsidR="00F15DFA" w:rsidRPr="00207DC2">
              <w:rPr>
                <w:b w:val="0"/>
                <w:lang w:val="en-AU"/>
              </w:rPr>
              <w:t>dentified support need</w:t>
            </w:r>
          </w:p>
        </w:tc>
        <w:tc>
          <w:tcPr>
            <w:tcW w:w="495" w:type="pct"/>
            <w:tcBorders>
              <w:top w:val="nil"/>
              <w:bottom w:val="nil"/>
            </w:tcBorders>
          </w:tcPr>
          <w:p w14:paraId="78E1F9C0"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0.5*</w:t>
            </w:r>
          </w:p>
        </w:tc>
        <w:tc>
          <w:tcPr>
            <w:tcW w:w="565" w:type="pct"/>
            <w:tcBorders>
              <w:top w:val="nil"/>
              <w:bottom w:val="nil"/>
            </w:tcBorders>
          </w:tcPr>
          <w:p w14:paraId="103726F3"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0.6*</w:t>
            </w:r>
          </w:p>
        </w:tc>
        <w:tc>
          <w:tcPr>
            <w:tcW w:w="459" w:type="pct"/>
            <w:tcBorders>
              <w:top w:val="nil"/>
              <w:bottom w:val="nil"/>
            </w:tcBorders>
          </w:tcPr>
          <w:p w14:paraId="2EDE053B"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228</w:t>
            </w:r>
            <w:r w:rsidRPr="00207DC2">
              <w:rPr>
                <w:rFonts w:cs="Calibri Light"/>
                <w:szCs w:val="20"/>
                <w:lang w:val="en-AU"/>
              </w:rPr>
              <w:t>*</w:t>
            </w:r>
          </w:p>
        </w:tc>
      </w:tr>
      <w:tr w:rsidR="000C072D" w:rsidRPr="00207DC2" w14:paraId="4DE012C2"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dashSmallGap" w:sz="4" w:space="0" w:color="auto"/>
            </w:tcBorders>
            <w:vAlign w:val="top"/>
          </w:tcPr>
          <w:p w14:paraId="18A3C73D" w14:textId="77777777" w:rsidR="000C072D" w:rsidRPr="00207DC2" w:rsidRDefault="009C27BE" w:rsidP="00FB626D">
            <w:pPr>
              <w:keepNext/>
              <w:keepLines/>
              <w:spacing w:before="0" w:after="0"/>
              <w:ind w:left="283" w:right="0"/>
              <w:rPr>
                <w:rFonts w:cs="Calibri Light"/>
                <w:b w:val="0"/>
                <w:szCs w:val="20"/>
                <w:lang w:val="en-AU"/>
              </w:rPr>
            </w:pPr>
            <w:r w:rsidRPr="00207DC2">
              <w:rPr>
                <w:b w:val="0"/>
                <w:lang w:val="en-AU"/>
              </w:rPr>
              <w:t>Disability with n</w:t>
            </w:r>
            <w:r w:rsidR="000C072D" w:rsidRPr="00207DC2">
              <w:rPr>
                <w:b w:val="0"/>
                <w:lang w:val="en-AU"/>
              </w:rPr>
              <w:t>o identifi</w:t>
            </w:r>
            <w:r w:rsidR="00F15DFA" w:rsidRPr="00207DC2">
              <w:rPr>
                <w:b w:val="0"/>
                <w:lang w:val="en-AU"/>
              </w:rPr>
              <w:t>ed support need</w:t>
            </w:r>
          </w:p>
        </w:tc>
        <w:tc>
          <w:tcPr>
            <w:tcW w:w="495" w:type="pct"/>
            <w:tcBorders>
              <w:top w:val="nil"/>
              <w:bottom w:val="dashSmallGap" w:sz="4" w:space="0" w:color="auto"/>
            </w:tcBorders>
          </w:tcPr>
          <w:p w14:paraId="5E1F234F"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0.8</w:t>
            </w:r>
          </w:p>
        </w:tc>
        <w:tc>
          <w:tcPr>
            <w:tcW w:w="565" w:type="pct"/>
            <w:tcBorders>
              <w:top w:val="nil"/>
              <w:bottom w:val="dashSmallGap" w:sz="4" w:space="0" w:color="auto"/>
            </w:tcBorders>
          </w:tcPr>
          <w:p w14:paraId="6B9A77B8"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0.9</w:t>
            </w:r>
          </w:p>
        </w:tc>
        <w:tc>
          <w:tcPr>
            <w:tcW w:w="459" w:type="pct"/>
            <w:tcBorders>
              <w:top w:val="nil"/>
              <w:bottom w:val="dashSmallGap" w:sz="4" w:space="0" w:color="auto"/>
            </w:tcBorders>
          </w:tcPr>
          <w:p w14:paraId="1FEFCEDF"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-73*</w:t>
            </w:r>
          </w:p>
        </w:tc>
      </w:tr>
      <w:tr w:rsidR="000C072D" w:rsidRPr="00207DC2" w14:paraId="1894AEEF"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dashSmallGap" w:sz="4" w:space="0" w:color="auto"/>
            </w:tcBorders>
            <w:vAlign w:val="top"/>
          </w:tcPr>
          <w:p w14:paraId="283C7CD6"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Poor/Mixed English (compared with Good English)</w:t>
            </w:r>
          </w:p>
        </w:tc>
        <w:tc>
          <w:tcPr>
            <w:tcW w:w="495" w:type="pct"/>
            <w:tcBorders>
              <w:top w:val="dashSmallGap" w:sz="4" w:space="0" w:color="auto"/>
              <w:bottom w:val="dashSmallGap" w:sz="4" w:space="0" w:color="auto"/>
            </w:tcBorders>
          </w:tcPr>
          <w:p w14:paraId="338DE7D9"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3</w:t>
            </w:r>
            <w:r w:rsidRPr="00207DC2">
              <w:rPr>
                <w:rFonts w:cs="Calibri Light"/>
                <w:szCs w:val="20"/>
                <w:lang w:val="en-AU"/>
              </w:rPr>
              <w:t>*</w:t>
            </w:r>
          </w:p>
        </w:tc>
        <w:tc>
          <w:tcPr>
            <w:tcW w:w="565" w:type="pct"/>
            <w:tcBorders>
              <w:top w:val="dashSmallGap" w:sz="4" w:space="0" w:color="auto"/>
              <w:bottom w:val="dashSmallGap" w:sz="4" w:space="0" w:color="auto"/>
            </w:tcBorders>
          </w:tcPr>
          <w:p w14:paraId="66043BF5"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1.2*</w:t>
            </w:r>
          </w:p>
        </w:tc>
        <w:tc>
          <w:tcPr>
            <w:tcW w:w="459" w:type="pct"/>
            <w:tcBorders>
              <w:top w:val="dashSmallGap" w:sz="4" w:space="0" w:color="auto"/>
              <w:bottom w:val="dashSmallGap" w:sz="4" w:space="0" w:color="auto"/>
            </w:tcBorders>
          </w:tcPr>
          <w:p w14:paraId="4B7D14D3"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85*</w:t>
            </w:r>
          </w:p>
        </w:tc>
      </w:tr>
      <w:tr w:rsidR="00F15DFA" w:rsidRPr="00207DC2" w14:paraId="44D1AFBD"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nil"/>
            </w:tcBorders>
            <w:shd w:val="clear" w:color="auto" w:fill="D0D2D3" w:themeFill="background2"/>
            <w:vAlign w:val="top"/>
          </w:tcPr>
          <w:p w14:paraId="1B07B6DB" w14:textId="77777777" w:rsidR="00F15DFA" w:rsidRPr="00207DC2" w:rsidRDefault="00F15DFA" w:rsidP="00FB626D">
            <w:pPr>
              <w:keepNext/>
              <w:keepLines/>
              <w:spacing w:before="0" w:after="0"/>
              <w:ind w:left="113"/>
              <w:rPr>
                <w:lang w:val="en-AU"/>
              </w:rPr>
            </w:pPr>
            <w:r w:rsidRPr="00207DC2">
              <w:rPr>
                <w:lang w:val="en-AU"/>
              </w:rPr>
              <w:t>Level of education (compared with Year 12)</w:t>
            </w:r>
          </w:p>
        </w:tc>
        <w:tc>
          <w:tcPr>
            <w:tcW w:w="495" w:type="pct"/>
            <w:tcBorders>
              <w:top w:val="dashSmallGap" w:sz="4" w:space="0" w:color="auto"/>
              <w:bottom w:val="nil"/>
            </w:tcBorders>
            <w:shd w:val="clear" w:color="auto" w:fill="D0D2D3" w:themeFill="background2"/>
          </w:tcPr>
          <w:p w14:paraId="11FEB399" w14:textId="77777777" w:rsidR="00F15DFA" w:rsidRPr="00207DC2" w:rsidRDefault="00F15DFA" w:rsidP="00FB626D">
            <w:pPr>
              <w:keepNext/>
              <w:keepLines/>
              <w:tabs>
                <w:tab w:val="decimal" w:pos="392"/>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565" w:type="pct"/>
            <w:tcBorders>
              <w:top w:val="dashSmallGap" w:sz="4" w:space="0" w:color="auto"/>
              <w:bottom w:val="nil"/>
            </w:tcBorders>
            <w:shd w:val="clear" w:color="auto" w:fill="D0D2D3" w:themeFill="background2"/>
          </w:tcPr>
          <w:p w14:paraId="733CA55C" w14:textId="77777777" w:rsidR="00F15DFA" w:rsidRPr="00207DC2" w:rsidRDefault="00F15DFA" w:rsidP="00FB626D">
            <w:pPr>
              <w:keepNext/>
              <w:keepLines/>
              <w:tabs>
                <w:tab w:val="decimal" w:pos="376"/>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459" w:type="pct"/>
            <w:tcBorders>
              <w:top w:val="dashSmallGap" w:sz="4" w:space="0" w:color="auto"/>
              <w:bottom w:val="nil"/>
            </w:tcBorders>
            <w:shd w:val="clear" w:color="auto" w:fill="D0D2D3" w:themeFill="background2"/>
          </w:tcPr>
          <w:p w14:paraId="78A09DC6" w14:textId="77777777" w:rsidR="00F15DFA" w:rsidRPr="00207DC2" w:rsidRDefault="00F15DFA" w:rsidP="00FB626D">
            <w:pPr>
              <w:keepNext/>
              <w:keepLines/>
              <w:tabs>
                <w:tab w:val="decimal" w:pos="558"/>
              </w:tabs>
              <w:spacing w:before="0" w:after="0"/>
              <w:ind w:right="113"/>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r>
      <w:tr w:rsidR="000C072D" w:rsidRPr="00207DC2" w14:paraId="7D828374"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3B4FB469" w14:textId="77777777" w:rsidR="000C072D" w:rsidRPr="00207DC2" w:rsidRDefault="00F15DFA" w:rsidP="00FB626D">
            <w:pPr>
              <w:keepNext/>
              <w:keepLines/>
              <w:spacing w:before="0" w:after="0"/>
              <w:ind w:left="283" w:right="0"/>
              <w:rPr>
                <w:rFonts w:cs="Calibri Light"/>
                <w:b w:val="0"/>
                <w:szCs w:val="20"/>
                <w:lang w:val="en-AU"/>
              </w:rPr>
            </w:pPr>
            <w:r w:rsidRPr="00207DC2">
              <w:rPr>
                <w:b w:val="0"/>
                <w:lang w:val="en-AU"/>
              </w:rPr>
              <w:t>Below Year 10</w:t>
            </w:r>
          </w:p>
        </w:tc>
        <w:tc>
          <w:tcPr>
            <w:tcW w:w="495" w:type="pct"/>
            <w:tcBorders>
              <w:top w:val="nil"/>
              <w:bottom w:val="nil"/>
            </w:tcBorders>
          </w:tcPr>
          <w:p w14:paraId="7BC8F64F"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2</w:t>
            </w:r>
            <w:r w:rsidRPr="00207DC2">
              <w:rPr>
                <w:rFonts w:cs="Calibri Light"/>
                <w:szCs w:val="20"/>
                <w:lang w:val="en-AU"/>
              </w:rPr>
              <w:t>*</w:t>
            </w:r>
          </w:p>
        </w:tc>
        <w:tc>
          <w:tcPr>
            <w:tcW w:w="565" w:type="pct"/>
            <w:tcBorders>
              <w:top w:val="nil"/>
              <w:bottom w:val="nil"/>
            </w:tcBorders>
          </w:tcPr>
          <w:p w14:paraId="679E308E"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0.9</w:t>
            </w:r>
          </w:p>
        </w:tc>
        <w:tc>
          <w:tcPr>
            <w:tcW w:w="459" w:type="pct"/>
            <w:tcBorders>
              <w:top w:val="nil"/>
              <w:bottom w:val="nil"/>
            </w:tcBorders>
          </w:tcPr>
          <w:p w14:paraId="3AB99B2B"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9</w:t>
            </w:r>
          </w:p>
        </w:tc>
      </w:tr>
      <w:tr w:rsidR="000C072D" w:rsidRPr="00207DC2" w14:paraId="1B91B02D"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12F9FA3F" w14:textId="77777777" w:rsidR="000C072D" w:rsidRPr="00207DC2" w:rsidRDefault="00F15DFA" w:rsidP="00FB626D">
            <w:pPr>
              <w:keepNext/>
              <w:keepLines/>
              <w:spacing w:before="0" w:after="0"/>
              <w:ind w:left="283" w:right="0"/>
              <w:rPr>
                <w:rFonts w:cs="Calibri Light"/>
                <w:b w:val="0"/>
                <w:szCs w:val="20"/>
                <w:lang w:val="en-AU"/>
              </w:rPr>
            </w:pPr>
            <w:r w:rsidRPr="00207DC2">
              <w:rPr>
                <w:b w:val="0"/>
                <w:lang w:val="en-AU"/>
              </w:rPr>
              <w:t>Years 10-11</w:t>
            </w:r>
          </w:p>
        </w:tc>
        <w:tc>
          <w:tcPr>
            <w:tcW w:w="495" w:type="pct"/>
            <w:tcBorders>
              <w:top w:val="nil"/>
              <w:bottom w:val="nil"/>
            </w:tcBorders>
          </w:tcPr>
          <w:p w14:paraId="1B01F52B"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2</w:t>
            </w:r>
            <w:r w:rsidRPr="00207DC2">
              <w:rPr>
                <w:rFonts w:cs="Calibri Light"/>
                <w:szCs w:val="20"/>
                <w:lang w:val="en-AU"/>
              </w:rPr>
              <w:t>*</w:t>
            </w:r>
          </w:p>
        </w:tc>
        <w:tc>
          <w:tcPr>
            <w:tcW w:w="565" w:type="pct"/>
            <w:tcBorders>
              <w:top w:val="nil"/>
              <w:bottom w:val="nil"/>
            </w:tcBorders>
          </w:tcPr>
          <w:p w14:paraId="35272187"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w:t>
            </w:r>
            <w:r w:rsidR="006F7CC2" w:rsidRPr="00207DC2">
              <w:rPr>
                <w:lang w:val="en-AU"/>
              </w:rPr>
              <w:t>9</w:t>
            </w:r>
            <w:r w:rsidRPr="00207DC2">
              <w:rPr>
                <w:rFonts w:cs="Calibri Light"/>
                <w:szCs w:val="20"/>
                <w:lang w:val="en-AU"/>
              </w:rPr>
              <w:t>*</w:t>
            </w:r>
          </w:p>
        </w:tc>
        <w:tc>
          <w:tcPr>
            <w:tcW w:w="459" w:type="pct"/>
            <w:tcBorders>
              <w:top w:val="nil"/>
              <w:bottom w:val="nil"/>
            </w:tcBorders>
          </w:tcPr>
          <w:p w14:paraId="393E06A5"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6</w:t>
            </w:r>
          </w:p>
        </w:tc>
      </w:tr>
      <w:tr w:rsidR="000C072D" w:rsidRPr="00207DC2" w14:paraId="75ABD025"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dashSmallGap" w:sz="4" w:space="0" w:color="auto"/>
            </w:tcBorders>
            <w:vAlign w:val="top"/>
          </w:tcPr>
          <w:p w14:paraId="3F2065B8"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T</w:t>
            </w:r>
            <w:r w:rsidR="00F15DFA" w:rsidRPr="00207DC2">
              <w:rPr>
                <w:b w:val="0"/>
                <w:lang w:val="en-AU"/>
              </w:rPr>
              <w:t>rade/Vocational/Diploma/Degree</w:t>
            </w:r>
          </w:p>
        </w:tc>
        <w:tc>
          <w:tcPr>
            <w:tcW w:w="495" w:type="pct"/>
            <w:tcBorders>
              <w:top w:val="nil"/>
              <w:bottom w:val="dashSmallGap" w:sz="4" w:space="0" w:color="auto"/>
            </w:tcBorders>
          </w:tcPr>
          <w:p w14:paraId="58EB2699"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0.9*</w:t>
            </w:r>
          </w:p>
        </w:tc>
        <w:tc>
          <w:tcPr>
            <w:tcW w:w="565" w:type="pct"/>
            <w:tcBorders>
              <w:top w:val="nil"/>
              <w:bottom w:val="dashSmallGap" w:sz="4" w:space="0" w:color="auto"/>
            </w:tcBorders>
          </w:tcPr>
          <w:p w14:paraId="5034A4DB"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0.7*</w:t>
            </w:r>
          </w:p>
        </w:tc>
        <w:tc>
          <w:tcPr>
            <w:tcW w:w="459" w:type="pct"/>
            <w:tcBorders>
              <w:top w:val="nil"/>
              <w:bottom w:val="dashSmallGap" w:sz="4" w:space="0" w:color="auto"/>
            </w:tcBorders>
          </w:tcPr>
          <w:p w14:paraId="0EA54745"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110</w:t>
            </w:r>
            <w:r w:rsidRPr="00207DC2">
              <w:rPr>
                <w:rFonts w:cs="Calibri Light"/>
                <w:szCs w:val="20"/>
                <w:lang w:val="en-AU"/>
              </w:rPr>
              <w:t>*</w:t>
            </w:r>
          </w:p>
        </w:tc>
      </w:tr>
      <w:tr w:rsidR="000C072D" w:rsidRPr="00207DC2" w14:paraId="179289E8"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dashSmallGap" w:sz="4" w:space="0" w:color="auto"/>
            </w:tcBorders>
            <w:vAlign w:val="top"/>
          </w:tcPr>
          <w:p w14:paraId="5B5D107A"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Has been convicted or sentenced (compared with No criminal history)</w:t>
            </w:r>
          </w:p>
        </w:tc>
        <w:tc>
          <w:tcPr>
            <w:tcW w:w="495" w:type="pct"/>
            <w:tcBorders>
              <w:top w:val="dashSmallGap" w:sz="4" w:space="0" w:color="auto"/>
              <w:bottom w:val="dashSmallGap" w:sz="4" w:space="0" w:color="auto"/>
            </w:tcBorders>
          </w:tcPr>
          <w:p w14:paraId="1C4E0E09"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1.3*</w:t>
            </w:r>
          </w:p>
        </w:tc>
        <w:tc>
          <w:tcPr>
            <w:tcW w:w="565" w:type="pct"/>
            <w:tcBorders>
              <w:top w:val="dashSmallGap" w:sz="4" w:space="0" w:color="auto"/>
              <w:bottom w:val="dashSmallGap" w:sz="4" w:space="0" w:color="auto"/>
            </w:tcBorders>
          </w:tcPr>
          <w:p w14:paraId="797D3074"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1.1</w:t>
            </w:r>
          </w:p>
        </w:tc>
        <w:tc>
          <w:tcPr>
            <w:tcW w:w="459" w:type="pct"/>
            <w:tcBorders>
              <w:top w:val="dashSmallGap" w:sz="4" w:space="0" w:color="auto"/>
              <w:bottom w:val="dashSmallGap" w:sz="4" w:space="0" w:color="auto"/>
            </w:tcBorders>
          </w:tcPr>
          <w:p w14:paraId="52B8D364"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-4</w:t>
            </w:r>
          </w:p>
        </w:tc>
      </w:tr>
      <w:tr w:rsidR="000C072D" w:rsidRPr="00207DC2" w14:paraId="445121AB"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dashSmallGap" w:sz="4" w:space="0" w:color="auto"/>
            </w:tcBorders>
            <w:vAlign w:val="top"/>
          </w:tcPr>
          <w:p w14:paraId="6BC1564E"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Provider organisation: Indigenous (compared with Non-Indigenous)</w:t>
            </w:r>
          </w:p>
        </w:tc>
        <w:tc>
          <w:tcPr>
            <w:tcW w:w="495" w:type="pct"/>
            <w:tcBorders>
              <w:top w:val="dashSmallGap" w:sz="4" w:space="0" w:color="auto"/>
              <w:bottom w:val="dashSmallGap" w:sz="4" w:space="0" w:color="auto"/>
            </w:tcBorders>
          </w:tcPr>
          <w:p w14:paraId="7318E40C"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0.1</w:t>
            </w:r>
            <w:r w:rsidR="006F7CC2" w:rsidRPr="00207DC2">
              <w:rPr>
                <w:lang w:val="en-AU"/>
              </w:rPr>
              <w:t>*</w:t>
            </w:r>
          </w:p>
        </w:tc>
        <w:tc>
          <w:tcPr>
            <w:tcW w:w="565" w:type="pct"/>
            <w:tcBorders>
              <w:top w:val="dashSmallGap" w:sz="4" w:space="0" w:color="auto"/>
              <w:bottom w:val="dashSmallGap" w:sz="4" w:space="0" w:color="auto"/>
            </w:tcBorders>
          </w:tcPr>
          <w:p w14:paraId="1CF187FD"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0.3</w:t>
            </w:r>
          </w:p>
        </w:tc>
        <w:tc>
          <w:tcPr>
            <w:tcW w:w="459" w:type="pct"/>
            <w:tcBorders>
              <w:top w:val="dashSmallGap" w:sz="4" w:space="0" w:color="auto"/>
              <w:bottom w:val="dashSmallGap" w:sz="4" w:space="0" w:color="auto"/>
            </w:tcBorders>
          </w:tcPr>
          <w:p w14:paraId="78FAB07A"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160</w:t>
            </w:r>
          </w:p>
        </w:tc>
      </w:tr>
      <w:tr w:rsidR="000C072D" w:rsidRPr="00207DC2" w14:paraId="5B1C7D43"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dashSmallGap" w:sz="4" w:space="0" w:color="auto"/>
            </w:tcBorders>
            <w:vAlign w:val="top"/>
          </w:tcPr>
          <w:p w14:paraId="778585F1"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Female (compared with Male)</w:t>
            </w:r>
          </w:p>
        </w:tc>
        <w:tc>
          <w:tcPr>
            <w:tcW w:w="495" w:type="pct"/>
            <w:tcBorders>
              <w:top w:val="dashSmallGap" w:sz="4" w:space="0" w:color="auto"/>
              <w:bottom w:val="dashSmallGap" w:sz="4" w:space="0" w:color="auto"/>
            </w:tcBorders>
          </w:tcPr>
          <w:p w14:paraId="5870732C"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0.8*</w:t>
            </w:r>
          </w:p>
        </w:tc>
        <w:tc>
          <w:tcPr>
            <w:tcW w:w="565" w:type="pct"/>
            <w:tcBorders>
              <w:top w:val="dashSmallGap" w:sz="4" w:space="0" w:color="auto"/>
              <w:bottom w:val="dashSmallGap" w:sz="4" w:space="0" w:color="auto"/>
            </w:tcBorders>
          </w:tcPr>
          <w:p w14:paraId="6CFF4C4D"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05</w:t>
            </w:r>
          </w:p>
        </w:tc>
        <w:tc>
          <w:tcPr>
            <w:tcW w:w="459" w:type="pct"/>
            <w:tcBorders>
              <w:top w:val="dashSmallGap" w:sz="4" w:space="0" w:color="auto"/>
              <w:bottom w:val="dashSmallGap" w:sz="4" w:space="0" w:color="auto"/>
            </w:tcBorders>
          </w:tcPr>
          <w:p w14:paraId="191F26B4"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29</w:t>
            </w:r>
          </w:p>
        </w:tc>
      </w:tr>
      <w:tr w:rsidR="00F15DFA" w:rsidRPr="00207DC2" w14:paraId="7CE7836C"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nil"/>
            </w:tcBorders>
            <w:shd w:val="clear" w:color="auto" w:fill="D0D2D3" w:themeFill="background2"/>
            <w:vAlign w:val="top"/>
          </w:tcPr>
          <w:p w14:paraId="6EFE642E" w14:textId="77777777" w:rsidR="00F15DFA" w:rsidRPr="00207DC2" w:rsidRDefault="00986D8D" w:rsidP="00FB626D">
            <w:pPr>
              <w:keepNext/>
              <w:keepLines/>
              <w:spacing w:before="0" w:after="0"/>
              <w:ind w:left="113"/>
              <w:rPr>
                <w:lang w:val="en-AU"/>
              </w:rPr>
            </w:pPr>
            <w:r w:rsidRPr="00207DC2">
              <w:rPr>
                <w:lang w:val="en-AU"/>
              </w:rPr>
              <w:t>Age group (compared with 25 to</w:t>
            </w:r>
            <w:r w:rsidR="00F15DFA" w:rsidRPr="00207DC2">
              <w:rPr>
                <w:lang w:val="en-AU"/>
              </w:rPr>
              <w:t xml:space="preserve"> 34 years)</w:t>
            </w:r>
          </w:p>
        </w:tc>
        <w:tc>
          <w:tcPr>
            <w:tcW w:w="495" w:type="pct"/>
            <w:tcBorders>
              <w:top w:val="dashSmallGap" w:sz="4" w:space="0" w:color="auto"/>
              <w:bottom w:val="nil"/>
            </w:tcBorders>
            <w:shd w:val="clear" w:color="auto" w:fill="D0D2D3" w:themeFill="background2"/>
          </w:tcPr>
          <w:p w14:paraId="305627AE" w14:textId="77777777" w:rsidR="00F15DFA" w:rsidRPr="00207DC2" w:rsidRDefault="00F15DFA" w:rsidP="00FB626D">
            <w:pPr>
              <w:keepNext/>
              <w:keepLines/>
              <w:tabs>
                <w:tab w:val="decimal" w:pos="392"/>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565" w:type="pct"/>
            <w:tcBorders>
              <w:top w:val="dashSmallGap" w:sz="4" w:space="0" w:color="auto"/>
              <w:bottom w:val="nil"/>
            </w:tcBorders>
            <w:shd w:val="clear" w:color="auto" w:fill="D0D2D3" w:themeFill="background2"/>
          </w:tcPr>
          <w:p w14:paraId="743D187F" w14:textId="77777777" w:rsidR="00F15DFA" w:rsidRPr="00207DC2" w:rsidRDefault="00F15DFA" w:rsidP="00FB626D">
            <w:pPr>
              <w:keepNext/>
              <w:keepLines/>
              <w:tabs>
                <w:tab w:val="decimal" w:pos="376"/>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459" w:type="pct"/>
            <w:tcBorders>
              <w:top w:val="dashSmallGap" w:sz="4" w:space="0" w:color="auto"/>
              <w:bottom w:val="nil"/>
            </w:tcBorders>
            <w:shd w:val="clear" w:color="auto" w:fill="D0D2D3" w:themeFill="background2"/>
          </w:tcPr>
          <w:p w14:paraId="66E1BB9E" w14:textId="77777777" w:rsidR="00F15DFA" w:rsidRPr="00207DC2" w:rsidRDefault="00F15DFA" w:rsidP="00FB626D">
            <w:pPr>
              <w:keepNext/>
              <w:keepLines/>
              <w:tabs>
                <w:tab w:val="decimal" w:pos="558"/>
              </w:tabs>
              <w:spacing w:before="0" w:after="0"/>
              <w:ind w:right="113"/>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r>
      <w:tr w:rsidR="000C072D" w:rsidRPr="00207DC2" w14:paraId="21D5EE6C"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58A9BD12"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15 to</w:t>
            </w:r>
            <w:r w:rsidR="00F15DFA" w:rsidRPr="00207DC2">
              <w:rPr>
                <w:b w:val="0"/>
                <w:lang w:val="en-AU"/>
              </w:rPr>
              <w:t xml:space="preserve"> 24 years</w:t>
            </w:r>
          </w:p>
        </w:tc>
        <w:tc>
          <w:tcPr>
            <w:tcW w:w="495" w:type="pct"/>
            <w:tcBorders>
              <w:top w:val="nil"/>
              <w:bottom w:val="nil"/>
            </w:tcBorders>
          </w:tcPr>
          <w:p w14:paraId="02C738AE"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3</w:t>
            </w:r>
            <w:r w:rsidRPr="00207DC2">
              <w:rPr>
                <w:rFonts w:cs="Calibri Light"/>
                <w:szCs w:val="20"/>
                <w:lang w:val="en-AU"/>
              </w:rPr>
              <w:t>*</w:t>
            </w:r>
          </w:p>
        </w:tc>
        <w:tc>
          <w:tcPr>
            <w:tcW w:w="565" w:type="pct"/>
            <w:tcBorders>
              <w:top w:val="nil"/>
              <w:bottom w:val="nil"/>
            </w:tcBorders>
          </w:tcPr>
          <w:p w14:paraId="2FD61639"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0.9*</w:t>
            </w:r>
          </w:p>
        </w:tc>
        <w:tc>
          <w:tcPr>
            <w:tcW w:w="459" w:type="pct"/>
            <w:tcBorders>
              <w:top w:val="nil"/>
              <w:bottom w:val="nil"/>
            </w:tcBorders>
          </w:tcPr>
          <w:p w14:paraId="431F463A"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36</w:t>
            </w:r>
          </w:p>
        </w:tc>
      </w:tr>
      <w:tr w:rsidR="000C072D" w:rsidRPr="00207DC2" w14:paraId="12AFE9E3"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2728666D"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35 to</w:t>
            </w:r>
            <w:r w:rsidR="00F15DFA" w:rsidRPr="00207DC2">
              <w:rPr>
                <w:b w:val="0"/>
                <w:lang w:val="en-AU"/>
              </w:rPr>
              <w:t xml:space="preserve"> 44 years</w:t>
            </w:r>
          </w:p>
        </w:tc>
        <w:tc>
          <w:tcPr>
            <w:tcW w:w="495" w:type="pct"/>
            <w:tcBorders>
              <w:top w:val="nil"/>
              <w:bottom w:val="nil"/>
            </w:tcBorders>
          </w:tcPr>
          <w:p w14:paraId="53EE181F"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0.7*</w:t>
            </w:r>
          </w:p>
        </w:tc>
        <w:tc>
          <w:tcPr>
            <w:tcW w:w="565" w:type="pct"/>
            <w:tcBorders>
              <w:top w:val="nil"/>
              <w:bottom w:val="nil"/>
            </w:tcBorders>
          </w:tcPr>
          <w:p w14:paraId="702043C3"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0.6*</w:t>
            </w:r>
          </w:p>
        </w:tc>
        <w:tc>
          <w:tcPr>
            <w:tcW w:w="459" w:type="pct"/>
            <w:tcBorders>
              <w:top w:val="nil"/>
              <w:bottom w:val="nil"/>
            </w:tcBorders>
          </w:tcPr>
          <w:p w14:paraId="20D47C43"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229</w:t>
            </w:r>
            <w:r w:rsidRPr="00207DC2">
              <w:rPr>
                <w:rFonts w:cs="Calibri Light"/>
                <w:szCs w:val="20"/>
                <w:lang w:val="en-AU"/>
              </w:rPr>
              <w:t>*</w:t>
            </w:r>
          </w:p>
        </w:tc>
      </w:tr>
      <w:tr w:rsidR="000C072D" w:rsidRPr="00207DC2" w14:paraId="0DC79BC0"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01AC7140"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45 to</w:t>
            </w:r>
            <w:r w:rsidR="00F15DFA" w:rsidRPr="00207DC2">
              <w:rPr>
                <w:b w:val="0"/>
                <w:lang w:val="en-AU"/>
              </w:rPr>
              <w:t xml:space="preserve"> 54 years</w:t>
            </w:r>
          </w:p>
        </w:tc>
        <w:tc>
          <w:tcPr>
            <w:tcW w:w="495" w:type="pct"/>
            <w:tcBorders>
              <w:top w:val="nil"/>
              <w:bottom w:val="nil"/>
            </w:tcBorders>
          </w:tcPr>
          <w:p w14:paraId="4F81582D"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0.4*</w:t>
            </w:r>
          </w:p>
        </w:tc>
        <w:tc>
          <w:tcPr>
            <w:tcW w:w="565" w:type="pct"/>
            <w:tcBorders>
              <w:top w:val="nil"/>
              <w:bottom w:val="nil"/>
            </w:tcBorders>
          </w:tcPr>
          <w:p w14:paraId="30208B78"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w:t>
            </w:r>
            <w:r w:rsidR="006F7CC2" w:rsidRPr="00207DC2">
              <w:rPr>
                <w:lang w:val="en-AU"/>
              </w:rPr>
              <w:t>3</w:t>
            </w:r>
            <w:r w:rsidRPr="00207DC2">
              <w:rPr>
                <w:rFonts w:cs="Calibri Light"/>
                <w:szCs w:val="20"/>
                <w:lang w:val="en-AU"/>
              </w:rPr>
              <w:t>*</w:t>
            </w:r>
          </w:p>
        </w:tc>
        <w:tc>
          <w:tcPr>
            <w:tcW w:w="459" w:type="pct"/>
            <w:tcBorders>
              <w:top w:val="nil"/>
              <w:bottom w:val="nil"/>
            </w:tcBorders>
          </w:tcPr>
          <w:p w14:paraId="6B935242"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636</w:t>
            </w:r>
            <w:r w:rsidRPr="00207DC2">
              <w:rPr>
                <w:rFonts w:cs="Calibri Light"/>
                <w:szCs w:val="20"/>
                <w:lang w:val="en-AU"/>
              </w:rPr>
              <w:t>*</w:t>
            </w:r>
          </w:p>
        </w:tc>
      </w:tr>
      <w:tr w:rsidR="000C072D" w:rsidRPr="00207DC2" w14:paraId="48C569D8"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dashSmallGap" w:sz="4" w:space="0" w:color="auto"/>
            </w:tcBorders>
            <w:vAlign w:val="top"/>
          </w:tcPr>
          <w:p w14:paraId="3DAECC46"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55</w:t>
            </w:r>
            <w:r w:rsidR="00F15DFA" w:rsidRPr="00207DC2">
              <w:rPr>
                <w:b w:val="0"/>
                <w:lang w:val="en-AU"/>
              </w:rPr>
              <w:t xml:space="preserve"> years</w:t>
            </w:r>
            <w:r w:rsidRPr="00207DC2">
              <w:rPr>
                <w:b w:val="0"/>
                <w:lang w:val="en-AU"/>
              </w:rPr>
              <w:t xml:space="preserve"> and over</w:t>
            </w:r>
          </w:p>
        </w:tc>
        <w:tc>
          <w:tcPr>
            <w:tcW w:w="495" w:type="pct"/>
            <w:tcBorders>
              <w:top w:val="nil"/>
              <w:bottom w:val="dashSmallGap" w:sz="4" w:space="0" w:color="auto"/>
            </w:tcBorders>
          </w:tcPr>
          <w:p w14:paraId="75DF63C1"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0.1*</w:t>
            </w:r>
          </w:p>
        </w:tc>
        <w:tc>
          <w:tcPr>
            <w:tcW w:w="565" w:type="pct"/>
            <w:tcBorders>
              <w:top w:val="nil"/>
              <w:bottom w:val="dashSmallGap" w:sz="4" w:space="0" w:color="auto"/>
            </w:tcBorders>
          </w:tcPr>
          <w:p w14:paraId="1602EA83"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0.03*</w:t>
            </w:r>
          </w:p>
        </w:tc>
        <w:tc>
          <w:tcPr>
            <w:tcW w:w="459" w:type="pct"/>
            <w:tcBorders>
              <w:top w:val="nil"/>
              <w:bottom w:val="dashSmallGap" w:sz="4" w:space="0" w:color="auto"/>
            </w:tcBorders>
          </w:tcPr>
          <w:p w14:paraId="08EB5FC3"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-1182*</w:t>
            </w:r>
          </w:p>
        </w:tc>
      </w:tr>
      <w:tr w:rsidR="00F15DFA" w:rsidRPr="00207DC2" w14:paraId="4ECB4AB1"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nil"/>
            </w:tcBorders>
            <w:shd w:val="clear" w:color="auto" w:fill="D0D2D3" w:themeFill="background2"/>
            <w:vAlign w:val="top"/>
          </w:tcPr>
          <w:p w14:paraId="587A718A" w14:textId="77777777" w:rsidR="00F15DFA" w:rsidRPr="00207DC2" w:rsidRDefault="00F15DFA" w:rsidP="00FB626D">
            <w:pPr>
              <w:keepNext/>
              <w:keepLines/>
              <w:spacing w:before="0" w:after="0"/>
              <w:ind w:left="113"/>
              <w:rPr>
                <w:lang w:val="en-AU"/>
              </w:rPr>
            </w:pPr>
            <w:r w:rsidRPr="00207DC2">
              <w:rPr>
                <w:lang w:val="en-AU"/>
              </w:rPr>
              <w:t xml:space="preserve">Duration </w:t>
            </w:r>
            <w:r w:rsidR="00986D8D" w:rsidRPr="00207DC2">
              <w:rPr>
                <w:lang w:val="en-AU"/>
              </w:rPr>
              <w:t xml:space="preserve">unemployed (compared with 1 to </w:t>
            </w:r>
            <w:r w:rsidRPr="00207DC2">
              <w:rPr>
                <w:lang w:val="en-AU"/>
              </w:rPr>
              <w:t>6 months)</w:t>
            </w:r>
          </w:p>
        </w:tc>
        <w:tc>
          <w:tcPr>
            <w:tcW w:w="495" w:type="pct"/>
            <w:tcBorders>
              <w:top w:val="dashSmallGap" w:sz="4" w:space="0" w:color="auto"/>
              <w:bottom w:val="nil"/>
            </w:tcBorders>
            <w:shd w:val="clear" w:color="auto" w:fill="D0D2D3" w:themeFill="background2"/>
          </w:tcPr>
          <w:p w14:paraId="6C628E73" w14:textId="77777777" w:rsidR="00F15DFA" w:rsidRPr="00207DC2" w:rsidRDefault="00F15DFA" w:rsidP="00FB626D">
            <w:pPr>
              <w:keepNext/>
              <w:keepLines/>
              <w:tabs>
                <w:tab w:val="decimal" w:pos="392"/>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565" w:type="pct"/>
            <w:tcBorders>
              <w:top w:val="dashSmallGap" w:sz="4" w:space="0" w:color="auto"/>
              <w:bottom w:val="nil"/>
            </w:tcBorders>
            <w:shd w:val="clear" w:color="auto" w:fill="D0D2D3" w:themeFill="background2"/>
          </w:tcPr>
          <w:p w14:paraId="1BFFD162" w14:textId="77777777" w:rsidR="00F15DFA" w:rsidRPr="00207DC2" w:rsidRDefault="00F15DFA" w:rsidP="00FB626D">
            <w:pPr>
              <w:keepNext/>
              <w:keepLines/>
              <w:tabs>
                <w:tab w:val="decimal" w:pos="376"/>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459" w:type="pct"/>
            <w:tcBorders>
              <w:top w:val="dashSmallGap" w:sz="4" w:space="0" w:color="auto"/>
              <w:bottom w:val="nil"/>
            </w:tcBorders>
            <w:shd w:val="clear" w:color="auto" w:fill="D0D2D3" w:themeFill="background2"/>
          </w:tcPr>
          <w:p w14:paraId="40105CF7" w14:textId="77777777" w:rsidR="00F15DFA" w:rsidRPr="00207DC2" w:rsidRDefault="00F15DFA" w:rsidP="00FB626D">
            <w:pPr>
              <w:keepNext/>
              <w:keepLines/>
              <w:tabs>
                <w:tab w:val="decimal" w:pos="558"/>
              </w:tabs>
              <w:spacing w:before="0" w:after="0"/>
              <w:ind w:right="113"/>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r>
      <w:tr w:rsidR="000C072D" w:rsidRPr="00207DC2" w14:paraId="6AD314A2"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67FD55C5"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 xml:space="preserve">Less than </w:t>
            </w:r>
            <w:r w:rsidR="00F15DFA" w:rsidRPr="00207DC2">
              <w:rPr>
                <w:b w:val="0"/>
                <w:lang w:val="en-AU"/>
              </w:rPr>
              <w:t>1 month</w:t>
            </w:r>
          </w:p>
        </w:tc>
        <w:tc>
          <w:tcPr>
            <w:tcW w:w="495" w:type="pct"/>
            <w:tcBorders>
              <w:top w:val="nil"/>
              <w:bottom w:val="nil"/>
            </w:tcBorders>
          </w:tcPr>
          <w:p w14:paraId="7CD04EDD"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0.8*</w:t>
            </w:r>
          </w:p>
        </w:tc>
        <w:tc>
          <w:tcPr>
            <w:tcW w:w="565" w:type="pct"/>
            <w:tcBorders>
              <w:top w:val="nil"/>
              <w:bottom w:val="nil"/>
            </w:tcBorders>
          </w:tcPr>
          <w:p w14:paraId="5E6E6E7E"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w:t>
            </w:r>
            <w:r w:rsidR="006F7CC2" w:rsidRPr="00207DC2">
              <w:rPr>
                <w:lang w:val="en-AU"/>
              </w:rPr>
              <w:t>9</w:t>
            </w:r>
            <w:r w:rsidRPr="00207DC2">
              <w:rPr>
                <w:rFonts w:cs="Calibri Light"/>
                <w:szCs w:val="20"/>
                <w:lang w:val="en-AU"/>
              </w:rPr>
              <w:t>*</w:t>
            </w:r>
          </w:p>
        </w:tc>
        <w:tc>
          <w:tcPr>
            <w:tcW w:w="459" w:type="pct"/>
            <w:tcBorders>
              <w:top w:val="nil"/>
              <w:bottom w:val="nil"/>
            </w:tcBorders>
          </w:tcPr>
          <w:p w14:paraId="4D91BB81"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74</w:t>
            </w:r>
            <w:r w:rsidRPr="00207DC2">
              <w:rPr>
                <w:rFonts w:cs="Calibri Light"/>
                <w:szCs w:val="20"/>
                <w:lang w:val="en-AU"/>
              </w:rPr>
              <w:t>*</w:t>
            </w:r>
          </w:p>
        </w:tc>
      </w:tr>
      <w:tr w:rsidR="000C072D" w:rsidRPr="00207DC2" w14:paraId="7BED552A"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3ECB83B6" w14:textId="77777777" w:rsidR="000C072D" w:rsidRPr="00207DC2" w:rsidRDefault="00986D8D" w:rsidP="00FB626D">
            <w:pPr>
              <w:keepNext/>
              <w:keepLines/>
              <w:spacing w:before="0" w:after="0"/>
              <w:ind w:left="283" w:right="0"/>
              <w:rPr>
                <w:rFonts w:cs="Calibri Light"/>
                <w:b w:val="0"/>
                <w:szCs w:val="20"/>
                <w:lang w:val="en-AU"/>
              </w:rPr>
            </w:pPr>
            <w:r w:rsidRPr="00207DC2">
              <w:rPr>
                <w:b w:val="0"/>
                <w:lang w:val="en-AU"/>
              </w:rPr>
              <w:t xml:space="preserve">6 months up to </w:t>
            </w:r>
            <w:r w:rsidR="00F15DFA" w:rsidRPr="00207DC2">
              <w:rPr>
                <w:b w:val="0"/>
                <w:lang w:val="en-AU"/>
              </w:rPr>
              <w:t>1 year</w:t>
            </w:r>
          </w:p>
        </w:tc>
        <w:tc>
          <w:tcPr>
            <w:tcW w:w="495" w:type="pct"/>
            <w:tcBorders>
              <w:top w:val="nil"/>
              <w:bottom w:val="nil"/>
            </w:tcBorders>
          </w:tcPr>
          <w:p w14:paraId="2088B682"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1.1</w:t>
            </w:r>
          </w:p>
        </w:tc>
        <w:tc>
          <w:tcPr>
            <w:tcW w:w="565" w:type="pct"/>
            <w:tcBorders>
              <w:top w:val="nil"/>
              <w:bottom w:val="nil"/>
            </w:tcBorders>
          </w:tcPr>
          <w:p w14:paraId="37CE6774"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1.2*</w:t>
            </w:r>
          </w:p>
        </w:tc>
        <w:tc>
          <w:tcPr>
            <w:tcW w:w="459" w:type="pct"/>
            <w:tcBorders>
              <w:top w:val="nil"/>
              <w:bottom w:val="nil"/>
            </w:tcBorders>
          </w:tcPr>
          <w:p w14:paraId="046398E6"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105*</w:t>
            </w:r>
          </w:p>
        </w:tc>
      </w:tr>
      <w:tr w:rsidR="000C072D" w:rsidRPr="00207DC2" w14:paraId="75B079EB"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dashSmallGap" w:sz="4" w:space="0" w:color="auto"/>
            </w:tcBorders>
            <w:vAlign w:val="top"/>
          </w:tcPr>
          <w:p w14:paraId="5AE93381" w14:textId="77777777" w:rsidR="000C072D" w:rsidRPr="00207DC2" w:rsidRDefault="00F15DFA" w:rsidP="00FB626D">
            <w:pPr>
              <w:keepNext/>
              <w:keepLines/>
              <w:spacing w:before="0" w:after="0"/>
              <w:ind w:left="283" w:right="0"/>
              <w:rPr>
                <w:rFonts w:cs="Calibri Light"/>
                <w:b w:val="0"/>
                <w:szCs w:val="20"/>
                <w:lang w:val="en-AU"/>
              </w:rPr>
            </w:pPr>
            <w:r w:rsidRPr="00207DC2">
              <w:rPr>
                <w:b w:val="0"/>
                <w:lang w:val="en-AU"/>
              </w:rPr>
              <w:t>1 year or more</w:t>
            </w:r>
          </w:p>
        </w:tc>
        <w:tc>
          <w:tcPr>
            <w:tcW w:w="495" w:type="pct"/>
            <w:tcBorders>
              <w:top w:val="nil"/>
              <w:bottom w:val="dashSmallGap" w:sz="4" w:space="0" w:color="auto"/>
            </w:tcBorders>
          </w:tcPr>
          <w:p w14:paraId="3F69B075"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1.2*</w:t>
            </w:r>
          </w:p>
        </w:tc>
        <w:tc>
          <w:tcPr>
            <w:tcW w:w="565" w:type="pct"/>
            <w:tcBorders>
              <w:top w:val="nil"/>
              <w:bottom w:val="dashSmallGap" w:sz="4" w:space="0" w:color="auto"/>
            </w:tcBorders>
          </w:tcPr>
          <w:p w14:paraId="54A3551D"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2</w:t>
            </w:r>
            <w:r w:rsidRPr="00207DC2">
              <w:rPr>
                <w:rFonts w:cs="Calibri Light"/>
                <w:szCs w:val="20"/>
                <w:lang w:val="en-AU"/>
              </w:rPr>
              <w:t>*</w:t>
            </w:r>
          </w:p>
        </w:tc>
        <w:tc>
          <w:tcPr>
            <w:tcW w:w="459" w:type="pct"/>
            <w:tcBorders>
              <w:top w:val="nil"/>
              <w:bottom w:val="dashSmallGap" w:sz="4" w:space="0" w:color="auto"/>
            </w:tcBorders>
          </w:tcPr>
          <w:p w14:paraId="190526DC"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75</w:t>
            </w:r>
            <w:r w:rsidR="000C072D" w:rsidRPr="00207DC2">
              <w:rPr>
                <w:rFonts w:cs="Calibri Light"/>
                <w:szCs w:val="20"/>
                <w:lang w:val="en-AU"/>
              </w:rPr>
              <w:t>*</w:t>
            </w:r>
          </w:p>
        </w:tc>
      </w:tr>
      <w:tr w:rsidR="00F15DFA" w:rsidRPr="00207DC2" w14:paraId="524F650E"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nil"/>
            </w:tcBorders>
            <w:shd w:val="clear" w:color="auto" w:fill="D0D2D3" w:themeFill="background2"/>
            <w:vAlign w:val="top"/>
          </w:tcPr>
          <w:p w14:paraId="0E422ED3" w14:textId="77777777" w:rsidR="00F15DFA" w:rsidRPr="00207DC2" w:rsidRDefault="00F15DFA" w:rsidP="00FB626D">
            <w:pPr>
              <w:keepNext/>
              <w:keepLines/>
              <w:spacing w:before="0" w:after="0"/>
              <w:ind w:left="113"/>
              <w:rPr>
                <w:b w:val="0"/>
                <w:lang w:val="en-AU"/>
              </w:rPr>
            </w:pPr>
            <w:r w:rsidRPr="00207DC2">
              <w:rPr>
                <w:lang w:val="en-AU"/>
              </w:rPr>
              <w:t>Share of the year that the person had:</w:t>
            </w:r>
            <w:r w:rsidR="00986D8D" w:rsidRPr="00207DC2">
              <w:rPr>
                <w:vertAlign w:val="superscript"/>
                <w:lang w:val="en-AU"/>
              </w:rPr>
              <w:t>b</w:t>
            </w:r>
          </w:p>
        </w:tc>
        <w:tc>
          <w:tcPr>
            <w:tcW w:w="495" w:type="pct"/>
            <w:tcBorders>
              <w:top w:val="dashSmallGap" w:sz="4" w:space="0" w:color="auto"/>
              <w:bottom w:val="nil"/>
            </w:tcBorders>
            <w:shd w:val="clear" w:color="auto" w:fill="D0D2D3" w:themeFill="background2"/>
          </w:tcPr>
          <w:p w14:paraId="1C0B1146" w14:textId="77777777" w:rsidR="00F15DFA" w:rsidRPr="00207DC2" w:rsidRDefault="00F15DFA" w:rsidP="00FB626D">
            <w:pPr>
              <w:keepNext/>
              <w:keepLines/>
              <w:tabs>
                <w:tab w:val="decimal" w:pos="392"/>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565" w:type="pct"/>
            <w:tcBorders>
              <w:top w:val="dashSmallGap" w:sz="4" w:space="0" w:color="auto"/>
              <w:bottom w:val="nil"/>
            </w:tcBorders>
            <w:shd w:val="clear" w:color="auto" w:fill="D0D2D3" w:themeFill="background2"/>
          </w:tcPr>
          <w:p w14:paraId="6FA25BE1" w14:textId="77777777" w:rsidR="00F15DFA" w:rsidRPr="00207DC2" w:rsidRDefault="00F15DFA" w:rsidP="00FB626D">
            <w:pPr>
              <w:keepNext/>
              <w:keepLines/>
              <w:tabs>
                <w:tab w:val="decimal" w:pos="376"/>
              </w:tabs>
              <w:spacing w:before="0" w:after="0"/>
              <w:ind w:left="170"/>
              <w:cnfStyle w:val="000000000000" w:firstRow="0" w:lastRow="0" w:firstColumn="0" w:lastColumn="0" w:oddVBand="0" w:evenVBand="0" w:oddHBand="0" w:evenHBand="0" w:firstRowFirstColumn="0" w:firstRowLastColumn="0" w:lastRowFirstColumn="0" w:lastRowLastColumn="0"/>
              <w:rPr>
                <w:rFonts w:cs="Calibri Light"/>
                <w:szCs w:val="20"/>
                <w:lang w:val="en-AU"/>
              </w:rPr>
            </w:pPr>
          </w:p>
        </w:tc>
        <w:tc>
          <w:tcPr>
            <w:tcW w:w="459" w:type="pct"/>
            <w:tcBorders>
              <w:top w:val="dashSmallGap" w:sz="4" w:space="0" w:color="auto"/>
              <w:bottom w:val="nil"/>
            </w:tcBorders>
            <w:shd w:val="clear" w:color="auto" w:fill="D0D2D3" w:themeFill="background2"/>
          </w:tcPr>
          <w:p w14:paraId="42ABC272" w14:textId="77777777" w:rsidR="00F15DFA" w:rsidRPr="00207DC2" w:rsidRDefault="00F15DFA" w:rsidP="00FB626D">
            <w:pPr>
              <w:keepNext/>
              <w:keepLines/>
              <w:tabs>
                <w:tab w:val="decimal" w:pos="558"/>
              </w:tabs>
              <w:spacing w:before="0" w:after="0"/>
              <w:ind w:right="113"/>
              <w:cnfStyle w:val="000000000000" w:firstRow="0" w:lastRow="0" w:firstColumn="0" w:lastColumn="0" w:oddVBand="0" w:evenVBand="0" w:oddHBand="0" w:evenHBand="0" w:firstRowFirstColumn="0" w:firstRowLastColumn="0" w:lastRowFirstColumn="0" w:lastRowLastColumn="0"/>
              <w:rPr>
                <w:lang w:val="en-AU"/>
              </w:rPr>
            </w:pPr>
          </w:p>
        </w:tc>
      </w:tr>
      <w:tr w:rsidR="000C072D" w:rsidRPr="00207DC2" w14:paraId="16FB7F6C"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4AE4BB87"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No transport</w:t>
            </w:r>
            <w:r w:rsidR="00986D8D" w:rsidRPr="00207DC2">
              <w:rPr>
                <w:b w:val="0"/>
                <w:vertAlign w:val="superscript"/>
                <w:lang w:val="en-AU"/>
              </w:rPr>
              <w:t>c</w:t>
            </w:r>
          </w:p>
        </w:tc>
        <w:tc>
          <w:tcPr>
            <w:tcW w:w="495" w:type="pct"/>
            <w:tcBorders>
              <w:top w:val="nil"/>
              <w:bottom w:val="nil"/>
            </w:tcBorders>
          </w:tcPr>
          <w:p w14:paraId="43FB0408"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8</w:t>
            </w:r>
            <w:r w:rsidRPr="00207DC2">
              <w:rPr>
                <w:rFonts w:cs="Calibri Light"/>
                <w:szCs w:val="20"/>
                <w:lang w:val="en-AU"/>
              </w:rPr>
              <w:t>*</w:t>
            </w:r>
          </w:p>
        </w:tc>
        <w:tc>
          <w:tcPr>
            <w:tcW w:w="565" w:type="pct"/>
            <w:tcBorders>
              <w:top w:val="nil"/>
              <w:bottom w:val="nil"/>
            </w:tcBorders>
          </w:tcPr>
          <w:p w14:paraId="0FD68685"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5</w:t>
            </w:r>
            <w:r w:rsidRPr="00207DC2">
              <w:rPr>
                <w:rFonts w:cs="Calibri Light"/>
                <w:szCs w:val="20"/>
                <w:lang w:val="en-AU"/>
              </w:rPr>
              <w:t>*</w:t>
            </w:r>
          </w:p>
        </w:tc>
        <w:tc>
          <w:tcPr>
            <w:tcW w:w="459" w:type="pct"/>
            <w:tcBorders>
              <w:top w:val="nil"/>
              <w:bottom w:val="nil"/>
            </w:tcBorders>
          </w:tcPr>
          <w:p w14:paraId="33F3471A"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148*</w:t>
            </w:r>
          </w:p>
        </w:tc>
      </w:tr>
      <w:tr w:rsidR="000C072D" w:rsidRPr="00207DC2" w14:paraId="627AB127"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495416F2"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Public or other private transport</w:t>
            </w:r>
            <w:r w:rsidR="00986D8D" w:rsidRPr="00207DC2">
              <w:rPr>
                <w:b w:val="0"/>
                <w:vertAlign w:val="superscript"/>
                <w:lang w:val="en-AU"/>
              </w:rPr>
              <w:t>c</w:t>
            </w:r>
          </w:p>
        </w:tc>
        <w:tc>
          <w:tcPr>
            <w:tcW w:w="495" w:type="pct"/>
            <w:tcBorders>
              <w:top w:val="nil"/>
              <w:bottom w:val="nil"/>
            </w:tcBorders>
          </w:tcPr>
          <w:p w14:paraId="3A010B0B"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6</w:t>
            </w:r>
            <w:r w:rsidRPr="00207DC2">
              <w:rPr>
                <w:rFonts w:cs="Calibri Light"/>
                <w:szCs w:val="20"/>
                <w:lang w:val="en-AU"/>
              </w:rPr>
              <w:t>*</w:t>
            </w:r>
          </w:p>
        </w:tc>
        <w:tc>
          <w:tcPr>
            <w:tcW w:w="565" w:type="pct"/>
            <w:tcBorders>
              <w:top w:val="nil"/>
              <w:bottom w:val="nil"/>
            </w:tcBorders>
          </w:tcPr>
          <w:p w14:paraId="551189A0"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3</w:t>
            </w:r>
            <w:r w:rsidRPr="00207DC2">
              <w:rPr>
                <w:rFonts w:cs="Calibri Light"/>
                <w:szCs w:val="20"/>
                <w:lang w:val="en-AU"/>
              </w:rPr>
              <w:t>*</w:t>
            </w:r>
          </w:p>
        </w:tc>
        <w:tc>
          <w:tcPr>
            <w:tcW w:w="459" w:type="pct"/>
            <w:tcBorders>
              <w:top w:val="nil"/>
              <w:bottom w:val="nil"/>
            </w:tcBorders>
          </w:tcPr>
          <w:p w14:paraId="1CD996CB"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79</w:t>
            </w:r>
            <w:r w:rsidR="000C072D" w:rsidRPr="00207DC2">
              <w:rPr>
                <w:rFonts w:cs="Calibri Light"/>
                <w:szCs w:val="20"/>
                <w:lang w:val="en-AU"/>
              </w:rPr>
              <w:t>*</w:t>
            </w:r>
          </w:p>
        </w:tc>
      </w:tr>
      <w:tr w:rsidR="000C072D" w:rsidRPr="00207DC2" w14:paraId="2454E3E4"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17EB02FB"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Pa</w:t>
            </w:r>
            <w:r w:rsidR="00986D8D" w:rsidRPr="00207DC2">
              <w:rPr>
                <w:b w:val="0"/>
                <w:lang w:val="en-AU"/>
              </w:rPr>
              <w:t xml:space="preserve">rent of a child aged </w:t>
            </w:r>
            <w:r w:rsidRPr="00207DC2">
              <w:rPr>
                <w:b w:val="0"/>
                <w:lang w:val="en-AU"/>
              </w:rPr>
              <w:t>15 years</w:t>
            </w:r>
            <w:r w:rsidR="00986D8D" w:rsidRPr="00207DC2">
              <w:rPr>
                <w:b w:val="0"/>
                <w:lang w:val="en-AU"/>
              </w:rPr>
              <w:t xml:space="preserve"> or under</w:t>
            </w:r>
          </w:p>
        </w:tc>
        <w:tc>
          <w:tcPr>
            <w:tcW w:w="495" w:type="pct"/>
            <w:tcBorders>
              <w:top w:val="nil"/>
              <w:bottom w:val="nil"/>
            </w:tcBorders>
          </w:tcPr>
          <w:p w14:paraId="2DDE1A8C" w14:textId="77777777" w:rsidR="000C072D" w:rsidRPr="00207DC2" w:rsidRDefault="006F7CC2"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1.1</w:t>
            </w:r>
          </w:p>
        </w:tc>
        <w:tc>
          <w:tcPr>
            <w:tcW w:w="565" w:type="pct"/>
            <w:tcBorders>
              <w:top w:val="nil"/>
              <w:bottom w:val="nil"/>
            </w:tcBorders>
          </w:tcPr>
          <w:p w14:paraId="3CAD2BA6"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w:t>
            </w:r>
            <w:r w:rsidR="006F7CC2" w:rsidRPr="00207DC2">
              <w:rPr>
                <w:lang w:val="en-AU"/>
              </w:rPr>
              <w:t>96</w:t>
            </w:r>
          </w:p>
        </w:tc>
        <w:tc>
          <w:tcPr>
            <w:tcW w:w="459" w:type="pct"/>
            <w:tcBorders>
              <w:top w:val="nil"/>
              <w:bottom w:val="nil"/>
            </w:tcBorders>
          </w:tcPr>
          <w:p w14:paraId="5A706162"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22</w:t>
            </w:r>
          </w:p>
        </w:tc>
      </w:tr>
      <w:tr w:rsidR="000C072D" w:rsidRPr="00207DC2" w14:paraId="785D6C3B"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67B75BE5"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Primary carer</w:t>
            </w:r>
          </w:p>
        </w:tc>
        <w:tc>
          <w:tcPr>
            <w:tcW w:w="495" w:type="pct"/>
            <w:tcBorders>
              <w:top w:val="nil"/>
              <w:bottom w:val="nil"/>
            </w:tcBorders>
          </w:tcPr>
          <w:p w14:paraId="004D57A2"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w:t>
            </w:r>
            <w:r w:rsidR="006F7CC2" w:rsidRPr="00207DC2">
              <w:rPr>
                <w:lang w:val="en-AU"/>
              </w:rPr>
              <w:t>6</w:t>
            </w:r>
            <w:r w:rsidRPr="00207DC2">
              <w:rPr>
                <w:rFonts w:cs="Calibri Light"/>
                <w:szCs w:val="20"/>
                <w:lang w:val="en-AU"/>
              </w:rPr>
              <w:t>*</w:t>
            </w:r>
          </w:p>
        </w:tc>
        <w:tc>
          <w:tcPr>
            <w:tcW w:w="565" w:type="pct"/>
            <w:tcBorders>
              <w:top w:val="nil"/>
              <w:bottom w:val="nil"/>
            </w:tcBorders>
          </w:tcPr>
          <w:p w14:paraId="3227837F"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0.7*</w:t>
            </w:r>
          </w:p>
        </w:tc>
        <w:tc>
          <w:tcPr>
            <w:tcW w:w="459" w:type="pct"/>
            <w:tcBorders>
              <w:top w:val="nil"/>
              <w:bottom w:val="nil"/>
            </w:tcBorders>
          </w:tcPr>
          <w:p w14:paraId="30EC67F8"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114</w:t>
            </w:r>
            <w:r w:rsidRPr="00207DC2">
              <w:rPr>
                <w:rFonts w:cs="Calibri Light"/>
                <w:szCs w:val="20"/>
                <w:lang w:val="en-AU"/>
              </w:rPr>
              <w:t>*</w:t>
            </w:r>
          </w:p>
        </w:tc>
      </w:tr>
      <w:tr w:rsidR="000C072D" w:rsidRPr="00207DC2" w14:paraId="56FC640A"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330E1D27"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Homeless</w:t>
            </w:r>
          </w:p>
        </w:tc>
        <w:tc>
          <w:tcPr>
            <w:tcW w:w="495" w:type="pct"/>
            <w:tcBorders>
              <w:top w:val="nil"/>
              <w:bottom w:val="nil"/>
            </w:tcBorders>
          </w:tcPr>
          <w:p w14:paraId="3F81359D"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1.1</w:t>
            </w:r>
            <w:r w:rsidR="006F7CC2" w:rsidRPr="00207DC2">
              <w:rPr>
                <w:lang w:val="en-AU"/>
              </w:rPr>
              <w:t>*</w:t>
            </w:r>
          </w:p>
        </w:tc>
        <w:tc>
          <w:tcPr>
            <w:tcW w:w="565" w:type="pct"/>
            <w:tcBorders>
              <w:top w:val="nil"/>
              <w:bottom w:val="nil"/>
            </w:tcBorders>
          </w:tcPr>
          <w:p w14:paraId="5AF296B5"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04</w:t>
            </w:r>
          </w:p>
        </w:tc>
        <w:tc>
          <w:tcPr>
            <w:tcW w:w="459" w:type="pct"/>
            <w:tcBorders>
              <w:top w:val="nil"/>
              <w:bottom w:val="nil"/>
            </w:tcBorders>
          </w:tcPr>
          <w:p w14:paraId="278C9351"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13</w:t>
            </w:r>
          </w:p>
        </w:tc>
      </w:tr>
      <w:tr w:rsidR="000C072D" w:rsidRPr="00207DC2" w14:paraId="4FABEF3D"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nil"/>
            </w:tcBorders>
            <w:vAlign w:val="top"/>
          </w:tcPr>
          <w:p w14:paraId="2B96B6C4" w14:textId="77777777" w:rsidR="000C072D" w:rsidRPr="00207DC2" w:rsidRDefault="000C072D" w:rsidP="00FB626D">
            <w:pPr>
              <w:keepNext/>
              <w:keepLines/>
              <w:spacing w:before="0" w:after="0"/>
              <w:ind w:left="283" w:right="0"/>
              <w:rPr>
                <w:rFonts w:cs="Calibri Light"/>
                <w:b w:val="0"/>
                <w:szCs w:val="20"/>
                <w:lang w:val="en-AU"/>
              </w:rPr>
            </w:pPr>
            <w:r w:rsidRPr="00207DC2">
              <w:rPr>
                <w:b w:val="0"/>
                <w:lang w:val="en-AU"/>
              </w:rPr>
              <w:t>Not contactable by phone</w:t>
            </w:r>
          </w:p>
        </w:tc>
        <w:tc>
          <w:tcPr>
            <w:tcW w:w="495" w:type="pct"/>
            <w:tcBorders>
              <w:top w:val="nil"/>
              <w:bottom w:val="nil"/>
            </w:tcBorders>
          </w:tcPr>
          <w:p w14:paraId="4FEE3C98"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8</w:t>
            </w:r>
            <w:r w:rsidRPr="00207DC2">
              <w:rPr>
                <w:rFonts w:cs="Calibri Light"/>
                <w:szCs w:val="20"/>
                <w:lang w:val="en-AU"/>
              </w:rPr>
              <w:t>*</w:t>
            </w:r>
          </w:p>
        </w:tc>
        <w:tc>
          <w:tcPr>
            <w:tcW w:w="565" w:type="pct"/>
            <w:tcBorders>
              <w:top w:val="nil"/>
              <w:bottom w:val="nil"/>
            </w:tcBorders>
          </w:tcPr>
          <w:p w14:paraId="01976053"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w:t>
            </w:r>
            <w:r w:rsidR="006F7CC2" w:rsidRPr="00207DC2">
              <w:rPr>
                <w:lang w:val="en-AU"/>
              </w:rPr>
              <w:t>6</w:t>
            </w:r>
            <w:r w:rsidRPr="00207DC2">
              <w:rPr>
                <w:rFonts w:cs="Calibri Light"/>
                <w:szCs w:val="20"/>
                <w:lang w:val="en-AU"/>
              </w:rPr>
              <w:t>*</w:t>
            </w:r>
          </w:p>
        </w:tc>
        <w:tc>
          <w:tcPr>
            <w:tcW w:w="459" w:type="pct"/>
            <w:tcBorders>
              <w:top w:val="nil"/>
              <w:bottom w:val="nil"/>
            </w:tcBorders>
          </w:tcPr>
          <w:p w14:paraId="2757001C"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180</w:t>
            </w:r>
            <w:r w:rsidR="000C072D" w:rsidRPr="00207DC2">
              <w:rPr>
                <w:rFonts w:cs="Calibri Light"/>
                <w:szCs w:val="20"/>
                <w:lang w:val="en-AU"/>
              </w:rPr>
              <w:t>*</w:t>
            </w:r>
          </w:p>
        </w:tc>
      </w:tr>
      <w:tr w:rsidR="000C072D" w:rsidRPr="00207DC2" w14:paraId="03E5E6C1"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nil"/>
              <w:bottom w:val="dashSmallGap" w:sz="4" w:space="0" w:color="auto"/>
            </w:tcBorders>
            <w:vAlign w:val="top"/>
          </w:tcPr>
          <w:p w14:paraId="1205DDED" w14:textId="321CD9EC" w:rsidR="000C072D" w:rsidRPr="00207DC2" w:rsidRDefault="007B3B50" w:rsidP="00FB626D">
            <w:pPr>
              <w:keepNext/>
              <w:keepLines/>
              <w:spacing w:before="0" w:after="0"/>
              <w:ind w:left="283" w:right="0"/>
              <w:rPr>
                <w:rFonts w:cs="Calibri Light"/>
                <w:b w:val="0"/>
                <w:szCs w:val="20"/>
                <w:lang w:val="en-AU"/>
              </w:rPr>
            </w:pPr>
            <w:r w:rsidRPr="00207DC2">
              <w:rPr>
                <w:b w:val="0"/>
                <w:lang w:val="en-AU"/>
              </w:rPr>
              <w:t xml:space="preserve">Activity tested and required to attend </w:t>
            </w:r>
            <w:r w:rsidR="000C072D" w:rsidRPr="00207DC2">
              <w:rPr>
                <w:b w:val="0"/>
                <w:lang w:val="en-AU"/>
              </w:rPr>
              <w:t>W</w:t>
            </w:r>
            <w:r w:rsidR="00341766" w:rsidRPr="00207DC2">
              <w:rPr>
                <w:b w:val="0"/>
                <w:lang w:val="en-AU"/>
              </w:rPr>
              <w:t xml:space="preserve">ork </w:t>
            </w:r>
            <w:r w:rsidR="000C072D" w:rsidRPr="00207DC2">
              <w:rPr>
                <w:b w:val="0"/>
                <w:lang w:val="en-AU"/>
              </w:rPr>
              <w:t>f</w:t>
            </w:r>
            <w:r w:rsidR="00341766" w:rsidRPr="00207DC2">
              <w:rPr>
                <w:b w:val="0"/>
                <w:lang w:val="en-AU"/>
              </w:rPr>
              <w:t xml:space="preserve">or the </w:t>
            </w:r>
            <w:r w:rsidR="000C072D" w:rsidRPr="00207DC2">
              <w:rPr>
                <w:b w:val="0"/>
                <w:lang w:val="en-AU"/>
              </w:rPr>
              <w:t>D</w:t>
            </w:r>
            <w:r w:rsidR="00341766" w:rsidRPr="00207DC2">
              <w:rPr>
                <w:b w:val="0"/>
                <w:lang w:val="en-AU"/>
              </w:rPr>
              <w:t>ole</w:t>
            </w:r>
          </w:p>
        </w:tc>
        <w:tc>
          <w:tcPr>
            <w:tcW w:w="495" w:type="pct"/>
            <w:tcBorders>
              <w:top w:val="nil"/>
              <w:bottom w:val="dashSmallGap" w:sz="4" w:space="0" w:color="auto"/>
            </w:tcBorders>
          </w:tcPr>
          <w:p w14:paraId="061F9854"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2.</w:t>
            </w:r>
            <w:r w:rsidR="006F7CC2" w:rsidRPr="00207DC2">
              <w:rPr>
                <w:lang w:val="en-AU"/>
              </w:rPr>
              <w:t>5</w:t>
            </w:r>
            <w:r w:rsidRPr="00207DC2">
              <w:rPr>
                <w:rFonts w:cs="Calibri Light"/>
                <w:szCs w:val="20"/>
                <w:lang w:val="en-AU"/>
              </w:rPr>
              <w:t>*</w:t>
            </w:r>
          </w:p>
        </w:tc>
        <w:tc>
          <w:tcPr>
            <w:tcW w:w="565" w:type="pct"/>
            <w:tcBorders>
              <w:top w:val="nil"/>
              <w:bottom w:val="dashSmallGap" w:sz="4" w:space="0" w:color="auto"/>
            </w:tcBorders>
          </w:tcPr>
          <w:p w14:paraId="05239015"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0.4*</w:t>
            </w:r>
          </w:p>
        </w:tc>
        <w:tc>
          <w:tcPr>
            <w:tcW w:w="459" w:type="pct"/>
            <w:tcBorders>
              <w:top w:val="nil"/>
              <w:bottom w:val="dashSmallGap" w:sz="4" w:space="0" w:color="auto"/>
            </w:tcBorders>
          </w:tcPr>
          <w:p w14:paraId="405B26A2"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w:t>
            </w:r>
            <w:r w:rsidR="006F7CC2" w:rsidRPr="00207DC2">
              <w:rPr>
                <w:lang w:val="en-AU"/>
              </w:rPr>
              <w:t>478</w:t>
            </w:r>
            <w:r w:rsidRPr="00207DC2">
              <w:rPr>
                <w:rFonts w:cs="Calibri Light"/>
                <w:szCs w:val="20"/>
                <w:lang w:val="en-AU"/>
              </w:rPr>
              <w:t>*</w:t>
            </w:r>
          </w:p>
        </w:tc>
      </w:tr>
      <w:tr w:rsidR="000C072D" w:rsidRPr="00207DC2" w14:paraId="077A36CA"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dashSmallGap" w:sz="4" w:space="0" w:color="auto"/>
            </w:tcBorders>
            <w:vAlign w:val="top"/>
          </w:tcPr>
          <w:p w14:paraId="25D21BAF"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 xml:space="preserve">Total days </w:t>
            </w:r>
            <w:r w:rsidR="000F33EC" w:rsidRPr="00207DC2">
              <w:rPr>
                <w:b w:val="0"/>
                <w:lang w:val="en-AU"/>
              </w:rPr>
              <w:t>the participant was actively participating (commenced) in the program</w:t>
            </w:r>
          </w:p>
        </w:tc>
        <w:tc>
          <w:tcPr>
            <w:tcW w:w="495" w:type="pct"/>
            <w:tcBorders>
              <w:top w:val="dashSmallGap" w:sz="4" w:space="0" w:color="auto"/>
              <w:bottom w:val="dashSmallGap" w:sz="4" w:space="0" w:color="auto"/>
            </w:tcBorders>
          </w:tcPr>
          <w:p w14:paraId="087CCA71"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1.01*</w:t>
            </w:r>
          </w:p>
        </w:tc>
        <w:tc>
          <w:tcPr>
            <w:tcW w:w="565" w:type="pct"/>
            <w:tcBorders>
              <w:top w:val="dashSmallGap" w:sz="4" w:space="0" w:color="auto"/>
              <w:bottom w:val="dashSmallGap" w:sz="4" w:space="0" w:color="auto"/>
            </w:tcBorders>
          </w:tcPr>
          <w:p w14:paraId="366EF791"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1.004*</w:t>
            </w:r>
          </w:p>
        </w:tc>
        <w:tc>
          <w:tcPr>
            <w:tcW w:w="459" w:type="pct"/>
            <w:tcBorders>
              <w:top w:val="dashSmallGap" w:sz="4" w:space="0" w:color="auto"/>
              <w:bottom w:val="dashSmallGap" w:sz="4" w:space="0" w:color="auto"/>
            </w:tcBorders>
          </w:tcPr>
          <w:p w14:paraId="5A1C3716" w14:textId="77777777" w:rsidR="000C072D" w:rsidRPr="00207DC2" w:rsidRDefault="000C072D"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2*</w:t>
            </w:r>
          </w:p>
        </w:tc>
      </w:tr>
      <w:tr w:rsidR="000C072D" w:rsidRPr="00207DC2" w14:paraId="18E62D91" w14:textId="77777777" w:rsidTr="00A802F2">
        <w:trPr>
          <w:jc w:val="center"/>
        </w:trPr>
        <w:tc>
          <w:tcPr>
            <w:cnfStyle w:val="001000000000" w:firstRow="0" w:lastRow="0" w:firstColumn="1" w:lastColumn="0" w:oddVBand="0" w:evenVBand="0" w:oddHBand="0" w:evenHBand="0" w:firstRowFirstColumn="0" w:firstRowLastColumn="0" w:lastRowFirstColumn="0" w:lastRowLastColumn="0"/>
            <w:tcW w:w="3481" w:type="pct"/>
            <w:tcBorders>
              <w:top w:val="dashSmallGap" w:sz="4" w:space="0" w:color="auto"/>
              <w:bottom w:val="single" w:sz="8" w:space="0" w:color="auto"/>
            </w:tcBorders>
            <w:vAlign w:val="top"/>
          </w:tcPr>
          <w:p w14:paraId="76949728" w14:textId="77777777" w:rsidR="000C072D" w:rsidRPr="00207DC2" w:rsidRDefault="000C072D" w:rsidP="00FB626D">
            <w:pPr>
              <w:keepNext/>
              <w:keepLines/>
              <w:spacing w:before="0" w:after="0"/>
              <w:ind w:left="113" w:right="0"/>
              <w:rPr>
                <w:rFonts w:cs="Calibri Light"/>
                <w:b w:val="0"/>
                <w:szCs w:val="20"/>
                <w:lang w:val="en-AU"/>
              </w:rPr>
            </w:pPr>
            <w:r w:rsidRPr="00207DC2">
              <w:rPr>
                <w:b w:val="0"/>
                <w:lang w:val="en-AU"/>
              </w:rPr>
              <w:t>Remoteness index</w:t>
            </w:r>
          </w:p>
        </w:tc>
        <w:tc>
          <w:tcPr>
            <w:tcW w:w="495" w:type="pct"/>
            <w:tcBorders>
              <w:top w:val="dashSmallGap" w:sz="4" w:space="0" w:color="auto"/>
              <w:bottom w:val="single" w:sz="8" w:space="0" w:color="auto"/>
            </w:tcBorders>
          </w:tcPr>
          <w:p w14:paraId="3D77C714" w14:textId="77777777" w:rsidR="000C072D" w:rsidRPr="00207DC2" w:rsidRDefault="000C072D" w:rsidP="00FB626D">
            <w:pPr>
              <w:keepNext/>
              <w:keepLines/>
              <w:tabs>
                <w:tab w:val="decimal" w:pos="392"/>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1.01</w:t>
            </w:r>
          </w:p>
        </w:tc>
        <w:tc>
          <w:tcPr>
            <w:tcW w:w="565" w:type="pct"/>
            <w:tcBorders>
              <w:top w:val="dashSmallGap" w:sz="4" w:space="0" w:color="auto"/>
              <w:bottom w:val="single" w:sz="8" w:space="0" w:color="auto"/>
            </w:tcBorders>
          </w:tcPr>
          <w:p w14:paraId="371D1352" w14:textId="77777777" w:rsidR="000C072D" w:rsidRPr="00207DC2" w:rsidRDefault="000C072D" w:rsidP="00FB626D">
            <w:pPr>
              <w:keepNext/>
              <w:keepLines/>
              <w:tabs>
                <w:tab w:val="decimal" w:pos="376"/>
              </w:tabs>
              <w:spacing w:before="0" w:after="0"/>
              <w:ind w:left="170" w:right="0"/>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rFonts w:cs="Calibri Light"/>
                <w:szCs w:val="20"/>
                <w:lang w:val="en-AU"/>
              </w:rPr>
              <w:t>1.01</w:t>
            </w:r>
          </w:p>
        </w:tc>
        <w:tc>
          <w:tcPr>
            <w:tcW w:w="459" w:type="pct"/>
            <w:tcBorders>
              <w:top w:val="dashSmallGap" w:sz="4" w:space="0" w:color="auto"/>
              <w:bottom w:val="single" w:sz="8" w:space="0" w:color="auto"/>
            </w:tcBorders>
          </w:tcPr>
          <w:p w14:paraId="717B0E72" w14:textId="77777777" w:rsidR="000C072D" w:rsidRPr="00207DC2" w:rsidRDefault="006F7CC2" w:rsidP="00FB626D">
            <w:pPr>
              <w:keepNext/>
              <w:keepLines/>
              <w:tabs>
                <w:tab w:val="decimal" w:pos="558"/>
              </w:tabs>
              <w:spacing w:before="0" w:after="0"/>
              <w:ind w:left="0" w:right="113"/>
              <w:jc w:val="left"/>
              <w:cnfStyle w:val="000000000000" w:firstRow="0" w:lastRow="0" w:firstColumn="0" w:lastColumn="0" w:oddVBand="0" w:evenVBand="0" w:oddHBand="0" w:evenHBand="0" w:firstRowFirstColumn="0" w:firstRowLastColumn="0" w:lastRowFirstColumn="0" w:lastRowLastColumn="0"/>
              <w:rPr>
                <w:rFonts w:cs="Calibri Light"/>
                <w:szCs w:val="20"/>
                <w:lang w:val="en-AU"/>
              </w:rPr>
            </w:pPr>
            <w:r w:rsidRPr="00207DC2">
              <w:rPr>
                <w:lang w:val="en-AU"/>
              </w:rPr>
              <w:t>5</w:t>
            </w:r>
          </w:p>
        </w:tc>
      </w:tr>
    </w:tbl>
    <w:p w14:paraId="516EDAC8" w14:textId="77777777" w:rsidR="00DF7D3E" w:rsidRPr="00207DC2" w:rsidRDefault="00DF3DBE" w:rsidP="00FB626D">
      <w:pPr>
        <w:pStyle w:val="tablenotes"/>
        <w:rPr>
          <w:rStyle w:val="tablenotesChar"/>
        </w:rPr>
      </w:pPr>
      <w:r w:rsidRPr="00207DC2">
        <w:rPr>
          <w:i/>
        </w:rPr>
        <w:t>Source:</w:t>
      </w:r>
      <w:r w:rsidRPr="00207DC2">
        <w:t xml:space="preserve"> U</w:t>
      </w:r>
      <w:r w:rsidRPr="00207DC2">
        <w:rPr>
          <w:rStyle w:val="tablenotesChar"/>
        </w:rPr>
        <w:t xml:space="preserve">npublished ESS operational data (extracted on 15 August 2017) </w:t>
      </w:r>
      <w:r w:rsidRPr="00207DC2">
        <w:t xml:space="preserve">and </w:t>
      </w:r>
      <w:r w:rsidRPr="00207DC2">
        <w:rPr>
          <w:rStyle w:val="tablenotesChar"/>
        </w:rPr>
        <w:t>unpublished DHS operational data (extracted from determination and circumstance files on 21 August 2017).</w:t>
      </w:r>
    </w:p>
    <w:p w14:paraId="440014D9" w14:textId="62A01C1A" w:rsidR="000F33EC" w:rsidRPr="00207DC2" w:rsidRDefault="00504E35" w:rsidP="00FB626D">
      <w:pPr>
        <w:pStyle w:val="tablenotes"/>
      </w:pPr>
      <w:r w:rsidRPr="00207DC2">
        <w:rPr>
          <w:i/>
        </w:rPr>
        <w:t>Notes:</w:t>
      </w:r>
      <w:r w:rsidRPr="00207DC2">
        <w:t xml:space="preserve"> </w:t>
      </w:r>
      <w:r w:rsidR="00BF2154" w:rsidRPr="00207DC2">
        <w:t>(a) The first two columns report the estimated multiplier of the probability of being pe</w:t>
      </w:r>
      <w:r w:rsidR="00954EA4">
        <w:t>nalised (or of receiving a zero-</w:t>
      </w:r>
      <w:r w:rsidR="00BF2154" w:rsidRPr="00207DC2">
        <w:t xml:space="preserve">rate penalty) compared to the reference value, where a multiplier greater than one indicates increased probability and a multiplier less than one indicates decreased probability. The last column reports the </w:t>
      </w:r>
      <w:r w:rsidR="00A820A1" w:rsidRPr="00207DC2">
        <w:t>expected</w:t>
      </w:r>
      <w:r w:rsidR="00BF2154" w:rsidRPr="00207DC2">
        <w:t xml:space="preserve"> dollar amount </w:t>
      </w:r>
      <w:r w:rsidR="00A820A1" w:rsidRPr="00207DC2">
        <w:t>of extra or reduced penalties</w:t>
      </w:r>
      <w:r w:rsidR="00BF2154" w:rsidRPr="00207DC2">
        <w:t xml:space="preserve"> relative to the reference value</w:t>
      </w:r>
      <w:r w:rsidR="00986D8D" w:rsidRPr="00207DC2">
        <w:t>.</w:t>
      </w:r>
      <w:r w:rsidR="00C13C11" w:rsidRPr="00207DC2">
        <w:t xml:space="preserve"> The estimates of participant income</w:t>
      </w:r>
      <w:r w:rsidR="00DF407F" w:rsidRPr="00207DC2">
        <w:t xml:space="preserve"> support payments</w:t>
      </w:r>
      <w:r w:rsidR="00C13C11" w:rsidRPr="00207DC2">
        <w:t xml:space="preserve"> lost to penalties are based on administrative data sourced from the DHS payment files; these files identify the actual amounts of </w:t>
      </w:r>
      <w:r w:rsidR="00DF407F" w:rsidRPr="00207DC2">
        <w:t xml:space="preserve">payments </w:t>
      </w:r>
      <w:r w:rsidR="00C13C11" w:rsidRPr="00207DC2">
        <w:t>withheld due to penalties.</w:t>
      </w:r>
      <w:r w:rsidR="00986D8D" w:rsidRPr="00207DC2">
        <w:t xml:space="preserve"> </w:t>
      </w:r>
      <w:r w:rsidRPr="00207DC2">
        <w:t>(</w:t>
      </w:r>
      <w:r w:rsidR="00986D8D" w:rsidRPr="00207DC2">
        <w:t>b</w:t>
      </w:r>
      <w:r w:rsidRPr="00207DC2">
        <w:t xml:space="preserve">) Proportion of </w:t>
      </w:r>
      <w:r w:rsidR="000801AF" w:rsidRPr="00207DC2">
        <w:t>the total</w:t>
      </w:r>
      <w:r w:rsidRPr="00207DC2">
        <w:t xml:space="preserve"> days the participant was </w:t>
      </w:r>
      <w:r w:rsidR="008C5F85" w:rsidRPr="00207DC2">
        <w:t>act</w:t>
      </w:r>
      <w:r w:rsidR="000801AF" w:rsidRPr="00207DC2">
        <w:t>ively participating (commenced) in the program</w:t>
      </w:r>
      <w:r w:rsidRPr="00207DC2">
        <w:t>. (</w:t>
      </w:r>
      <w:r w:rsidR="00986D8D" w:rsidRPr="00207DC2">
        <w:t>c</w:t>
      </w:r>
      <w:r w:rsidRPr="00207DC2">
        <w:t>) There are three categories of transport availability recorded: Owns transport; Public or other private transport; and No transport. Estimates marked as *</w:t>
      </w:r>
      <w:r w:rsidR="001E0BA5" w:rsidRPr="00207DC2">
        <w:t xml:space="preserve"> </w:t>
      </w:r>
      <w:r w:rsidRPr="00207DC2">
        <w:t xml:space="preserve">are statistically significant at the </w:t>
      </w:r>
      <w:r w:rsidR="00E7278B" w:rsidRPr="00207DC2">
        <w:t>five</w:t>
      </w:r>
      <w:r w:rsidRPr="00207DC2">
        <w:t> per cent level</w:t>
      </w:r>
      <w:r w:rsidR="003C5D4F" w:rsidRPr="00207DC2">
        <w:t>.</w:t>
      </w:r>
    </w:p>
    <w:p w14:paraId="522CAC7C" w14:textId="77777777" w:rsidR="00797D06" w:rsidRPr="00207DC2" w:rsidRDefault="00BF2154" w:rsidP="00FB626D">
      <w:pPr>
        <w:tabs>
          <w:tab w:val="left" w:pos="5387"/>
        </w:tabs>
        <w:spacing w:before="240"/>
        <w:jc w:val="both"/>
        <w:rPr>
          <w:lang w:val="en-AU"/>
        </w:rPr>
      </w:pPr>
      <w:r w:rsidRPr="00207DC2">
        <w:rPr>
          <w:lang w:val="en-AU"/>
        </w:rPr>
        <w:t>While participants</w:t>
      </w:r>
      <w:r w:rsidR="00797D06" w:rsidRPr="00207DC2">
        <w:rPr>
          <w:lang w:val="en-AU"/>
        </w:rPr>
        <w:t xml:space="preserve"> who had been convicted or sentenced and those who spent more time homeless we</w:t>
      </w:r>
      <w:r w:rsidRPr="00207DC2">
        <w:rPr>
          <w:lang w:val="en-AU"/>
        </w:rPr>
        <w:t xml:space="preserve">re more likely to be penalised, </w:t>
      </w:r>
      <w:r w:rsidR="00797D06" w:rsidRPr="00207DC2">
        <w:rPr>
          <w:lang w:val="en-AU"/>
        </w:rPr>
        <w:t>once penalised there was no significant effect on zero-rate penalties or amount lost. Participants with an Indigenous provider were much less likely to have been penalised, without a significant effect on zero-rate penalties and amount lost</w:t>
      </w:r>
      <w:r w:rsidR="00C92D88" w:rsidRPr="00207DC2">
        <w:rPr>
          <w:lang w:val="en-AU"/>
        </w:rPr>
        <w:t xml:space="preserve"> for those penalised</w:t>
      </w:r>
      <w:r w:rsidR="00797D06" w:rsidRPr="00207DC2">
        <w:rPr>
          <w:lang w:val="en-AU"/>
        </w:rPr>
        <w:t>.</w:t>
      </w:r>
    </w:p>
    <w:p w14:paraId="0FD56A85" w14:textId="4663E9C1" w:rsidR="00AC28CD" w:rsidRPr="00207DC2" w:rsidRDefault="00D905BA" w:rsidP="00FB626D">
      <w:pPr>
        <w:jc w:val="both"/>
        <w:rPr>
          <w:lang w:val="en-AU"/>
        </w:rPr>
      </w:pPr>
      <w:r w:rsidRPr="00207DC2">
        <w:rPr>
          <w:lang w:val="en-AU"/>
        </w:rPr>
        <w:t>CDP participants that identify as Indigenous were estimated to be 3.</w:t>
      </w:r>
      <w:r w:rsidR="0037184B" w:rsidRPr="00207DC2">
        <w:rPr>
          <w:lang w:val="en-AU"/>
        </w:rPr>
        <w:t>3</w:t>
      </w:r>
      <w:r w:rsidRPr="00207DC2">
        <w:rPr>
          <w:lang w:val="en-AU"/>
        </w:rPr>
        <w:t xml:space="preserve"> times more likely than other participants to experience a penalty, and </w:t>
      </w:r>
      <w:r w:rsidR="0037184B" w:rsidRPr="00207DC2">
        <w:rPr>
          <w:lang w:val="en-AU"/>
        </w:rPr>
        <w:t>2.7</w:t>
      </w:r>
      <w:r w:rsidRPr="00207DC2">
        <w:rPr>
          <w:lang w:val="en-AU"/>
        </w:rPr>
        <w:t xml:space="preserve"> times more likely to go on to experience a zero-rate penalty. Among those penali</w:t>
      </w:r>
      <w:r w:rsidR="002A4AB9" w:rsidRPr="00207DC2">
        <w:rPr>
          <w:lang w:val="en-AU"/>
        </w:rPr>
        <w:t>s</w:t>
      </w:r>
      <w:r w:rsidRPr="00207DC2">
        <w:rPr>
          <w:lang w:val="en-AU"/>
        </w:rPr>
        <w:t xml:space="preserve">ed, participants identifying as Indigenous </w:t>
      </w:r>
      <w:r w:rsidR="00A04483" w:rsidRPr="00207DC2">
        <w:rPr>
          <w:lang w:val="en-AU"/>
        </w:rPr>
        <w:t xml:space="preserve">were estimated to have a higher value of total </w:t>
      </w:r>
      <w:r w:rsidRPr="00207DC2">
        <w:rPr>
          <w:lang w:val="en-AU"/>
        </w:rPr>
        <w:t>penalties over the year</w:t>
      </w:r>
      <w:r w:rsidR="00A04483" w:rsidRPr="00207DC2">
        <w:rPr>
          <w:lang w:val="en-AU"/>
        </w:rPr>
        <w:t xml:space="preserve"> ($166 higher)</w:t>
      </w:r>
      <w:r w:rsidRPr="00207DC2">
        <w:rPr>
          <w:lang w:val="en-AU"/>
        </w:rPr>
        <w:t xml:space="preserve">. </w:t>
      </w:r>
    </w:p>
    <w:p w14:paraId="16E20138" w14:textId="402273AD" w:rsidR="00D905BA" w:rsidRPr="00207DC2" w:rsidRDefault="00D905BA" w:rsidP="00FB626D">
      <w:pPr>
        <w:jc w:val="both"/>
        <w:rPr>
          <w:lang w:val="en-AU"/>
        </w:rPr>
      </w:pPr>
      <w:r w:rsidRPr="00207DC2">
        <w:rPr>
          <w:lang w:val="en-AU"/>
        </w:rPr>
        <w:t>As noted in relation to attendance at Work for the Dole activities (Chapter</w:t>
      </w:r>
      <w:r w:rsidR="00C8722C" w:rsidRPr="00207DC2">
        <w:rPr>
          <w:lang w:val="en-AU"/>
        </w:rPr>
        <w:t> </w:t>
      </w:r>
      <w:r w:rsidRPr="00207DC2">
        <w:rPr>
          <w:lang w:val="en-AU"/>
        </w:rPr>
        <w:t xml:space="preserve">2), </w:t>
      </w:r>
      <w:r w:rsidR="0076212E" w:rsidRPr="00207DC2">
        <w:rPr>
          <w:lang w:val="en-AU"/>
        </w:rPr>
        <w:t xml:space="preserve">this may reflect </w:t>
      </w:r>
      <w:r w:rsidR="00AC28CD" w:rsidRPr="00207DC2">
        <w:rPr>
          <w:lang w:val="en-AU"/>
        </w:rPr>
        <w:t xml:space="preserve">a range of </w:t>
      </w:r>
      <w:r w:rsidR="00AC28CD" w:rsidRPr="00207DC2" w:rsidDel="00141661">
        <w:rPr>
          <w:lang w:val="en-AU"/>
        </w:rPr>
        <w:t xml:space="preserve">barriers </w:t>
      </w:r>
      <w:r w:rsidR="00AC28CD" w:rsidRPr="00207DC2">
        <w:rPr>
          <w:lang w:val="en-AU"/>
        </w:rPr>
        <w:t xml:space="preserve">that are not well </w:t>
      </w:r>
      <w:r w:rsidRPr="00207DC2">
        <w:rPr>
          <w:lang w:val="en-AU"/>
        </w:rPr>
        <w:t>captured</w:t>
      </w:r>
      <w:r w:rsidR="00996A48" w:rsidRPr="00207DC2">
        <w:rPr>
          <w:lang w:val="en-AU"/>
        </w:rPr>
        <w:t xml:space="preserve"> </w:t>
      </w:r>
      <w:r w:rsidRPr="00207DC2">
        <w:rPr>
          <w:lang w:val="en-AU"/>
        </w:rPr>
        <w:t>by other factors in the</w:t>
      </w:r>
      <w:r w:rsidR="007614CB" w:rsidRPr="00207DC2">
        <w:rPr>
          <w:lang w:val="en-AU"/>
        </w:rPr>
        <w:t xml:space="preserve"> administrative data</w:t>
      </w:r>
      <w:r w:rsidRPr="00207DC2">
        <w:rPr>
          <w:lang w:val="en-AU"/>
        </w:rPr>
        <w:t xml:space="preserve">. </w:t>
      </w:r>
      <w:r w:rsidR="00121FF6" w:rsidRPr="00207DC2">
        <w:rPr>
          <w:lang w:val="en-AU"/>
        </w:rPr>
        <w:t xml:space="preserve">In particular, as discussed in </w:t>
      </w:r>
      <w:r w:rsidR="00304412" w:rsidRPr="00207DC2">
        <w:rPr>
          <w:lang w:val="en-AU"/>
        </w:rPr>
        <w:t>C</w:t>
      </w:r>
      <w:r w:rsidR="00121FF6" w:rsidRPr="00207DC2">
        <w:rPr>
          <w:lang w:val="en-AU"/>
        </w:rPr>
        <w:t xml:space="preserve">hapter 2, </w:t>
      </w:r>
      <w:r w:rsidR="00643863" w:rsidRPr="00207DC2">
        <w:rPr>
          <w:lang w:val="en-AU"/>
        </w:rPr>
        <w:t xml:space="preserve">communication barriers and </w:t>
      </w:r>
      <w:r w:rsidR="008C7AFB" w:rsidRPr="00207DC2">
        <w:rPr>
          <w:lang w:val="en-AU"/>
        </w:rPr>
        <w:t>h</w:t>
      </w:r>
      <w:r w:rsidR="00121FF6" w:rsidRPr="00207DC2">
        <w:rPr>
          <w:lang w:val="en-AU"/>
        </w:rPr>
        <w:t xml:space="preserve">ealth </w:t>
      </w:r>
      <w:r w:rsidR="00AC28CD" w:rsidRPr="00207DC2">
        <w:rPr>
          <w:lang w:val="en-AU"/>
        </w:rPr>
        <w:t xml:space="preserve">barriers </w:t>
      </w:r>
      <w:r w:rsidR="008C7AFB" w:rsidRPr="00207DC2">
        <w:rPr>
          <w:lang w:val="en-AU"/>
        </w:rPr>
        <w:t xml:space="preserve">may explain some </w:t>
      </w:r>
      <w:r w:rsidR="00E46C60" w:rsidRPr="00207DC2">
        <w:rPr>
          <w:lang w:val="en-AU"/>
        </w:rPr>
        <w:t xml:space="preserve">higher </w:t>
      </w:r>
      <w:r w:rsidR="00501CC3" w:rsidRPr="00207DC2">
        <w:rPr>
          <w:i/>
          <w:lang w:val="en-AU"/>
        </w:rPr>
        <w:t xml:space="preserve">invalid </w:t>
      </w:r>
      <w:r w:rsidR="008C7AFB" w:rsidRPr="00207DC2">
        <w:rPr>
          <w:i/>
          <w:lang w:val="en-AU"/>
        </w:rPr>
        <w:t>non-attendance</w:t>
      </w:r>
      <w:r w:rsidR="008C7AFB" w:rsidRPr="00207DC2">
        <w:rPr>
          <w:lang w:val="en-AU"/>
        </w:rPr>
        <w:t xml:space="preserve"> at CDP activities</w:t>
      </w:r>
      <w:r w:rsidR="00E46C60" w:rsidRPr="00207DC2">
        <w:rPr>
          <w:lang w:val="en-AU"/>
        </w:rPr>
        <w:t xml:space="preserve"> among Indigenous participants</w:t>
      </w:r>
      <w:r w:rsidR="008C7AFB" w:rsidRPr="00207DC2">
        <w:rPr>
          <w:lang w:val="en-AU"/>
        </w:rPr>
        <w:t xml:space="preserve">, </w:t>
      </w:r>
      <w:r w:rsidR="00050239" w:rsidRPr="00207DC2">
        <w:rPr>
          <w:lang w:val="en-AU"/>
        </w:rPr>
        <w:t>which</w:t>
      </w:r>
      <w:r w:rsidR="008C7AFB" w:rsidRPr="00207DC2">
        <w:rPr>
          <w:lang w:val="en-AU"/>
        </w:rPr>
        <w:t xml:space="preserve"> </w:t>
      </w:r>
      <w:r w:rsidR="00AC28CD" w:rsidRPr="00207DC2">
        <w:rPr>
          <w:lang w:val="en-AU"/>
        </w:rPr>
        <w:t xml:space="preserve">has the potential to lead to a </w:t>
      </w:r>
      <w:r w:rsidR="00FD49E4" w:rsidRPr="00207DC2">
        <w:rPr>
          <w:lang w:val="en-AU"/>
        </w:rPr>
        <w:t xml:space="preserve">higher </w:t>
      </w:r>
      <w:r w:rsidR="008C7AFB" w:rsidRPr="00207DC2">
        <w:rPr>
          <w:lang w:val="en-AU"/>
        </w:rPr>
        <w:t>penal</w:t>
      </w:r>
      <w:r w:rsidR="00F724EE" w:rsidRPr="00207DC2">
        <w:rPr>
          <w:lang w:val="en-AU"/>
        </w:rPr>
        <w:t>i</w:t>
      </w:r>
      <w:r w:rsidR="00FD49E4" w:rsidRPr="00207DC2">
        <w:rPr>
          <w:lang w:val="en-AU"/>
        </w:rPr>
        <w:t>sation</w:t>
      </w:r>
      <w:r w:rsidR="008C7AFB" w:rsidRPr="00207DC2">
        <w:rPr>
          <w:lang w:val="en-AU"/>
        </w:rPr>
        <w:t>.</w:t>
      </w:r>
    </w:p>
    <w:p w14:paraId="77557198" w14:textId="464D5D8E" w:rsidR="00D905BA" w:rsidRPr="00207DC2" w:rsidRDefault="005631B4" w:rsidP="008055FF">
      <w:pPr>
        <w:pStyle w:val="ZED4"/>
        <w:outlineLvl w:val="2"/>
      </w:pPr>
      <w:bookmarkStart w:id="363" w:name="_Toc509412979"/>
      <w:bookmarkStart w:id="364" w:name="_Toc509587042"/>
      <w:bookmarkStart w:id="365" w:name="_Toc509588068"/>
      <w:bookmarkStart w:id="366" w:name="_Toc509588331"/>
      <w:bookmarkStart w:id="367" w:name="_Toc509589479"/>
      <w:bookmarkStart w:id="368" w:name="_Toc509926897"/>
      <w:bookmarkStart w:id="369" w:name="_Toc511661247"/>
      <w:bookmarkStart w:id="370" w:name="_Toc511826298"/>
      <w:bookmarkStart w:id="371" w:name="_Toc511940615"/>
      <w:bookmarkStart w:id="372" w:name="_Toc515185462"/>
      <w:bookmarkStart w:id="373" w:name="_Toc516219836"/>
      <w:bookmarkStart w:id="374" w:name="_Toc516220477"/>
      <w:bookmarkStart w:id="375" w:name="_Toc516223297"/>
      <w:bookmarkStart w:id="376" w:name="_Toc516225205"/>
      <w:bookmarkStart w:id="377" w:name="_Toc516228981"/>
      <w:bookmarkStart w:id="378" w:name="_Toc518468057"/>
      <w:bookmarkStart w:id="379" w:name="_Toc518487838"/>
      <w:bookmarkStart w:id="380" w:name="_Toc518558801"/>
      <w:bookmarkStart w:id="381" w:name="_Toc518565324"/>
      <w:bookmarkStart w:id="382" w:name="_Toc518565568"/>
      <w:bookmarkStart w:id="383" w:name="_Toc519504739"/>
      <w:bookmarkStart w:id="384" w:name="_Toc519505963"/>
      <w:bookmarkStart w:id="385" w:name="_Toc519844069"/>
      <w:bookmarkStart w:id="386" w:name="_Toc521068571"/>
      <w:bookmarkStart w:id="387" w:name="_Toc521391085"/>
      <w:bookmarkStart w:id="388" w:name="_Toc522013254"/>
      <w:bookmarkStart w:id="389" w:name="_Toc534965164"/>
      <w:bookmarkStart w:id="390" w:name="_Toc535935053"/>
      <w:r>
        <w:t>3.3</w:t>
      </w:r>
      <w:r>
        <w:tab/>
      </w:r>
      <w:r w:rsidR="00D74350" w:rsidRPr="00207DC2">
        <w:t>F</w:t>
      </w:r>
      <w:r w:rsidR="00D905BA" w:rsidRPr="00207DC2">
        <w:t>inancial penalties and attendance</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14:paraId="23F3D386" w14:textId="795D8318" w:rsidR="00AD673E" w:rsidRPr="00207DC2" w:rsidRDefault="0099488C" w:rsidP="00AD673E">
      <w:pPr>
        <w:spacing w:before="120" w:after="120"/>
        <w:jc w:val="both"/>
        <w:rPr>
          <w:lang w:val="en-AU"/>
        </w:rPr>
      </w:pPr>
      <w:r w:rsidRPr="00207DC2">
        <w:rPr>
          <w:rFonts w:cstheme="minorHAnsi"/>
          <w:lang w:val="en-AU"/>
        </w:rPr>
        <w:t xml:space="preserve">The CDP Guidelines </w:t>
      </w:r>
      <w:r w:rsidR="0028023E" w:rsidRPr="00207DC2">
        <w:rPr>
          <w:rFonts w:cstheme="minorHAnsi"/>
          <w:lang w:val="en-AU"/>
        </w:rPr>
        <w:t xml:space="preserve">on managing participant attendance and compliance </w:t>
      </w:r>
      <w:r w:rsidRPr="00207DC2">
        <w:rPr>
          <w:rFonts w:cstheme="minorHAnsi"/>
          <w:lang w:val="en-AU"/>
        </w:rPr>
        <w:t>(</w:t>
      </w:r>
      <w:r w:rsidR="0057565A" w:rsidRPr="00207DC2">
        <w:rPr>
          <w:rFonts w:cstheme="minorHAnsi"/>
          <w:lang w:val="en-AU"/>
        </w:rPr>
        <w:t>PMC</w:t>
      </w:r>
      <w:r w:rsidRPr="00207DC2">
        <w:rPr>
          <w:rFonts w:cstheme="minorHAnsi"/>
          <w:lang w:val="en-AU"/>
        </w:rPr>
        <w:t xml:space="preserve"> </w:t>
      </w:r>
      <w:r w:rsidR="0073290A" w:rsidRPr="00207DC2">
        <w:rPr>
          <w:rFonts w:cstheme="minorHAnsi"/>
          <w:lang w:val="en-AU"/>
        </w:rPr>
        <w:t>2018a</w:t>
      </w:r>
      <w:r w:rsidRPr="00207DC2">
        <w:rPr>
          <w:rFonts w:cstheme="minorHAnsi"/>
          <w:lang w:val="en-AU"/>
        </w:rPr>
        <w:t xml:space="preserve">) note that the </w:t>
      </w:r>
      <w:r w:rsidRPr="00207DC2">
        <w:rPr>
          <w:rFonts w:cstheme="minorHAnsi"/>
          <w:i/>
          <w:lang w:val="en-AU"/>
        </w:rPr>
        <w:t xml:space="preserve">Job Seeker Compliance </w:t>
      </w:r>
      <w:r w:rsidR="00291018" w:rsidRPr="00207DC2">
        <w:rPr>
          <w:rFonts w:cstheme="minorHAnsi"/>
          <w:i/>
          <w:lang w:val="en-AU"/>
        </w:rPr>
        <w:t>F</w:t>
      </w:r>
      <w:r w:rsidRPr="00207DC2">
        <w:rPr>
          <w:rFonts w:cstheme="minorHAnsi"/>
          <w:i/>
          <w:lang w:val="en-AU"/>
        </w:rPr>
        <w:t xml:space="preserve">ramework </w:t>
      </w:r>
      <w:r w:rsidRPr="00207DC2">
        <w:rPr>
          <w:rFonts w:cstheme="minorHAnsi"/>
          <w:lang w:val="en-AU"/>
        </w:rPr>
        <w:t>is designed to encourage participants to actively engage with their providers at appointments, undertake activities that prepare them for paid employment, and actively look for work.</w:t>
      </w:r>
      <w:r w:rsidR="00CF0475" w:rsidRPr="00207DC2">
        <w:rPr>
          <w:rFonts w:cstheme="minorHAnsi"/>
          <w:lang w:val="en-AU"/>
        </w:rPr>
        <w:t xml:space="preserve"> </w:t>
      </w:r>
      <w:r w:rsidR="00A7734E" w:rsidRPr="00207DC2">
        <w:rPr>
          <w:lang w:val="en-AU"/>
        </w:rPr>
        <w:t>The possibility of being penalised</w:t>
      </w:r>
      <w:r w:rsidR="00CF0475" w:rsidRPr="00207DC2">
        <w:rPr>
          <w:lang w:val="en-AU"/>
        </w:rPr>
        <w:t xml:space="preserve"> could </w:t>
      </w:r>
      <w:r w:rsidR="005547B6" w:rsidRPr="00207DC2">
        <w:rPr>
          <w:lang w:val="en-AU"/>
        </w:rPr>
        <w:t xml:space="preserve">increase participation in </w:t>
      </w:r>
      <w:r w:rsidR="00A7734E" w:rsidRPr="00207DC2">
        <w:rPr>
          <w:lang w:val="en-AU"/>
        </w:rPr>
        <w:t>mutual obli</w:t>
      </w:r>
      <w:r w:rsidR="00F805E8" w:rsidRPr="00207DC2">
        <w:rPr>
          <w:lang w:val="en-AU"/>
        </w:rPr>
        <w:t>g</w:t>
      </w:r>
      <w:r w:rsidR="00A7734E" w:rsidRPr="00207DC2">
        <w:rPr>
          <w:lang w:val="en-AU"/>
        </w:rPr>
        <w:t>ation activities</w:t>
      </w:r>
      <w:r w:rsidR="00A7734E" w:rsidRPr="00207DC2">
        <w:rPr>
          <w:i/>
          <w:lang w:val="en-AU"/>
        </w:rPr>
        <w:t>.</w:t>
      </w:r>
      <w:r w:rsidR="005547B6" w:rsidRPr="00207DC2">
        <w:rPr>
          <w:i/>
          <w:lang w:val="en-AU"/>
        </w:rPr>
        <w:t xml:space="preserve"> </w:t>
      </w:r>
      <w:r w:rsidR="005D4947" w:rsidRPr="00207DC2">
        <w:rPr>
          <w:i/>
          <w:lang w:val="en-AU"/>
        </w:rPr>
        <w:t>Serious failure</w:t>
      </w:r>
      <w:r w:rsidR="005D4947" w:rsidRPr="00207DC2">
        <w:rPr>
          <w:lang w:val="en-AU"/>
        </w:rPr>
        <w:t xml:space="preserve"> p</w:t>
      </w:r>
      <w:r w:rsidR="004E32E5" w:rsidRPr="00207DC2">
        <w:rPr>
          <w:rFonts w:cstheme="minorHAnsi"/>
          <w:lang w:val="en-AU"/>
        </w:rPr>
        <w:t>enalties</w:t>
      </w:r>
      <w:r w:rsidR="00CF0475" w:rsidRPr="00207DC2">
        <w:rPr>
          <w:rFonts w:cstheme="minorHAnsi"/>
          <w:lang w:val="en-AU"/>
        </w:rPr>
        <w:t>, which a participant can choose to</w:t>
      </w:r>
      <w:r w:rsidR="00476E91" w:rsidRPr="00207DC2">
        <w:rPr>
          <w:rFonts w:cstheme="minorHAnsi"/>
          <w:lang w:val="en-AU"/>
        </w:rPr>
        <w:t xml:space="preserve"> </w:t>
      </w:r>
      <w:r w:rsidR="00CF0475" w:rsidRPr="00207DC2">
        <w:rPr>
          <w:rFonts w:cstheme="minorHAnsi"/>
          <w:lang w:val="en-AU"/>
        </w:rPr>
        <w:t>‘work off’</w:t>
      </w:r>
      <w:r w:rsidR="002E2660" w:rsidRPr="00207DC2">
        <w:rPr>
          <w:rFonts w:cstheme="minorHAnsi"/>
          <w:lang w:val="en-AU"/>
        </w:rPr>
        <w:t xml:space="preserve"> </w:t>
      </w:r>
      <w:r w:rsidR="00CF0475" w:rsidRPr="00207DC2">
        <w:rPr>
          <w:rFonts w:cstheme="minorHAnsi"/>
          <w:lang w:val="en-AU"/>
        </w:rPr>
        <w:t>if applied</w:t>
      </w:r>
      <w:r w:rsidR="002E2660" w:rsidRPr="00207DC2">
        <w:rPr>
          <w:rFonts w:cstheme="minorHAnsi"/>
          <w:lang w:val="en-AU"/>
        </w:rPr>
        <w:t xml:space="preserve"> (DSS 2018</w:t>
      </w:r>
      <w:r w:rsidR="007A7763" w:rsidRPr="00207DC2">
        <w:rPr>
          <w:rFonts w:cstheme="minorHAnsi"/>
          <w:lang w:val="en-AU"/>
        </w:rPr>
        <w:t>a</w:t>
      </w:r>
      <w:r w:rsidR="002E2660" w:rsidRPr="00207DC2">
        <w:rPr>
          <w:rFonts w:cstheme="minorHAnsi"/>
          <w:lang w:val="en-AU"/>
        </w:rPr>
        <w:t>, sec. 3.1.12.40)</w:t>
      </w:r>
      <w:r w:rsidR="00CF0475" w:rsidRPr="00207DC2">
        <w:rPr>
          <w:rFonts w:cstheme="minorHAnsi"/>
          <w:lang w:val="en-AU"/>
        </w:rPr>
        <w:t>,</w:t>
      </w:r>
      <w:r w:rsidR="00FD70A0" w:rsidRPr="00207DC2">
        <w:rPr>
          <w:rFonts w:cstheme="minorHAnsi"/>
          <w:lang w:val="en-AU"/>
        </w:rPr>
        <w:t xml:space="preserve"> may also </w:t>
      </w:r>
      <w:r w:rsidR="00446C47" w:rsidRPr="00207DC2">
        <w:rPr>
          <w:rFonts w:cstheme="minorHAnsi"/>
          <w:lang w:val="en-AU"/>
        </w:rPr>
        <w:t>encourage participants</w:t>
      </w:r>
      <w:r w:rsidR="00FD70A0" w:rsidRPr="00207DC2">
        <w:rPr>
          <w:rFonts w:cstheme="minorHAnsi"/>
          <w:lang w:val="en-AU"/>
        </w:rPr>
        <w:t xml:space="preserve"> </w:t>
      </w:r>
      <w:r w:rsidR="00446C47" w:rsidRPr="00207DC2">
        <w:rPr>
          <w:rFonts w:cstheme="minorHAnsi"/>
          <w:lang w:val="en-AU"/>
        </w:rPr>
        <w:t>to re-engage with the program</w:t>
      </w:r>
      <w:r w:rsidR="00C579EE" w:rsidRPr="00207DC2">
        <w:rPr>
          <w:rFonts w:cstheme="minorHAnsi"/>
          <w:lang w:val="en-AU"/>
        </w:rPr>
        <w:t xml:space="preserve"> </w:t>
      </w:r>
      <w:r w:rsidR="00FD70A0" w:rsidRPr="00207DC2">
        <w:rPr>
          <w:rFonts w:cstheme="minorHAnsi"/>
          <w:lang w:val="en-AU"/>
        </w:rPr>
        <w:t xml:space="preserve">in order </w:t>
      </w:r>
      <w:r w:rsidR="00C579EE" w:rsidRPr="00207DC2">
        <w:rPr>
          <w:rFonts w:cstheme="minorHAnsi"/>
          <w:lang w:val="en-AU"/>
        </w:rPr>
        <w:t xml:space="preserve">to </w:t>
      </w:r>
      <w:r w:rsidR="00DD31D5" w:rsidRPr="00207DC2">
        <w:rPr>
          <w:rFonts w:cstheme="minorHAnsi"/>
          <w:lang w:val="en-AU"/>
        </w:rPr>
        <w:t>avoid</w:t>
      </w:r>
      <w:r w:rsidR="00C579EE" w:rsidRPr="00207DC2">
        <w:rPr>
          <w:rFonts w:cstheme="minorHAnsi"/>
          <w:lang w:val="en-AU"/>
        </w:rPr>
        <w:t xml:space="preserve"> or </w:t>
      </w:r>
      <w:r w:rsidR="005D4947" w:rsidRPr="00207DC2">
        <w:rPr>
          <w:rFonts w:cstheme="minorHAnsi"/>
          <w:lang w:val="en-AU"/>
        </w:rPr>
        <w:t>limit</w:t>
      </w:r>
      <w:r w:rsidR="00DD31D5" w:rsidRPr="00207DC2">
        <w:rPr>
          <w:rFonts w:cstheme="minorHAnsi"/>
          <w:lang w:val="en-AU"/>
        </w:rPr>
        <w:t xml:space="preserve"> </w:t>
      </w:r>
      <w:r w:rsidR="00CF0475" w:rsidRPr="00207DC2">
        <w:rPr>
          <w:lang w:val="en-AU"/>
        </w:rPr>
        <w:t xml:space="preserve">loss of </w:t>
      </w:r>
      <w:r w:rsidR="00DF407F" w:rsidRPr="00207DC2">
        <w:rPr>
          <w:lang w:val="en-AU"/>
        </w:rPr>
        <w:t>payments</w:t>
      </w:r>
      <w:r w:rsidR="00C579EE" w:rsidRPr="00207DC2">
        <w:rPr>
          <w:rFonts w:cstheme="minorHAnsi"/>
          <w:lang w:val="en-AU"/>
        </w:rPr>
        <w:t>.</w:t>
      </w:r>
    </w:p>
    <w:p w14:paraId="5C068688" w14:textId="77777777" w:rsidR="00706B5E" w:rsidRPr="00207DC2" w:rsidRDefault="001A0E93" w:rsidP="000D3DDE">
      <w:pPr>
        <w:spacing w:before="120" w:after="120"/>
        <w:jc w:val="both"/>
        <w:rPr>
          <w:lang w:val="en-AU"/>
        </w:rPr>
      </w:pPr>
      <w:r w:rsidRPr="00207DC2">
        <w:rPr>
          <w:lang w:val="en-AU"/>
        </w:rPr>
        <w:t>By encouraging participation in employment and community activities</w:t>
      </w:r>
      <w:r w:rsidR="004C6221" w:rsidRPr="00207DC2">
        <w:rPr>
          <w:lang w:val="en-AU"/>
        </w:rPr>
        <w:t xml:space="preserve"> (</w:t>
      </w:r>
      <w:r w:rsidR="004C6221" w:rsidRPr="00207DC2">
        <w:rPr>
          <w:rFonts w:cstheme="minorHAnsi"/>
          <w:lang w:val="en-AU"/>
        </w:rPr>
        <w:t>including Work for the Dole</w:t>
      </w:r>
      <w:r w:rsidR="004C6221" w:rsidRPr="00207DC2">
        <w:rPr>
          <w:lang w:val="en-AU"/>
        </w:rPr>
        <w:t>)</w:t>
      </w:r>
      <w:r w:rsidRPr="00207DC2">
        <w:rPr>
          <w:lang w:val="en-AU"/>
        </w:rPr>
        <w:t>,</w:t>
      </w:r>
      <w:r w:rsidR="004C6221" w:rsidRPr="00207DC2">
        <w:rPr>
          <w:lang w:val="en-AU"/>
        </w:rPr>
        <w:t xml:space="preserve"> penalties </w:t>
      </w:r>
      <w:r w:rsidR="00C62CD6" w:rsidRPr="00207DC2">
        <w:rPr>
          <w:lang w:val="en-AU"/>
        </w:rPr>
        <w:t>have the potential to</w:t>
      </w:r>
      <w:r w:rsidR="004C6221" w:rsidRPr="00207DC2">
        <w:rPr>
          <w:lang w:val="en-AU"/>
        </w:rPr>
        <w:t xml:space="preserve"> support the development of skills</w:t>
      </w:r>
      <w:r w:rsidR="00C62CD6" w:rsidRPr="00207DC2">
        <w:rPr>
          <w:lang w:val="en-AU"/>
        </w:rPr>
        <w:t xml:space="preserve"> and confidence for jobseekers,</w:t>
      </w:r>
      <w:r w:rsidR="004C6221" w:rsidRPr="00207DC2">
        <w:rPr>
          <w:lang w:val="en-AU"/>
        </w:rPr>
        <w:t xml:space="preserve"> and </w:t>
      </w:r>
      <w:r w:rsidR="00D0089B" w:rsidRPr="00207DC2">
        <w:rPr>
          <w:lang w:val="en-AU"/>
        </w:rPr>
        <w:t xml:space="preserve">to </w:t>
      </w:r>
      <w:r w:rsidR="004C6221" w:rsidRPr="00207DC2">
        <w:rPr>
          <w:lang w:val="en-AU"/>
        </w:rPr>
        <w:t>improve</w:t>
      </w:r>
      <w:r w:rsidR="00C62CD6" w:rsidRPr="00207DC2">
        <w:rPr>
          <w:lang w:val="en-AU"/>
        </w:rPr>
        <w:t xml:space="preserve"> their</w:t>
      </w:r>
      <w:r w:rsidR="004C6221" w:rsidRPr="00207DC2">
        <w:rPr>
          <w:lang w:val="en-AU"/>
        </w:rPr>
        <w:t xml:space="preserve"> employment outcomes.</w:t>
      </w:r>
    </w:p>
    <w:p w14:paraId="0163FADC" w14:textId="77777777" w:rsidR="008E54F3" w:rsidRPr="00207DC2" w:rsidRDefault="0032233C" w:rsidP="00F35F78">
      <w:pPr>
        <w:pStyle w:val="ZED5"/>
        <w:outlineLvl w:val="3"/>
      </w:pPr>
      <w:bookmarkStart w:id="391" w:name="_Toc515185463"/>
      <w:bookmarkStart w:id="392" w:name="_Toc516219837"/>
      <w:bookmarkStart w:id="393" w:name="_Toc516220478"/>
      <w:bookmarkStart w:id="394" w:name="_Toc516223298"/>
      <w:bookmarkStart w:id="395" w:name="_Toc516225206"/>
      <w:bookmarkStart w:id="396" w:name="_Toc516228982"/>
      <w:bookmarkStart w:id="397" w:name="_Toc535935054"/>
      <w:r w:rsidRPr="00207DC2">
        <w:t>P</w:t>
      </w:r>
      <w:r w:rsidR="00F27E3A" w:rsidRPr="00207DC2">
        <w:t xml:space="preserve">enalties </w:t>
      </w:r>
      <w:r w:rsidRPr="00207DC2">
        <w:t xml:space="preserve">and </w:t>
      </w:r>
      <w:r w:rsidR="00F27E3A" w:rsidRPr="00207DC2">
        <w:t>attendance</w:t>
      </w:r>
      <w:r w:rsidR="00F318A9" w:rsidRPr="00207DC2">
        <w:t xml:space="preserve"> among CDP participants</w:t>
      </w:r>
      <w:bookmarkEnd w:id="391"/>
      <w:bookmarkEnd w:id="392"/>
      <w:bookmarkEnd w:id="393"/>
      <w:bookmarkEnd w:id="394"/>
      <w:bookmarkEnd w:id="395"/>
      <w:bookmarkEnd w:id="396"/>
      <w:bookmarkEnd w:id="397"/>
    </w:p>
    <w:p w14:paraId="739B692A" w14:textId="15BA4ABD" w:rsidR="0097689A" w:rsidRPr="00207DC2" w:rsidRDefault="008E54F3" w:rsidP="001015C0">
      <w:pPr>
        <w:jc w:val="both"/>
        <w:rPr>
          <w:lang w:val="en-AU"/>
        </w:rPr>
      </w:pPr>
      <w:r w:rsidRPr="00207DC2">
        <w:rPr>
          <w:lang w:val="en-AU"/>
        </w:rPr>
        <w:t>Measuring the effect of penalties on attendance</w:t>
      </w:r>
      <w:r w:rsidR="00AC573C" w:rsidRPr="00207DC2">
        <w:rPr>
          <w:lang w:val="en-AU"/>
        </w:rPr>
        <w:t xml:space="preserve"> for </w:t>
      </w:r>
      <w:r w:rsidR="0083116A" w:rsidRPr="00207DC2">
        <w:rPr>
          <w:lang w:val="en-AU"/>
        </w:rPr>
        <w:t>participants</w:t>
      </w:r>
      <w:r w:rsidR="00AC573C" w:rsidRPr="00207DC2">
        <w:rPr>
          <w:lang w:val="en-AU"/>
        </w:rPr>
        <w:t xml:space="preserve"> living in remote Australia</w:t>
      </w:r>
      <w:r w:rsidRPr="00207DC2">
        <w:rPr>
          <w:lang w:val="en-AU"/>
        </w:rPr>
        <w:t xml:space="preserve"> is difficult.</w:t>
      </w:r>
      <w:r w:rsidRPr="00207DC2" w:rsidDel="001015C0">
        <w:rPr>
          <w:lang w:val="en-AU"/>
        </w:rPr>
        <w:t xml:space="preserve"> </w:t>
      </w:r>
      <w:r w:rsidR="00BD34F3" w:rsidRPr="00207DC2">
        <w:rPr>
          <w:lang w:val="en-AU"/>
        </w:rPr>
        <w:t>W</w:t>
      </w:r>
      <w:r w:rsidR="009A7C57" w:rsidRPr="00207DC2">
        <w:rPr>
          <w:lang w:val="en-AU"/>
        </w:rPr>
        <w:t>ithout a</w:t>
      </w:r>
      <w:r w:rsidR="007A431D" w:rsidRPr="00207DC2">
        <w:rPr>
          <w:lang w:val="en-AU"/>
        </w:rPr>
        <w:t xml:space="preserve"> comparable group</w:t>
      </w:r>
      <w:r w:rsidR="00DF62E2" w:rsidRPr="00207DC2">
        <w:rPr>
          <w:lang w:val="en-AU"/>
        </w:rPr>
        <w:t xml:space="preserve"> of remote participants</w:t>
      </w:r>
      <w:r w:rsidR="007A431D" w:rsidRPr="00207DC2">
        <w:rPr>
          <w:lang w:val="en-AU"/>
        </w:rPr>
        <w:t xml:space="preserve"> that</w:t>
      </w:r>
      <w:r w:rsidR="00DF62E2" w:rsidRPr="00207DC2">
        <w:rPr>
          <w:lang w:val="en-AU"/>
        </w:rPr>
        <w:t xml:space="preserve"> have not been </w:t>
      </w:r>
      <w:r w:rsidR="007A431D" w:rsidRPr="00207DC2">
        <w:rPr>
          <w:lang w:val="en-AU"/>
        </w:rPr>
        <w:t xml:space="preserve">exposed to </w:t>
      </w:r>
      <w:r w:rsidR="009A7C57" w:rsidRPr="00207DC2">
        <w:rPr>
          <w:lang w:val="en-AU"/>
        </w:rPr>
        <w:t>penalties, it is not possible t</w:t>
      </w:r>
      <w:r w:rsidR="0054509E" w:rsidRPr="00207DC2">
        <w:rPr>
          <w:lang w:val="en-AU"/>
        </w:rPr>
        <w:t xml:space="preserve">o estimate the </w:t>
      </w:r>
      <w:r w:rsidR="0054509E" w:rsidRPr="00207DC2">
        <w:rPr>
          <w:i/>
          <w:lang w:val="en-AU"/>
        </w:rPr>
        <w:t>compliance</w:t>
      </w:r>
      <w:r w:rsidR="009A7C57" w:rsidRPr="00207DC2">
        <w:rPr>
          <w:lang w:val="en-AU"/>
        </w:rPr>
        <w:t xml:space="preserve"> effect of penalties on attendance (that is,</w:t>
      </w:r>
      <w:r w:rsidR="00304412" w:rsidRPr="00207DC2">
        <w:rPr>
          <w:lang w:val="en-AU"/>
        </w:rPr>
        <w:t xml:space="preserve"> the impact of </w:t>
      </w:r>
      <w:r w:rsidR="00CC2AD0" w:rsidRPr="00207DC2">
        <w:rPr>
          <w:lang w:val="en-AU"/>
        </w:rPr>
        <w:t xml:space="preserve">potential </w:t>
      </w:r>
      <w:r w:rsidR="00304412" w:rsidRPr="00207DC2">
        <w:rPr>
          <w:lang w:val="en-AU"/>
        </w:rPr>
        <w:t>financial penalties</w:t>
      </w:r>
      <w:r w:rsidR="00124C64" w:rsidRPr="00207DC2">
        <w:rPr>
          <w:lang w:val="en-AU"/>
        </w:rPr>
        <w:t>, whether or not they are applied</w:t>
      </w:r>
      <w:r w:rsidR="009A7C57" w:rsidRPr="00207DC2">
        <w:rPr>
          <w:lang w:val="en-AU"/>
        </w:rPr>
        <w:t>).</w:t>
      </w:r>
    </w:p>
    <w:p w14:paraId="2C1E66A6" w14:textId="77777777" w:rsidR="008E54F3" w:rsidRPr="00207DC2" w:rsidRDefault="00B5309E" w:rsidP="00FA79CB">
      <w:pPr>
        <w:spacing w:before="120" w:after="120"/>
        <w:jc w:val="both"/>
        <w:rPr>
          <w:lang w:val="en-AU"/>
        </w:rPr>
      </w:pPr>
      <w:r w:rsidRPr="00207DC2">
        <w:rPr>
          <w:lang w:val="en-AU"/>
        </w:rPr>
        <w:t>T</w:t>
      </w:r>
      <w:r w:rsidR="008E54F3" w:rsidRPr="00207DC2">
        <w:rPr>
          <w:lang w:val="en-AU"/>
        </w:rPr>
        <w:t xml:space="preserve">o gain some insight into the relationship between </w:t>
      </w:r>
      <w:r w:rsidR="00104EE1" w:rsidRPr="00207DC2">
        <w:rPr>
          <w:i/>
          <w:lang w:val="en-AU"/>
        </w:rPr>
        <w:t xml:space="preserve">applied </w:t>
      </w:r>
      <w:r w:rsidR="008E54F3" w:rsidRPr="00207DC2">
        <w:rPr>
          <w:lang w:val="en-AU"/>
        </w:rPr>
        <w:t>penalties and attendance,</w:t>
      </w:r>
      <w:r w:rsidR="00F27E3A" w:rsidRPr="00207DC2">
        <w:rPr>
          <w:lang w:val="en-AU"/>
        </w:rPr>
        <w:t xml:space="preserve"> the analysis below </w:t>
      </w:r>
      <w:r w:rsidRPr="00207DC2">
        <w:rPr>
          <w:lang w:val="en-AU"/>
        </w:rPr>
        <w:t>looks at</w:t>
      </w:r>
      <w:r w:rsidR="008E54F3" w:rsidRPr="00207DC2">
        <w:rPr>
          <w:lang w:val="en-AU"/>
        </w:rPr>
        <w:t xml:space="preserve"> attendance </w:t>
      </w:r>
      <w:r w:rsidRPr="00207DC2">
        <w:rPr>
          <w:lang w:val="en-AU"/>
        </w:rPr>
        <w:t>patterns</w:t>
      </w:r>
      <w:r w:rsidR="008E54F3" w:rsidRPr="00207DC2">
        <w:rPr>
          <w:lang w:val="en-AU"/>
        </w:rPr>
        <w:t xml:space="preserve"> </w:t>
      </w:r>
      <w:r w:rsidR="00F40A47" w:rsidRPr="00207DC2">
        <w:rPr>
          <w:lang w:val="en-AU"/>
        </w:rPr>
        <w:t>for</w:t>
      </w:r>
      <w:r w:rsidR="008E54F3" w:rsidRPr="00207DC2">
        <w:rPr>
          <w:lang w:val="en-AU"/>
        </w:rPr>
        <w:t xml:space="preserve"> those CDP participants who were penalised in the first quarter of 2016. The analysis </w:t>
      </w:r>
      <w:r w:rsidR="00FA79CB" w:rsidRPr="00207DC2">
        <w:rPr>
          <w:lang w:val="en-AU"/>
        </w:rPr>
        <w:t>tracks</w:t>
      </w:r>
      <w:r w:rsidR="008E54F3" w:rsidRPr="00207DC2">
        <w:rPr>
          <w:lang w:val="en-AU"/>
        </w:rPr>
        <w:t xml:space="preserve"> outcomes for the same sample of CDP participant</w:t>
      </w:r>
      <w:r w:rsidR="00891BCB" w:rsidRPr="00207DC2">
        <w:rPr>
          <w:lang w:val="en-AU"/>
        </w:rPr>
        <w:t>s</w:t>
      </w:r>
      <w:r w:rsidR="008E54F3" w:rsidRPr="00207DC2">
        <w:rPr>
          <w:lang w:val="en-AU"/>
        </w:rPr>
        <w:t xml:space="preserve"> as the regression analysis</w:t>
      </w:r>
      <w:r w:rsidR="00001E86" w:rsidRPr="00207DC2">
        <w:rPr>
          <w:lang w:val="en-AU"/>
        </w:rPr>
        <w:t xml:space="preserve"> in Section 3.2</w:t>
      </w:r>
      <w:r w:rsidR="008E54F3" w:rsidRPr="00207DC2">
        <w:rPr>
          <w:lang w:val="en-AU"/>
        </w:rPr>
        <w:t xml:space="preserve"> (that is, those participating in the program on 1 January 2016)</w:t>
      </w:r>
      <w:r w:rsidR="00C753EB" w:rsidRPr="00207DC2">
        <w:rPr>
          <w:lang w:val="en-AU"/>
        </w:rPr>
        <w:t>.</w:t>
      </w:r>
      <w:r w:rsidR="008E54F3" w:rsidRPr="00207DC2">
        <w:rPr>
          <w:lang w:val="en-AU"/>
        </w:rPr>
        <w:t xml:space="preserve"> </w:t>
      </w:r>
    </w:p>
    <w:p w14:paraId="2554AD06" w14:textId="77777777" w:rsidR="004603C0" w:rsidRPr="00207DC2" w:rsidRDefault="005547B6" w:rsidP="000578CF">
      <w:pPr>
        <w:spacing w:before="120" w:after="120"/>
        <w:jc w:val="both"/>
        <w:rPr>
          <w:lang w:val="en-AU"/>
        </w:rPr>
      </w:pPr>
      <w:r w:rsidRPr="00207DC2">
        <w:rPr>
          <w:lang w:val="en-AU"/>
        </w:rPr>
        <w:t>I</w:t>
      </w:r>
      <w:r w:rsidR="00291AD5" w:rsidRPr="00207DC2">
        <w:rPr>
          <w:lang w:val="en-AU"/>
        </w:rPr>
        <w:t>n addition to penalt</w:t>
      </w:r>
      <w:r w:rsidR="00BC6A53" w:rsidRPr="00207DC2">
        <w:rPr>
          <w:lang w:val="en-AU"/>
        </w:rPr>
        <w:t>ies</w:t>
      </w:r>
      <w:r w:rsidR="00CB2157" w:rsidRPr="00207DC2">
        <w:rPr>
          <w:lang w:val="en-AU"/>
        </w:rPr>
        <w:t>, a range of other factors</w:t>
      </w:r>
      <w:r w:rsidR="00897AED" w:rsidRPr="00207DC2">
        <w:rPr>
          <w:lang w:val="en-AU"/>
        </w:rPr>
        <w:t xml:space="preserve">, including the quality of activities provided, </w:t>
      </w:r>
      <w:r w:rsidR="00CB2157" w:rsidRPr="00207DC2">
        <w:rPr>
          <w:lang w:val="en-AU"/>
        </w:rPr>
        <w:t>are</w:t>
      </w:r>
      <w:r w:rsidR="00BC6A53" w:rsidRPr="00207DC2">
        <w:rPr>
          <w:lang w:val="en-AU"/>
        </w:rPr>
        <w:t xml:space="preserve"> likely to influence </w:t>
      </w:r>
      <w:r w:rsidR="00291AD5" w:rsidRPr="00207DC2">
        <w:rPr>
          <w:lang w:val="en-AU"/>
        </w:rPr>
        <w:t>attendance</w:t>
      </w:r>
      <w:r w:rsidR="00BC6A53" w:rsidRPr="00207DC2">
        <w:rPr>
          <w:lang w:val="en-AU"/>
        </w:rPr>
        <w:t xml:space="preserve"> patterns</w:t>
      </w:r>
      <w:r w:rsidR="00291AD5" w:rsidRPr="00207DC2">
        <w:rPr>
          <w:lang w:val="en-AU"/>
        </w:rPr>
        <w:t>.</w:t>
      </w:r>
      <w:r w:rsidR="00102D54" w:rsidRPr="00207DC2">
        <w:rPr>
          <w:lang w:val="en-AU"/>
        </w:rPr>
        <w:t xml:space="preserve"> Without a measure of the quality of activities,</w:t>
      </w:r>
      <w:r w:rsidR="008E54F3" w:rsidRPr="00207DC2">
        <w:rPr>
          <w:lang w:val="en-AU"/>
        </w:rPr>
        <w:t xml:space="preserve"> </w:t>
      </w:r>
      <w:r w:rsidR="00102D54" w:rsidRPr="00207DC2">
        <w:rPr>
          <w:lang w:val="en-AU"/>
        </w:rPr>
        <w:t xml:space="preserve">the </w:t>
      </w:r>
      <w:r w:rsidR="00042983" w:rsidRPr="00207DC2">
        <w:rPr>
          <w:lang w:val="en-AU"/>
        </w:rPr>
        <w:t xml:space="preserve">observed effect </w:t>
      </w:r>
      <w:r w:rsidR="00102D54" w:rsidRPr="00207DC2">
        <w:rPr>
          <w:lang w:val="en-AU"/>
        </w:rPr>
        <w:t xml:space="preserve">of </w:t>
      </w:r>
      <w:r w:rsidR="00042983" w:rsidRPr="00207DC2">
        <w:rPr>
          <w:lang w:val="en-AU"/>
        </w:rPr>
        <w:t xml:space="preserve">penalties and the quality of activities </w:t>
      </w:r>
      <w:r w:rsidR="00DF3314" w:rsidRPr="00207DC2">
        <w:rPr>
          <w:lang w:val="en-AU"/>
        </w:rPr>
        <w:t>can</w:t>
      </w:r>
      <w:r w:rsidR="00042983" w:rsidRPr="00207DC2">
        <w:rPr>
          <w:lang w:val="en-AU"/>
        </w:rPr>
        <w:t>not be separately identified.</w:t>
      </w:r>
    </w:p>
    <w:p w14:paraId="3C7E73EE" w14:textId="77777777" w:rsidR="00CA25ED" w:rsidRPr="00207DC2" w:rsidRDefault="00CA25ED" w:rsidP="00F35F78">
      <w:pPr>
        <w:pStyle w:val="zed55"/>
        <w:outlineLvl w:val="4"/>
      </w:pPr>
      <w:r w:rsidRPr="00207DC2">
        <w:t>Attendance following a penalty</w:t>
      </w:r>
    </w:p>
    <w:p w14:paraId="5A324681" w14:textId="5353D574" w:rsidR="00302733" w:rsidRPr="00207DC2" w:rsidRDefault="00CA25ED" w:rsidP="00B56745">
      <w:pPr>
        <w:tabs>
          <w:tab w:val="left" w:pos="5387"/>
        </w:tabs>
        <w:spacing w:before="120" w:after="120"/>
        <w:jc w:val="both"/>
        <w:rPr>
          <w:lang w:val="en-AU"/>
        </w:rPr>
      </w:pPr>
      <w:r w:rsidRPr="00207DC2">
        <w:rPr>
          <w:lang w:val="en-AU"/>
        </w:rPr>
        <w:t>Close to 30 per cent</w:t>
      </w:r>
      <w:r w:rsidR="00396552">
        <w:rPr>
          <w:lang w:val="en-AU"/>
        </w:rPr>
        <w:t xml:space="preserve"> – </w:t>
      </w:r>
      <w:r w:rsidRPr="00207DC2">
        <w:rPr>
          <w:lang w:val="en-AU"/>
        </w:rPr>
        <w:t>or 10,080 out of 34,726 participants on</w:t>
      </w:r>
      <w:r w:rsidR="006B26C5" w:rsidRPr="00207DC2">
        <w:rPr>
          <w:lang w:val="en-AU"/>
        </w:rPr>
        <w:t xml:space="preserve"> the</w:t>
      </w:r>
      <w:r w:rsidRPr="00207DC2">
        <w:rPr>
          <w:lang w:val="en-AU"/>
        </w:rPr>
        <w:t xml:space="preserve"> CDP on 1</w:t>
      </w:r>
      <w:r w:rsidR="00DD2265" w:rsidRPr="00207DC2">
        <w:rPr>
          <w:lang w:val="en-AU"/>
        </w:rPr>
        <w:t> </w:t>
      </w:r>
      <w:r w:rsidRPr="00207DC2">
        <w:rPr>
          <w:lang w:val="en-AU"/>
        </w:rPr>
        <w:t>January</w:t>
      </w:r>
      <w:r w:rsidR="00DD2265" w:rsidRPr="00207DC2">
        <w:rPr>
          <w:lang w:val="en-AU"/>
        </w:rPr>
        <w:t> </w:t>
      </w:r>
      <w:r w:rsidRPr="00207DC2">
        <w:rPr>
          <w:lang w:val="en-AU"/>
        </w:rPr>
        <w:t>2016</w:t>
      </w:r>
      <w:r w:rsidR="00396552">
        <w:rPr>
          <w:lang w:val="en-AU"/>
        </w:rPr>
        <w:t xml:space="preserve"> – </w:t>
      </w:r>
      <w:r w:rsidRPr="00207DC2">
        <w:rPr>
          <w:lang w:val="en-AU"/>
        </w:rPr>
        <w:t>were penalised in the first quarter of 2016. O</w:t>
      </w:r>
      <w:r w:rsidR="00D905BA" w:rsidRPr="00207DC2">
        <w:rPr>
          <w:lang w:val="en-AU"/>
        </w:rPr>
        <w:t>n average,</w:t>
      </w:r>
      <w:r w:rsidRPr="00207DC2">
        <w:rPr>
          <w:lang w:val="en-AU"/>
        </w:rPr>
        <w:t xml:space="preserve"> these participants</w:t>
      </w:r>
      <w:r w:rsidR="00D905BA" w:rsidRPr="00207DC2">
        <w:rPr>
          <w:lang w:val="en-AU"/>
        </w:rPr>
        <w:t xml:space="preserve"> lost</w:t>
      </w:r>
      <w:r w:rsidR="00CB2CBC" w:rsidRPr="00207DC2">
        <w:rPr>
          <w:lang w:val="en-AU"/>
        </w:rPr>
        <w:t xml:space="preserve"> nearly</w:t>
      </w:r>
      <w:r w:rsidR="00D905BA" w:rsidRPr="00207DC2">
        <w:rPr>
          <w:lang w:val="en-AU"/>
        </w:rPr>
        <w:t xml:space="preserve"> </w:t>
      </w:r>
      <w:r w:rsidR="00051A53" w:rsidRPr="00207DC2">
        <w:rPr>
          <w:lang w:val="en-AU"/>
        </w:rPr>
        <w:t>six </w:t>
      </w:r>
      <w:r w:rsidR="00D905BA" w:rsidRPr="00207DC2">
        <w:rPr>
          <w:lang w:val="en-AU"/>
        </w:rPr>
        <w:t>per cent of the</w:t>
      </w:r>
      <w:r w:rsidR="00986F70" w:rsidRPr="00207DC2">
        <w:rPr>
          <w:lang w:val="en-AU"/>
        </w:rPr>
        <w:t>ir</w:t>
      </w:r>
      <w:r w:rsidR="00D905BA" w:rsidRPr="00207DC2">
        <w:rPr>
          <w:lang w:val="en-AU"/>
        </w:rPr>
        <w:t xml:space="preserve"> income support payments to penalties over the year</w:t>
      </w:r>
      <w:r w:rsidR="004F6792" w:rsidRPr="00207DC2">
        <w:rPr>
          <w:lang w:val="en-AU"/>
        </w:rPr>
        <w:t xml:space="preserve"> </w:t>
      </w:r>
      <w:r w:rsidR="00CB2CBC" w:rsidRPr="00207DC2">
        <w:rPr>
          <w:lang w:val="en-AU"/>
        </w:rPr>
        <w:t>(T</w:t>
      </w:r>
      <w:r w:rsidR="004F6792" w:rsidRPr="00207DC2">
        <w:rPr>
          <w:lang w:val="en-AU"/>
        </w:rPr>
        <w:t>able 3.2)</w:t>
      </w:r>
      <w:r w:rsidR="00D905BA" w:rsidRPr="00207DC2">
        <w:rPr>
          <w:lang w:val="en-AU"/>
        </w:rPr>
        <w:t xml:space="preserve">. </w:t>
      </w:r>
    </w:p>
    <w:p w14:paraId="55C7A2EC" w14:textId="24C00E0C" w:rsidR="00421765" w:rsidRPr="00207DC2" w:rsidRDefault="00D905BA" w:rsidP="00B56745">
      <w:pPr>
        <w:tabs>
          <w:tab w:val="left" w:pos="5387"/>
        </w:tabs>
        <w:spacing w:before="120" w:after="120"/>
        <w:jc w:val="both"/>
        <w:rPr>
          <w:lang w:val="en-AU"/>
        </w:rPr>
      </w:pPr>
      <w:r w:rsidRPr="00207DC2">
        <w:rPr>
          <w:lang w:val="en-AU"/>
        </w:rPr>
        <w:t>For those CDP participants who were penalised in the first quarter of 2016, tracking their attendance</w:t>
      </w:r>
      <w:r w:rsidR="00505603" w:rsidRPr="00207DC2">
        <w:rPr>
          <w:lang w:val="en-AU"/>
        </w:rPr>
        <w:t xml:space="preserve"> (including attendance at Work for the Dole activities or valid non</w:t>
      </w:r>
      <w:r w:rsidR="00505603" w:rsidRPr="00207DC2">
        <w:rPr>
          <w:lang w:val="en-AU"/>
        </w:rPr>
        <w:noBreakHyphen/>
        <w:t>attendance)</w:t>
      </w:r>
      <w:r w:rsidRPr="00207DC2">
        <w:rPr>
          <w:lang w:val="en-AU"/>
        </w:rPr>
        <w:t xml:space="preserve"> and outcomes over the </w:t>
      </w:r>
      <w:r w:rsidR="00FE3C11" w:rsidRPr="00207DC2">
        <w:rPr>
          <w:lang w:val="en-AU"/>
        </w:rPr>
        <w:t>remainder of the</w:t>
      </w:r>
      <w:r w:rsidRPr="00207DC2">
        <w:rPr>
          <w:lang w:val="en-AU"/>
        </w:rPr>
        <w:t xml:space="preserve"> year (to December 2016) </w:t>
      </w:r>
      <w:r w:rsidR="00087659" w:rsidRPr="00207DC2">
        <w:rPr>
          <w:lang w:val="en-AU"/>
        </w:rPr>
        <w:t xml:space="preserve">shows a slight increase in the </w:t>
      </w:r>
      <w:r w:rsidR="00E45654" w:rsidRPr="00207DC2">
        <w:rPr>
          <w:lang w:val="en-AU"/>
        </w:rPr>
        <w:t xml:space="preserve">average </w:t>
      </w:r>
      <w:r w:rsidR="00282BA0" w:rsidRPr="00207DC2">
        <w:rPr>
          <w:lang w:val="en-AU"/>
        </w:rPr>
        <w:t xml:space="preserve">attendance rate </w:t>
      </w:r>
      <w:r w:rsidR="00087659" w:rsidRPr="00207DC2">
        <w:rPr>
          <w:lang w:val="en-AU"/>
        </w:rPr>
        <w:t>of penalised participants</w:t>
      </w:r>
      <w:r w:rsidR="00282BA0" w:rsidRPr="00207DC2" w:rsidDel="00087659">
        <w:rPr>
          <w:lang w:val="en-AU"/>
        </w:rPr>
        <w:t xml:space="preserve"> </w:t>
      </w:r>
      <w:r w:rsidR="00F12429" w:rsidRPr="00207DC2">
        <w:rPr>
          <w:lang w:val="en-AU"/>
        </w:rPr>
        <w:t>–</w:t>
      </w:r>
      <w:r w:rsidR="00097E09" w:rsidRPr="00207DC2">
        <w:rPr>
          <w:lang w:val="en-AU"/>
        </w:rPr>
        <w:t xml:space="preserve"> </w:t>
      </w:r>
      <w:r w:rsidR="00282BA0" w:rsidRPr="00207DC2">
        <w:rPr>
          <w:lang w:val="en-AU"/>
        </w:rPr>
        <w:t xml:space="preserve">from 66 per cent </w:t>
      </w:r>
      <w:r w:rsidR="00E45654" w:rsidRPr="00207DC2">
        <w:rPr>
          <w:lang w:val="en-AU"/>
        </w:rPr>
        <w:t>in the first quarter of 2016 to 69 per cent during the remainder of the year</w:t>
      </w:r>
      <w:r w:rsidR="00097E09" w:rsidRPr="00207DC2">
        <w:rPr>
          <w:lang w:val="en-AU"/>
        </w:rPr>
        <w:t xml:space="preserve"> (Table</w:t>
      </w:r>
      <w:r w:rsidR="00EA3E5A" w:rsidRPr="00207DC2">
        <w:rPr>
          <w:lang w:val="en-AU"/>
        </w:rPr>
        <w:t> </w:t>
      </w:r>
      <w:r w:rsidR="00097E09" w:rsidRPr="00207DC2">
        <w:rPr>
          <w:lang w:val="en-AU"/>
        </w:rPr>
        <w:t>3.2)</w:t>
      </w:r>
      <w:r w:rsidRPr="00207DC2">
        <w:rPr>
          <w:lang w:val="en-AU"/>
        </w:rPr>
        <w:t xml:space="preserve">. </w:t>
      </w:r>
      <w:r w:rsidR="00B56745" w:rsidRPr="00207DC2">
        <w:rPr>
          <w:lang w:val="en-AU"/>
        </w:rPr>
        <w:t>This suggest</w:t>
      </w:r>
      <w:r w:rsidR="00304412" w:rsidRPr="00207DC2">
        <w:rPr>
          <w:lang w:val="en-AU"/>
        </w:rPr>
        <w:t>s</w:t>
      </w:r>
      <w:r w:rsidR="00B56745" w:rsidRPr="00207DC2">
        <w:rPr>
          <w:lang w:val="en-AU"/>
        </w:rPr>
        <w:t xml:space="preserve"> that f</w:t>
      </w:r>
      <w:r w:rsidR="002E09F0" w:rsidRPr="00207DC2">
        <w:rPr>
          <w:lang w:val="en-AU"/>
        </w:rPr>
        <w:t xml:space="preserve">or those who are penalised, the application of a </w:t>
      </w:r>
      <w:r w:rsidR="00920380" w:rsidRPr="00207DC2">
        <w:rPr>
          <w:lang w:val="en-AU"/>
        </w:rPr>
        <w:t>penalty</w:t>
      </w:r>
      <w:r w:rsidR="002E09F0" w:rsidRPr="00207DC2">
        <w:rPr>
          <w:lang w:val="en-AU"/>
        </w:rPr>
        <w:t xml:space="preserve"> may to some </w:t>
      </w:r>
      <w:r w:rsidR="00920380" w:rsidRPr="00207DC2">
        <w:rPr>
          <w:lang w:val="en-AU"/>
        </w:rPr>
        <w:t>extent</w:t>
      </w:r>
      <w:r w:rsidR="002E09F0" w:rsidRPr="00207DC2">
        <w:rPr>
          <w:lang w:val="en-AU"/>
        </w:rPr>
        <w:t xml:space="preserve"> improve subsequent attendance among some CDP participants. </w:t>
      </w:r>
    </w:p>
    <w:p w14:paraId="66C20C54" w14:textId="77777777" w:rsidR="0032233C" w:rsidRPr="00207DC2" w:rsidRDefault="009207D8" w:rsidP="00D905BA">
      <w:pPr>
        <w:jc w:val="both"/>
        <w:rPr>
          <w:lang w:val="en-AU"/>
        </w:rPr>
      </w:pPr>
      <w:r w:rsidRPr="00207DC2">
        <w:rPr>
          <w:lang w:val="en-AU"/>
        </w:rPr>
        <w:t>Participants that received a penalty in the first quarter of 2016 were</w:t>
      </w:r>
      <w:r w:rsidR="0022494A" w:rsidRPr="00207DC2">
        <w:rPr>
          <w:lang w:val="en-AU"/>
        </w:rPr>
        <w:t xml:space="preserve"> group</w:t>
      </w:r>
      <w:r w:rsidR="00616321" w:rsidRPr="00207DC2">
        <w:rPr>
          <w:lang w:val="en-AU"/>
        </w:rPr>
        <w:t>ed</w:t>
      </w:r>
      <w:r w:rsidR="0022494A" w:rsidRPr="00207DC2">
        <w:rPr>
          <w:lang w:val="en-AU"/>
        </w:rPr>
        <w:t xml:space="preserve"> based on </w:t>
      </w:r>
      <w:r w:rsidR="00616321" w:rsidRPr="00207DC2">
        <w:rPr>
          <w:lang w:val="en-AU"/>
        </w:rPr>
        <w:t xml:space="preserve">the </w:t>
      </w:r>
      <w:r w:rsidR="0022494A" w:rsidRPr="00207DC2">
        <w:rPr>
          <w:lang w:val="en-AU"/>
        </w:rPr>
        <w:t xml:space="preserve">total </w:t>
      </w:r>
      <w:r w:rsidR="00616321" w:rsidRPr="00207DC2">
        <w:rPr>
          <w:lang w:val="en-AU"/>
        </w:rPr>
        <w:t xml:space="preserve">value of </w:t>
      </w:r>
      <w:r w:rsidR="0022494A" w:rsidRPr="00207DC2">
        <w:rPr>
          <w:lang w:val="en-AU"/>
        </w:rPr>
        <w:t xml:space="preserve">penalties applied in </w:t>
      </w:r>
      <w:r w:rsidR="00A27ADB" w:rsidRPr="00207DC2">
        <w:rPr>
          <w:lang w:val="en-AU"/>
        </w:rPr>
        <w:t>that first quarter</w:t>
      </w:r>
      <w:r w:rsidR="003F7221" w:rsidRPr="00207DC2">
        <w:rPr>
          <w:lang w:val="en-AU"/>
        </w:rPr>
        <w:t xml:space="preserve"> (Table 3.2)</w:t>
      </w:r>
      <w:r w:rsidR="0022494A" w:rsidRPr="00207DC2">
        <w:rPr>
          <w:lang w:val="en-AU"/>
        </w:rPr>
        <w:t xml:space="preserve">. </w:t>
      </w:r>
      <w:r w:rsidR="008A5A56" w:rsidRPr="00207DC2">
        <w:rPr>
          <w:lang w:val="en-AU"/>
        </w:rPr>
        <w:t xml:space="preserve">Low, Medium and High penalty categories are based on quartiles. </w:t>
      </w:r>
      <w:r w:rsidR="0022494A" w:rsidRPr="00207DC2">
        <w:rPr>
          <w:lang w:val="en-AU"/>
        </w:rPr>
        <w:t>The l</w:t>
      </w:r>
      <w:r w:rsidR="008A5A56" w:rsidRPr="00207DC2">
        <w:rPr>
          <w:lang w:val="en-AU"/>
        </w:rPr>
        <w:t>ow group is the bottom quartile – the least penalised</w:t>
      </w:r>
      <w:r w:rsidR="004E3C3C" w:rsidRPr="00207DC2">
        <w:rPr>
          <w:lang w:val="en-AU"/>
        </w:rPr>
        <w:t xml:space="preserve"> over the </w:t>
      </w:r>
      <w:r w:rsidR="00A27ADB" w:rsidRPr="00207DC2">
        <w:rPr>
          <w:lang w:val="en-AU"/>
        </w:rPr>
        <w:t>quarter</w:t>
      </w:r>
      <w:r w:rsidR="008A5A56" w:rsidRPr="00207DC2">
        <w:rPr>
          <w:lang w:val="en-AU"/>
        </w:rPr>
        <w:t xml:space="preserve">. </w:t>
      </w:r>
      <w:r w:rsidR="0022494A" w:rsidRPr="00207DC2">
        <w:rPr>
          <w:lang w:val="en-AU"/>
        </w:rPr>
        <w:t>The h</w:t>
      </w:r>
      <w:r w:rsidR="008A5A56" w:rsidRPr="00207DC2">
        <w:rPr>
          <w:lang w:val="en-AU"/>
        </w:rPr>
        <w:t>igh group is the top quartile – the most penalised</w:t>
      </w:r>
      <w:r w:rsidR="004E3C3C" w:rsidRPr="00207DC2">
        <w:rPr>
          <w:lang w:val="en-AU"/>
        </w:rPr>
        <w:t xml:space="preserve"> over the </w:t>
      </w:r>
      <w:r w:rsidR="00A27ADB" w:rsidRPr="00207DC2">
        <w:rPr>
          <w:lang w:val="en-AU"/>
        </w:rPr>
        <w:t>quarter</w:t>
      </w:r>
      <w:r w:rsidR="008A5A56" w:rsidRPr="00207DC2">
        <w:rPr>
          <w:lang w:val="en-AU"/>
        </w:rPr>
        <w:t xml:space="preserve">. </w:t>
      </w:r>
      <w:r w:rsidR="0022494A" w:rsidRPr="00207DC2">
        <w:rPr>
          <w:lang w:val="en-AU"/>
        </w:rPr>
        <w:t>That leaves the m</w:t>
      </w:r>
      <w:r w:rsidR="008A5A56" w:rsidRPr="00207DC2">
        <w:rPr>
          <w:lang w:val="en-AU"/>
        </w:rPr>
        <w:t xml:space="preserve">edium group </w:t>
      </w:r>
      <w:r w:rsidR="0022494A" w:rsidRPr="00207DC2">
        <w:rPr>
          <w:lang w:val="en-AU"/>
        </w:rPr>
        <w:t>as</w:t>
      </w:r>
      <w:r w:rsidR="008A5A56" w:rsidRPr="00207DC2">
        <w:rPr>
          <w:lang w:val="en-AU"/>
        </w:rPr>
        <w:t xml:space="preserve"> the half that sits between the Low and High groups (Table 3.2)</w:t>
      </w:r>
      <w:r w:rsidR="00AA455D" w:rsidRPr="00207DC2">
        <w:rPr>
          <w:lang w:val="en-AU"/>
        </w:rPr>
        <w:t>.</w:t>
      </w:r>
    </w:p>
    <w:p w14:paraId="3D5FCF21" w14:textId="77777777" w:rsidR="00993A8E" w:rsidRPr="00207DC2" w:rsidRDefault="00A95503" w:rsidP="00993A8E">
      <w:pPr>
        <w:spacing w:before="120" w:after="120"/>
        <w:jc w:val="both"/>
        <w:rPr>
          <w:lang w:val="en-AU"/>
        </w:rPr>
      </w:pPr>
      <w:r w:rsidRPr="00207DC2">
        <w:rPr>
          <w:lang w:val="en-AU"/>
        </w:rPr>
        <w:t>T</w:t>
      </w:r>
      <w:r w:rsidR="00D905BA" w:rsidRPr="00207DC2">
        <w:rPr>
          <w:lang w:val="en-AU"/>
        </w:rPr>
        <w:t xml:space="preserve">hose penalised a </w:t>
      </w:r>
      <w:r w:rsidR="0031438E" w:rsidRPr="00207DC2">
        <w:rPr>
          <w:lang w:val="en-AU"/>
        </w:rPr>
        <w:t>compara</w:t>
      </w:r>
      <w:r w:rsidR="00161C7E" w:rsidRPr="00207DC2">
        <w:rPr>
          <w:lang w:val="en-AU"/>
        </w:rPr>
        <w:t>tively</w:t>
      </w:r>
      <w:r w:rsidR="0031438E" w:rsidRPr="00207DC2">
        <w:rPr>
          <w:lang w:val="en-AU"/>
        </w:rPr>
        <w:t xml:space="preserve"> </w:t>
      </w:r>
      <w:r w:rsidR="00D905BA" w:rsidRPr="00207DC2">
        <w:rPr>
          <w:lang w:val="en-AU"/>
        </w:rPr>
        <w:t xml:space="preserve">low amount </w:t>
      </w:r>
      <w:r w:rsidR="00A942F9" w:rsidRPr="00207DC2">
        <w:rPr>
          <w:lang w:val="en-AU"/>
        </w:rPr>
        <w:t xml:space="preserve">in the first quarter of 2016 </w:t>
      </w:r>
      <w:r w:rsidR="00D905BA" w:rsidRPr="00207DC2">
        <w:rPr>
          <w:lang w:val="en-AU"/>
        </w:rPr>
        <w:t xml:space="preserve">show </w:t>
      </w:r>
      <w:r w:rsidR="0031438E" w:rsidRPr="00207DC2">
        <w:rPr>
          <w:lang w:val="en-AU"/>
        </w:rPr>
        <w:t>almost no change</w:t>
      </w:r>
      <w:r w:rsidR="00A27ADB" w:rsidRPr="00207DC2">
        <w:rPr>
          <w:lang w:val="en-AU"/>
        </w:rPr>
        <w:t xml:space="preserve"> </w:t>
      </w:r>
      <w:r w:rsidR="00D905BA" w:rsidRPr="00207DC2">
        <w:rPr>
          <w:lang w:val="en-AU"/>
        </w:rPr>
        <w:t>in their overall rate of attendance in the remaining three quarters of the year</w:t>
      </w:r>
      <w:r w:rsidR="00D24651" w:rsidRPr="00207DC2">
        <w:rPr>
          <w:lang w:val="en-AU"/>
        </w:rPr>
        <w:t>.</w:t>
      </w:r>
    </w:p>
    <w:p w14:paraId="1F99EBF3" w14:textId="2F75EA2C" w:rsidR="00814B8E" w:rsidRPr="00207DC2" w:rsidRDefault="0032233C" w:rsidP="00993A8E">
      <w:pPr>
        <w:spacing w:before="120" w:after="120"/>
        <w:jc w:val="both"/>
        <w:rPr>
          <w:lang w:val="en-AU"/>
        </w:rPr>
      </w:pPr>
      <w:r w:rsidRPr="00207DC2">
        <w:rPr>
          <w:lang w:val="en-AU"/>
        </w:rPr>
        <w:t>P</w:t>
      </w:r>
      <w:r w:rsidR="00D905BA" w:rsidRPr="00207DC2">
        <w:rPr>
          <w:lang w:val="en-AU"/>
        </w:rPr>
        <w:t xml:space="preserve">articipants </w:t>
      </w:r>
      <w:r w:rsidR="007624CD" w:rsidRPr="00207DC2">
        <w:rPr>
          <w:lang w:val="en-AU"/>
        </w:rPr>
        <w:t xml:space="preserve">with </w:t>
      </w:r>
      <w:r w:rsidR="00D905BA" w:rsidRPr="00207DC2">
        <w:rPr>
          <w:lang w:val="en-AU"/>
        </w:rPr>
        <w:t xml:space="preserve">the largest penalties </w:t>
      </w:r>
      <w:r w:rsidR="00D905BA" w:rsidRPr="00207DC2" w:rsidDel="004E3C3C">
        <w:rPr>
          <w:lang w:val="en-AU"/>
        </w:rPr>
        <w:t>in the first quarter of 2016</w:t>
      </w:r>
      <w:r w:rsidR="0031438E" w:rsidRPr="00207DC2">
        <w:rPr>
          <w:lang w:val="en-AU"/>
        </w:rPr>
        <w:t xml:space="preserve"> </w:t>
      </w:r>
      <w:r w:rsidR="00505603" w:rsidRPr="00207DC2">
        <w:rPr>
          <w:lang w:val="en-AU"/>
        </w:rPr>
        <w:t>increased their average attendance rate</w:t>
      </w:r>
      <w:r w:rsidR="003458EE" w:rsidRPr="00207DC2">
        <w:rPr>
          <w:lang w:val="en-AU"/>
        </w:rPr>
        <w:t xml:space="preserve"> from 52 per cent </w:t>
      </w:r>
      <w:r w:rsidR="00291018" w:rsidRPr="00207DC2">
        <w:rPr>
          <w:lang w:val="en-AU"/>
        </w:rPr>
        <w:t xml:space="preserve">in the </w:t>
      </w:r>
      <w:r w:rsidR="003458EE" w:rsidRPr="00207DC2" w:rsidDel="004E3C3C">
        <w:rPr>
          <w:lang w:val="en-AU"/>
        </w:rPr>
        <w:t>first quarter of 2016</w:t>
      </w:r>
      <w:r w:rsidR="003458EE" w:rsidRPr="00207DC2">
        <w:rPr>
          <w:lang w:val="en-AU"/>
        </w:rPr>
        <w:t xml:space="preserve"> to 59 per cent over the rem</w:t>
      </w:r>
      <w:r w:rsidR="00291018" w:rsidRPr="00207DC2">
        <w:rPr>
          <w:lang w:val="en-AU"/>
        </w:rPr>
        <w:t>a</w:t>
      </w:r>
      <w:r w:rsidR="003458EE" w:rsidRPr="00207DC2">
        <w:rPr>
          <w:lang w:val="en-AU"/>
        </w:rPr>
        <w:t>inder of the year</w:t>
      </w:r>
      <w:r w:rsidR="00190ED4" w:rsidRPr="00207DC2">
        <w:rPr>
          <w:lang w:val="en-AU"/>
        </w:rPr>
        <w:t xml:space="preserve"> </w:t>
      </w:r>
      <w:r w:rsidR="00D905BA" w:rsidRPr="00207DC2">
        <w:rPr>
          <w:lang w:val="en-AU"/>
        </w:rPr>
        <w:t>(Table 3.2).</w:t>
      </w:r>
      <w:r w:rsidR="00DD451A" w:rsidRPr="00207DC2">
        <w:rPr>
          <w:lang w:val="en-AU"/>
        </w:rPr>
        <w:t xml:space="preserve"> </w:t>
      </w:r>
      <w:r w:rsidR="00127D7C" w:rsidRPr="00207DC2">
        <w:rPr>
          <w:lang w:val="en-AU"/>
        </w:rPr>
        <w:t xml:space="preserve">Even so, these participants </w:t>
      </w:r>
      <w:r w:rsidR="00505603" w:rsidRPr="00207DC2">
        <w:rPr>
          <w:lang w:val="en-AU"/>
        </w:rPr>
        <w:t>had the lowest average rate of attendance at Work for the Dole activities</w:t>
      </w:r>
      <w:r w:rsidR="00127D7C" w:rsidRPr="00207DC2">
        <w:rPr>
          <w:lang w:val="en-AU"/>
        </w:rPr>
        <w:t>.</w:t>
      </w:r>
      <w:r w:rsidR="00505603" w:rsidRPr="00207DC2">
        <w:rPr>
          <w:lang w:val="en-AU"/>
        </w:rPr>
        <w:t xml:space="preserve"> </w:t>
      </w:r>
      <w:r w:rsidR="00127D7C" w:rsidRPr="00207DC2">
        <w:rPr>
          <w:lang w:val="en-AU"/>
        </w:rPr>
        <w:t xml:space="preserve">Further, this group </w:t>
      </w:r>
      <w:r w:rsidR="00814B8E" w:rsidRPr="00207DC2">
        <w:rPr>
          <w:lang w:val="en-AU"/>
        </w:rPr>
        <w:t>were o</w:t>
      </w:r>
      <w:r w:rsidR="007624CD" w:rsidRPr="00207DC2">
        <w:rPr>
          <w:lang w:val="en-AU"/>
        </w:rPr>
        <w:t>n average penalised around $1</w:t>
      </w:r>
      <w:r w:rsidR="00F40A47" w:rsidRPr="00207DC2">
        <w:rPr>
          <w:lang w:val="en-AU"/>
        </w:rPr>
        <w:t>,</w:t>
      </w:r>
      <w:r w:rsidR="007624CD" w:rsidRPr="00207DC2">
        <w:rPr>
          <w:lang w:val="en-AU"/>
        </w:rPr>
        <w:t xml:space="preserve">090 or </w:t>
      </w:r>
      <w:r w:rsidR="002634B6" w:rsidRPr="00207DC2">
        <w:rPr>
          <w:lang w:val="en-AU"/>
        </w:rPr>
        <w:t>ten</w:t>
      </w:r>
      <w:r w:rsidR="007624CD" w:rsidRPr="00207DC2">
        <w:rPr>
          <w:lang w:val="en-AU"/>
        </w:rPr>
        <w:t> per cent of thei</w:t>
      </w:r>
      <w:r w:rsidR="00A142B8" w:rsidRPr="00207DC2">
        <w:rPr>
          <w:lang w:val="en-AU"/>
        </w:rPr>
        <w:t>r</w:t>
      </w:r>
      <w:r w:rsidR="007624CD" w:rsidRPr="00207DC2">
        <w:rPr>
          <w:lang w:val="en-AU"/>
        </w:rPr>
        <w:t xml:space="preserve"> annual income support payments</w:t>
      </w:r>
      <w:r w:rsidR="00396552">
        <w:rPr>
          <w:lang w:val="en-AU"/>
        </w:rPr>
        <w:t xml:space="preserve"> – </w:t>
      </w:r>
      <w:r w:rsidR="003A2C2C" w:rsidRPr="00207DC2">
        <w:rPr>
          <w:lang w:val="en-AU"/>
        </w:rPr>
        <w:t>double the average rate</w:t>
      </w:r>
      <w:r w:rsidR="007624CD" w:rsidRPr="00207DC2">
        <w:rPr>
          <w:lang w:val="en-AU"/>
        </w:rPr>
        <w:t xml:space="preserve">. </w:t>
      </w:r>
    </w:p>
    <w:p w14:paraId="45D26BCB" w14:textId="77777777" w:rsidR="00545037" w:rsidRPr="00207DC2" w:rsidRDefault="00545037" w:rsidP="00F35F78">
      <w:pPr>
        <w:pStyle w:val="zed55"/>
        <w:outlineLvl w:val="4"/>
      </w:pPr>
      <w:r w:rsidRPr="00207DC2">
        <w:t>Disengaged participants</w:t>
      </w:r>
    </w:p>
    <w:p w14:paraId="52E5D2F1" w14:textId="23442436" w:rsidR="00545037" w:rsidRPr="00207DC2" w:rsidRDefault="00545037" w:rsidP="004B52CB">
      <w:pPr>
        <w:jc w:val="both"/>
        <w:rPr>
          <w:lang w:val="en-AU"/>
        </w:rPr>
      </w:pPr>
      <w:r w:rsidRPr="00207DC2">
        <w:rPr>
          <w:lang w:val="en-AU"/>
        </w:rPr>
        <w:t xml:space="preserve">Participants may respond to penalties in a number of ways, including by increasing their attendance at required activities (noting that attendance does not necessarily imply active participation in activities, as discussed in Chapter 5) or by providing a valid reason prior to not attending. </w:t>
      </w:r>
    </w:p>
    <w:p w14:paraId="6EFD7D46" w14:textId="77777777" w:rsidR="00D905BA" w:rsidRPr="00207DC2" w:rsidRDefault="00D905BA" w:rsidP="00FB626D">
      <w:pPr>
        <w:pStyle w:val="Table"/>
        <w:outlineLvl w:val="9"/>
      </w:pPr>
      <w:r w:rsidRPr="00207DC2">
        <w:t xml:space="preserve">Table 3.2 </w:t>
      </w:r>
      <w:r w:rsidR="00386717" w:rsidRPr="00207DC2">
        <w:t>Characteristics and o</w:t>
      </w:r>
      <w:r w:rsidRPr="00207DC2">
        <w:t xml:space="preserve">utcomes for CDP participants who received a penalty in the first quarter of 2016 over the following year </w:t>
      </w:r>
    </w:p>
    <w:p w14:paraId="0DBBE8E2" w14:textId="77777777" w:rsidR="009207D8" w:rsidRPr="00207DC2" w:rsidRDefault="008A3493" w:rsidP="00FB626D">
      <w:pPr>
        <w:keepNext/>
        <w:spacing w:before="0" w:after="0"/>
        <w:rPr>
          <w:lang w:val="en-AU"/>
        </w:rPr>
      </w:pPr>
      <w:r w:rsidRPr="00207DC2">
        <w:rPr>
          <w:lang w:val="en-AU"/>
        </w:rPr>
        <w:t>CDP participants on 1 January 2016</w:t>
      </w:r>
    </w:p>
    <w:tbl>
      <w:tblPr>
        <w:tblW w:w="8663" w:type="dxa"/>
        <w:tblInd w:w="93" w:type="dxa"/>
        <w:tblLayout w:type="fixed"/>
        <w:tblLook w:val="04A0" w:firstRow="1" w:lastRow="0" w:firstColumn="1" w:lastColumn="0" w:noHBand="0" w:noVBand="1"/>
        <w:tblCaption w:val="Characteristics and outcomes for CDP participants who received a penalty in the first quarter of 2016 over the following year "/>
        <w:tblDescription w:val="The table shows demographic statistics, attendance, penalties and employment outcomes during 2016 for: &#10;- all participants (the first column); &#10;- those penalised in the first quarter of 2016 (the second column); and &#10;- subgroups based on the amount they were penalised in the first quarter of 2016, defined as low, medium or high penalties (remaining three columns). &#10;&#10;"/>
      </w:tblPr>
      <w:tblGrid>
        <w:gridCol w:w="3415"/>
        <w:gridCol w:w="426"/>
        <w:gridCol w:w="708"/>
        <w:gridCol w:w="144"/>
        <w:gridCol w:w="852"/>
        <w:gridCol w:w="992"/>
        <w:gridCol w:w="1133"/>
        <w:gridCol w:w="993"/>
      </w:tblGrid>
      <w:tr w:rsidR="00D905BA" w:rsidRPr="00207DC2" w14:paraId="0FEC543C" w14:textId="77777777" w:rsidTr="00A57AA7">
        <w:trPr>
          <w:trHeight w:val="288"/>
        </w:trPr>
        <w:tc>
          <w:tcPr>
            <w:tcW w:w="3841" w:type="dxa"/>
            <w:gridSpan w:val="2"/>
            <w:tcBorders>
              <w:top w:val="single" w:sz="8" w:space="0" w:color="auto"/>
              <w:bottom w:val="nil"/>
              <w:right w:val="nil"/>
            </w:tcBorders>
            <w:shd w:val="clear" w:color="auto" w:fill="auto"/>
            <w:vAlign w:val="center"/>
            <w:hideMark/>
          </w:tcPr>
          <w:p w14:paraId="7CE1E2B7" w14:textId="77777777" w:rsidR="00D905BA" w:rsidRPr="00207DC2" w:rsidRDefault="00D905BA" w:rsidP="00FB626D">
            <w:pPr>
              <w:keepNext/>
              <w:spacing w:after="40" w:line="240" w:lineRule="auto"/>
              <w:contextualSpacing/>
              <w:rPr>
                <w:rFonts w:cs="Calibri Light"/>
                <w:lang w:val="en-AU"/>
              </w:rPr>
            </w:pPr>
          </w:p>
        </w:tc>
        <w:tc>
          <w:tcPr>
            <w:tcW w:w="852" w:type="dxa"/>
            <w:gridSpan w:val="2"/>
            <w:vMerge w:val="restart"/>
            <w:tcBorders>
              <w:top w:val="single" w:sz="8" w:space="0" w:color="auto"/>
              <w:left w:val="nil"/>
              <w:right w:val="nil"/>
            </w:tcBorders>
            <w:shd w:val="clear" w:color="auto" w:fill="auto"/>
            <w:vAlign w:val="center"/>
          </w:tcPr>
          <w:p w14:paraId="00C384AA" w14:textId="77777777" w:rsidR="00D905BA" w:rsidRPr="00207DC2" w:rsidRDefault="007624CD" w:rsidP="00FB626D">
            <w:pPr>
              <w:keepNext/>
              <w:spacing w:after="40" w:line="240" w:lineRule="auto"/>
              <w:ind w:right="-85"/>
              <w:contextualSpacing/>
              <w:rPr>
                <w:rFonts w:cs="Calibri Light"/>
                <w:b/>
                <w:lang w:val="en-AU"/>
              </w:rPr>
            </w:pPr>
            <w:r w:rsidRPr="00207DC2">
              <w:rPr>
                <w:rFonts w:cs="Calibri Light"/>
                <w:b/>
                <w:lang w:val="en-AU"/>
              </w:rPr>
              <w:t>Total</w:t>
            </w:r>
          </w:p>
        </w:tc>
        <w:tc>
          <w:tcPr>
            <w:tcW w:w="3970" w:type="dxa"/>
            <w:gridSpan w:val="4"/>
            <w:tcBorders>
              <w:top w:val="single" w:sz="8" w:space="0" w:color="auto"/>
              <w:left w:val="nil"/>
              <w:bottom w:val="dashSmallGap" w:sz="4" w:space="0" w:color="auto"/>
            </w:tcBorders>
            <w:shd w:val="clear" w:color="auto" w:fill="auto"/>
            <w:vAlign w:val="center"/>
          </w:tcPr>
          <w:p w14:paraId="67C51CBC" w14:textId="77777777" w:rsidR="00D905BA" w:rsidRPr="00207DC2" w:rsidRDefault="00D905BA" w:rsidP="00FB626D">
            <w:pPr>
              <w:keepNext/>
              <w:spacing w:after="40" w:line="240" w:lineRule="auto"/>
              <w:contextualSpacing/>
              <w:jc w:val="center"/>
              <w:rPr>
                <w:rFonts w:cs="Calibri Light"/>
                <w:b/>
                <w:lang w:val="en-AU"/>
              </w:rPr>
            </w:pPr>
            <w:r w:rsidRPr="00207DC2">
              <w:rPr>
                <w:rFonts w:cs="Calibri Light"/>
                <w:b/>
                <w:lang w:val="en-AU"/>
              </w:rPr>
              <w:t>Penalised in the first quarter of 2016 by size of penalty</w:t>
            </w:r>
            <w:r w:rsidR="00051A53" w:rsidRPr="00207DC2">
              <w:rPr>
                <w:rFonts w:cs="Calibri Light"/>
                <w:b/>
                <w:bCs/>
                <w:sz w:val="24"/>
                <w:szCs w:val="24"/>
                <w:vertAlign w:val="superscript"/>
                <w:lang w:val="en-AU"/>
              </w:rPr>
              <w:t>a</w:t>
            </w:r>
          </w:p>
        </w:tc>
      </w:tr>
      <w:tr w:rsidR="00D905BA" w:rsidRPr="00207DC2" w14:paraId="372D1E4A" w14:textId="77777777" w:rsidTr="00A57AA7">
        <w:trPr>
          <w:trHeight w:val="300"/>
        </w:trPr>
        <w:tc>
          <w:tcPr>
            <w:tcW w:w="3841" w:type="dxa"/>
            <w:gridSpan w:val="2"/>
            <w:tcBorders>
              <w:top w:val="nil"/>
              <w:bottom w:val="single" w:sz="8" w:space="0" w:color="auto"/>
              <w:right w:val="nil"/>
            </w:tcBorders>
            <w:shd w:val="clear" w:color="auto" w:fill="auto"/>
            <w:vAlign w:val="center"/>
            <w:hideMark/>
          </w:tcPr>
          <w:p w14:paraId="78682B01" w14:textId="77777777" w:rsidR="00D905BA" w:rsidRPr="00207DC2" w:rsidRDefault="00D905BA" w:rsidP="00FB626D">
            <w:pPr>
              <w:keepNext/>
              <w:spacing w:after="40" w:line="240" w:lineRule="auto"/>
              <w:contextualSpacing/>
              <w:rPr>
                <w:rFonts w:cs="Calibri Light"/>
                <w:lang w:val="en-AU"/>
              </w:rPr>
            </w:pPr>
          </w:p>
        </w:tc>
        <w:tc>
          <w:tcPr>
            <w:tcW w:w="852" w:type="dxa"/>
            <w:gridSpan w:val="2"/>
            <w:vMerge/>
            <w:tcBorders>
              <w:left w:val="nil"/>
              <w:bottom w:val="single" w:sz="8" w:space="0" w:color="auto"/>
              <w:right w:val="nil"/>
            </w:tcBorders>
            <w:shd w:val="clear" w:color="auto" w:fill="auto"/>
            <w:vAlign w:val="center"/>
          </w:tcPr>
          <w:p w14:paraId="4F46C1D2" w14:textId="77777777" w:rsidR="00D905BA" w:rsidRPr="00207DC2" w:rsidRDefault="00D905BA" w:rsidP="00FB626D">
            <w:pPr>
              <w:keepNext/>
              <w:spacing w:after="40" w:line="240" w:lineRule="auto"/>
              <w:contextualSpacing/>
              <w:rPr>
                <w:rFonts w:cs="Calibri Light"/>
                <w:b/>
                <w:lang w:val="en-AU"/>
              </w:rPr>
            </w:pPr>
          </w:p>
        </w:tc>
        <w:tc>
          <w:tcPr>
            <w:tcW w:w="852" w:type="dxa"/>
            <w:tcBorders>
              <w:top w:val="dashSmallGap" w:sz="4" w:space="0" w:color="auto"/>
              <w:left w:val="nil"/>
              <w:bottom w:val="single" w:sz="8" w:space="0" w:color="auto"/>
              <w:right w:val="nil"/>
            </w:tcBorders>
            <w:shd w:val="clear" w:color="auto" w:fill="auto"/>
            <w:vAlign w:val="center"/>
          </w:tcPr>
          <w:p w14:paraId="688663E3" w14:textId="77777777" w:rsidR="00D905BA" w:rsidRPr="00207DC2" w:rsidRDefault="00D905BA" w:rsidP="00FB626D">
            <w:pPr>
              <w:keepNext/>
              <w:spacing w:after="40" w:line="240" w:lineRule="auto"/>
              <w:contextualSpacing/>
              <w:jc w:val="center"/>
              <w:rPr>
                <w:rFonts w:cs="Calibri Light"/>
                <w:b/>
                <w:lang w:val="en-AU"/>
              </w:rPr>
            </w:pPr>
            <w:r w:rsidRPr="00207DC2">
              <w:rPr>
                <w:rFonts w:cs="Calibri Light"/>
                <w:b/>
                <w:lang w:val="en-AU"/>
              </w:rPr>
              <w:t>Total</w:t>
            </w:r>
          </w:p>
        </w:tc>
        <w:tc>
          <w:tcPr>
            <w:tcW w:w="992" w:type="dxa"/>
            <w:tcBorders>
              <w:top w:val="dashSmallGap" w:sz="4" w:space="0" w:color="auto"/>
              <w:left w:val="nil"/>
              <w:bottom w:val="single" w:sz="8" w:space="0" w:color="auto"/>
              <w:right w:val="nil"/>
            </w:tcBorders>
            <w:shd w:val="clear" w:color="auto" w:fill="auto"/>
            <w:vAlign w:val="center"/>
          </w:tcPr>
          <w:p w14:paraId="06B2EA10" w14:textId="77777777" w:rsidR="00D905BA" w:rsidRPr="00207DC2" w:rsidRDefault="00D905BA" w:rsidP="00FB626D">
            <w:pPr>
              <w:keepNext/>
              <w:spacing w:after="40" w:line="240" w:lineRule="auto"/>
              <w:contextualSpacing/>
              <w:jc w:val="center"/>
              <w:rPr>
                <w:rFonts w:cs="Calibri Light"/>
                <w:b/>
                <w:lang w:val="en-AU"/>
              </w:rPr>
            </w:pPr>
            <w:r w:rsidRPr="00207DC2">
              <w:rPr>
                <w:rFonts w:cs="Calibri Light"/>
                <w:b/>
                <w:lang w:val="en-AU"/>
              </w:rPr>
              <w:t>Low</w:t>
            </w:r>
          </w:p>
        </w:tc>
        <w:tc>
          <w:tcPr>
            <w:tcW w:w="1133" w:type="dxa"/>
            <w:tcBorders>
              <w:top w:val="dashSmallGap" w:sz="4" w:space="0" w:color="auto"/>
              <w:left w:val="nil"/>
              <w:bottom w:val="single" w:sz="8" w:space="0" w:color="auto"/>
              <w:right w:val="nil"/>
            </w:tcBorders>
            <w:shd w:val="clear" w:color="auto" w:fill="auto"/>
            <w:vAlign w:val="center"/>
          </w:tcPr>
          <w:p w14:paraId="18CA1F30" w14:textId="77777777" w:rsidR="00D905BA" w:rsidRPr="00207DC2" w:rsidRDefault="00D905BA" w:rsidP="00FB626D">
            <w:pPr>
              <w:keepNext/>
              <w:spacing w:after="40" w:line="240" w:lineRule="auto"/>
              <w:contextualSpacing/>
              <w:jc w:val="center"/>
              <w:rPr>
                <w:rFonts w:cs="Calibri Light"/>
                <w:b/>
                <w:lang w:val="en-AU"/>
              </w:rPr>
            </w:pPr>
            <w:r w:rsidRPr="00207DC2">
              <w:rPr>
                <w:rFonts w:cs="Calibri Light"/>
                <w:b/>
                <w:lang w:val="en-AU"/>
              </w:rPr>
              <w:t>Medium</w:t>
            </w:r>
          </w:p>
        </w:tc>
        <w:tc>
          <w:tcPr>
            <w:tcW w:w="993" w:type="dxa"/>
            <w:tcBorders>
              <w:top w:val="dashSmallGap" w:sz="4" w:space="0" w:color="auto"/>
              <w:left w:val="nil"/>
              <w:bottom w:val="single" w:sz="8" w:space="0" w:color="auto"/>
            </w:tcBorders>
            <w:shd w:val="clear" w:color="auto" w:fill="auto"/>
            <w:noWrap/>
            <w:vAlign w:val="center"/>
          </w:tcPr>
          <w:p w14:paraId="1D1B30D5" w14:textId="77777777" w:rsidR="00D905BA" w:rsidRPr="00207DC2" w:rsidRDefault="00A57AA7" w:rsidP="00FB626D">
            <w:pPr>
              <w:keepNext/>
              <w:spacing w:after="40" w:line="240" w:lineRule="auto"/>
              <w:contextualSpacing/>
              <w:jc w:val="center"/>
              <w:rPr>
                <w:rFonts w:cs="Calibri Light"/>
                <w:b/>
                <w:lang w:val="en-AU"/>
              </w:rPr>
            </w:pPr>
            <w:r w:rsidRPr="00207DC2">
              <w:rPr>
                <w:rFonts w:cs="Calibri Light"/>
                <w:b/>
                <w:lang w:val="en-AU"/>
              </w:rPr>
              <w:t>High</w:t>
            </w:r>
          </w:p>
        </w:tc>
      </w:tr>
      <w:tr w:rsidR="00D905BA" w:rsidRPr="00207DC2" w14:paraId="2F55209B" w14:textId="77777777" w:rsidTr="00A57AA7">
        <w:trPr>
          <w:trHeight w:val="300"/>
        </w:trPr>
        <w:tc>
          <w:tcPr>
            <w:tcW w:w="3415" w:type="dxa"/>
            <w:tcBorders>
              <w:top w:val="nil"/>
              <w:bottom w:val="dashSmallGap" w:sz="4" w:space="0" w:color="auto"/>
              <w:right w:val="nil"/>
            </w:tcBorders>
            <w:shd w:val="clear" w:color="auto" w:fill="auto"/>
          </w:tcPr>
          <w:p w14:paraId="58EFDE97" w14:textId="77777777" w:rsidR="00D905BA" w:rsidRPr="00207DC2" w:rsidRDefault="00D905BA" w:rsidP="00FB626D">
            <w:pPr>
              <w:keepNext/>
              <w:spacing w:after="40" w:line="240" w:lineRule="auto"/>
              <w:contextualSpacing/>
              <w:rPr>
                <w:rFonts w:cs="Calibri Light"/>
                <w:bCs/>
                <w:lang w:val="en-AU"/>
              </w:rPr>
            </w:pPr>
            <w:r w:rsidRPr="00207DC2">
              <w:rPr>
                <w:rFonts w:cs="Calibri Light"/>
                <w:lang w:val="en-AU"/>
              </w:rPr>
              <w:t>Count of CDP participants</w:t>
            </w:r>
          </w:p>
        </w:tc>
        <w:tc>
          <w:tcPr>
            <w:tcW w:w="1134" w:type="dxa"/>
            <w:gridSpan w:val="2"/>
            <w:tcBorders>
              <w:top w:val="nil"/>
              <w:left w:val="nil"/>
              <w:bottom w:val="dashSmallGap" w:sz="4" w:space="0" w:color="auto"/>
              <w:right w:val="nil"/>
            </w:tcBorders>
            <w:shd w:val="clear" w:color="auto" w:fill="auto"/>
          </w:tcPr>
          <w:p w14:paraId="053B1B4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34,726</w:t>
            </w:r>
          </w:p>
        </w:tc>
        <w:tc>
          <w:tcPr>
            <w:tcW w:w="996" w:type="dxa"/>
            <w:gridSpan w:val="2"/>
            <w:tcBorders>
              <w:top w:val="nil"/>
              <w:left w:val="nil"/>
              <w:bottom w:val="dashSmallGap" w:sz="4" w:space="0" w:color="auto"/>
              <w:right w:val="nil"/>
            </w:tcBorders>
            <w:shd w:val="clear" w:color="auto" w:fill="auto"/>
          </w:tcPr>
          <w:p w14:paraId="479327A6"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10,080</w:t>
            </w:r>
          </w:p>
        </w:tc>
        <w:tc>
          <w:tcPr>
            <w:tcW w:w="992" w:type="dxa"/>
            <w:tcBorders>
              <w:top w:val="nil"/>
              <w:left w:val="nil"/>
              <w:bottom w:val="dashSmallGap" w:sz="4" w:space="0" w:color="auto"/>
              <w:right w:val="nil"/>
            </w:tcBorders>
            <w:shd w:val="clear" w:color="auto" w:fill="auto"/>
          </w:tcPr>
          <w:p w14:paraId="7364DA80" w14:textId="77777777" w:rsidR="00D905BA" w:rsidRPr="00207DC2" w:rsidRDefault="00422196" w:rsidP="00FB626D">
            <w:pPr>
              <w:keepNext/>
              <w:spacing w:after="40" w:line="240" w:lineRule="auto"/>
              <w:contextualSpacing/>
              <w:jc w:val="right"/>
              <w:rPr>
                <w:rFonts w:cs="Calibri Light"/>
                <w:lang w:val="en-AU"/>
              </w:rPr>
            </w:pPr>
            <w:r w:rsidRPr="00207DC2">
              <w:rPr>
                <w:rFonts w:cs="Calibri Light"/>
                <w:lang w:val="en-AU"/>
              </w:rPr>
              <w:t>2,872</w:t>
            </w:r>
          </w:p>
        </w:tc>
        <w:tc>
          <w:tcPr>
            <w:tcW w:w="1133" w:type="dxa"/>
            <w:tcBorders>
              <w:top w:val="nil"/>
              <w:left w:val="nil"/>
              <w:bottom w:val="dashSmallGap" w:sz="4" w:space="0" w:color="auto"/>
              <w:right w:val="nil"/>
            </w:tcBorders>
            <w:shd w:val="clear" w:color="auto" w:fill="auto"/>
          </w:tcPr>
          <w:p w14:paraId="7F1F6079" w14:textId="77777777" w:rsidR="00D905BA" w:rsidRPr="00207DC2" w:rsidRDefault="00422196" w:rsidP="00FB626D">
            <w:pPr>
              <w:keepNext/>
              <w:spacing w:after="40" w:line="240" w:lineRule="auto"/>
              <w:contextualSpacing/>
              <w:jc w:val="right"/>
              <w:rPr>
                <w:rFonts w:cs="Calibri Light"/>
                <w:lang w:val="en-AU"/>
              </w:rPr>
            </w:pPr>
            <w:r w:rsidRPr="00207DC2">
              <w:rPr>
                <w:rFonts w:cs="Calibri Light"/>
                <w:lang w:val="en-AU"/>
              </w:rPr>
              <w:t>4,690</w:t>
            </w:r>
          </w:p>
        </w:tc>
        <w:tc>
          <w:tcPr>
            <w:tcW w:w="993" w:type="dxa"/>
            <w:tcBorders>
              <w:top w:val="nil"/>
              <w:left w:val="nil"/>
              <w:bottom w:val="dashSmallGap" w:sz="4" w:space="0" w:color="auto"/>
            </w:tcBorders>
            <w:shd w:val="clear" w:color="auto" w:fill="auto"/>
            <w:noWrap/>
          </w:tcPr>
          <w:p w14:paraId="71C50B73" w14:textId="77777777" w:rsidR="00D905BA" w:rsidRPr="00207DC2" w:rsidRDefault="00422196" w:rsidP="00FB626D">
            <w:pPr>
              <w:keepNext/>
              <w:spacing w:after="40" w:line="240" w:lineRule="auto"/>
              <w:contextualSpacing/>
              <w:jc w:val="right"/>
              <w:rPr>
                <w:rFonts w:cs="Calibri Light"/>
                <w:lang w:val="en-AU"/>
              </w:rPr>
            </w:pPr>
            <w:r w:rsidRPr="00207DC2">
              <w:rPr>
                <w:rFonts w:cs="Calibri Light"/>
                <w:lang w:val="en-AU"/>
              </w:rPr>
              <w:t>2,518</w:t>
            </w:r>
          </w:p>
        </w:tc>
      </w:tr>
      <w:tr w:rsidR="00D905BA" w:rsidRPr="00207DC2" w14:paraId="45EF67B3" w14:textId="77777777" w:rsidTr="00A57AA7">
        <w:trPr>
          <w:trHeight w:val="300"/>
        </w:trPr>
        <w:tc>
          <w:tcPr>
            <w:tcW w:w="4549" w:type="dxa"/>
            <w:gridSpan w:val="3"/>
            <w:tcBorders>
              <w:top w:val="dashSmallGap" w:sz="4" w:space="0" w:color="auto"/>
              <w:right w:val="nil"/>
            </w:tcBorders>
            <w:shd w:val="clear" w:color="auto" w:fill="D0D2D3" w:themeFill="background2"/>
          </w:tcPr>
          <w:p w14:paraId="6FD0AE73" w14:textId="77777777" w:rsidR="00D905BA" w:rsidRPr="00207DC2" w:rsidRDefault="00D905BA" w:rsidP="00FB626D">
            <w:pPr>
              <w:pStyle w:val="Table"/>
              <w:spacing w:after="40" w:line="240" w:lineRule="auto"/>
              <w:contextualSpacing/>
              <w:rPr>
                <w:rFonts w:ascii="Calibri Light" w:eastAsiaTheme="minorHAnsi" w:hAnsi="Calibri Light" w:cs="Calibri Light"/>
                <w:color w:val="323536" w:themeColor="background2" w:themeShade="40"/>
                <w:spacing w:val="20"/>
                <w:sz w:val="20"/>
                <w:szCs w:val="19"/>
                <w:lang w:eastAsia="ja-JP"/>
              </w:rPr>
            </w:pPr>
            <w:r w:rsidRPr="00207DC2">
              <w:rPr>
                <w:rFonts w:ascii="Calibri Light" w:eastAsiaTheme="minorHAnsi" w:hAnsi="Calibri Light" w:cs="Calibri Light"/>
                <w:color w:val="323536" w:themeColor="background2" w:themeShade="40"/>
                <w:spacing w:val="20"/>
                <w:sz w:val="20"/>
                <w:szCs w:val="19"/>
                <w:lang w:eastAsia="ja-JP"/>
              </w:rPr>
              <w:t>CDP participant characteristics:</w:t>
            </w:r>
          </w:p>
        </w:tc>
        <w:tc>
          <w:tcPr>
            <w:tcW w:w="996" w:type="dxa"/>
            <w:gridSpan w:val="2"/>
            <w:tcBorders>
              <w:top w:val="dashSmallGap" w:sz="4" w:space="0" w:color="auto"/>
              <w:left w:val="nil"/>
              <w:right w:val="nil"/>
            </w:tcBorders>
            <w:shd w:val="clear" w:color="auto" w:fill="D0D2D3" w:themeFill="background2"/>
            <w:vAlign w:val="center"/>
          </w:tcPr>
          <w:p w14:paraId="33C1714E" w14:textId="77777777" w:rsidR="00D905BA" w:rsidRPr="00207DC2" w:rsidRDefault="00D905BA" w:rsidP="00FB626D">
            <w:pPr>
              <w:pStyle w:val="Table"/>
              <w:spacing w:after="40" w:line="240" w:lineRule="auto"/>
              <w:contextualSpacing/>
              <w:rPr>
                <w:rFonts w:ascii="Calibri Light" w:hAnsi="Calibri Light" w:cs="Calibri Light"/>
              </w:rPr>
            </w:pPr>
          </w:p>
        </w:tc>
        <w:tc>
          <w:tcPr>
            <w:tcW w:w="992" w:type="dxa"/>
            <w:tcBorders>
              <w:top w:val="dashSmallGap" w:sz="4" w:space="0" w:color="auto"/>
              <w:left w:val="nil"/>
              <w:right w:val="nil"/>
            </w:tcBorders>
            <w:shd w:val="clear" w:color="auto" w:fill="D0D2D3" w:themeFill="background2"/>
            <w:vAlign w:val="center"/>
          </w:tcPr>
          <w:p w14:paraId="1F249D2C" w14:textId="77777777" w:rsidR="00D905BA" w:rsidRPr="00207DC2" w:rsidRDefault="00D905BA" w:rsidP="00FB626D">
            <w:pPr>
              <w:pStyle w:val="Table"/>
              <w:spacing w:after="40" w:line="240" w:lineRule="auto"/>
              <w:contextualSpacing/>
              <w:rPr>
                <w:rFonts w:ascii="Calibri Light" w:hAnsi="Calibri Light" w:cs="Calibri Light"/>
              </w:rPr>
            </w:pPr>
          </w:p>
        </w:tc>
        <w:tc>
          <w:tcPr>
            <w:tcW w:w="1133" w:type="dxa"/>
            <w:tcBorders>
              <w:top w:val="dashSmallGap" w:sz="4" w:space="0" w:color="auto"/>
              <w:left w:val="nil"/>
              <w:right w:val="nil"/>
            </w:tcBorders>
            <w:shd w:val="clear" w:color="auto" w:fill="D0D2D3" w:themeFill="background2"/>
            <w:vAlign w:val="center"/>
          </w:tcPr>
          <w:p w14:paraId="5AAE60AC" w14:textId="77777777" w:rsidR="00D905BA" w:rsidRPr="00207DC2" w:rsidRDefault="00D905BA" w:rsidP="00FB626D">
            <w:pPr>
              <w:pStyle w:val="Table"/>
              <w:spacing w:after="40" w:line="240" w:lineRule="auto"/>
              <w:contextualSpacing/>
              <w:rPr>
                <w:rFonts w:ascii="Calibri Light" w:hAnsi="Calibri Light" w:cs="Calibri Light"/>
              </w:rPr>
            </w:pPr>
          </w:p>
        </w:tc>
        <w:tc>
          <w:tcPr>
            <w:tcW w:w="993" w:type="dxa"/>
            <w:tcBorders>
              <w:top w:val="dashSmallGap" w:sz="4" w:space="0" w:color="auto"/>
              <w:left w:val="nil"/>
            </w:tcBorders>
            <w:shd w:val="clear" w:color="auto" w:fill="D0D2D3" w:themeFill="background2"/>
            <w:noWrap/>
            <w:vAlign w:val="center"/>
          </w:tcPr>
          <w:p w14:paraId="6EBF8F75" w14:textId="77777777" w:rsidR="00D905BA" w:rsidRPr="00207DC2" w:rsidRDefault="00D905BA" w:rsidP="00FB626D">
            <w:pPr>
              <w:pStyle w:val="Table"/>
              <w:spacing w:after="40" w:line="240" w:lineRule="auto"/>
              <w:contextualSpacing/>
              <w:rPr>
                <w:rFonts w:ascii="Calibri Light" w:hAnsi="Calibri Light" w:cs="Calibri Light"/>
              </w:rPr>
            </w:pPr>
          </w:p>
        </w:tc>
      </w:tr>
      <w:tr w:rsidR="00D905BA" w:rsidRPr="00207DC2" w14:paraId="0BEBB3A9" w14:textId="77777777" w:rsidTr="00A57AA7">
        <w:trPr>
          <w:trHeight w:val="300"/>
        </w:trPr>
        <w:tc>
          <w:tcPr>
            <w:tcW w:w="3415" w:type="dxa"/>
            <w:tcBorders>
              <w:top w:val="nil"/>
              <w:right w:val="nil"/>
            </w:tcBorders>
            <w:shd w:val="clear" w:color="auto" w:fill="auto"/>
            <w:vAlign w:val="center"/>
          </w:tcPr>
          <w:p w14:paraId="0C6A22F6" w14:textId="77777777" w:rsidR="00D905BA" w:rsidRPr="00207DC2" w:rsidRDefault="00D905BA" w:rsidP="00FB626D">
            <w:pPr>
              <w:keepNext/>
              <w:spacing w:after="40" w:line="240" w:lineRule="auto"/>
              <w:contextualSpacing/>
              <w:rPr>
                <w:rFonts w:cs="Calibri Light"/>
                <w:bCs/>
                <w:lang w:val="en-AU"/>
              </w:rPr>
            </w:pPr>
            <w:r w:rsidRPr="00207DC2">
              <w:rPr>
                <w:rFonts w:cs="Calibri Light"/>
                <w:bCs/>
                <w:lang w:val="en-AU"/>
              </w:rPr>
              <w:t>Average JSCI score</w:t>
            </w:r>
          </w:p>
        </w:tc>
        <w:tc>
          <w:tcPr>
            <w:tcW w:w="1134" w:type="dxa"/>
            <w:gridSpan w:val="2"/>
            <w:tcBorders>
              <w:top w:val="nil"/>
              <w:left w:val="nil"/>
              <w:right w:val="nil"/>
            </w:tcBorders>
            <w:shd w:val="clear" w:color="auto" w:fill="auto"/>
          </w:tcPr>
          <w:p w14:paraId="5ECBDE2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34</w:t>
            </w:r>
          </w:p>
        </w:tc>
        <w:tc>
          <w:tcPr>
            <w:tcW w:w="996" w:type="dxa"/>
            <w:gridSpan w:val="2"/>
            <w:tcBorders>
              <w:top w:val="nil"/>
              <w:left w:val="nil"/>
              <w:right w:val="nil"/>
            </w:tcBorders>
            <w:shd w:val="clear" w:color="auto" w:fill="auto"/>
          </w:tcPr>
          <w:p w14:paraId="4E1767FF"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36</w:t>
            </w:r>
          </w:p>
        </w:tc>
        <w:tc>
          <w:tcPr>
            <w:tcW w:w="992" w:type="dxa"/>
            <w:tcBorders>
              <w:top w:val="nil"/>
              <w:left w:val="nil"/>
              <w:right w:val="nil"/>
            </w:tcBorders>
            <w:shd w:val="clear" w:color="auto" w:fill="auto"/>
          </w:tcPr>
          <w:p w14:paraId="72FD80F1"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w:t>
            </w:r>
            <w:r w:rsidR="00514C9F" w:rsidRPr="00207DC2">
              <w:rPr>
                <w:rFonts w:cs="Calibri Light"/>
                <w:lang w:val="en-AU"/>
              </w:rPr>
              <w:t>4</w:t>
            </w:r>
          </w:p>
        </w:tc>
        <w:tc>
          <w:tcPr>
            <w:tcW w:w="1133" w:type="dxa"/>
            <w:tcBorders>
              <w:top w:val="nil"/>
              <w:left w:val="nil"/>
              <w:right w:val="nil"/>
            </w:tcBorders>
            <w:shd w:val="clear" w:color="auto" w:fill="auto"/>
          </w:tcPr>
          <w:p w14:paraId="02489F8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36</w:t>
            </w:r>
          </w:p>
        </w:tc>
        <w:tc>
          <w:tcPr>
            <w:tcW w:w="993" w:type="dxa"/>
            <w:tcBorders>
              <w:top w:val="nil"/>
              <w:left w:val="nil"/>
            </w:tcBorders>
            <w:shd w:val="clear" w:color="auto" w:fill="auto"/>
            <w:noWrap/>
          </w:tcPr>
          <w:p w14:paraId="371DC3C2"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37</w:t>
            </w:r>
          </w:p>
        </w:tc>
      </w:tr>
      <w:tr w:rsidR="00D905BA" w:rsidRPr="00207DC2" w14:paraId="0FC72BC8" w14:textId="77777777" w:rsidTr="00A57AA7">
        <w:trPr>
          <w:trHeight w:val="300"/>
        </w:trPr>
        <w:tc>
          <w:tcPr>
            <w:tcW w:w="3415" w:type="dxa"/>
            <w:tcBorders>
              <w:top w:val="nil"/>
              <w:right w:val="nil"/>
            </w:tcBorders>
            <w:shd w:val="clear" w:color="auto" w:fill="auto"/>
          </w:tcPr>
          <w:p w14:paraId="6C581E21" w14:textId="77777777" w:rsidR="00D905BA" w:rsidRPr="00207DC2" w:rsidRDefault="00D905BA" w:rsidP="00FB626D">
            <w:pPr>
              <w:keepNext/>
              <w:spacing w:after="40" w:line="240" w:lineRule="auto"/>
              <w:contextualSpacing/>
              <w:rPr>
                <w:rFonts w:cs="Calibri Light"/>
                <w:bCs/>
                <w:i/>
                <w:lang w:val="en-AU"/>
              </w:rPr>
            </w:pPr>
            <w:r w:rsidRPr="00207DC2">
              <w:rPr>
                <w:rFonts w:cs="Calibri Light"/>
                <w:bCs/>
                <w:lang w:val="en-AU"/>
              </w:rPr>
              <w:t>Average age</w:t>
            </w:r>
          </w:p>
        </w:tc>
        <w:tc>
          <w:tcPr>
            <w:tcW w:w="1134" w:type="dxa"/>
            <w:gridSpan w:val="2"/>
            <w:tcBorders>
              <w:top w:val="nil"/>
              <w:left w:val="nil"/>
              <w:right w:val="nil"/>
            </w:tcBorders>
            <w:shd w:val="clear" w:color="auto" w:fill="auto"/>
          </w:tcPr>
          <w:p w14:paraId="0B88B9A0"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36</w:t>
            </w:r>
          </w:p>
        </w:tc>
        <w:tc>
          <w:tcPr>
            <w:tcW w:w="996" w:type="dxa"/>
            <w:gridSpan w:val="2"/>
            <w:tcBorders>
              <w:top w:val="nil"/>
              <w:left w:val="nil"/>
              <w:right w:val="nil"/>
            </w:tcBorders>
            <w:shd w:val="clear" w:color="auto" w:fill="auto"/>
          </w:tcPr>
          <w:p w14:paraId="1745D651"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32</w:t>
            </w:r>
          </w:p>
        </w:tc>
        <w:tc>
          <w:tcPr>
            <w:tcW w:w="992" w:type="dxa"/>
            <w:tcBorders>
              <w:top w:val="nil"/>
              <w:left w:val="nil"/>
              <w:right w:val="nil"/>
            </w:tcBorders>
            <w:shd w:val="clear" w:color="auto" w:fill="auto"/>
          </w:tcPr>
          <w:p w14:paraId="6D3B94D3" w14:textId="77777777" w:rsidR="00D905BA" w:rsidRPr="00207DC2" w:rsidRDefault="00422196" w:rsidP="00FB626D">
            <w:pPr>
              <w:keepNext/>
              <w:spacing w:after="40" w:line="240" w:lineRule="auto"/>
              <w:contextualSpacing/>
              <w:jc w:val="right"/>
              <w:rPr>
                <w:rFonts w:cs="Calibri Light"/>
                <w:lang w:val="en-AU"/>
              </w:rPr>
            </w:pPr>
            <w:r w:rsidRPr="00207DC2">
              <w:rPr>
                <w:rFonts w:cs="Calibri Light"/>
                <w:lang w:val="en-AU"/>
              </w:rPr>
              <w:t>32</w:t>
            </w:r>
          </w:p>
        </w:tc>
        <w:tc>
          <w:tcPr>
            <w:tcW w:w="1133" w:type="dxa"/>
            <w:tcBorders>
              <w:top w:val="nil"/>
              <w:left w:val="nil"/>
              <w:right w:val="nil"/>
            </w:tcBorders>
            <w:shd w:val="clear" w:color="auto" w:fill="auto"/>
          </w:tcPr>
          <w:p w14:paraId="21C953B9" w14:textId="77777777" w:rsidR="00D905BA" w:rsidRPr="00207DC2" w:rsidRDefault="008C1254" w:rsidP="00FB626D">
            <w:pPr>
              <w:keepNext/>
              <w:spacing w:after="40" w:line="240" w:lineRule="auto"/>
              <w:contextualSpacing/>
              <w:jc w:val="right"/>
              <w:rPr>
                <w:rFonts w:cs="Calibri Light"/>
                <w:i/>
                <w:lang w:val="en-AU"/>
              </w:rPr>
            </w:pPr>
            <w:r w:rsidRPr="00207DC2">
              <w:rPr>
                <w:rFonts w:cs="Calibri Light"/>
                <w:lang w:val="en-AU"/>
              </w:rPr>
              <w:t>33</w:t>
            </w:r>
          </w:p>
        </w:tc>
        <w:tc>
          <w:tcPr>
            <w:tcW w:w="993" w:type="dxa"/>
            <w:tcBorders>
              <w:top w:val="nil"/>
              <w:left w:val="nil"/>
            </w:tcBorders>
            <w:shd w:val="clear" w:color="auto" w:fill="auto"/>
            <w:noWrap/>
          </w:tcPr>
          <w:p w14:paraId="439D976E" w14:textId="77777777" w:rsidR="00D905BA" w:rsidRPr="00207DC2" w:rsidRDefault="00D905BA" w:rsidP="00FB626D">
            <w:pPr>
              <w:keepNext/>
              <w:spacing w:after="40" w:line="240" w:lineRule="auto"/>
              <w:contextualSpacing/>
              <w:jc w:val="right"/>
              <w:rPr>
                <w:rFonts w:cs="Calibri Light"/>
                <w:i/>
                <w:lang w:val="en-AU"/>
              </w:rPr>
            </w:pPr>
            <w:r w:rsidRPr="00207DC2">
              <w:rPr>
                <w:rFonts w:cs="Calibri Light"/>
                <w:lang w:val="en-AU"/>
              </w:rPr>
              <w:t>31</w:t>
            </w:r>
          </w:p>
        </w:tc>
      </w:tr>
      <w:tr w:rsidR="00D905BA" w:rsidRPr="00207DC2" w14:paraId="33BC2F60" w14:textId="77777777" w:rsidTr="00A57AA7">
        <w:trPr>
          <w:trHeight w:val="300"/>
        </w:trPr>
        <w:tc>
          <w:tcPr>
            <w:tcW w:w="3415" w:type="dxa"/>
            <w:tcBorders>
              <w:top w:val="nil"/>
              <w:right w:val="nil"/>
            </w:tcBorders>
            <w:shd w:val="clear" w:color="auto" w:fill="auto"/>
          </w:tcPr>
          <w:p w14:paraId="66E762CF" w14:textId="77777777" w:rsidR="00D905BA" w:rsidRPr="00207DC2" w:rsidRDefault="00D905BA" w:rsidP="00FB626D">
            <w:pPr>
              <w:keepNext/>
              <w:spacing w:after="40" w:line="240" w:lineRule="auto"/>
              <w:contextualSpacing/>
              <w:rPr>
                <w:rFonts w:cs="Calibri Light"/>
                <w:bCs/>
                <w:i/>
                <w:lang w:val="en-AU"/>
              </w:rPr>
            </w:pPr>
            <w:r w:rsidRPr="00207DC2">
              <w:rPr>
                <w:rFonts w:cs="Calibri Light"/>
                <w:bCs/>
                <w:lang w:val="en-AU"/>
              </w:rPr>
              <w:t>Male</w:t>
            </w:r>
          </w:p>
        </w:tc>
        <w:tc>
          <w:tcPr>
            <w:tcW w:w="1134" w:type="dxa"/>
            <w:gridSpan w:val="2"/>
            <w:tcBorders>
              <w:top w:val="nil"/>
              <w:left w:val="nil"/>
              <w:right w:val="nil"/>
            </w:tcBorders>
            <w:shd w:val="clear" w:color="auto" w:fill="auto"/>
          </w:tcPr>
          <w:p w14:paraId="55C68028"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56%</w:t>
            </w:r>
          </w:p>
        </w:tc>
        <w:tc>
          <w:tcPr>
            <w:tcW w:w="996" w:type="dxa"/>
            <w:gridSpan w:val="2"/>
            <w:tcBorders>
              <w:top w:val="nil"/>
              <w:left w:val="nil"/>
              <w:right w:val="nil"/>
            </w:tcBorders>
            <w:shd w:val="clear" w:color="auto" w:fill="auto"/>
          </w:tcPr>
          <w:p w14:paraId="3B2F5A05"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61%</w:t>
            </w:r>
          </w:p>
        </w:tc>
        <w:tc>
          <w:tcPr>
            <w:tcW w:w="992" w:type="dxa"/>
            <w:tcBorders>
              <w:top w:val="nil"/>
              <w:left w:val="nil"/>
              <w:right w:val="nil"/>
            </w:tcBorders>
            <w:shd w:val="clear" w:color="auto" w:fill="auto"/>
          </w:tcPr>
          <w:p w14:paraId="229D4357"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60</w:t>
            </w:r>
            <w:r w:rsidR="00D905BA" w:rsidRPr="00207DC2">
              <w:rPr>
                <w:rFonts w:cs="Calibri Light"/>
                <w:lang w:val="en-AU"/>
              </w:rPr>
              <w:t>%</w:t>
            </w:r>
          </w:p>
        </w:tc>
        <w:tc>
          <w:tcPr>
            <w:tcW w:w="1133" w:type="dxa"/>
            <w:tcBorders>
              <w:top w:val="nil"/>
              <w:left w:val="nil"/>
              <w:right w:val="nil"/>
            </w:tcBorders>
            <w:shd w:val="clear" w:color="auto" w:fill="auto"/>
          </w:tcPr>
          <w:p w14:paraId="062D2C10" w14:textId="77777777" w:rsidR="00D905BA" w:rsidRPr="00207DC2" w:rsidRDefault="008C1254" w:rsidP="00FB626D">
            <w:pPr>
              <w:keepNext/>
              <w:spacing w:after="40" w:line="240" w:lineRule="auto"/>
              <w:contextualSpacing/>
              <w:jc w:val="right"/>
              <w:rPr>
                <w:rFonts w:cs="Calibri Light"/>
                <w:i/>
                <w:lang w:val="en-AU"/>
              </w:rPr>
            </w:pPr>
            <w:r w:rsidRPr="00207DC2">
              <w:rPr>
                <w:rFonts w:cs="Calibri Light"/>
                <w:lang w:val="en-AU"/>
              </w:rPr>
              <w:t>61</w:t>
            </w:r>
            <w:r w:rsidR="00D905BA" w:rsidRPr="00207DC2">
              <w:rPr>
                <w:rFonts w:cs="Calibri Light"/>
                <w:lang w:val="en-AU"/>
              </w:rPr>
              <w:t>%</w:t>
            </w:r>
          </w:p>
        </w:tc>
        <w:tc>
          <w:tcPr>
            <w:tcW w:w="993" w:type="dxa"/>
            <w:tcBorders>
              <w:top w:val="nil"/>
              <w:left w:val="nil"/>
            </w:tcBorders>
            <w:shd w:val="clear" w:color="auto" w:fill="auto"/>
            <w:noWrap/>
          </w:tcPr>
          <w:p w14:paraId="0E0011EB" w14:textId="77777777" w:rsidR="00D905BA" w:rsidRPr="00207DC2" w:rsidRDefault="00D905BA" w:rsidP="00FB626D">
            <w:pPr>
              <w:keepNext/>
              <w:spacing w:after="40" w:line="240" w:lineRule="auto"/>
              <w:contextualSpacing/>
              <w:jc w:val="right"/>
              <w:rPr>
                <w:rFonts w:cs="Calibri Light"/>
                <w:i/>
                <w:lang w:val="en-AU"/>
              </w:rPr>
            </w:pPr>
            <w:r w:rsidRPr="00207DC2">
              <w:rPr>
                <w:rFonts w:cs="Calibri Light"/>
                <w:lang w:val="en-AU"/>
              </w:rPr>
              <w:t>6</w:t>
            </w:r>
            <w:r w:rsidR="00514C9F" w:rsidRPr="00207DC2">
              <w:rPr>
                <w:rFonts w:cs="Calibri Light"/>
                <w:lang w:val="en-AU"/>
              </w:rPr>
              <w:t>1</w:t>
            </w:r>
            <w:r w:rsidRPr="00207DC2">
              <w:rPr>
                <w:rFonts w:cs="Calibri Light"/>
                <w:lang w:val="en-AU"/>
              </w:rPr>
              <w:t>%</w:t>
            </w:r>
          </w:p>
        </w:tc>
      </w:tr>
      <w:tr w:rsidR="00D905BA" w:rsidRPr="00207DC2" w14:paraId="62743322" w14:textId="77777777" w:rsidTr="00A57AA7">
        <w:trPr>
          <w:trHeight w:val="300"/>
        </w:trPr>
        <w:tc>
          <w:tcPr>
            <w:tcW w:w="3415" w:type="dxa"/>
            <w:tcBorders>
              <w:top w:val="nil"/>
              <w:right w:val="nil"/>
            </w:tcBorders>
            <w:shd w:val="clear" w:color="auto" w:fill="auto"/>
            <w:vAlign w:val="center"/>
          </w:tcPr>
          <w:p w14:paraId="557248E5" w14:textId="77777777" w:rsidR="00D905BA" w:rsidRPr="00207DC2" w:rsidRDefault="00D905BA" w:rsidP="00FB626D">
            <w:pPr>
              <w:keepNext/>
              <w:spacing w:after="40" w:line="240" w:lineRule="auto"/>
              <w:contextualSpacing/>
              <w:rPr>
                <w:rFonts w:cs="Calibri Light"/>
                <w:bCs/>
                <w:lang w:val="en-AU"/>
              </w:rPr>
            </w:pPr>
            <w:r w:rsidRPr="00207DC2">
              <w:rPr>
                <w:rFonts w:cs="Calibri Light"/>
                <w:bCs/>
                <w:lang w:val="en-AU"/>
              </w:rPr>
              <w:t>Identified as Indigenous</w:t>
            </w:r>
          </w:p>
        </w:tc>
        <w:tc>
          <w:tcPr>
            <w:tcW w:w="1134" w:type="dxa"/>
            <w:gridSpan w:val="2"/>
            <w:tcBorders>
              <w:top w:val="nil"/>
              <w:left w:val="nil"/>
              <w:right w:val="nil"/>
            </w:tcBorders>
            <w:shd w:val="clear" w:color="auto" w:fill="auto"/>
          </w:tcPr>
          <w:p w14:paraId="1C635CEC"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84%</w:t>
            </w:r>
          </w:p>
        </w:tc>
        <w:tc>
          <w:tcPr>
            <w:tcW w:w="996" w:type="dxa"/>
            <w:gridSpan w:val="2"/>
            <w:tcBorders>
              <w:top w:val="nil"/>
              <w:left w:val="nil"/>
              <w:right w:val="nil"/>
            </w:tcBorders>
            <w:shd w:val="clear" w:color="auto" w:fill="auto"/>
          </w:tcPr>
          <w:p w14:paraId="2AF09A82"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97%</w:t>
            </w:r>
          </w:p>
        </w:tc>
        <w:tc>
          <w:tcPr>
            <w:tcW w:w="992" w:type="dxa"/>
            <w:tcBorders>
              <w:top w:val="nil"/>
              <w:left w:val="nil"/>
              <w:right w:val="nil"/>
            </w:tcBorders>
            <w:shd w:val="clear" w:color="auto" w:fill="auto"/>
          </w:tcPr>
          <w:p w14:paraId="6B643FB8"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95</w:t>
            </w:r>
            <w:r w:rsidR="00D905BA" w:rsidRPr="00207DC2">
              <w:rPr>
                <w:rFonts w:cs="Calibri Light"/>
                <w:lang w:val="en-AU"/>
              </w:rPr>
              <w:t>%</w:t>
            </w:r>
          </w:p>
        </w:tc>
        <w:tc>
          <w:tcPr>
            <w:tcW w:w="1133" w:type="dxa"/>
            <w:tcBorders>
              <w:top w:val="nil"/>
              <w:left w:val="nil"/>
              <w:right w:val="nil"/>
            </w:tcBorders>
            <w:shd w:val="clear" w:color="auto" w:fill="auto"/>
          </w:tcPr>
          <w:p w14:paraId="7FED7585"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9</w:t>
            </w:r>
            <w:r w:rsidR="008C1254" w:rsidRPr="00207DC2">
              <w:rPr>
                <w:rFonts w:cs="Calibri Light"/>
                <w:lang w:val="en-AU"/>
              </w:rPr>
              <w:t>7</w:t>
            </w:r>
            <w:r w:rsidRPr="00207DC2">
              <w:rPr>
                <w:rFonts w:cs="Calibri Light"/>
                <w:lang w:val="en-AU"/>
              </w:rPr>
              <w:t>%</w:t>
            </w:r>
          </w:p>
        </w:tc>
        <w:tc>
          <w:tcPr>
            <w:tcW w:w="993" w:type="dxa"/>
            <w:tcBorders>
              <w:top w:val="nil"/>
              <w:left w:val="nil"/>
            </w:tcBorders>
            <w:shd w:val="clear" w:color="auto" w:fill="auto"/>
            <w:noWrap/>
          </w:tcPr>
          <w:p w14:paraId="53C25CF0"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99%</w:t>
            </w:r>
          </w:p>
        </w:tc>
      </w:tr>
      <w:tr w:rsidR="00D905BA" w:rsidRPr="00207DC2" w14:paraId="28FF9806" w14:textId="77777777" w:rsidTr="00A57AA7">
        <w:trPr>
          <w:trHeight w:val="300"/>
        </w:trPr>
        <w:tc>
          <w:tcPr>
            <w:tcW w:w="3415" w:type="dxa"/>
            <w:tcBorders>
              <w:top w:val="nil"/>
              <w:right w:val="nil"/>
            </w:tcBorders>
            <w:shd w:val="clear" w:color="auto" w:fill="auto"/>
          </w:tcPr>
          <w:p w14:paraId="1EDA984A" w14:textId="77777777" w:rsidR="00D905BA" w:rsidRPr="00207DC2" w:rsidRDefault="00D905BA" w:rsidP="00FB626D">
            <w:pPr>
              <w:keepNext/>
              <w:spacing w:after="40" w:line="240" w:lineRule="auto"/>
              <w:contextualSpacing/>
              <w:rPr>
                <w:rFonts w:cs="Calibri Light"/>
                <w:i/>
                <w:lang w:val="en-AU"/>
              </w:rPr>
            </w:pPr>
            <w:r w:rsidRPr="00207DC2">
              <w:rPr>
                <w:rFonts w:cs="Calibri Light"/>
                <w:bCs/>
                <w:i/>
                <w:lang w:val="en-AU"/>
              </w:rPr>
              <w:t>Share by remoteness category:</w:t>
            </w:r>
          </w:p>
        </w:tc>
        <w:tc>
          <w:tcPr>
            <w:tcW w:w="1134" w:type="dxa"/>
            <w:gridSpan w:val="2"/>
            <w:tcBorders>
              <w:top w:val="nil"/>
              <w:left w:val="nil"/>
              <w:right w:val="nil"/>
            </w:tcBorders>
            <w:shd w:val="clear" w:color="auto" w:fill="auto"/>
          </w:tcPr>
          <w:p w14:paraId="431108CD" w14:textId="77777777" w:rsidR="00D905BA" w:rsidRPr="00207DC2" w:rsidRDefault="00D905BA" w:rsidP="00FB626D">
            <w:pPr>
              <w:keepNext/>
              <w:spacing w:after="40" w:line="240" w:lineRule="auto"/>
              <w:contextualSpacing/>
              <w:jc w:val="right"/>
              <w:rPr>
                <w:rFonts w:cs="Calibri Light"/>
                <w:lang w:val="en-AU"/>
              </w:rPr>
            </w:pPr>
          </w:p>
        </w:tc>
        <w:tc>
          <w:tcPr>
            <w:tcW w:w="996" w:type="dxa"/>
            <w:gridSpan w:val="2"/>
            <w:tcBorders>
              <w:top w:val="nil"/>
              <w:left w:val="nil"/>
              <w:right w:val="nil"/>
            </w:tcBorders>
            <w:shd w:val="clear" w:color="auto" w:fill="auto"/>
          </w:tcPr>
          <w:p w14:paraId="7F8B89F8" w14:textId="77777777" w:rsidR="00D905BA" w:rsidRPr="00207DC2" w:rsidRDefault="00D905BA" w:rsidP="00FB626D">
            <w:pPr>
              <w:keepNext/>
              <w:spacing w:after="40" w:line="240" w:lineRule="auto"/>
              <w:contextualSpacing/>
              <w:jc w:val="right"/>
              <w:rPr>
                <w:rFonts w:cs="Calibri Light"/>
                <w:lang w:val="en-AU"/>
              </w:rPr>
            </w:pPr>
          </w:p>
        </w:tc>
        <w:tc>
          <w:tcPr>
            <w:tcW w:w="992" w:type="dxa"/>
            <w:tcBorders>
              <w:top w:val="nil"/>
              <w:left w:val="nil"/>
              <w:right w:val="nil"/>
            </w:tcBorders>
            <w:shd w:val="clear" w:color="auto" w:fill="auto"/>
          </w:tcPr>
          <w:p w14:paraId="2738E5B5" w14:textId="77777777" w:rsidR="00D905BA" w:rsidRPr="00207DC2" w:rsidRDefault="00D905BA" w:rsidP="00FB626D">
            <w:pPr>
              <w:keepNext/>
              <w:spacing w:after="40" w:line="240" w:lineRule="auto"/>
              <w:contextualSpacing/>
              <w:jc w:val="right"/>
              <w:rPr>
                <w:rFonts w:cs="Calibri Light"/>
                <w:lang w:val="en-AU"/>
              </w:rPr>
            </w:pPr>
          </w:p>
        </w:tc>
        <w:tc>
          <w:tcPr>
            <w:tcW w:w="1133" w:type="dxa"/>
            <w:tcBorders>
              <w:top w:val="nil"/>
              <w:left w:val="nil"/>
              <w:right w:val="nil"/>
            </w:tcBorders>
            <w:shd w:val="clear" w:color="auto" w:fill="auto"/>
          </w:tcPr>
          <w:p w14:paraId="4CD118E9" w14:textId="77777777" w:rsidR="00D905BA" w:rsidRPr="00207DC2" w:rsidRDefault="00D905BA" w:rsidP="00FB626D">
            <w:pPr>
              <w:keepNext/>
              <w:spacing w:after="40" w:line="240" w:lineRule="auto"/>
              <w:contextualSpacing/>
              <w:jc w:val="right"/>
              <w:rPr>
                <w:rFonts w:cs="Calibri Light"/>
                <w:lang w:val="en-AU"/>
              </w:rPr>
            </w:pPr>
          </w:p>
        </w:tc>
        <w:tc>
          <w:tcPr>
            <w:tcW w:w="993" w:type="dxa"/>
            <w:tcBorders>
              <w:top w:val="nil"/>
              <w:left w:val="nil"/>
            </w:tcBorders>
            <w:shd w:val="clear" w:color="auto" w:fill="auto"/>
            <w:noWrap/>
          </w:tcPr>
          <w:p w14:paraId="0CB5796A" w14:textId="77777777" w:rsidR="00D905BA" w:rsidRPr="00207DC2" w:rsidRDefault="00D905BA" w:rsidP="00FB626D">
            <w:pPr>
              <w:keepNext/>
              <w:spacing w:after="40" w:line="240" w:lineRule="auto"/>
              <w:contextualSpacing/>
              <w:jc w:val="right"/>
              <w:rPr>
                <w:rFonts w:cs="Calibri Light"/>
                <w:lang w:val="en-AU"/>
              </w:rPr>
            </w:pPr>
          </w:p>
        </w:tc>
      </w:tr>
      <w:tr w:rsidR="00D905BA" w:rsidRPr="00207DC2" w14:paraId="7812B810" w14:textId="77777777" w:rsidTr="00A57AA7">
        <w:trPr>
          <w:trHeight w:val="300"/>
        </w:trPr>
        <w:tc>
          <w:tcPr>
            <w:tcW w:w="3415" w:type="dxa"/>
            <w:tcBorders>
              <w:top w:val="nil"/>
              <w:right w:val="nil"/>
            </w:tcBorders>
            <w:shd w:val="clear" w:color="auto" w:fill="auto"/>
          </w:tcPr>
          <w:p w14:paraId="7077E0B7" w14:textId="77777777" w:rsidR="00D905BA" w:rsidRPr="00207DC2" w:rsidRDefault="00D905BA" w:rsidP="00F90446">
            <w:pPr>
              <w:pStyle w:val="ListParagraph"/>
              <w:keepNext/>
              <w:numPr>
                <w:ilvl w:val="0"/>
                <w:numId w:val="16"/>
              </w:numPr>
              <w:spacing w:after="40" w:line="240" w:lineRule="auto"/>
              <w:rPr>
                <w:rFonts w:cs="Calibri Light"/>
                <w:bCs/>
                <w:lang w:val="en-AU"/>
              </w:rPr>
            </w:pPr>
            <w:r w:rsidRPr="00207DC2">
              <w:rPr>
                <w:rFonts w:cs="Calibri Light"/>
                <w:lang w:val="en-AU"/>
              </w:rPr>
              <w:t xml:space="preserve">Very remote </w:t>
            </w:r>
          </w:p>
        </w:tc>
        <w:tc>
          <w:tcPr>
            <w:tcW w:w="1134" w:type="dxa"/>
            <w:gridSpan w:val="2"/>
            <w:tcBorders>
              <w:top w:val="nil"/>
              <w:left w:val="nil"/>
              <w:right w:val="nil"/>
            </w:tcBorders>
            <w:shd w:val="clear" w:color="auto" w:fill="auto"/>
          </w:tcPr>
          <w:p w14:paraId="41F4B1B5"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69%</w:t>
            </w:r>
          </w:p>
        </w:tc>
        <w:tc>
          <w:tcPr>
            <w:tcW w:w="996" w:type="dxa"/>
            <w:gridSpan w:val="2"/>
            <w:tcBorders>
              <w:top w:val="nil"/>
              <w:left w:val="nil"/>
              <w:right w:val="nil"/>
            </w:tcBorders>
            <w:shd w:val="clear" w:color="auto" w:fill="auto"/>
          </w:tcPr>
          <w:p w14:paraId="635255E0"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74%</w:t>
            </w:r>
          </w:p>
        </w:tc>
        <w:tc>
          <w:tcPr>
            <w:tcW w:w="992" w:type="dxa"/>
            <w:tcBorders>
              <w:top w:val="nil"/>
              <w:left w:val="nil"/>
              <w:right w:val="nil"/>
            </w:tcBorders>
            <w:shd w:val="clear" w:color="auto" w:fill="auto"/>
          </w:tcPr>
          <w:p w14:paraId="68B56C82"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71</w:t>
            </w:r>
            <w:r w:rsidR="00D905BA" w:rsidRPr="00207DC2">
              <w:rPr>
                <w:rFonts w:cs="Calibri Light"/>
                <w:lang w:val="en-AU"/>
              </w:rPr>
              <w:t>%</w:t>
            </w:r>
          </w:p>
        </w:tc>
        <w:tc>
          <w:tcPr>
            <w:tcW w:w="1133" w:type="dxa"/>
            <w:tcBorders>
              <w:top w:val="nil"/>
              <w:left w:val="nil"/>
              <w:right w:val="nil"/>
            </w:tcBorders>
            <w:shd w:val="clear" w:color="auto" w:fill="auto"/>
          </w:tcPr>
          <w:p w14:paraId="131093EA"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73</w:t>
            </w:r>
            <w:r w:rsidR="00D905BA" w:rsidRPr="00207DC2">
              <w:rPr>
                <w:rFonts w:cs="Calibri Light"/>
                <w:lang w:val="en-AU"/>
              </w:rPr>
              <w:t>%</w:t>
            </w:r>
          </w:p>
        </w:tc>
        <w:tc>
          <w:tcPr>
            <w:tcW w:w="993" w:type="dxa"/>
            <w:tcBorders>
              <w:top w:val="nil"/>
              <w:left w:val="nil"/>
            </w:tcBorders>
            <w:shd w:val="clear" w:color="auto" w:fill="auto"/>
            <w:noWrap/>
          </w:tcPr>
          <w:p w14:paraId="7E0745EE"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78</w:t>
            </w:r>
            <w:r w:rsidR="00D905BA" w:rsidRPr="00207DC2">
              <w:rPr>
                <w:rFonts w:cs="Calibri Light"/>
                <w:lang w:val="en-AU"/>
              </w:rPr>
              <w:t>%</w:t>
            </w:r>
          </w:p>
        </w:tc>
      </w:tr>
      <w:tr w:rsidR="00D905BA" w:rsidRPr="00207DC2" w14:paraId="2C52EB40" w14:textId="77777777" w:rsidTr="00A57AA7">
        <w:trPr>
          <w:trHeight w:val="300"/>
        </w:trPr>
        <w:tc>
          <w:tcPr>
            <w:tcW w:w="3415" w:type="dxa"/>
            <w:tcBorders>
              <w:top w:val="nil"/>
              <w:right w:val="nil"/>
            </w:tcBorders>
            <w:shd w:val="clear" w:color="auto" w:fill="auto"/>
          </w:tcPr>
          <w:p w14:paraId="012C40B7" w14:textId="77777777" w:rsidR="00D905BA" w:rsidRPr="00207DC2" w:rsidRDefault="00D905BA" w:rsidP="00F90446">
            <w:pPr>
              <w:pStyle w:val="ListParagraph"/>
              <w:keepNext/>
              <w:numPr>
                <w:ilvl w:val="0"/>
                <w:numId w:val="16"/>
              </w:numPr>
              <w:spacing w:after="40" w:line="240" w:lineRule="auto"/>
              <w:rPr>
                <w:rFonts w:cs="Calibri Light"/>
                <w:bCs/>
                <w:lang w:val="en-AU"/>
              </w:rPr>
            </w:pPr>
            <w:r w:rsidRPr="00207DC2">
              <w:rPr>
                <w:rFonts w:cs="Calibri Light"/>
                <w:lang w:val="en-AU"/>
              </w:rPr>
              <w:t>Remote</w:t>
            </w:r>
          </w:p>
        </w:tc>
        <w:tc>
          <w:tcPr>
            <w:tcW w:w="1134" w:type="dxa"/>
            <w:gridSpan w:val="2"/>
            <w:tcBorders>
              <w:top w:val="nil"/>
              <w:left w:val="nil"/>
              <w:right w:val="nil"/>
            </w:tcBorders>
            <w:shd w:val="clear" w:color="auto" w:fill="auto"/>
          </w:tcPr>
          <w:p w14:paraId="19BB6C8C"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23%</w:t>
            </w:r>
          </w:p>
        </w:tc>
        <w:tc>
          <w:tcPr>
            <w:tcW w:w="996" w:type="dxa"/>
            <w:gridSpan w:val="2"/>
            <w:tcBorders>
              <w:top w:val="nil"/>
              <w:left w:val="nil"/>
              <w:right w:val="nil"/>
            </w:tcBorders>
            <w:shd w:val="clear" w:color="auto" w:fill="auto"/>
          </w:tcPr>
          <w:p w14:paraId="463FF5F3"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23%</w:t>
            </w:r>
          </w:p>
        </w:tc>
        <w:tc>
          <w:tcPr>
            <w:tcW w:w="992" w:type="dxa"/>
            <w:tcBorders>
              <w:top w:val="nil"/>
              <w:left w:val="nil"/>
              <w:right w:val="nil"/>
            </w:tcBorders>
            <w:shd w:val="clear" w:color="auto" w:fill="auto"/>
          </w:tcPr>
          <w:p w14:paraId="1ECB4E5F"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25</w:t>
            </w:r>
            <w:r w:rsidR="00D905BA" w:rsidRPr="00207DC2">
              <w:rPr>
                <w:rFonts w:cs="Calibri Light"/>
                <w:lang w:val="en-AU"/>
              </w:rPr>
              <w:t>%</w:t>
            </w:r>
          </w:p>
        </w:tc>
        <w:tc>
          <w:tcPr>
            <w:tcW w:w="1133" w:type="dxa"/>
            <w:tcBorders>
              <w:top w:val="nil"/>
              <w:left w:val="nil"/>
              <w:right w:val="nil"/>
            </w:tcBorders>
            <w:shd w:val="clear" w:color="auto" w:fill="auto"/>
          </w:tcPr>
          <w:p w14:paraId="788A61A2"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24</w:t>
            </w:r>
            <w:r w:rsidR="00D905BA" w:rsidRPr="00207DC2">
              <w:rPr>
                <w:rFonts w:cs="Calibri Light"/>
                <w:lang w:val="en-AU"/>
              </w:rPr>
              <w:t>%</w:t>
            </w:r>
          </w:p>
        </w:tc>
        <w:tc>
          <w:tcPr>
            <w:tcW w:w="993" w:type="dxa"/>
            <w:tcBorders>
              <w:top w:val="nil"/>
              <w:left w:val="nil"/>
            </w:tcBorders>
            <w:shd w:val="clear" w:color="auto" w:fill="auto"/>
            <w:noWrap/>
          </w:tcPr>
          <w:p w14:paraId="6FD07CDC"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20</w:t>
            </w:r>
            <w:r w:rsidR="00D905BA" w:rsidRPr="00207DC2">
              <w:rPr>
                <w:rFonts w:cs="Calibri Light"/>
                <w:lang w:val="en-AU"/>
              </w:rPr>
              <w:t>%</w:t>
            </w:r>
          </w:p>
        </w:tc>
      </w:tr>
      <w:tr w:rsidR="00D905BA" w:rsidRPr="00207DC2" w14:paraId="6DC5E1DD" w14:textId="77777777" w:rsidTr="00A57AA7">
        <w:trPr>
          <w:trHeight w:val="300"/>
        </w:trPr>
        <w:tc>
          <w:tcPr>
            <w:tcW w:w="3415" w:type="dxa"/>
            <w:tcBorders>
              <w:top w:val="nil"/>
              <w:bottom w:val="dashSmallGap" w:sz="4" w:space="0" w:color="auto"/>
              <w:right w:val="nil"/>
            </w:tcBorders>
            <w:shd w:val="clear" w:color="auto" w:fill="auto"/>
          </w:tcPr>
          <w:p w14:paraId="0417BC50" w14:textId="77777777" w:rsidR="00D905BA" w:rsidRPr="00207DC2" w:rsidRDefault="00D905BA" w:rsidP="00F90446">
            <w:pPr>
              <w:pStyle w:val="ListParagraph"/>
              <w:keepNext/>
              <w:numPr>
                <w:ilvl w:val="0"/>
                <w:numId w:val="16"/>
              </w:numPr>
              <w:spacing w:after="40" w:line="240" w:lineRule="auto"/>
              <w:rPr>
                <w:rFonts w:cs="Calibri Light"/>
                <w:bCs/>
                <w:lang w:val="en-AU"/>
              </w:rPr>
            </w:pPr>
            <w:r w:rsidRPr="00207DC2">
              <w:rPr>
                <w:rFonts w:cs="Calibri Light"/>
                <w:lang w:val="en-AU"/>
              </w:rPr>
              <w:t>Outer regional or other</w:t>
            </w:r>
          </w:p>
        </w:tc>
        <w:tc>
          <w:tcPr>
            <w:tcW w:w="1134" w:type="dxa"/>
            <w:gridSpan w:val="2"/>
            <w:tcBorders>
              <w:top w:val="nil"/>
              <w:left w:val="nil"/>
              <w:bottom w:val="dashSmallGap" w:sz="4" w:space="0" w:color="auto"/>
              <w:right w:val="nil"/>
            </w:tcBorders>
            <w:shd w:val="clear" w:color="auto" w:fill="auto"/>
          </w:tcPr>
          <w:p w14:paraId="1D9FF62C"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8%</w:t>
            </w:r>
          </w:p>
        </w:tc>
        <w:tc>
          <w:tcPr>
            <w:tcW w:w="996" w:type="dxa"/>
            <w:gridSpan w:val="2"/>
            <w:tcBorders>
              <w:top w:val="nil"/>
              <w:left w:val="nil"/>
              <w:bottom w:val="dashSmallGap" w:sz="4" w:space="0" w:color="auto"/>
              <w:right w:val="nil"/>
            </w:tcBorders>
            <w:shd w:val="clear" w:color="auto" w:fill="auto"/>
          </w:tcPr>
          <w:p w14:paraId="1CB3B6CD"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w:t>
            </w:r>
          </w:p>
        </w:tc>
        <w:tc>
          <w:tcPr>
            <w:tcW w:w="992" w:type="dxa"/>
            <w:tcBorders>
              <w:top w:val="nil"/>
              <w:left w:val="nil"/>
              <w:bottom w:val="dashSmallGap" w:sz="4" w:space="0" w:color="auto"/>
              <w:right w:val="nil"/>
            </w:tcBorders>
            <w:shd w:val="clear" w:color="auto" w:fill="auto"/>
          </w:tcPr>
          <w:p w14:paraId="35788E85"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5</w:t>
            </w:r>
            <w:r w:rsidR="00D905BA" w:rsidRPr="00207DC2">
              <w:rPr>
                <w:rFonts w:cs="Calibri Light"/>
                <w:lang w:val="en-AU"/>
              </w:rPr>
              <w:t>%</w:t>
            </w:r>
          </w:p>
        </w:tc>
        <w:tc>
          <w:tcPr>
            <w:tcW w:w="1133" w:type="dxa"/>
            <w:tcBorders>
              <w:top w:val="nil"/>
              <w:left w:val="nil"/>
              <w:bottom w:val="dashSmallGap" w:sz="4" w:space="0" w:color="auto"/>
              <w:right w:val="nil"/>
            </w:tcBorders>
            <w:shd w:val="clear" w:color="auto" w:fill="auto"/>
          </w:tcPr>
          <w:p w14:paraId="6D00590F"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3</w:t>
            </w:r>
            <w:r w:rsidR="00D905BA" w:rsidRPr="00207DC2">
              <w:rPr>
                <w:rFonts w:cs="Calibri Light"/>
                <w:lang w:val="en-AU"/>
              </w:rPr>
              <w:t>%</w:t>
            </w:r>
          </w:p>
        </w:tc>
        <w:tc>
          <w:tcPr>
            <w:tcW w:w="993" w:type="dxa"/>
            <w:tcBorders>
              <w:top w:val="nil"/>
              <w:left w:val="nil"/>
              <w:bottom w:val="dashSmallGap" w:sz="4" w:space="0" w:color="auto"/>
            </w:tcBorders>
            <w:shd w:val="clear" w:color="auto" w:fill="auto"/>
            <w:noWrap/>
          </w:tcPr>
          <w:p w14:paraId="41657EFF" w14:textId="77777777" w:rsidR="00D905BA" w:rsidRPr="00207DC2" w:rsidRDefault="008C1254" w:rsidP="00FB626D">
            <w:pPr>
              <w:keepNext/>
              <w:spacing w:after="40" w:line="240" w:lineRule="auto"/>
              <w:contextualSpacing/>
              <w:jc w:val="right"/>
              <w:rPr>
                <w:rFonts w:cs="Calibri Light"/>
                <w:lang w:val="en-AU"/>
              </w:rPr>
            </w:pPr>
            <w:r w:rsidRPr="00207DC2">
              <w:rPr>
                <w:rFonts w:cs="Calibri Light"/>
                <w:lang w:val="en-AU"/>
              </w:rPr>
              <w:t>2</w:t>
            </w:r>
            <w:r w:rsidR="00D905BA" w:rsidRPr="00207DC2">
              <w:rPr>
                <w:rFonts w:cs="Calibri Light"/>
                <w:lang w:val="en-AU"/>
              </w:rPr>
              <w:t>%</w:t>
            </w:r>
          </w:p>
        </w:tc>
      </w:tr>
      <w:tr w:rsidR="00D905BA" w:rsidRPr="00207DC2" w14:paraId="45ED9407" w14:textId="77777777" w:rsidTr="00A57AA7">
        <w:trPr>
          <w:trHeight w:val="300"/>
        </w:trPr>
        <w:tc>
          <w:tcPr>
            <w:tcW w:w="4549" w:type="dxa"/>
            <w:gridSpan w:val="3"/>
            <w:tcBorders>
              <w:top w:val="dashSmallGap" w:sz="4" w:space="0" w:color="auto"/>
              <w:right w:val="nil"/>
            </w:tcBorders>
            <w:shd w:val="clear" w:color="auto" w:fill="D0D2D3" w:themeFill="background2"/>
          </w:tcPr>
          <w:p w14:paraId="5B76C455" w14:textId="77777777" w:rsidR="00D905BA" w:rsidRPr="00207DC2" w:rsidRDefault="00D905BA" w:rsidP="00FB626D">
            <w:pPr>
              <w:pStyle w:val="Table"/>
              <w:spacing w:after="40" w:line="240" w:lineRule="auto"/>
              <w:contextualSpacing/>
              <w:rPr>
                <w:rFonts w:ascii="Calibri Light" w:hAnsi="Calibri Light" w:cs="Calibri Light"/>
              </w:rPr>
            </w:pPr>
            <w:r w:rsidRPr="00207DC2">
              <w:rPr>
                <w:rFonts w:ascii="Calibri Light" w:eastAsiaTheme="minorHAnsi" w:hAnsi="Calibri Light" w:cs="Calibri Light"/>
                <w:color w:val="323536" w:themeColor="background2" w:themeShade="40"/>
                <w:spacing w:val="20"/>
                <w:sz w:val="20"/>
                <w:szCs w:val="19"/>
                <w:lang w:eastAsia="ja-JP"/>
              </w:rPr>
              <w:t>Patterns of attendance and penalties:</w:t>
            </w:r>
          </w:p>
        </w:tc>
        <w:tc>
          <w:tcPr>
            <w:tcW w:w="996" w:type="dxa"/>
            <w:gridSpan w:val="2"/>
            <w:tcBorders>
              <w:top w:val="dashSmallGap" w:sz="4" w:space="0" w:color="auto"/>
              <w:left w:val="nil"/>
              <w:right w:val="nil"/>
            </w:tcBorders>
            <w:shd w:val="clear" w:color="auto" w:fill="D0D2D3" w:themeFill="background2"/>
            <w:vAlign w:val="center"/>
          </w:tcPr>
          <w:p w14:paraId="7656E431" w14:textId="77777777" w:rsidR="00D905BA" w:rsidRPr="00207DC2" w:rsidRDefault="00D905BA" w:rsidP="00FB626D">
            <w:pPr>
              <w:keepNext/>
              <w:spacing w:after="40" w:line="240" w:lineRule="auto"/>
              <w:contextualSpacing/>
              <w:jc w:val="right"/>
              <w:rPr>
                <w:rFonts w:cs="Calibri Light"/>
                <w:lang w:val="en-AU"/>
              </w:rPr>
            </w:pPr>
          </w:p>
        </w:tc>
        <w:tc>
          <w:tcPr>
            <w:tcW w:w="992" w:type="dxa"/>
            <w:tcBorders>
              <w:top w:val="dashSmallGap" w:sz="4" w:space="0" w:color="auto"/>
              <w:left w:val="nil"/>
              <w:right w:val="nil"/>
            </w:tcBorders>
            <w:shd w:val="clear" w:color="auto" w:fill="D0D2D3" w:themeFill="background2"/>
            <w:vAlign w:val="center"/>
          </w:tcPr>
          <w:p w14:paraId="7E7D1A8B" w14:textId="77777777" w:rsidR="00D905BA" w:rsidRPr="00207DC2" w:rsidRDefault="00D905BA" w:rsidP="00FB626D">
            <w:pPr>
              <w:keepNext/>
              <w:spacing w:after="40" w:line="240" w:lineRule="auto"/>
              <w:contextualSpacing/>
              <w:jc w:val="right"/>
              <w:rPr>
                <w:rFonts w:cs="Calibri Light"/>
                <w:lang w:val="en-AU"/>
              </w:rPr>
            </w:pPr>
          </w:p>
        </w:tc>
        <w:tc>
          <w:tcPr>
            <w:tcW w:w="1133" w:type="dxa"/>
            <w:tcBorders>
              <w:top w:val="dashSmallGap" w:sz="4" w:space="0" w:color="auto"/>
              <w:left w:val="nil"/>
              <w:right w:val="nil"/>
            </w:tcBorders>
            <w:shd w:val="clear" w:color="auto" w:fill="D0D2D3" w:themeFill="background2"/>
            <w:vAlign w:val="center"/>
          </w:tcPr>
          <w:p w14:paraId="20703252" w14:textId="77777777" w:rsidR="00D905BA" w:rsidRPr="00207DC2" w:rsidRDefault="00D905BA" w:rsidP="00FB626D">
            <w:pPr>
              <w:keepNext/>
              <w:spacing w:after="40" w:line="240" w:lineRule="auto"/>
              <w:contextualSpacing/>
              <w:jc w:val="right"/>
              <w:rPr>
                <w:rFonts w:cs="Calibri Light"/>
                <w:lang w:val="en-AU"/>
              </w:rPr>
            </w:pPr>
          </w:p>
        </w:tc>
        <w:tc>
          <w:tcPr>
            <w:tcW w:w="993" w:type="dxa"/>
            <w:tcBorders>
              <w:top w:val="dashSmallGap" w:sz="4" w:space="0" w:color="auto"/>
              <w:left w:val="nil"/>
            </w:tcBorders>
            <w:shd w:val="clear" w:color="auto" w:fill="D0D2D3" w:themeFill="background2"/>
            <w:noWrap/>
            <w:vAlign w:val="center"/>
          </w:tcPr>
          <w:p w14:paraId="0B4735F4" w14:textId="77777777" w:rsidR="00D905BA" w:rsidRPr="00207DC2" w:rsidRDefault="00D905BA" w:rsidP="00FB626D">
            <w:pPr>
              <w:keepNext/>
              <w:spacing w:after="40" w:line="240" w:lineRule="auto"/>
              <w:contextualSpacing/>
              <w:jc w:val="right"/>
              <w:rPr>
                <w:rFonts w:cs="Calibri Light"/>
                <w:lang w:val="en-AU"/>
              </w:rPr>
            </w:pPr>
          </w:p>
        </w:tc>
      </w:tr>
      <w:tr w:rsidR="00C962BB" w:rsidRPr="00207DC2" w14:paraId="38B787AC" w14:textId="77777777" w:rsidTr="00A57AA7">
        <w:trPr>
          <w:trHeight w:val="300"/>
        </w:trPr>
        <w:tc>
          <w:tcPr>
            <w:tcW w:w="8663" w:type="dxa"/>
            <w:gridSpan w:val="8"/>
            <w:tcBorders>
              <w:top w:val="nil"/>
            </w:tcBorders>
            <w:shd w:val="clear" w:color="auto" w:fill="auto"/>
          </w:tcPr>
          <w:p w14:paraId="4654A7D6" w14:textId="77777777" w:rsidR="00C962BB" w:rsidRPr="00207DC2" w:rsidRDefault="00C962BB" w:rsidP="00FB626D">
            <w:pPr>
              <w:keepNext/>
              <w:spacing w:after="40" w:line="240" w:lineRule="auto"/>
              <w:contextualSpacing/>
              <w:rPr>
                <w:rFonts w:cs="Calibri Light"/>
                <w:lang w:val="en-AU"/>
              </w:rPr>
            </w:pPr>
            <w:r w:rsidRPr="00207DC2">
              <w:rPr>
                <w:rFonts w:cs="Calibri Light"/>
                <w:i/>
                <w:lang w:val="en-AU"/>
              </w:rPr>
              <w:t xml:space="preserve">Attendance rate (including attendance at activities and valid non-attendance): </w:t>
            </w:r>
          </w:p>
        </w:tc>
      </w:tr>
      <w:tr w:rsidR="00D905BA" w:rsidRPr="00207DC2" w14:paraId="075615F3" w14:textId="77777777" w:rsidTr="00A57AA7">
        <w:trPr>
          <w:trHeight w:val="300"/>
        </w:trPr>
        <w:tc>
          <w:tcPr>
            <w:tcW w:w="3415" w:type="dxa"/>
            <w:tcBorders>
              <w:top w:val="nil"/>
              <w:right w:val="nil"/>
            </w:tcBorders>
            <w:shd w:val="clear" w:color="auto" w:fill="auto"/>
          </w:tcPr>
          <w:p w14:paraId="73DC9D89" w14:textId="77777777" w:rsidR="00D905BA" w:rsidRPr="00207DC2" w:rsidRDefault="00C962BB" w:rsidP="00F90446">
            <w:pPr>
              <w:pStyle w:val="ListParagraph"/>
              <w:keepNext/>
              <w:numPr>
                <w:ilvl w:val="0"/>
                <w:numId w:val="15"/>
              </w:numPr>
              <w:spacing w:after="40" w:line="240" w:lineRule="auto"/>
              <w:ind w:left="505"/>
              <w:rPr>
                <w:rFonts w:cs="Calibri Light"/>
                <w:bCs/>
                <w:lang w:val="en-AU"/>
              </w:rPr>
            </w:pPr>
            <w:r w:rsidRPr="00207DC2">
              <w:rPr>
                <w:rFonts w:cs="Calibri Light"/>
                <w:lang w:val="en-AU"/>
              </w:rPr>
              <w:t>First quarter</w:t>
            </w:r>
            <w:r w:rsidR="00D905BA" w:rsidRPr="00207DC2">
              <w:rPr>
                <w:rFonts w:cs="Calibri Light"/>
                <w:lang w:val="en-AU"/>
              </w:rPr>
              <w:t xml:space="preserve"> </w:t>
            </w:r>
          </w:p>
        </w:tc>
        <w:tc>
          <w:tcPr>
            <w:tcW w:w="1134" w:type="dxa"/>
            <w:gridSpan w:val="2"/>
            <w:tcBorders>
              <w:top w:val="nil"/>
              <w:left w:val="nil"/>
              <w:right w:val="nil"/>
            </w:tcBorders>
            <w:shd w:val="clear" w:color="auto" w:fill="auto"/>
          </w:tcPr>
          <w:p w14:paraId="7194789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77%</w:t>
            </w:r>
          </w:p>
        </w:tc>
        <w:tc>
          <w:tcPr>
            <w:tcW w:w="996" w:type="dxa"/>
            <w:gridSpan w:val="2"/>
            <w:tcBorders>
              <w:top w:val="nil"/>
              <w:left w:val="nil"/>
              <w:right w:val="nil"/>
            </w:tcBorders>
            <w:shd w:val="clear" w:color="auto" w:fill="auto"/>
          </w:tcPr>
          <w:p w14:paraId="67E43C4F"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66%</w:t>
            </w:r>
          </w:p>
        </w:tc>
        <w:tc>
          <w:tcPr>
            <w:tcW w:w="992" w:type="dxa"/>
            <w:tcBorders>
              <w:top w:val="nil"/>
              <w:left w:val="nil"/>
              <w:right w:val="nil"/>
            </w:tcBorders>
            <w:shd w:val="clear" w:color="auto" w:fill="auto"/>
          </w:tcPr>
          <w:p w14:paraId="39EA86BB"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77</w:t>
            </w:r>
            <w:r w:rsidR="00D905BA" w:rsidRPr="00207DC2">
              <w:rPr>
                <w:rFonts w:cs="Calibri Light"/>
                <w:lang w:val="en-AU"/>
              </w:rPr>
              <w:t>%</w:t>
            </w:r>
          </w:p>
        </w:tc>
        <w:tc>
          <w:tcPr>
            <w:tcW w:w="1133" w:type="dxa"/>
            <w:tcBorders>
              <w:top w:val="nil"/>
              <w:left w:val="nil"/>
              <w:right w:val="nil"/>
            </w:tcBorders>
            <w:shd w:val="clear" w:color="auto" w:fill="auto"/>
          </w:tcPr>
          <w:p w14:paraId="753F7A37" w14:textId="77777777" w:rsidR="00D905BA" w:rsidRPr="00207DC2" w:rsidRDefault="00422196" w:rsidP="00FB626D">
            <w:pPr>
              <w:keepNext/>
              <w:spacing w:after="40" w:line="240" w:lineRule="auto"/>
              <w:contextualSpacing/>
              <w:jc w:val="right"/>
              <w:rPr>
                <w:rFonts w:cs="Calibri Light"/>
                <w:lang w:val="en-AU"/>
              </w:rPr>
            </w:pPr>
            <w:r w:rsidRPr="00207DC2">
              <w:rPr>
                <w:rFonts w:cs="Calibri Light"/>
                <w:lang w:val="en-AU"/>
              </w:rPr>
              <w:t>67</w:t>
            </w:r>
            <w:r w:rsidR="00D905BA" w:rsidRPr="00207DC2">
              <w:rPr>
                <w:rFonts w:cs="Calibri Light"/>
                <w:lang w:val="en-AU"/>
              </w:rPr>
              <w:t>%</w:t>
            </w:r>
          </w:p>
        </w:tc>
        <w:tc>
          <w:tcPr>
            <w:tcW w:w="993" w:type="dxa"/>
            <w:tcBorders>
              <w:top w:val="nil"/>
              <w:left w:val="nil"/>
            </w:tcBorders>
            <w:shd w:val="clear" w:color="auto" w:fill="auto"/>
            <w:noWrap/>
          </w:tcPr>
          <w:p w14:paraId="1F40785C"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52</w:t>
            </w:r>
            <w:r w:rsidR="00D905BA" w:rsidRPr="00207DC2">
              <w:rPr>
                <w:rFonts w:cs="Calibri Light"/>
                <w:lang w:val="en-AU"/>
              </w:rPr>
              <w:t>%</w:t>
            </w:r>
          </w:p>
        </w:tc>
      </w:tr>
      <w:tr w:rsidR="00D905BA" w:rsidRPr="00207DC2" w14:paraId="5694BD16" w14:textId="77777777" w:rsidTr="00A57AA7">
        <w:trPr>
          <w:trHeight w:val="300"/>
        </w:trPr>
        <w:tc>
          <w:tcPr>
            <w:tcW w:w="3415" w:type="dxa"/>
            <w:tcBorders>
              <w:top w:val="nil"/>
              <w:right w:val="nil"/>
            </w:tcBorders>
            <w:shd w:val="clear" w:color="auto" w:fill="auto"/>
          </w:tcPr>
          <w:p w14:paraId="0C94CB6B" w14:textId="77777777" w:rsidR="00D905BA" w:rsidRPr="00207DC2" w:rsidRDefault="00C962BB" w:rsidP="00F90446">
            <w:pPr>
              <w:pStyle w:val="ListParagraph"/>
              <w:keepNext/>
              <w:numPr>
                <w:ilvl w:val="0"/>
                <w:numId w:val="15"/>
              </w:numPr>
              <w:spacing w:after="40" w:line="240" w:lineRule="auto"/>
              <w:ind w:left="505"/>
              <w:rPr>
                <w:rFonts w:cs="Calibri Light"/>
                <w:lang w:val="en-AU"/>
              </w:rPr>
            </w:pPr>
            <w:r w:rsidRPr="00207DC2">
              <w:rPr>
                <w:rFonts w:cs="Calibri Light"/>
                <w:lang w:val="en-AU"/>
              </w:rPr>
              <w:t>R</w:t>
            </w:r>
            <w:r w:rsidR="00D905BA" w:rsidRPr="00207DC2">
              <w:rPr>
                <w:rFonts w:cs="Calibri Light"/>
                <w:lang w:val="en-AU"/>
              </w:rPr>
              <w:t xml:space="preserve">emaining </w:t>
            </w:r>
            <w:r w:rsidRPr="00207DC2">
              <w:rPr>
                <w:rFonts w:cs="Calibri Light"/>
                <w:lang w:val="en-AU"/>
              </w:rPr>
              <w:t>three </w:t>
            </w:r>
            <w:r w:rsidR="00D905BA" w:rsidRPr="00207DC2">
              <w:rPr>
                <w:rFonts w:cs="Calibri Light"/>
                <w:lang w:val="en-AU"/>
              </w:rPr>
              <w:t>quarters</w:t>
            </w:r>
          </w:p>
        </w:tc>
        <w:tc>
          <w:tcPr>
            <w:tcW w:w="1134" w:type="dxa"/>
            <w:gridSpan w:val="2"/>
            <w:tcBorders>
              <w:top w:val="nil"/>
              <w:left w:val="nil"/>
              <w:right w:val="nil"/>
            </w:tcBorders>
            <w:shd w:val="clear" w:color="auto" w:fill="auto"/>
          </w:tcPr>
          <w:p w14:paraId="434C8DE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76%</w:t>
            </w:r>
          </w:p>
        </w:tc>
        <w:tc>
          <w:tcPr>
            <w:tcW w:w="996" w:type="dxa"/>
            <w:gridSpan w:val="2"/>
            <w:tcBorders>
              <w:top w:val="nil"/>
              <w:left w:val="nil"/>
              <w:right w:val="nil"/>
            </w:tcBorders>
            <w:shd w:val="clear" w:color="auto" w:fill="auto"/>
          </w:tcPr>
          <w:p w14:paraId="6AEDB6E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69%</w:t>
            </w:r>
          </w:p>
        </w:tc>
        <w:tc>
          <w:tcPr>
            <w:tcW w:w="992" w:type="dxa"/>
            <w:tcBorders>
              <w:top w:val="nil"/>
              <w:left w:val="nil"/>
              <w:right w:val="nil"/>
            </w:tcBorders>
            <w:shd w:val="clear" w:color="auto" w:fill="auto"/>
          </w:tcPr>
          <w:p w14:paraId="3C8FAFA3" w14:textId="77777777" w:rsidR="00D905BA" w:rsidRPr="00207DC2" w:rsidRDefault="001A46D6" w:rsidP="00FB626D">
            <w:pPr>
              <w:keepNext/>
              <w:spacing w:after="40" w:line="240" w:lineRule="auto"/>
              <w:contextualSpacing/>
              <w:jc w:val="right"/>
              <w:rPr>
                <w:rFonts w:cs="Calibri Light"/>
                <w:lang w:val="en-AU"/>
              </w:rPr>
            </w:pPr>
            <w:r w:rsidRPr="00207DC2">
              <w:rPr>
                <w:rFonts w:cs="Calibri Light"/>
                <w:lang w:val="en-AU"/>
              </w:rPr>
              <w:t>76</w:t>
            </w:r>
            <w:r w:rsidR="00D905BA" w:rsidRPr="00207DC2">
              <w:rPr>
                <w:rFonts w:cs="Calibri Light"/>
                <w:lang w:val="en-AU"/>
              </w:rPr>
              <w:t>%</w:t>
            </w:r>
          </w:p>
        </w:tc>
        <w:tc>
          <w:tcPr>
            <w:tcW w:w="1133" w:type="dxa"/>
            <w:tcBorders>
              <w:top w:val="nil"/>
              <w:left w:val="nil"/>
              <w:right w:val="nil"/>
            </w:tcBorders>
            <w:shd w:val="clear" w:color="auto" w:fill="auto"/>
          </w:tcPr>
          <w:p w14:paraId="6F51DEB2"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71%</w:t>
            </w:r>
          </w:p>
        </w:tc>
        <w:tc>
          <w:tcPr>
            <w:tcW w:w="993" w:type="dxa"/>
            <w:tcBorders>
              <w:top w:val="nil"/>
              <w:left w:val="nil"/>
            </w:tcBorders>
            <w:shd w:val="clear" w:color="auto" w:fill="auto"/>
            <w:noWrap/>
          </w:tcPr>
          <w:p w14:paraId="32D954BE"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59</w:t>
            </w:r>
            <w:r w:rsidR="00D905BA" w:rsidRPr="00207DC2">
              <w:rPr>
                <w:rFonts w:cs="Calibri Light"/>
                <w:lang w:val="en-AU"/>
              </w:rPr>
              <w:t>%</w:t>
            </w:r>
          </w:p>
        </w:tc>
      </w:tr>
      <w:tr w:rsidR="002805CF" w:rsidRPr="00207DC2" w14:paraId="30BD43CA" w14:textId="77777777" w:rsidTr="00A57AA7">
        <w:trPr>
          <w:trHeight w:val="300"/>
        </w:trPr>
        <w:tc>
          <w:tcPr>
            <w:tcW w:w="5545" w:type="dxa"/>
            <w:gridSpan w:val="5"/>
            <w:tcBorders>
              <w:top w:val="nil"/>
              <w:right w:val="nil"/>
            </w:tcBorders>
            <w:shd w:val="clear" w:color="auto" w:fill="auto"/>
          </w:tcPr>
          <w:p w14:paraId="2326DA72" w14:textId="77777777" w:rsidR="002805CF" w:rsidRPr="00207DC2" w:rsidRDefault="002805CF" w:rsidP="00FB626D">
            <w:pPr>
              <w:keepNext/>
              <w:spacing w:after="40" w:line="240" w:lineRule="auto"/>
              <w:contextualSpacing/>
              <w:rPr>
                <w:rFonts w:cs="Calibri Light"/>
                <w:lang w:val="en-AU"/>
              </w:rPr>
            </w:pPr>
            <w:r w:rsidRPr="00207DC2">
              <w:rPr>
                <w:rFonts w:cs="Calibri Light"/>
                <w:i/>
                <w:lang w:val="en-AU"/>
              </w:rPr>
              <w:t>Average penalties over the year:</w:t>
            </w:r>
          </w:p>
        </w:tc>
        <w:tc>
          <w:tcPr>
            <w:tcW w:w="992" w:type="dxa"/>
            <w:tcBorders>
              <w:top w:val="nil"/>
              <w:left w:val="nil"/>
              <w:right w:val="nil"/>
            </w:tcBorders>
            <w:shd w:val="clear" w:color="auto" w:fill="auto"/>
            <w:vAlign w:val="center"/>
          </w:tcPr>
          <w:p w14:paraId="24971F02" w14:textId="77777777" w:rsidR="002805CF" w:rsidRPr="00207DC2" w:rsidRDefault="002805CF" w:rsidP="00FB626D">
            <w:pPr>
              <w:keepNext/>
              <w:spacing w:after="40" w:line="240" w:lineRule="auto"/>
              <w:contextualSpacing/>
              <w:jc w:val="right"/>
              <w:rPr>
                <w:rFonts w:cs="Calibri Light"/>
                <w:lang w:val="en-AU"/>
              </w:rPr>
            </w:pPr>
          </w:p>
        </w:tc>
        <w:tc>
          <w:tcPr>
            <w:tcW w:w="1133" w:type="dxa"/>
            <w:tcBorders>
              <w:top w:val="nil"/>
              <w:left w:val="nil"/>
              <w:right w:val="nil"/>
            </w:tcBorders>
            <w:shd w:val="clear" w:color="auto" w:fill="auto"/>
            <w:vAlign w:val="center"/>
          </w:tcPr>
          <w:p w14:paraId="548D502A" w14:textId="77777777" w:rsidR="002805CF" w:rsidRPr="00207DC2" w:rsidRDefault="002805CF" w:rsidP="00FB626D">
            <w:pPr>
              <w:keepNext/>
              <w:spacing w:after="40" w:line="240" w:lineRule="auto"/>
              <w:contextualSpacing/>
              <w:jc w:val="right"/>
              <w:rPr>
                <w:rFonts w:cs="Calibri Light"/>
                <w:lang w:val="en-AU"/>
              </w:rPr>
            </w:pPr>
          </w:p>
        </w:tc>
        <w:tc>
          <w:tcPr>
            <w:tcW w:w="993" w:type="dxa"/>
            <w:tcBorders>
              <w:top w:val="nil"/>
              <w:left w:val="nil"/>
            </w:tcBorders>
            <w:shd w:val="clear" w:color="auto" w:fill="auto"/>
            <w:noWrap/>
            <w:vAlign w:val="center"/>
          </w:tcPr>
          <w:p w14:paraId="4C493D30" w14:textId="77777777" w:rsidR="002805CF" w:rsidRPr="00207DC2" w:rsidRDefault="002805CF" w:rsidP="00FB626D">
            <w:pPr>
              <w:keepNext/>
              <w:spacing w:after="40" w:line="240" w:lineRule="auto"/>
              <w:contextualSpacing/>
              <w:jc w:val="right"/>
              <w:rPr>
                <w:rFonts w:cs="Calibri Light"/>
                <w:lang w:val="en-AU"/>
              </w:rPr>
            </w:pPr>
          </w:p>
        </w:tc>
      </w:tr>
      <w:tr w:rsidR="00D905BA" w:rsidRPr="00207DC2" w14:paraId="70C4334F" w14:textId="77777777" w:rsidTr="00A57AA7">
        <w:trPr>
          <w:trHeight w:val="300"/>
        </w:trPr>
        <w:tc>
          <w:tcPr>
            <w:tcW w:w="3415" w:type="dxa"/>
            <w:tcBorders>
              <w:top w:val="nil"/>
              <w:right w:val="nil"/>
            </w:tcBorders>
            <w:shd w:val="clear" w:color="auto" w:fill="auto"/>
          </w:tcPr>
          <w:p w14:paraId="67DE5EB1" w14:textId="77777777" w:rsidR="00D905BA" w:rsidRPr="00207DC2" w:rsidRDefault="009A4597" w:rsidP="00F90446">
            <w:pPr>
              <w:pStyle w:val="ListParagraph"/>
              <w:keepNext/>
              <w:numPr>
                <w:ilvl w:val="0"/>
                <w:numId w:val="15"/>
              </w:numPr>
              <w:spacing w:after="40" w:line="240" w:lineRule="auto"/>
              <w:ind w:left="505"/>
              <w:rPr>
                <w:rFonts w:cs="Calibri Light"/>
                <w:lang w:val="en-AU"/>
              </w:rPr>
            </w:pPr>
            <w:r w:rsidRPr="00207DC2">
              <w:rPr>
                <w:rFonts w:cs="Calibri Light"/>
                <w:lang w:val="en-AU"/>
              </w:rPr>
              <w:t>N</w:t>
            </w:r>
            <w:r w:rsidR="00D905BA" w:rsidRPr="00207DC2">
              <w:rPr>
                <w:rFonts w:cs="Calibri Light"/>
                <w:lang w:val="en-AU"/>
              </w:rPr>
              <w:t>umber</w:t>
            </w:r>
          </w:p>
        </w:tc>
        <w:tc>
          <w:tcPr>
            <w:tcW w:w="1134" w:type="dxa"/>
            <w:gridSpan w:val="2"/>
            <w:tcBorders>
              <w:top w:val="nil"/>
              <w:left w:val="nil"/>
              <w:right w:val="nil"/>
            </w:tcBorders>
            <w:shd w:val="clear" w:color="auto" w:fill="auto"/>
          </w:tcPr>
          <w:p w14:paraId="58E3A2FC"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4</w:t>
            </w:r>
          </w:p>
        </w:tc>
        <w:tc>
          <w:tcPr>
            <w:tcW w:w="996" w:type="dxa"/>
            <w:gridSpan w:val="2"/>
            <w:tcBorders>
              <w:top w:val="nil"/>
              <w:left w:val="nil"/>
              <w:right w:val="nil"/>
            </w:tcBorders>
            <w:shd w:val="clear" w:color="auto" w:fill="auto"/>
          </w:tcPr>
          <w:p w14:paraId="2FF092F6"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10</w:t>
            </w:r>
          </w:p>
        </w:tc>
        <w:tc>
          <w:tcPr>
            <w:tcW w:w="992" w:type="dxa"/>
            <w:tcBorders>
              <w:top w:val="nil"/>
              <w:left w:val="nil"/>
              <w:right w:val="nil"/>
            </w:tcBorders>
            <w:shd w:val="clear" w:color="auto" w:fill="auto"/>
          </w:tcPr>
          <w:p w14:paraId="3B42B30C"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6</w:t>
            </w:r>
          </w:p>
        </w:tc>
        <w:tc>
          <w:tcPr>
            <w:tcW w:w="1133" w:type="dxa"/>
            <w:tcBorders>
              <w:top w:val="nil"/>
              <w:left w:val="nil"/>
              <w:right w:val="nil"/>
            </w:tcBorders>
            <w:shd w:val="clear" w:color="auto" w:fill="auto"/>
          </w:tcPr>
          <w:p w14:paraId="08DB985F" w14:textId="77777777" w:rsidR="00D905BA" w:rsidRPr="00207DC2" w:rsidRDefault="001A46D6" w:rsidP="00FB626D">
            <w:pPr>
              <w:keepNext/>
              <w:spacing w:after="40" w:line="240" w:lineRule="auto"/>
              <w:contextualSpacing/>
              <w:jc w:val="right"/>
              <w:rPr>
                <w:rFonts w:cs="Calibri Light"/>
                <w:lang w:val="en-AU"/>
              </w:rPr>
            </w:pPr>
            <w:r w:rsidRPr="00207DC2">
              <w:rPr>
                <w:rFonts w:cs="Calibri Light"/>
                <w:lang w:val="en-AU"/>
              </w:rPr>
              <w:t>10</w:t>
            </w:r>
          </w:p>
        </w:tc>
        <w:tc>
          <w:tcPr>
            <w:tcW w:w="993" w:type="dxa"/>
            <w:tcBorders>
              <w:top w:val="nil"/>
              <w:left w:val="nil"/>
            </w:tcBorders>
            <w:shd w:val="clear" w:color="auto" w:fill="auto"/>
            <w:noWrap/>
          </w:tcPr>
          <w:p w14:paraId="6B713326"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16</w:t>
            </w:r>
          </w:p>
        </w:tc>
      </w:tr>
      <w:tr w:rsidR="00D905BA" w:rsidRPr="00207DC2" w14:paraId="75742579" w14:textId="77777777" w:rsidTr="00A57AA7">
        <w:trPr>
          <w:trHeight w:val="300"/>
        </w:trPr>
        <w:tc>
          <w:tcPr>
            <w:tcW w:w="3415" w:type="dxa"/>
            <w:tcBorders>
              <w:top w:val="nil"/>
              <w:right w:val="nil"/>
            </w:tcBorders>
            <w:shd w:val="clear" w:color="auto" w:fill="auto"/>
          </w:tcPr>
          <w:p w14:paraId="31F15D4E" w14:textId="77777777" w:rsidR="00D905BA" w:rsidRPr="00207DC2" w:rsidRDefault="00D905BA" w:rsidP="00F90446">
            <w:pPr>
              <w:pStyle w:val="ListParagraph"/>
              <w:keepNext/>
              <w:numPr>
                <w:ilvl w:val="0"/>
                <w:numId w:val="15"/>
              </w:numPr>
              <w:spacing w:after="40" w:line="240" w:lineRule="auto"/>
              <w:ind w:left="505"/>
              <w:rPr>
                <w:rFonts w:cs="Calibri Light"/>
                <w:lang w:val="en-AU"/>
              </w:rPr>
            </w:pPr>
            <w:r w:rsidRPr="00207DC2">
              <w:rPr>
                <w:rFonts w:cs="Calibri Light"/>
                <w:lang w:val="en-AU"/>
              </w:rPr>
              <w:t>Value of penalties applied</w:t>
            </w:r>
          </w:p>
        </w:tc>
        <w:tc>
          <w:tcPr>
            <w:tcW w:w="1134" w:type="dxa"/>
            <w:gridSpan w:val="2"/>
            <w:tcBorders>
              <w:top w:val="nil"/>
              <w:left w:val="nil"/>
              <w:right w:val="nil"/>
            </w:tcBorders>
            <w:shd w:val="clear" w:color="auto" w:fill="auto"/>
          </w:tcPr>
          <w:p w14:paraId="139539B4"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$525</w:t>
            </w:r>
          </w:p>
        </w:tc>
        <w:tc>
          <w:tcPr>
            <w:tcW w:w="996" w:type="dxa"/>
            <w:gridSpan w:val="2"/>
            <w:tcBorders>
              <w:top w:val="nil"/>
              <w:left w:val="nil"/>
              <w:right w:val="nil"/>
            </w:tcBorders>
            <w:shd w:val="clear" w:color="auto" w:fill="auto"/>
          </w:tcPr>
          <w:p w14:paraId="5ED362FD"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$644</w:t>
            </w:r>
          </w:p>
        </w:tc>
        <w:tc>
          <w:tcPr>
            <w:tcW w:w="992" w:type="dxa"/>
            <w:tcBorders>
              <w:top w:val="nil"/>
              <w:left w:val="nil"/>
              <w:right w:val="nil"/>
            </w:tcBorders>
            <w:shd w:val="clear" w:color="auto" w:fill="auto"/>
          </w:tcPr>
          <w:p w14:paraId="6E897161"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w:t>
            </w:r>
            <w:r w:rsidR="001A46D6" w:rsidRPr="00207DC2">
              <w:rPr>
                <w:rFonts w:cs="Calibri Light"/>
                <w:lang w:val="en-AU"/>
              </w:rPr>
              <w:t>335</w:t>
            </w:r>
          </w:p>
        </w:tc>
        <w:tc>
          <w:tcPr>
            <w:tcW w:w="1133" w:type="dxa"/>
            <w:tcBorders>
              <w:top w:val="nil"/>
              <w:left w:val="nil"/>
              <w:right w:val="nil"/>
            </w:tcBorders>
            <w:shd w:val="clear" w:color="auto" w:fill="auto"/>
          </w:tcPr>
          <w:p w14:paraId="29CF7E8A"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w:t>
            </w:r>
            <w:r w:rsidR="001A46D6" w:rsidRPr="00207DC2">
              <w:rPr>
                <w:rFonts w:cs="Calibri Light"/>
                <w:lang w:val="en-AU"/>
              </w:rPr>
              <w:t>581</w:t>
            </w:r>
          </w:p>
        </w:tc>
        <w:tc>
          <w:tcPr>
            <w:tcW w:w="993" w:type="dxa"/>
            <w:tcBorders>
              <w:top w:val="nil"/>
              <w:left w:val="nil"/>
            </w:tcBorders>
            <w:shd w:val="clear" w:color="auto" w:fill="auto"/>
            <w:noWrap/>
          </w:tcPr>
          <w:p w14:paraId="183647FB"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w:t>
            </w:r>
            <w:r w:rsidR="00D90ACD" w:rsidRPr="00207DC2">
              <w:rPr>
                <w:rFonts w:cs="Calibri Light"/>
                <w:lang w:val="en-AU"/>
              </w:rPr>
              <w:t>091</w:t>
            </w:r>
          </w:p>
        </w:tc>
      </w:tr>
      <w:tr w:rsidR="00D905BA" w:rsidRPr="00207DC2" w14:paraId="67EB591A" w14:textId="77777777" w:rsidTr="00A57AA7">
        <w:trPr>
          <w:trHeight w:val="300"/>
        </w:trPr>
        <w:tc>
          <w:tcPr>
            <w:tcW w:w="3415" w:type="dxa"/>
            <w:tcBorders>
              <w:top w:val="nil"/>
              <w:bottom w:val="dashSmallGap" w:sz="4" w:space="0" w:color="auto"/>
              <w:right w:val="nil"/>
            </w:tcBorders>
            <w:shd w:val="clear" w:color="auto" w:fill="auto"/>
          </w:tcPr>
          <w:p w14:paraId="03CE8321" w14:textId="2B37D8A7" w:rsidR="00D905BA" w:rsidRPr="00207DC2" w:rsidRDefault="00D905BA" w:rsidP="00F90446">
            <w:pPr>
              <w:pStyle w:val="ListParagraph"/>
              <w:keepNext/>
              <w:numPr>
                <w:ilvl w:val="0"/>
                <w:numId w:val="15"/>
              </w:numPr>
              <w:spacing w:after="40" w:line="240" w:lineRule="auto"/>
              <w:ind w:left="505"/>
              <w:rPr>
                <w:rFonts w:cs="Calibri Light"/>
                <w:lang w:val="en-AU"/>
              </w:rPr>
            </w:pPr>
            <w:r w:rsidRPr="00207DC2">
              <w:rPr>
                <w:rFonts w:cs="Calibri Light"/>
                <w:lang w:val="en-AU"/>
              </w:rPr>
              <w:t xml:space="preserve">As a share of total </w:t>
            </w:r>
            <w:r w:rsidR="00424DE6" w:rsidRPr="00207DC2">
              <w:rPr>
                <w:rFonts w:cs="Calibri Light"/>
                <w:lang w:val="en-AU"/>
              </w:rPr>
              <w:t>Australian G</w:t>
            </w:r>
            <w:r w:rsidR="00CF66E4" w:rsidRPr="00207DC2">
              <w:rPr>
                <w:rFonts w:cs="Calibri Light"/>
                <w:lang w:val="en-AU"/>
              </w:rPr>
              <w:t xml:space="preserve">overnment </w:t>
            </w:r>
            <w:r w:rsidRPr="00207DC2">
              <w:rPr>
                <w:rFonts w:cs="Calibri Light"/>
                <w:lang w:val="en-AU"/>
              </w:rPr>
              <w:t>payments</w:t>
            </w:r>
          </w:p>
        </w:tc>
        <w:tc>
          <w:tcPr>
            <w:tcW w:w="1134" w:type="dxa"/>
            <w:gridSpan w:val="2"/>
            <w:tcBorders>
              <w:top w:val="nil"/>
              <w:left w:val="nil"/>
              <w:bottom w:val="dashSmallGap" w:sz="4" w:space="0" w:color="auto"/>
              <w:right w:val="nil"/>
            </w:tcBorders>
            <w:shd w:val="clear" w:color="auto" w:fill="auto"/>
          </w:tcPr>
          <w:p w14:paraId="24893952" w14:textId="77777777" w:rsidR="00D905BA" w:rsidRPr="00207DC2" w:rsidRDefault="00E514C9" w:rsidP="00FB626D">
            <w:pPr>
              <w:keepNext/>
              <w:spacing w:after="40" w:line="240" w:lineRule="auto"/>
              <w:contextualSpacing/>
              <w:jc w:val="right"/>
              <w:rPr>
                <w:rFonts w:cs="Calibri Light"/>
                <w:lang w:val="en-AU"/>
              </w:rPr>
            </w:pPr>
            <w:r w:rsidRPr="00207DC2">
              <w:rPr>
                <w:rFonts w:cs="Calibri Light"/>
                <w:lang w:val="en-AU"/>
              </w:rPr>
              <w:t>4.9</w:t>
            </w:r>
            <w:r w:rsidR="00D905BA" w:rsidRPr="00207DC2">
              <w:rPr>
                <w:rFonts w:cs="Calibri Light"/>
                <w:lang w:val="en-AU"/>
              </w:rPr>
              <w:t>%</w:t>
            </w:r>
          </w:p>
        </w:tc>
        <w:tc>
          <w:tcPr>
            <w:tcW w:w="996" w:type="dxa"/>
            <w:gridSpan w:val="2"/>
            <w:tcBorders>
              <w:top w:val="nil"/>
              <w:left w:val="nil"/>
              <w:bottom w:val="dashSmallGap" w:sz="4" w:space="0" w:color="auto"/>
              <w:right w:val="nil"/>
            </w:tcBorders>
            <w:shd w:val="clear" w:color="auto" w:fill="auto"/>
          </w:tcPr>
          <w:p w14:paraId="3F68B856" w14:textId="77777777" w:rsidR="00D905BA" w:rsidRPr="00207DC2" w:rsidRDefault="00E514C9" w:rsidP="00FB626D">
            <w:pPr>
              <w:keepNext/>
              <w:spacing w:after="40" w:line="240" w:lineRule="auto"/>
              <w:contextualSpacing/>
              <w:jc w:val="right"/>
              <w:rPr>
                <w:rFonts w:cs="Calibri Light"/>
                <w:lang w:val="en-AU"/>
              </w:rPr>
            </w:pPr>
            <w:r w:rsidRPr="00207DC2">
              <w:rPr>
                <w:rFonts w:cs="Calibri Light"/>
                <w:lang w:val="en-AU"/>
              </w:rPr>
              <w:t>5</w:t>
            </w:r>
            <w:r w:rsidR="00D905BA" w:rsidRPr="00207DC2">
              <w:rPr>
                <w:rFonts w:cs="Calibri Light"/>
                <w:lang w:val="en-AU"/>
              </w:rPr>
              <w:t>.9%</w:t>
            </w:r>
          </w:p>
        </w:tc>
        <w:tc>
          <w:tcPr>
            <w:tcW w:w="992" w:type="dxa"/>
            <w:tcBorders>
              <w:top w:val="nil"/>
              <w:left w:val="nil"/>
              <w:bottom w:val="dashSmallGap" w:sz="4" w:space="0" w:color="auto"/>
              <w:right w:val="nil"/>
            </w:tcBorders>
            <w:shd w:val="clear" w:color="auto" w:fill="auto"/>
          </w:tcPr>
          <w:p w14:paraId="2F7481E7"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3.</w:t>
            </w:r>
            <w:r w:rsidR="00E514C9" w:rsidRPr="00207DC2">
              <w:rPr>
                <w:rFonts w:cs="Calibri Light"/>
                <w:lang w:val="en-AU"/>
              </w:rPr>
              <w:t>3</w:t>
            </w:r>
            <w:r w:rsidR="00D905BA" w:rsidRPr="00207DC2">
              <w:rPr>
                <w:rFonts w:cs="Calibri Light"/>
                <w:lang w:val="en-AU"/>
              </w:rPr>
              <w:t>%</w:t>
            </w:r>
          </w:p>
        </w:tc>
        <w:tc>
          <w:tcPr>
            <w:tcW w:w="1133" w:type="dxa"/>
            <w:tcBorders>
              <w:top w:val="nil"/>
              <w:left w:val="nil"/>
              <w:bottom w:val="dashSmallGap" w:sz="4" w:space="0" w:color="auto"/>
              <w:right w:val="nil"/>
            </w:tcBorders>
            <w:shd w:val="clear" w:color="auto" w:fill="auto"/>
          </w:tcPr>
          <w:p w14:paraId="23A83969"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5.</w:t>
            </w:r>
            <w:r w:rsidR="00E514C9" w:rsidRPr="00207DC2">
              <w:rPr>
                <w:rFonts w:cs="Calibri Light"/>
                <w:lang w:val="en-AU"/>
              </w:rPr>
              <w:t>1</w:t>
            </w:r>
            <w:r w:rsidRPr="00207DC2">
              <w:rPr>
                <w:rFonts w:cs="Calibri Light"/>
                <w:lang w:val="en-AU"/>
              </w:rPr>
              <w:t>%</w:t>
            </w:r>
          </w:p>
        </w:tc>
        <w:tc>
          <w:tcPr>
            <w:tcW w:w="993" w:type="dxa"/>
            <w:tcBorders>
              <w:top w:val="nil"/>
              <w:left w:val="nil"/>
              <w:bottom w:val="dashSmallGap" w:sz="4" w:space="0" w:color="auto"/>
            </w:tcBorders>
            <w:shd w:val="clear" w:color="auto" w:fill="auto"/>
            <w:noWrap/>
          </w:tcPr>
          <w:p w14:paraId="07AF375B" w14:textId="77777777" w:rsidR="00D905BA" w:rsidRPr="00207DC2" w:rsidRDefault="00E514C9" w:rsidP="00FB626D">
            <w:pPr>
              <w:keepNext/>
              <w:spacing w:after="40" w:line="240" w:lineRule="auto"/>
              <w:contextualSpacing/>
              <w:jc w:val="right"/>
              <w:rPr>
                <w:rFonts w:cs="Calibri Light"/>
                <w:lang w:val="en-AU"/>
              </w:rPr>
            </w:pPr>
            <w:r w:rsidRPr="00207DC2">
              <w:rPr>
                <w:rFonts w:cs="Calibri Light"/>
                <w:lang w:val="en-AU"/>
              </w:rPr>
              <w:t>10.2</w:t>
            </w:r>
            <w:r w:rsidR="00D905BA" w:rsidRPr="00207DC2">
              <w:rPr>
                <w:rFonts w:cs="Calibri Light"/>
                <w:lang w:val="en-AU"/>
              </w:rPr>
              <w:t>%</w:t>
            </w:r>
          </w:p>
        </w:tc>
      </w:tr>
      <w:tr w:rsidR="00485C71" w:rsidRPr="00207DC2" w14:paraId="268D7264" w14:textId="77777777" w:rsidTr="00A57AA7">
        <w:trPr>
          <w:trHeight w:val="300"/>
        </w:trPr>
        <w:tc>
          <w:tcPr>
            <w:tcW w:w="5545" w:type="dxa"/>
            <w:gridSpan w:val="5"/>
            <w:tcBorders>
              <w:top w:val="dashSmallGap" w:sz="4" w:space="0" w:color="auto"/>
              <w:right w:val="nil"/>
            </w:tcBorders>
            <w:shd w:val="clear" w:color="auto" w:fill="D0D2D3" w:themeFill="background2"/>
          </w:tcPr>
          <w:p w14:paraId="4AC61961" w14:textId="77777777" w:rsidR="00485C71" w:rsidRPr="00207DC2" w:rsidRDefault="00485C71" w:rsidP="00FB626D">
            <w:pPr>
              <w:pStyle w:val="Table"/>
              <w:spacing w:after="40" w:line="240" w:lineRule="auto"/>
              <w:contextualSpacing/>
              <w:rPr>
                <w:rFonts w:ascii="Calibri Light" w:hAnsi="Calibri Light" w:cs="Calibri Light"/>
              </w:rPr>
            </w:pPr>
            <w:r w:rsidRPr="00207DC2">
              <w:rPr>
                <w:rFonts w:ascii="Calibri Light" w:eastAsiaTheme="minorHAnsi" w:hAnsi="Calibri Light" w:cs="Calibri Light"/>
                <w:color w:val="323536" w:themeColor="background2" w:themeShade="40"/>
                <w:spacing w:val="20"/>
                <w:sz w:val="20"/>
                <w:szCs w:val="19"/>
                <w:lang w:eastAsia="ja-JP"/>
              </w:rPr>
              <w:t>Outcomes for CDP participants</w:t>
            </w:r>
            <w:r w:rsidR="0057637F" w:rsidRPr="00207DC2">
              <w:rPr>
                <w:rFonts w:ascii="Calibri Light" w:eastAsiaTheme="minorHAnsi" w:hAnsi="Calibri Light" w:cs="Calibri Light"/>
                <w:color w:val="323536" w:themeColor="background2" w:themeShade="40"/>
                <w:spacing w:val="20"/>
                <w:sz w:val="20"/>
                <w:szCs w:val="19"/>
                <w:lang w:eastAsia="ja-JP"/>
              </w:rPr>
              <w:t xml:space="preserve"> over the year</w:t>
            </w:r>
            <w:r w:rsidRPr="00207DC2">
              <w:rPr>
                <w:rFonts w:ascii="Calibri Light" w:eastAsiaTheme="minorHAnsi" w:hAnsi="Calibri Light" w:cs="Calibri Light"/>
                <w:color w:val="323536" w:themeColor="background2" w:themeShade="40"/>
                <w:spacing w:val="20"/>
                <w:sz w:val="20"/>
                <w:szCs w:val="19"/>
                <w:lang w:eastAsia="ja-JP"/>
              </w:rPr>
              <w:t>:</w:t>
            </w:r>
          </w:p>
        </w:tc>
        <w:tc>
          <w:tcPr>
            <w:tcW w:w="992" w:type="dxa"/>
            <w:tcBorders>
              <w:top w:val="dashSmallGap" w:sz="4" w:space="0" w:color="auto"/>
              <w:left w:val="nil"/>
              <w:right w:val="nil"/>
            </w:tcBorders>
            <w:shd w:val="clear" w:color="auto" w:fill="D0D2D3" w:themeFill="background2"/>
            <w:vAlign w:val="center"/>
          </w:tcPr>
          <w:p w14:paraId="2CC87D66" w14:textId="77777777" w:rsidR="00485C71" w:rsidRPr="00207DC2" w:rsidRDefault="00485C71" w:rsidP="00FB626D">
            <w:pPr>
              <w:pStyle w:val="Table"/>
              <w:spacing w:after="40" w:line="240" w:lineRule="auto"/>
              <w:contextualSpacing/>
              <w:rPr>
                <w:rFonts w:ascii="Calibri Light" w:hAnsi="Calibri Light" w:cs="Calibri Light"/>
              </w:rPr>
            </w:pPr>
          </w:p>
        </w:tc>
        <w:tc>
          <w:tcPr>
            <w:tcW w:w="1133" w:type="dxa"/>
            <w:tcBorders>
              <w:top w:val="dashSmallGap" w:sz="4" w:space="0" w:color="auto"/>
              <w:left w:val="nil"/>
              <w:right w:val="nil"/>
            </w:tcBorders>
            <w:shd w:val="clear" w:color="auto" w:fill="D0D2D3" w:themeFill="background2"/>
            <w:vAlign w:val="center"/>
          </w:tcPr>
          <w:p w14:paraId="227F7FC2" w14:textId="77777777" w:rsidR="00485C71" w:rsidRPr="00207DC2" w:rsidRDefault="00485C71" w:rsidP="00FB626D">
            <w:pPr>
              <w:pStyle w:val="Table"/>
              <w:spacing w:after="40" w:line="240" w:lineRule="auto"/>
              <w:contextualSpacing/>
              <w:rPr>
                <w:rFonts w:ascii="Calibri Light" w:hAnsi="Calibri Light" w:cs="Calibri Light"/>
              </w:rPr>
            </w:pPr>
          </w:p>
        </w:tc>
        <w:tc>
          <w:tcPr>
            <w:tcW w:w="993" w:type="dxa"/>
            <w:tcBorders>
              <w:top w:val="dashSmallGap" w:sz="4" w:space="0" w:color="auto"/>
              <w:left w:val="nil"/>
            </w:tcBorders>
            <w:shd w:val="clear" w:color="auto" w:fill="D0D2D3" w:themeFill="background2"/>
            <w:noWrap/>
            <w:vAlign w:val="center"/>
          </w:tcPr>
          <w:p w14:paraId="1054F6D1" w14:textId="77777777" w:rsidR="00485C71" w:rsidRPr="00207DC2" w:rsidRDefault="00485C71" w:rsidP="00FB626D">
            <w:pPr>
              <w:pStyle w:val="Table"/>
              <w:spacing w:after="40" w:line="240" w:lineRule="auto"/>
              <w:contextualSpacing/>
              <w:rPr>
                <w:rFonts w:ascii="Calibri Light" w:hAnsi="Calibri Light" w:cs="Calibri Light"/>
              </w:rPr>
            </w:pPr>
          </w:p>
        </w:tc>
      </w:tr>
      <w:tr w:rsidR="00D905BA" w:rsidRPr="00207DC2" w14:paraId="7BFAF637" w14:textId="77777777" w:rsidTr="00A57AA7">
        <w:trPr>
          <w:trHeight w:val="300"/>
        </w:trPr>
        <w:tc>
          <w:tcPr>
            <w:tcW w:w="3415" w:type="dxa"/>
            <w:tcBorders>
              <w:top w:val="nil"/>
              <w:right w:val="nil"/>
            </w:tcBorders>
            <w:shd w:val="clear" w:color="auto" w:fill="auto"/>
          </w:tcPr>
          <w:p w14:paraId="1B6A1E3A" w14:textId="77777777" w:rsidR="00D905BA" w:rsidRPr="00207DC2" w:rsidRDefault="00D905BA" w:rsidP="00FB626D">
            <w:pPr>
              <w:keepNext/>
              <w:spacing w:after="40" w:line="240" w:lineRule="auto"/>
              <w:contextualSpacing/>
              <w:rPr>
                <w:rFonts w:cs="Calibri Light"/>
                <w:lang w:val="en-AU"/>
              </w:rPr>
            </w:pPr>
            <w:r w:rsidRPr="00207DC2">
              <w:rPr>
                <w:rFonts w:cs="Calibri Light"/>
                <w:lang w:val="en-AU"/>
              </w:rPr>
              <w:t>Job placement</w:t>
            </w:r>
          </w:p>
        </w:tc>
        <w:tc>
          <w:tcPr>
            <w:tcW w:w="1134" w:type="dxa"/>
            <w:gridSpan w:val="2"/>
            <w:tcBorders>
              <w:top w:val="nil"/>
              <w:left w:val="nil"/>
              <w:right w:val="nil"/>
            </w:tcBorders>
            <w:shd w:val="clear" w:color="auto" w:fill="auto"/>
          </w:tcPr>
          <w:p w14:paraId="51165DE0" w14:textId="77777777" w:rsidR="00D905BA" w:rsidRPr="00207DC2" w:rsidRDefault="00DA26A5" w:rsidP="00FB626D">
            <w:pPr>
              <w:keepNext/>
              <w:spacing w:after="40" w:line="240" w:lineRule="auto"/>
              <w:contextualSpacing/>
              <w:jc w:val="right"/>
              <w:rPr>
                <w:rFonts w:cs="Calibri Light"/>
                <w:lang w:val="en-AU"/>
              </w:rPr>
            </w:pPr>
            <w:r w:rsidRPr="00207DC2">
              <w:rPr>
                <w:rFonts w:cs="Calibri Light"/>
                <w:lang w:val="en-AU"/>
              </w:rPr>
              <w:t>22%</w:t>
            </w:r>
          </w:p>
        </w:tc>
        <w:tc>
          <w:tcPr>
            <w:tcW w:w="996" w:type="dxa"/>
            <w:gridSpan w:val="2"/>
            <w:tcBorders>
              <w:top w:val="nil"/>
              <w:left w:val="nil"/>
              <w:right w:val="nil"/>
            </w:tcBorders>
            <w:shd w:val="clear" w:color="auto" w:fill="auto"/>
          </w:tcPr>
          <w:p w14:paraId="621C4D2A" w14:textId="77777777" w:rsidR="00D905BA" w:rsidRPr="00207DC2" w:rsidRDefault="00DA26A5" w:rsidP="00FB626D">
            <w:pPr>
              <w:keepNext/>
              <w:spacing w:after="40" w:line="240" w:lineRule="auto"/>
              <w:contextualSpacing/>
              <w:jc w:val="right"/>
              <w:rPr>
                <w:rFonts w:cs="Calibri Light"/>
                <w:lang w:val="en-AU"/>
              </w:rPr>
            </w:pPr>
            <w:r w:rsidRPr="00207DC2">
              <w:rPr>
                <w:rFonts w:cs="Calibri Light"/>
                <w:lang w:val="en-AU"/>
              </w:rPr>
              <w:t>26%</w:t>
            </w:r>
          </w:p>
        </w:tc>
        <w:tc>
          <w:tcPr>
            <w:tcW w:w="992" w:type="dxa"/>
            <w:tcBorders>
              <w:top w:val="nil"/>
              <w:left w:val="nil"/>
              <w:right w:val="nil"/>
            </w:tcBorders>
            <w:shd w:val="clear" w:color="auto" w:fill="auto"/>
          </w:tcPr>
          <w:p w14:paraId="72C92896" w14:textId="77777777" w:rsidR="00D905BA" w:rsidRPr="00207DC2" w:rsidRDefault="00DA26A5" w:rsidP="00FB626D">
            <w:pPr>
              <w:keepNext/>
              <w:spacing w:after="40" w:line="240" w:lineRule="auto"/>
              <w:contextualSpacing/>
              <w:jc w:val="right"/>
              <w:rPr>
                <w:rFonts w:cs="Calibri Light"/>
                <w:lang w:val="en-AU"/>
              </w:rPr>
            </w:pPr>
            <w:r w:rsidRPr="00207DC2">
              <w:rPr>
                <w:rFonts w:cs="Calibri Light"/>
                <w:lang w:val="en-AU"/>
              </w:rPr>
              <w:t>29%</w:t>
            </w:r>
          </w:p>
        </w:tc>
        <w:tc>
          <w:tcPr>
            <w:tcW w:w="1133" w:type="dxa"/>
            <w:tcBorders>
              <w:top w:val="nil"/>
              <w:left w:val="nil"/>
              <w:right w:val="nil"/>
            </w:tcBorders>
            <w:shd w:val="clear" w:color="auto" w:fill="auto"/>
          </w:tcPr>
          <w:p w14:paraId="2A26E4A6" w14:textId="77777777" w:rsidR="00D905BA" w:rsidRPr="00207DC2" w:rsidRDefault="00DA26A5" w:rsidP="00FB626D">
            <w:pPr>
              <w:keepNext/>
              <w:spacing w:after="40" w:line="240" w:lineRule="auto"/>
              <w:contextualSpacing/>
              <w:jc w:val="right"/>
              <w:rPr>
                <w:rFonts w:cs="Calibri Light"/>
                <w:lang w:val="en-AU"/>
              </w:rPr>
            </w:pPr>
            <w:r w:rsidRPr="00207DC2">
              <w:rPr>
                <w:rFonts w:cs="Calibri Light"/>
                <w:lang w:val="en-AU"/>
              </w:rPr>
              <w:t>27%</w:t>
            </w:r>
          </w:p>
        </w:tc>
        <w:tc>
          <w:tcPr>
            <w:tcW w:w="993" w:type="dxa"/>
            <w:tcBorders>
              <w:top w:val="nil"/>
              <w:left w:val="nil"/>
            </w:tcBorders>
            <w:shd w:val="clear" w:color="auto" w:fill="auto"/>
            <w:noWrap/>
          </w:tcPr>
          <w:p w14:paraId="311E8C59" w14:textId="77777777" w:rsidR="00D905BA" w:rsidRPr="00207DC2" w:rsidRDefault="00DA26A5" w:rsidP="00FB626D">
            <w:pPr>
              <w:keepNext/>
              <w:spacing w:after="40" w:line="240" w:lineRule="auto"/>
              <w:contextualSpacing/>
              <w:jc w:val="right"/>
              <w:rPr>
                <w:rFonts w:cs="Calibri Light"/>
                <w:lang w:val="en-AU"/>
              </w:rPr>
            </w:pPr>
            <w:r w:rsidRPr="00207DC2">
              <w:rPr>
                <w:rFonts w:cs="Calibri Light"/>
                <w:lang w:val="en-AU"/>
              </w:rPr>
              <w:t>21%</w:t>
            </w:r>
          </w:p>
        </w:tc>
      </w:tr>
      <w:tr w:rsidR="00D905BA" w:rsidRPr="00207DC2" w14:paraId="7FC4D931" w14:textId="77777777" w:rsidTr="00A57AA7">
        <w:trPr>
          <w:trHeight w:val="300"/>
        </w:trPr>
        <w:tc>
          <w:tcPr>
            <w:tcW w:w="3415" w:type="dxa"/>
            <w:tcBorders>
              <w:top w:val="nil"/>
              <w:right w:val="nil"/>
            </w:tcBorders>
            <w:shd w:val="clear" w:color="auto" w:fill="auto"/>
          </w:tcPr>
          <w:p w14:paraId="65C48B8C" w14:textId="346908F8" w:rsidR="00D905BA" w:rsidRPr="00207DC2" w:rsidRDefault="00D905BA" w:rsidP="00281CF6">
            <w:pPr>
              <w:keepNext/>
              <w:spacing w:after="40" w:line="240" w:lineRule="auto"/>
              <w:contextualSpacing/>
              <w:rPr>
                <w:rFonts w:cs="Calibri Light"/>
                <w:bCs/>
                <w:lang w:val="en-AU"/>
              </w:rPr>
            </w:pPr>
            <w:r w:rsidRPr="00207DC2">
              <w:rPr>
                <w:rFonts w:cs="Calibri Light"/>
                <w:lang w:val="en-AU"/>
              </w:rPr>
              <w:t>13</w:t>
            </w:r>
            <w:r w:rsidR="00281CF6">
              <w:rPr>
                <w:rFonts w:cs="Calibri Light"/>
                <w:lang w:val="en-AU"/>
              </w:rPr>
              <w:t>-</w:t>
            </w:r>
            <w:r w:rsidRPr="00207DC2">
              <w:rPr>
                <w:rFonts w:cs="Calibri Light"/>
                <w:lang w:val="en-AU"/>
              </w:rPr>
              <w:t>week employment outcome</w:t>
            </w:r>
          </w:p>
        </w:tc>
        <w:tc>
          <w:tcPr>
            <w:tcW w:w="1134" w:type="dxa"/>
            <w:gridSpan w:val="2"/>
            <w:tcBorders>
              <w:top w:val="nil"/>
              <w:left w:val="nil"/>
              <w:right w:val="nil"/>
            </w:tcBorders>
            <w:shd w:val="clear" w:color="auto" w:fill="auto"/>
          </w:tcPr>
          <w:p w14:paraId="402A6588"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10%</w:t>
            </w:r>
          </w:p>
        </w:tc>
        <w:tc>
          <w:tcPr>
            <w:tcW w:w="996" w:type="dxa"/>
            <w:gridSpan w:val="2"/>
            <w:tcBorders>
              <w:top w:val="nil"/>
              <w:left w:val="nil"/>
              <w:right w:val="nil"/>
            </w:tcBorders>
            <w:shd w:val="clear" w:color="auto" w:fill="auto"/>
          </w:tcPr>
          <w:p w14:paraId="3585ECEC"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11%</w:t>
            </w:r>
          </w:p>
        </w:tc>
        <w:tc>
          <w:tcPr>
            <w:tcW w:w="992" w:type="dxa"/>
            <w:tcBorders>
              <w:top w:val="nil"/>
              <w:left w:val="nil"/>
              <w:right w:val="nil"/>
            </w:tcBorders>
            <w:shd w:val="clear" w:color="auto" w:fill="auto"/>
          </w:tcPr>
          <w:p w14:paraId="6DDEDD64"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13</w:t>
            </w:r>
            <w:r w:rsidR="00D905BA" w:rsidRPr="00207DC2">
              <w:rPr>
                <w:rFonts w:cs="Calibri Light"/>
                <w:lang w:val="en-AU"/>
              </w:rPr>
              <w:t>%</w:t>
            </w:r>
          </w:p>
        </w:tc>
        <w:tc>
          <w:tcPr>
            <w:tcW w:w="1133" w:type="dxa"/>
            <w:tcBorders>
              <w:top w:val="nil"/>
              <w:left w:val="nil"/>
              <w:right w:val="nil"/>
            </w:tcBorders>
            <w:shd w:val="clear" w:color="auto" w:fill="auto"/>
          </w:tcPr>
          <w:p w14:paraId="19E0465B" w14:textId="77777777" w:rsidR="00D905BA" w:rsidRPr="00207DC2" w:rsidRDefault="001A46D6" w:rsidP="00FB626D">
            <w:pPr>
              <w:keepNext/>
              <w:spacing w:after="40" w:line="240" w:lineRule="auto"/>
              <w:contextualSpacing/>
              <w:jc w:val="right"/>
              <w:rPr>
                <w:rFonts w:cs="Calibri Light"/>
                <w:lang w:val="en-AU"/>
              </w:rPr>
            </w:pPr>
            <w:r w:rsidRPr="00207DC2">
              <w:rPr>
                <w:rFonts w:cs="Calibri Light"/>
                <w:lang w:val="en-AU"/>
              </w:rPr>
              <w:t>10</w:t>
            </w:r>
            <w:r w:rsidR="00D905BA" w:rsidRPr="00207DC2">
              <w:rPr>
                <w:rFonts w:cs="Calibri Light"/>
                <w:lang w:val="en-AU"/>
              </w:rPr>
              <w:t>%</w:t>
            </w:r>
          </w:p>
        </w:tc>
        <w:tc>
          <w:tcPr>
            <w:tcW w:w="993" w:type="dxa"/>
            <w:tcBorders>
              <w:top w:val="nil"/>
              <w:left w:val="nil"/>
            </w:tcBorders>
            <w:shd w:val="clear" w:color="auto" w:fill="auto"/>
            <w:noWrap/>
          </w:tcPr>
          <w:p w14:paraId="4BF7E2CE" w14:textId="77777777" w:rsidR="00D905BA" w:rsidRPr="00207DC2" w:rsidRDefault="00D90ACD" w:rsidP="00FB626D">
            <w:pPr>
              <w:keepNext/>
              <w:spacing w:after="40" w:line="240" w:lineRule="auto"/>
              <w:contextualSpacing/>
              <w:jc w:val="right"/>
              <w:rPr>
                <w:rFonts w:cs="Calibri Light"/>
                <w:lang w:val="en-AU"/>
              </w:rPr>
            </w:pPr>
            <w:r w:rsidRPr="00207DC2">
              <w:rPr>
                <w:rFonts w:cs="Calibri Light"/>
                <w:lang w:val="en-AU"/>
              </w:rPr>
              <w:t>8</w:t>
            </w:r>
            <w:r w:rsidR="00D905BA" w:rsidRPr="00207DC2">
              <w:rPr>
                <w:rFonts w:cs="Calibri Light"/>
                <w:lang w:val="en-AU"/>
              </w:rPr>
              <w:t>%</w:t>
            </w:r>
          </w:p>
        </w:tc>
      </w:tr>
      <w:tr w:rsidR="00D905BA" w:rsidRPr="00207DC2" w14:paraId="2CF4FCDE" w14:textId="77777777" w:rsidTr="00A57AA7">
        <w:trPr>
          <w:trHeight w:val="300"/>
        </w:trPr>
        <w:tc>
          <w:tcPr>
            <w:tcW w:w="3415" w:type="dxa"/>
            <w:tcBorders>
              <w:top w:val="nil"/>
              <w:right w:val="nil"/>
            </w:tcBorders>
            <w:shd w:val="clear" w:color="auto" w:fill="auto"/>
          </w:tcPr>
          <w:p w14:paraId="3DCD1D45" w14:textId="25340255" w:rsidR="00D905BA" w:rsidRPr="00207DC2" w:rsidRDefault="00D905BA" w:rsidP="00281CF6">
            <w:pPr>
              <w:keepNext/>
              <w:spacing w:after="40" w:line="240" w:lineRule="auto"/>
              <w:contextualSpacing/>
              <w:rPr>
                <w:rFonts w:cs="Calibri Light"/>
                <w:bCs/>
                <w:lang w:val="en-AU"/>
              </w:rPr>
            </w:pPr>
            <w:r w:rsidRPr="00207DC2">
              <w:rPr>
                <w:rFonts w:cs="Calibri Light"/>
                <w:lang w:val="en-AU"/>
              </w:rPr>
              <w:t>26</w:t>
            </w:r>
            <w:r w:rsidR="00281CF6">
              <w:rPr>
                <w:rFonts w:cs="Calibri Light"/>
                <w:lang w:val="en-AU"/>
              </w:rPr>
              <w:t>-</w:t>
            </w:r>
            <w:r w:rsidRPr="00207DC2">
              <w:rPr>
                <w:rFonts w:cs="Calibri Light"/>
                <w:lang w:val="en-AU"/>
              </w:rPr>
              <w:t>week employment outcome</w:t>
            </w:r>
          </w:p>
        </w:tc>
        <w:tc>
          <w:tcPr>
            <w:tcW w:w="1134" w:type="dxa"/>
            <w:gridSpan w:val="2"/>
            <w:tcBorders>
              <w:top w:val="nil"/>
              <w:left w:val="nil"/>
              <w:right w:val="nil"/>
            </w:tcBorders>
            <w:shd w:val="clear" w:color="auto" w:fill="auto"/>
          </w:tcPr>
          <w:p w14:paraId="00E8AC46"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w:t>
            </w:r>
          </w:p>
        </w:tc>
        <w:tc>
          <w:tcPr>
            <w:tcW w:w="996" w:type="dxa"/>
            <w:gridSpan w:val="2"/>
            <w:tcBorders>
              <w:top w:val="nil"/>
              <w:left w:val="nil"/>
              <w:right w:val="nil"/>
            </w:tcBorders>
            <w:shd w:val="clear" w:color="auto" w:fill="auto"/>
          </w:tcPr>
          <w:p w14:paraId="7925A27D"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7%</w:t>
            </w:r>
          </w:p>
        </w:tc>
        <w:tc>
          <w:tcPr>
            <w:tcW w:w="992" w:type="dxa"/>
            <w:tcBorders>
              <w:top w:val="nil"/>
              <w:left w:val="nil"/>
              <w:right w:val="nil"/>
            </w:tcBorders>
            <w:shd w:val="clear" w:color="auto" w:fill="auto"/>
          </w:tcPr>
          <w:p w14:paraId="33D783EE" w14:textId="77777777" w:rsidR="00D905BA" w:rsidRPr="00207DC2" w:rsidRDefault="00E55D57" w:rsidP="00FB626D">
            <w:pPr>
              <w:keepNext/>
              <w:spacing w:after="40" w:line="240" w:lineRule="auto"/>
              <w:contextualSpacing/>
              <w:jc w:val="right"/>
              <w:rPr>
                <w:rFonts w:cs="Calibri Light"/>
                <w:lang w:val="en-AU"/>
              </w:rPr>
            </w:pPr>
            <w:r w:rsidRPr="00207DC2">
              <w:rPr>
                <w:rFonts w:cs="Calibri Light"/>
                <w:lang w:val="en-AU"/>
              </w:rPr>
              <w:t>9</w:t>
            </w:r>
            <w:r w:rsidR="00D905BA" w:rsidRPr="00207DC2">
              <w:rPr>
                <w:rFonts w:cs="Calibri Light"/>
                <w:lang w:val="en-AU"/>
              </w:rPr>
              <w:t>%</w:t>
            </w:r>
          </w:p>
        </w:tc>
        <w:tc>
          <w:tcPr>
            <w:tcW w:w="1133" w:type="dxa"/>
            <w:tcBorders>
              <w:top w:val="nil"/>
              <w:left w:val="nil"/>
              <w:right w:val="nil"/>
            </w:tcBorders>
            <w:shd w:val="clear" w:color="auto" w:fill="auto"/>
          </w:tcPr>
          <w:p w14:paraId="6DED23D7"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6%</w:t>
            </w:r>
          </w:p>
        </w:tc>
        <w:tc>
          <w:tcPr>
            <w:tcW w:w="993" w:type="dxa"/>
            <w:tcBorders>
              <w:top w:val="nil"/>
              <w:left w:val="nil"/>
            </w:tcBorders>
            <w:shd w:val="clear" w:color="auto" w:fill="auto"/>
            <w:noWrap/>
          </w:tcPr>
          <w:p w14:paraId="3D84DBE7"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4%</w:t>
            </w:r>
          </w:p>
        </w:tc>
      </w:tr>
      <w:tr w:rsidR="00D905BA" w:rsidRPr="00207DC2" w14:paraId="05417DC1" w14:textId="77777777" w:rsidTr="00A57AA7">
        <w:trPr>
          <w:trHeight w:val="300"/>
        </w:trPr>
        <w:tc>
          <w:tcPr>
            <w:tcW w:w="3415" w:type="dxa"/>
            <w:tcBorders>
              <w:top w:val="nil"/>
              <w:right w:val="nil"/>
            </w:tcBorders>
            <w:shd w:val="clear" w:color="auto" w:fill="auto"/>
          </w:tcPr>
          <w:p w14:paraId="4D95A338" w14:textId="77777777" w:rsidR="00D905BA" w:rsidRPr="00207DC2" w:rsidRDefault="00D905BA" w:rsidP="00FB626D">
            <w:pPr>
              <w:keepNext/>
              <w:spacing w:after="40" w:line="240" w:lineRule="auto"/>
              <w:contextualSpacing/>
              <w:rPr>
                <w:rFonts w:cs="Calibri Light"/>
                <w:bCs/>
                <w:lang w:val="en-AU"/>
              </w:rPr>
            </w:pPr>
            <w:r w:rsidRPr="00207DC2">
              <w:rPr>
                <w:rFonts w:cs="Calibri Light"/>
                <w:i/>
                <w:lang w:val="en-AU"/>
              </w:rPr>
              <w:t>Total exits from the income support system:</w:t>
            </w:r>
          </w:p>
        </w:tc>
        <w:tc>
          <w:tcPr>
            <w:tcW w:w="1134" w:type="dxa"/>
            <w:gridSpan w:val="2"/>
            <w:tcBorders>
              <w:top w:val="nil"/>
              <w:left w:val="nil"/>
              <w:right w:val="nil"/>
            </w:tcBorders>
            <w:shd w:val="clear" w:color="auto" w:fill="auto"/>
          </w:tcPr>
          <w:p w14:paraId="00A37BA1" w14:textId="77777777" w:rsidR="00D905BA" w:rsidRPr="00207DC2" w:rsidRDefault="00085453" w:rsidP="00FB626D">
            <w:pPr>
              <w:keepNext/>
              <w:spacing w:after="40" w:line="240" w:lineRule="auto"/>
              <w:contextualSpacing/>
              <w:jc w:val="right"/>
              <w:rPr>
                <w:rFonts w:cs="Calibri Light"/>
                <w:lang w:val="en-AU"/>
              </w:rPr>
            </w:pPr>
            <w:r w:rsidRPr="00207DC2">
              <w:rPr>
                <w:rFonts w:cs="Calibri Light"/>
                <w:lang w:val="en-AU"/>
              </w:rPr>
              <w:t>37</w:t>
            </w:r>
            <w:r w:rsidR="00D905BA" w:rsidRPr="00207DC2">
              <w:rPr>
                <w:rFonts w:cs="Calibri Light"/>
                <w:lang w:val="en-AU"/>
              </w:rPr>
              <w:t>%</w:t>
            </w:r>
          </w:p>
        </w:tc>
        <w:tc>
          <w:tcPr>
            <w:tcW w:w="996" w:type="dxa"/>
            <w:gridSpan w:val="2"/>
            <w:tcBorders>
              <w:top w:val="nil"/>
              <w:left w:val="nil"/>
            </w:tcBorders>
            <w:shd w:val="clear" w:color="auto" w:fill="auto"/>
          </w:tcPr>
          <w:p w14:paraId="1ACA92A0"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45%</w:t>
            </w:r>
          </w:p>
        </w:tc>
        <w:tc>
          <w:tcPr>
            <w:tcW w:w="992" w:type="dxa"/>
            <w:tcBorders>
              <w:right w:val="nil"/>
            </w:tcBorders>
            <w:shd w:val="clear" w:color="auto" w:fill="auto"/>
          </w:tcPr>
          <w:p w14:paraId="6867D45F" w14:textId="77777777" w:rsidR="00D905BA" w:rsidRPr="00207DC2" w:rsidRDefault="00FB46CA" w:rsidP="00FB626D">
            <w:pPr>
              <w:keepNext/>
              <w:spacing w:after="40" w:line="240" w:lineRule="auto"/>
              <w:contextualSpacing/>
              <w:jc w:val="right"/>
              <w:rPr>
                <w:rFonts w:cs="Calibri Light"/>
                <w:lang w:val="en-AU"/>
              </w:rPr>
            </w:pPr>
            <w:r w:rsidRPr="00207DC2">
              <w:rPr>
                <w:rFonts w:cs="Calibri Light"/>
                <w:lang w:val="en-AU"/>
              </w:rPr>
              <w:t>45</w:t>
            </w:r>
            <w:r w:rsidR="00D905BA" w:rsidRPr="00207DC2">
              <w:rPr>
                <w:rFonts w:cs="Calibri Light"/>
                <w:lang w:val="en-AU"/>
              </w:rPr>
              <w:t>%</w:t>
            </w:r>
          </w:p>
        </w:tc>
        <w:tc>
          <w:tcPr>
            <w:tcW w:w="1133" w:type="dxa"/>
            <w:tcBorders>
              <w:left w:val="nil"/>
              <w:right w:val="nil"/>
            </w:tcBorders>
            <w:shd w:val="clear" w:color="auto" w:fill="auto"/>
          </w:tcPr>
          <w:p w14:paraId="724B3A74"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44%</w:t>
            </w:r>
          </w:p>
        </w:tc>
        <w:tc>
          <w:tcPr>
            <w:tcW w:w="993" w:type="dxa"/>
            <w:tcBorders>
              <w:left w:val="nil"/>
            </w:tcBorders>
            <w:shd w:val="clear" w:color="auto" w:fill="auto"/>
            <w:noWrap/>
          </w:tcPr>
          <w:p w14:paraId="4B0E78EA" w14:textId="77777777" w:rsidR="00D905BA" w:rsidRPr="00207DC2" w:rsidRDefault="00085453" w:rsidP="00FB626D">
            <w:pPr>
              <w:keepNext/>
              <w:spacing w:after="40" w:line="240" w:lineRule="auto"/>
              <w:contextualSpacing/>
              <w:jc w:val="right"/>
              <w:rPr>
                <w:rFonts w:cs="Calibri Light"/>
                <w:lang w:val="en-AU"/>
              </w:rPr>
            </w:pPr>
            <w:r w:rsidRPr="00207DC2">
              <w:rPr>
                <w:rFonts w:cs="Calibri Light"/>
                <w:lang w:val="en-AU"/>
              </w:rPr>
              <w:t>45</w:t>
            </w:r>
            <w:r w:rsidR="00D905BA" w:rsidRPr="00207DC2">
              <w:rPr>
                <w:rFonts w:cs="Calibri Light"/>
                <w:lang w:val="en-AU"/>
              </w:rPr>
              <w:t>%</w:t>
            </w:r>
          </w:p>
        </w:tc>
      </w:tr>
      <w:tr w:rsidR="00D905BA" w:rsidRPr="00207DC2" w14:paraId="3D06F170" w14:textId="77777777" w:rsidTr="00A57AA7">
        <w:trPr>
          <w:trHeight w:val="300"/>
        </w:trPr>
        <w:tc>
          <w:tcPr>
            <w:tcW w:w="3415" w:type="dxa"/>
            <w:tcBorders>
              <w:top w:val="nil"/>
              <w:right w:val="nil"/>
            </w:tcBorders>
            <w:shd w:val="clear" w:color="auto" w:fill="auto"/>
          </w:tcPr>
          <w:p w14:paraId="3C82194C" w14:textId="77777777" w:rsidR="00D905BA" w:rsidRPr="00207DC2" w:rsidRDefault="008C3A70" w:rsidP="00F90446">
            <w:pPr>
              <w:pStyle w:val="ListParagraph"/>
              <w:keepNext/>
              <w:numPr>
                <w:ilvl w:val="0"/>
                <w:numId w:val="15"/>
              </w:numPr>
              <w:spacing w:after="40" w:line="240" w:lineRule="auto"/>
              <w:ind w:left="505"/>
              <w:rPr>
                <w:rFonts w:cs="Calibri Light"/>
                <w:lang w:val="en-AU"/>
              </w:rPr>
            </w:pPr>
            <w:r w:rsidRPr="00207DC2">
              <w:rPr>
                <w:rFonts w:cs="Calibri Light"/>
                <w:lang w:val="en-AU"/>
              </w:rPr>
              <w:t>F</w:t>
            </w:r>
            <w:r w:rsidR="00D371C9" w:rsidRPr="00207DC2">
              <w:rPr>
                <w:rFonts w:cs="Calibri Light"/>
                <w:lang w:val="en-AU"/>
              </w:rPr>
              <w:t xml:space="preserve">ailed to </w:t>
            </w:r>
            <w:r w:rsidR="00DA3C1B" w:rsidRPr="00207DC2">
              <w:rPr>
                <w:rFonts w:cs="Calibri Light"/>
                <w:lang w:val="en-AU"/>
              </w:rPr>
              <w:t>re-</w:t>
            </w:r>
            <w:r w:rsidR="00051A53" w:rsidRPr="00207DC2">
              <w:rPr>
                <w:rFonts w:cs="Calibri Light"/>
                <w:lang w:val="en-AU"/>
              </w:rPr>
              <w:t>engage</w:t>
            </w:r>
            <w:r w:rsidR="00051A53" w:rsidRPr="00207DC2">
              <w:rPr>
                <w:rFonts w:cs="Calibri Light"/>
                <w:b/>
                <w:bCs/>
                <w:sz w:val="24"/>
                <w:szCs w:val="24"/>
                <w:vertAlign w:val="superscript"/>
                <w:lang w:val="en-AU"/>
              </w:rPr>
              <w:t>b</w:t>
            </w:r>
          </w:p>
        </w:tc>
        <w:tc>
          <w:tcPr>
            <w:tcW w:w="1134" w:type="dxa"/>
            <w:gridSpan w:val="2"/>
            <w:tcBorders>
              <w:top w:val="nil"/>
              <w:left w:val="nil"/>
              <w:right w:val="nil"/>
            </w:tcBorders>
            <w:shd w:val="clear" w:color="auto" w:fill="auto"/>
          </w:tcPr>
          <w:p w14:paraId="66115DB0"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25%</w:t>
            </w:r>
          </w:p>
        </w:tc>
        <w:tc>
          <w:tcPr>
            <w:tcW w:w="996" w:type="dxa"/>
            <w:gridSpan w:val="2"/>
            <w:tcBorders>
              <w:top w:val="nil"/>
              <w:left w:val="nil"/>
            </w:tcBorders>
            <w:shd w:val="clear" w:color="auto" w:fill="auto"/>
          </w:tcPr>
          <w:p w14:paraId="4344040D"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32%</w:t>
            </w:r>
          </w:p>
        </w:tc>
        <w:tc>
          <w:tcPr>
            <w:tcW w:w="992" w:type="dxa"/>
            <w:tcBorders>
              <w:top w:val="nil"/>
              <w:right w:val="nil"/>
            </w:tcBorders>
            <w:shd w:val="clear" w:color="auto" w:fill="auto"/>
          </w:tcPr>
          <w:p w14:paraId="235C3BC5" w14:textId="77777777" w:rsidR="00D905BA" w:rsidRPr="00207DC2" w:rsidRDefault="00E55D57" w:rsidP="00FB626D">
            <w:pPr>
              <w:keepNext/>
              <w:spacing w:after="40" w:line="240" w:lineRule="auto"/>
              <w:contextualSpacing/>
              <w:jc w:val="right"/>
              <w:rPr>
                <w:rFonts w:cs="Calibri Light"/>
                <w:highlight w:val="yellow"/>
                <w:lang w:val="en-AU"/>
              </w:rPr>
            </w:pPr>
            <w:r w:rsidRPr="00207DC2">
              <w:rPr>
                <w:rFonts w:cs="Calibri Light"/>
                <w:lang w:val="en-AU"/>
              </w:rPr>
              <w:t>32</w:t>
            </w:r>
            <w:r w:rsidR="00D905BA" w:rsidRPr="00207DC2">
              <w:rPr>
                <w:rFonts w:cs="Calibri Light"/>
                <w:lang w:val="en-AU"/>
              </w:rPr>
              <w:t>%</w:t>
            </w:r>
          </w:p>
        </w:tc>
        <w:tc>
          <w:tcPr>
            <w:tcW w:w="1133" w:type="dxa"/>
            <w:tcBorders>
              <w:top w:val="nil"/>
              <w:left w:val="nil"/>
              <w:right w:val="nil"/>
            </w:tcBorders>
            <w:shd w:val="clear" w:color="auto" w:fill="auto"/>
          </w:tcPr>
          <w:p w14:paraId="246DAE43" w14:textId="77777777" w:rsidR="00D905BA" w:rsidRPr="00207DC2" w:rsidRDefault="00D905BA" w:rsidP="00FB626D">
            <w:pPr>
              <w:keepNext/>
              <w:spacing w:after="40" w:line="240" w:lineRule="auto"/>
              <w:contextualSpacing/>
              <w:jc w:val="right"/>
              <w:rPr>
                <w:rFonts w:cs="Calibri Light"/>
                <w:highlight w:val="yellow"/>
                <w:lang w:val="en-AU"/>
              </w:rPr>
            </w:pPr>
            <w:r w:rsidRPr="00207DC2">
              <w:rPr>
                <w:rFonts w:cs="Calibri Light"/>
                <w:lang w:val="en-AU"/>
              </w:rPr>
              <w:t>32%</w:t>
            </w:r>
          </w:p>
        </w:tc>
        <w:tc>
          <w:tcPr>
            <w:tcW w:w="993" w:type="dxa"/>
            <w:tcBorders>
              <w:top w:val="nil"/>
              <w:left w:val="nil"/>
            </w:tcBorders>
            <w:shd w:val="clear" w:color="auto" w:fill="auto"/>
            <w:noWrap/>
          </w:tcPr>
          <w:p w14:paraId="1EC314F0" w14:textId="77777777" w:rsidR="00D905BA" w:rsidRPr="00207DC2" w:rsidRDefault="00A4081F" w:rsidP="00FB626D">
            <w:pPr>
              <w:keepNext/>
              <w:spacing w:after="40" w:line="240" w:lineRule="auto"/>
              <w:contextualSpacing/>
              <w:jc w:val="right"/>
              <w:rPr>
                <w:rFonts w:cs="Calibri Light"/>
                <w:highlight w:val="yellow"/>
                <w:lang w:val="en-AU"/>
              </w:rPr>
            </w:pPr>
            <w:r w:rsidRPr="00207DC2">
              <w:rPr>
                <w:rFonts w:cs="Calibri Light"/>
                <w:lang w:val="en-AU"/>
              </w:rPr>
              <w:t>33</w:t>
            </w:r>
            <w:r w:rsidR="00D905BA" w:rsidRPr="00207DC2">
              <w:rPr>
                <w:rFonts w:cs="Calibri Light"/>
                <w:lang w:val="en-AU"/>
              </w:rPr>
              <w:t>%</w:t>
            </w:r>
          </w:p>
        </w:tc>
      </w:tr>
      <w:tr w:rsidR="00D905BA" w:rsidRPr="00207DC2" w14:paraId="676C3581" w14:textId="77777777" w:rsidTr="00A57AA7">
        <w:trPr>
          <w:trHeight w:val="300"/>
        </w:trPr>
        <w:tc>
          <w:tcPr>
            <w:tcW w:w="3415" w:type="dxa"/>
            <w:tcBorders>
              <w:top w:val="nil"/>
              <w:right w:val="nil"/>
            </w:tcBorders>
            <w:shd w:val="clear" w:color="auto" w:fill="auto"/>
          </w:tcPr>
          <w:p w14:paraId="4E691CA5" w14:textId="77777777" w:rsidR="00D905BA" w:rsidRPr="00207DC2" w:rsidRDefault="00D905BA" w:rsidP="00F90446">
            <w:pPr>
              <w:pStyle w:val="ListParagraph"/>
              <w:keepNext/>
              <w:numPr>
                <w:ilvl w:val="0"/>
                <w:numId w:val="15"/>
              </w:numPr>
              <w:spacing w:after="40" w:line="240" w:lineRule="auto"/>
              <w:ind w:left="505"/>
              <w:rPr>
                <w:rFonts w:cs="Calibri Light"/>
                <w:lang w:val="en-AU"/>
              </w:rPr>
            </w:pPr>
            <w:r w:rsidRPr="00207DC2">
              <w:rPr>
                <w:rFonts w:cs="Calibri Light"/>
                <w:lang w:val="en-AU"/>
              </w:rPr>
              <w:t>Obtain</w:t>
            </w:r>
            <w:r w:rsidR="00247B1C" w:rsidRPr="00207DC2">
              <w:rPr>
                <w:rFonts w:cs="Calibri Light"/>
                <w:lang w:val="en-AU"/>
              </w:rPr>
              <w:t>ed</w:t>
            </w:r>
            <w:r w:rsidRPr="00207DC2">
              <w:rPr>
                <w:rFonts w:cs="Calibri Light"/>
                <w:lang w:val="en-AU"/>
              </w:rPr>
              <w:t xml:space="preserve"> employment </w:t>
            </w:r>
          </w:p>
        </w:tc>
        <w:tc>
          <w:tcPr>
            <w:tcW w:w="1134" w:type="dxa"/>
            <w:gridSpan w:val="2"/>
            <w:tcBorders>
              <w:top w:val="nil"/>
              <w:left w:val="nil"/>
              <w:right w:val="nil"/>
            </w:tcBorders>
            <w:shd w:val="clear" w:color="auto" w:fill="auto"/>
          </w:tcPr>
          <w:p w14:paraId="317CC04E"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w:t>
            </w:r>
          </w:p>
        </w:tc>
        <w:tc>
          <w:tcPr>
            <w:tcW w:w="996" w:type="dxa"/>
            <w:gridSpan w:val="2"/>
            <w:tcBorders>
              <w:top w:val="nil"/>
              <w:left w:val="nil"/>
            </w:tcBorders>
            <w:shd w:val="clear" w:color="auto" w:fill="auto"/>
          </w:tcPr>
          <w:p w14:paraId="19EA4C6D"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1%</w:t>
            </w:r>
          </w:p>
        </w:tc>
        <w:tc>
          <w:tcPr>
            <w:tcW w:w="992" w:type="dxa"/>
            <w:tcBorders>
              <w:top w:val="nil"/>
              <w:right w:val="nil"/>
            </w:tcBorders>
            <w:shd w:val="clear" w:color="auto" w:fill="auto"/>
          </w:tcPr>
          <w:p w14:paraId="4C82AE24" w14:textId="77777777" w:rsidR="00D905BA" w:rsidRPr="00207DC2" w:rsidRDefault="00C22B99" w:rsidP="00FB626D">
            <w:pPr>
              <w:keepNext/>
              <w:spacing w:after="40" w:line="240" w:lineRule="auto"/>
              <w:contextualSpacing/>
              <w:jc w:val="right"/>
              <w:rPr>
                <w:rFonts w:cs="Calibri Light"/>
                <w:highlight w:val="yellow"/>
                <w:lang w:val="en-AU"/>
              </w:rPr>
            </w:pPr>
            <w:r w:rsidRPr="00207DC2">
              <w:rPr>
                <w:rFonts w:cs="Calibri Light"/>
                <w:lang w:val="en-AU"/>
              </w:rPr>
              <w:t>2</w:t>
            </w:r>
            <w:r w:rsidR="00D905BA" w:rsidRPr="00207DC2">
              <w:rPr>
                <w:rFonts w:cs="Calibri Light"/>
                <w:lang w:val="en-AU"/>
              </w:rPr>
              <w:t>%</w:t>
            </w:r>
          </w:p>
        </w:tc>
        <w:tc>
          <w:tcPr>
            <w:tcW w:w="1133" w:type="dxa"/>
            <w:tcBorders>
              <w:top w:val="nil"/>
              <w:left w:val="nil"/>
              <w:right w:val="nil"/>
            </w:tcBorders>
            <w:shd w:val="clear" w:color="auto" w:fill="auto"/>
          </w:tcPr>
          <w:p w14:paraId="4C5F6BED" w14:textId="77777777" w:rsidR="00D905BA" w:rsidRPr="00207DC2" w:rsidRDefault="00D905BA" w:rsidP="00FB626D">
            <w:pPr>
              <w:keepNext/>
              <w:spacing w:after="40" w:line="240" w:lineRule="auto"/>
              <w:contextualSpacing/>
              <w:jc w:val="right"/>
              <w:rPr>
                <w:rFonts w:cs="Calibri Light"/>
                <w:highlight w:val="yellow"/>
                <w:lang w:val="en-AU"/>
              </w:rPr>
            </w:pPr>
            <w:r w:rsidRPr="00207DC2">
              <w:rPr>
                <w:rFonts w:cs="Calibri Light"/>
                <w:lang w:val="en-AU"/>
              </w:rPr>
              <w:t>1%</w:t>
            </w:r>
          </w:p>
        </w:tc>
        <w:tc>
          <w:tcPr>
            <w:tcW w:w="993" w:type="dxa"/>
            <w:tcBorders>
              <w:top w:val="nil"/>
              <w:left w:val="nil"/>
            </w:tcBorders>
            <w:shd w:val="clear" w:color="auto" w:fill="auto"/>
            <w:noWrap/>
          </w:tcPr>
          <w:p w14:paraId="03BC3C91" w14:textId="77777777" w:rsidR="00D905BA" w:rsidRPr="00207DC2" w:rsidRDefault="00D905BA" w:rsidP="00FB626D">
            <w:pPr>
              <w:keepNext/>
              <w:spacing w:after="40" w:line="240" w:lineRule="auto"/>
              <w:contextualSpacing/>
              <w:jc w:val="right"/>
              <w:rPr>
                <w:rFonts w:cs="Calibri Light"/>
                <w:highlight w:val="yellow"/>
                <w:lang w:val="en-AU"/>
              </w:rPr>
            </w:pPr>
            <w:r w:rsidRPr="00207DC2">
              <w:rPr>
                <w:rFonts w:cs="Calibri Light"/>
                <w:lang w:val="en-AU"/>
              </w:rPr>
              <w:t>1%</w:t>
            </w:r>
          </w:p>
        </w:tc>
      </w:tr>
      <w:tr w:rsidR="00D905BA" w:rsidRPr="00207DC2" w14:paraId="607725FC" w14:textId="77777777" w:rsidTr="00A57AA7">
        <w:trPr>
          <w:trHeight w:val="300"/>
        </w:trPr>
        <w:tc>
          <w:tcPr>
            <w:tcW w:w="3415" w:type="dxa"/>
            <w:tcBorders>
              <w:top w:val="nil"/>
              <w:right w:val="nil"/>
            </w:tcBorders>
            <w:shd w:val="clear" w:color="auto" w:fill="auto"/>
          </w:tcPr>
          <w:p w14:paraId="3D4D83DC" w14:textId="77777777" w:rsidR="00D905BA" w:rsidRPr="00207DC2" w:rsidRDefault="00D905BA" w:rsidP="00F90446">
            <w:pPr>
              <w:pStyle w:val="ListParagraph"/>
              <w:keepNext/>
              <w:numPr>
                <w:ilvl w:val="0"/>
                <w:numId w:val="15"/>
              </w:numPr>
              <w:spacing w:after="40" w:line="240" w:lineRule="auto"/>
              <w:ind w:left="505"/>
              <w:rPr>
                <w:rFonts w:cs="Calibri Light"/>
                <w:lang w:val="en-AU"/>
              </w:rPr>
            </w:pPr>
            <w:r w:rsidRPr="00207DC2">
              <w:rPr>
                <w:rFonts w:cs="Calibri Light"/>
                <w:lang w:val="en-AU"/>
              </w:rPr>
              <w:t>Went to prison</w:t>
            </w:r>
          </w:p>
        </w:tc>
        <w:tc>
          <w:tcPr>
            <w:tcW w:w="1134" w:type="dxa"/>
            <w:gridSpan w:val="2"/>
            <w:tcBorders>
              <w:top w:val="nil"/>
              <w:left w:val="nil"/>
              <w:right w:val="nil"/>
            </w:tcBorders>
            <w:shd w:val="clear" w:color="auto" w:fill="auto"/>
          </w:tcPr>
          <w:p w14:paraId="61C85B46" w14:textId="77777777" w:rsidR="00D905BA" w:rsidRPr="00207DC2" w:rsidRDefault="00D905BA" w:rsidP="00FB626D">
            <w:pPr>
              <w:keepNext/>
              <w:spacing w:after="40" w:line="240" w:lineRule="auto"/>
              <w:contextualSpacing/>
              <w:jc w:val="right"/>
              <w:rPr>
                <w:rFonts w:cs="Calibri Light"/>
                <w:lang w:val="en-AU"/>
              </w:rPr>
            </w:pPr>
            <w:r w:rsidRPr="00207DC2">
              <w:rPr>
                <w:rFonts w:cs="Calibri Light"/>
                <w:lang w:val="en-AU"/>
              </w:rPr>
              <w:t>3%</w:t>
            </w:r>
          </w:p>
        </w:tc>
        <w:tc>
          <w:tcPr>
            <w:tcW w:w="996" w:type="dxa"/>
            <w:gridSpan w:val="2"/>
            <w:tcBorders>
              <w:top w:val="nil"/>
              <w:left w:val="nil"/>
            </w:tcBorders>
            <w:shd w:val="clear" w:color="auto" w:fill="auto"/>
          </w:tcPr>
          <w:p w14:paraId="5E6269CA" w14:textId="77777777" w:rsidR="00D905BA" w:rsidRPr="00207DC2" w:rsidRDefault="009C48CD" w:rsidP="00FB626D">
            <w:pPr>
              <w:keepNext/>
              <w:spacing w:after="40" w:line="240" w:lineRule="auto"/>
              <w:contextualSpacing/>
              <w:jc w:val="right"/>
              <w:rPr>
                <w:rFonts w:cs="Calibri Light"/>
                <w:lang w:val="en-AU"/>
              </w:rPr>
            </w:pPr>
            <w:r w:rsidRPr="00207DC2">
              <w:rPr>
                <w:rFonts w:cs="Calibri Light"/>
                <w:lang w:val="en-AU"/>
              </w:rPr>
              <w:t>3</w:t>
            </w:r>
            <w:r w:rsidR="00D905BA" w:rsidRPr="00207DC2">
              <w:rPr>
                <w:rFonts w:cs="Calibri Light"/>
                <w:lang w:val="en-AU"/>
              </w:rPr>
              <w:t>%</w:t>
            </w:r>
          </w:p>
        </w:tc>
        <w:tc>
          <w:tcPr>
            <w:tcW w:w="992" w:type="dxa"/>
            <w:tcBorders>
              <w:top w:val="nil"/>
              <w:right w:val="nil"/>
            </w:tcBorders>
            <w:shd w:val="clear" w:color="auto" w:fill="auto"/>
          </w:tcPr>
          <w:p w14:paraId="008150AA" w14:textId="77777777" w:rsidR="00D905BA" w:rsidRPr="00207DC2" w:rsidRDefault="00C22B99" w:rsidP="00FB626D">
            <w:pPr>
              <w:keepNext/>
              <w:spacing w:after="40" w:line="240" w:lineRule="auto"/>
              <w:contextualSpacing/>
              <w:jc w:val="right"/>
              <w:rPr>
                <w:rFonts w:cs="Calibri Light"/>
                <w:highlight w:val="yellow"/>
                <w:lang w:val="en-AU"/>
              </w:rPr>
            </w:pPr>
            <w:r w:rsidRPr="00207DC2">
              <w:rPr>
                <w:rFonts w:cs="Calibri Light"/>
                <w:lang w:val="en-AU"/>
              </w:rPr>
              <w:t>3</w:t>
            </w:r>
            <w:r w:rsidR="00D905BA" w:rsidRPr="00207DC2">
              <w:rPr>
                <w:rFonts w:cs="Calibri Light"/>
                <w:lang w:val="en-AU"/>
              </w:rPr>
              <w:t>%</w:t>
            </w:r>
          </w:p>
        </w:tc>
        <w:tc>
          <w:tcPr>
            <w:tcW w:w="1133" w:type="dxa"/>
            <w:tcBorders>
              <w:top w:val="nil"/>
              <w:left w:val="nil"/>
              <w:right w:val="nil"/>
            </w:tcBorders>
            <w:shd w:val="clear" w:color="auto" w:fill="auto"/>
          </w:tcPr>
          <w:p w14:paraId="7C003AE8" w14:textId="77777777" w:rsidR="00D905BA" w:rsidRPr="00207DC2" w:rsidRDefault="00C22B99" w:rsidP="00FB626D">
            <w:pPr>
              <w:keepNext/>
              <w:spacing w:after="40" w:line="240" w:lineRule="auto"/>
              <w:contextualSpacing/>
              <w:jc w:val="right"/>
              <w:rPr>
                <w:rFonts w:cs="Calibri Light"/>
                <w:highlight w:val="yellow"/>
                <w:lang w:val="en-AU"/>
              </w:rPr>
            </w:pPr>
            <w:r w:rsidRPr="00207DC2">
              <w:rPr>
                <w:rFonts w:cs="Calibri Light"/>
                <w:lang w:val="en-AU"/>
              </w:rPr>
              <w:t>4</w:t>
            </w:r>
            <w:r w:rsidR="00D905BA" w:rsidRPr="00207DC2">
              <w:rPr>
                <w:rFonts w:cs="Calibri Light"/>
                <w:lang w:val="en-AU"/>
              </w:rPr>
              <w:t>%</w:t>
            </w:r>
          </w:p>
        </w:tc>
        <w:tc>
          <w:tcPr>
            <w:tcW w:w="993" w:type="dxa"/>
            <w:tcBorders>
              <w:top w:val="nil"/>
              <w:left w:val="nil"/>
            </w:tcBorders>
            <w:shd w:val="clear" w:color="auto" w:fill="auto"/>
            <w:noWrap/>
          </w:tcPr>
          <w:p w14:paraId="2FE0DC7B" w14:textId="77777777" w:rsidR="00D905BA" w:rsidRPr="00207DC2" w:rsidRDefault="00C22B99" w:rsidP="00FB626D">
            <w:pPr>
              <w:keepNext/>
              <w:spacing w:after="40" w:line="240" w:lineRule="auto"/>
              <w:contextualSpacing/>
              <w:jc w:val="right"/>
              <w:rPr>
                <w:rFonts w:cs="Calibri Light"/>
                <w:highlight w:val="yellow"/>
                <w:lang w:val="en-AU"/>
              </w:rPr>
            </w:pPr>
            <w:r w:rsidRPr="00207DC2">
              <w:rPr>
                <w:rFonts w:cs="Calibri Light"/>
                <w:lang w:val="en-AU"/>
              </w:rPr>
              <w:t>3</w:t>
            </w:r>
            <w:r w:rsidR="00D905BA" w:rsidRPr="00207DC2">
              <w:rPr>
                <w:rFonts w:cs="Calibri Light"/>
                <w:lang w:val="en-AU"/>
              </w:rPr>
              <w:t>%</w:t>
            </w:r>
          </w:p>
        </w:tc>
      </w:tr>
      <w:tr w:rsidR="00D905BA" w:rsidRPr="00207DC2" w14:paraId="52523535" w14:textId="77777777" w:rsidTr="00A57AA7">
        <w:trPr>
          <w:trHeight w:val="300"/>
        </w:trPr>
        <w:tc>
          <w:tcPr>
            <w:tcW w:w="3415" w:type="dxa"/>
            <w:tcBorders>
              <w:top w:val="nil"/>
              <w:bottom w:val="single" w:sz="4" w:space="0" w:color="auto"/>
              <w:right w:val="nil"/>
            </w:tcBorders>
            <w:shd w:val="clear" w:color="auto" w:fill="auto"/>
          </w:tcPr>
          <w:p w14:paraId="55F92371" w14:textId="77777777" w:rsidR="00D905BA" w:rsidRPr="00207DC2" w:rsidRDefault="00D905BA" w:rsidP="00F90446">
            <w:pPr>
              <w:pStyle w:val="ListParagraph"/>
              <w:keepNext/>
              <w:numPr>
                <w:ilvl w:val="0"/>
                <w:numId w:val="15"/>
              </w:numPr>
              <w:spacing w:after="40" w:line="240" w:lineRule="auto"/>
              <w:ind w:left="505"/>
              <w:rPr>
                <w:rFonts w:cs="Calibri Light"/>
                <w:lang w:val="en-AU"/>
              </w:rPr>
            </w:pPr>
            <w:r w:rsidRPr="00207DC2">
              <w:rPr>
                <w:rFonts w:cs="Calibri Light"/>
                <w:lang w:val="en-AU"/>
              </w:rPr>
              <w:t>Other reasons</w:t>
            </w:r>
            <w:r w:rsidR="00051A53" w:rsidRPr="00207DC2">
              <w:rPr>
                <w:rFonts w:cs="Calibri Light"/>
                <w:b/>
                <w:bCs/>
                <w:sz w:val="24"/>
                <w:szCs w:val="24"/>
                <w:vertAlign w:val="superscript"/>
                <w:lang w:val="en-AU"/>
              </w:rPr>
              <w:t>c</w:t>
            </w:r>
          </w:p>
        </w:tc>
        <w:tc>
          <w:tcPr>
            <w:tcW w:w="1134" w:type="dxa"/>
            <w:gridSpan w:val="2"/>
            <w:tcBorders>
              <w:top w:val="nil"/>
              <w:left w:val="nil"/>
              <w:bottom w:val="single" w:sz="4" w:space="0" w:color="auto"/>
              <w:right w:val="nil"/>
            </w:tcBorders>
            <w:shd w:val="clear" w:color="auto" w:fill="auto"/>
          </w:tcPr>
          <w:p w14:paraId="51D1794C" w14:textId="77777777" w:rsidR="00D905BA" w:rsidRPr="00207DC2" w:rsidRDefault="00C22B99" w:rsidP="00FB626D">
            <w:pPr>
              <w:keepNext/>
              <w:spacing w:after="40" w:line="240" w:lineRule="auto"/>
              <w:contextualSpacing/>
              <w:jc w:val="right"/>
              <w:rPr>
                <w:rFonts w:cs="Calibri Light"/>
                <w:b/>
                <w:lang w:val="en-AU"/>
              </w:rPr>
            </w:pPr>
            <w:r w:rsidRPr="00207DC2">
              <w:rPr>
                <w:rFonts w:cs="Calibri Light"/>
                <w:lang w:val="en-AU"/>
              </w:rPr>
              <w:t>7</w:t>
            </w:r>
            <w:r w:rsidR="00D905BA" w:rsidRPr="00207DC2">
              <w:rPr>
                <w:rFonts w:cs="Calibri Light"/>
                <w:lang w:val="en-AU"/>
              </w:rPr>
              <w:t>%</w:t>
            </w:r>
          </w:p>
        </w:tc>
        <w:tc>
          <w:tcPr>
            <w:tcW w:w="996" w:type="dxa"/>
            <w:gridSpan w:val="2"/>
            <w:tcBorders>
              <w:top w:val="nil"/>
              <w:left w:val="nil"/>
              <w:bottom w:val="single" w:sz="4" w:space="0" w:color="auto"/>
            </w:tcBorders>
            <w:shd w:val="clear" w:color="auto" w:fill="auto"/>
          </w:tcPr>
          <w:p w14:paraId="6C272AE1" w14:textId="77777777" w:rsidR="00D905BA" w:rsidRPr="00207DC2" w:rsidRDefault="00C22B99" w:rsidP="00FB626D">
            <w:pPr>
              <w:keepNext/>
              <w:spacing w:after="40" w:line="240" w:lineRule="auto"/>
              <w:contextualSpacing/>
              <w:jc w:val="right"/>
              <w:rPr>
                <w:rFonts w:cs="Calibri Light"/>
                <w:lang w:val="en-AU"/>
              </w:rPr>
            </w:pPr>
            <w:r w:rsidRPr="00207DC2">
              <w:rPr>
                <w:rFonts w:cs="Calibri Light"/>
                <w:lang w:val="en-AU"/>
              </w:rPr>
              <w:t>7</w:t>
            </w:r>
            <w:r w:rsidR="00D905BA" w:rsidRPr="00207DC2">
              <w:rPr>
                <w:rFonts w:cs="Calibri Light"/>
                <w:lang w:val="en-AU"/>
              </w:rPr>
              <w:t>%</w:t>
            </w:r>
          </w:p>
        </w:tc>
        <w:tc>
          <w:tcPr>
            <w:tcW w:w="992" w:type="dxa"/>
            <w:tcBorders>
              <w:top w:val="nil"/>
              <w:bottom w:val="single" w:sz="4" w:space="0" w:color="auto"/>
              <w:right w:val="nil"/>
            </w:tcBorders>
            <w:shd w:val="clear" w:color="auto" w:fill="auto"/>
          </w:tcPr>
          <w:p w14:paraId="35A4E483" w14:textId="77777777" w:rsidR="00D905BA" w:rsidRPr="00207DC2" w:rsidRDefault="00C22B99" w:rsidP="00FB626D">
            <w:pPr>
              <w:keepNext/>
              <w:spacing w:after="40" w:line="240" w:lineRule="auto"/>
              <w:contextualSpacing/>
              <w:jc w:val="right"/>
              <w:rPr>
                <w:rFonts w:cs="Calibri Light"/>
                <w:b/>
                <w:lang w:val="en-AU"/>
              </w:rPr>
            </w:pPr>
            <w:r w:rsidRPr="00207DC2">
              <w:rPr>
                <w:rFonts w:cs="Calibri Light"/>
                <w:lang w:val="en-AU"/>
              </w:rPr>
              <w:t>8</w:t>
            </w:r>
            <w:r w:rsidR="00D905BA" w:rsidRPr="00207DC2">
              <w:rPr>
                <w:rFonts w:cs="Calibri Light"/>
                <w:lang w:val="en-AU"/>
              </w:rPr>
              <w:t>%</w:t>
            </w:r>
          </w:p>
        </w:tc>
        <w:tc>
          <w:tcPr>
            <w:tcW w:w="1133" w:type="dxa"/>
            <w:tcBorders>
              <w:top w:val="nil"/>
              <w:left w:val="nil"/>
              <w:bottom w:val="single" w:sz="4" w:space="0" w:color="auto"/>
              <w:right w:val="nil"/>
            </w:tcBorders>
            <w:shd w:val="clear" w:color="auto" w:fill="auto"/>
          </w:tcPr>
          <w:p w14:paraId="11DF494A" w14:textId="77777777" w:rsidR="00D905BA" w:rsidRPr="00207DC2" w:rsidRDefault="009C48CD" w:rsidP="00FB626D">
            <w:pPr>
              <w:keepNext/>
              <w:spacing w:after="40" w:line="240" w:lineRule="auto"/>
              <w:contextualSpacing/>
              <w:jc w:val="right"/>
              <w:rPr>
                <w:rFonts w:cs="Calibri Light"/>
                <w:b/>
                <w:lang w:val="en-AU"/>
              </w:rPr>
            </w:pPr>
            <w:r w:rsidRPr="00207DC2">
              <w:rPr>
                <w:rFonts w:cs="Calibri Light"/>
                <w:lang w:val="en-AU"/>
              </w:rPr>
              <w:t>7</w:t>
            </w:r>
            <w:r w:rsidR="00D905BA" w:rsidRPr="00207DC2">
              <w:rPr>
                <w:rFonts w:cs="Calibri Light"/>
                <w:lang w:val="en-AU"/>
              </w:rPr>
              <w:t>%</w:t>
            </w:r>
          </w:p>
        </w:tc>
        <w:tc>
          <w:tcPr>
            <w:tcW w:w="993" w:type="dxa"/>
            <w:tcBorders>
              <w:top w:val="nil"/>
              <w:left w:val="nil"/>
              <w:bottom w:val="single" w:sz="4" w:space="0" w:color="auto"/>
            </w:tcBorders>
            <w:shd w:val="clear" w:color="auto" w:fill="auto"/>
            <w:noWrap/>
          </w:tcPr>
          <w:p w14:paraId="3E0B4B3D" w14:textId="77777777" w:rsidR="00D905BA" w:rsidRPr="00207DC2" w:rsidRDefault="00C22B99" w:rsidP="00FB626D">
            <w:pPr>
              <w:keepNext/>
              <w:spacing w:after="40" w:line="240" w:lineRule="auto"/>
              <w:contextualSpacing/>
              <w:jc w:val="right"/>
              <w:rPr>
                <w:rFonts w:cs="Calibri Light"/>
                <w:b/>
                <w:lang w:val="en-AU"/>
              </w:rPr>
            </w:pPr>
            <w:r w:rsidRPr="00207DC2">
              <w:rPr>
                <w:rFonts w:cs="Calibri Light"/>
                <w:lang w:val="en-AU"/>
              </w:rPr>
              <w:t>8</w:t>
            </w:r>
            <w:r w:rsidR="00D905BA" w:rsidRPr="00207DC2">
              <w:rPr>
                <w:rFonts w:cs="Calibri Light"/>
                <w:lang w:val="en-AU"/>
              </w:rPr>
              <w:t>%</w:t>
            </w:r>
          </w:p>
        </w:tc>
      </w:tr>
    </w:tbl>
    <w:p w14:paraId="36D0081F" w14:textId="77777777" w:rsidR="00DF7D3E" w:rsidRPr="00207DC2" w:rsidRDefault="00D905BA" w:rsidP="00FB626D">
      <w:pPr>
        <w:pStyle w:val="tablenotes"/>
      </w:pPr>
      <w:r w:rsidRPr="00207DC2">
        <w:rPr>
          <w:i/>
        </w:rPr>
        <w:t>Source:</w:t>
      </w:r>
      <w:r w:rsidRPr="00207DC2">
        <w:t xml:space="preserve"> </w:t>
      </w:r>
      <w:r w:rsidR="0057565A" w:rsidRPr="00207DC2">
        <w:t>PMC</w:t>
      </w:r>
      <w:r w:rsidRPr="00207DC2">
        <w:t xml:space="preserve"> estimates based on unpublished ESS operational data (extracted on 5</w:t>
      </w:r>
      <w:r w:rsidR="00DF7D3E" w:rsidRPr="00207DC2">
        <w:t> </w:t>
      </w:r>
      <w:r w:rsidRPr="00207DC2">
        <w:t>September</w:t>
      </w:r>
      <w:r w:rsidR="00DF7D3E" w:rsidRPr="00207DC2">
        <w:t> </w:t>
      </w:r>
      <w:r w:rsidRPr="00207DC2">
        <w:t>2017</w:t>
      </w:r>
      <w:r w:rsidR="00D54720" w:rsidRPr="00207DC2">
        <w:t xml:space="preserve">) and </w:t>
      </w:r>
      <w:r w:rsidR="00D54720" w:rsidRPr="00207DC2">
        <w:rPr>
          <w:rStyle w:val="tablenotesChar"/>
        </w:rPr>
        <w:t>unpublished DHS operational data (extracted from determination and circumstance files on 21 August 2017</w:t>
      </w:r>
      <w:r w:rsidRPr="00207DC2">
        <w:t xml:space="preserve">). </w:t>
      </w:r>
    </w:p>
    <w:p w14:paraId="216FD784" w14:textId="6AD4E319" w:rsidR="007B08AF" w:rsidRPr="00207DC2" w:rsidRDefault="00D905BA" w:rsidP="00FB626D">
      <w:pPr>
        <w:pStyle w:val="tablenotes"/>
      </w:pPr>
      <w:r w:rsidRPr="00207DC2">
        <w:rPr>
          <w:i/>
        </w:rPr>
        <w:t>Notes:</w:t>
      </w:r>
      <w:r w:rsidRPr="00207DC2">
        <w:t xml:space="preserve"> (a</w:t>
      </w:r>
      <w:r w:rsidR="00051A53" w:rsidRPr="00207DC2">
        <w:t>) Low, Medium and High penalty categories are based on quartiles for total penalties applied in first quarter of 2016. Low group is the bottom quartile – the least penalised. High group is the top quartile – the most penalised. (b)</w:t>
      </w:r>
      <w:r w:rsidR="00B8768C" w:rsidRPr="00207DC2">
        <w:t xml:space="preserve"> </w:t>
      </w:r>
      <w:r w:rsidR="00D371C9" w:rsidRPr="00207DC2">
        <w:t xml:space="preserve">The </w:t>
      </w:r>
      <w:r w:rsidR="00B8768C" w:rsidRPr="00207DC2">
        <w:t>F</w:t>
      </w:r>
      <w:r w:rsidR="00D371C9" w:rsidRPr="00207DC2">
        <w:t xml:space="preserve">ailed to </w:t>
      </w:r>
      <w:r w:rsidR="00B8768C" w:rsidRPr="00207DC2">
        <w:t>re-</w:t>
      </w:r>
      <w:r w:rsidR="00D371C9" w:rsidRPr="00207DC2">
        <w:t xml:space="preserve">engage category </w:t>
      </w:r>
      <w:r w:rsidR="00457887" w:rsidRPr="00207DC2">
        <w:t xml:space="preserve">includes </w:t>
      </w:r>
      <w:r w:rsidRPr="00207DC2">
        <w:t xml:space="preserve">benefit exit </w:t>
      </w:r>
      <w:r w:rsidR="0063372B" w:rsidRPr="00207DC2">
        <w:t>(</w:t>
      </w:r>
      <w:r w:rsidRPr="00207DC2">
        <w:t>as recorded by DHS</w:t>
      </w:r>
      <w:r w:rsidR="0063372B" w:rsidRPr="00207DC2">
        <w:t>) due to a participant</w:t>
      </w:r>
      <w:r w:rsidRPr="00207DC2">
        <w:t>:</w:t>
      </w:r>
      <w:r w:rsidR="0063372B" w:rsidRPr="00207DC2">
        <w:t xml:space="preserve"> failing to lodge form; failing to report (</w:t>
      </w:r>
      <w:r w:rsidRPr="00207DC2">
        <w:t>auto</w:t>
      </w:r>
      <w:r w:rsidR="0063372B" w:rsidRPr="00207DC2">
        <w:t>); failing</w:t>
      </w:r>
      <w:r w:rsidRPr="00207DC2">
        <w:t xml:space="preserve"> to re-engage with the provider</w:t>
      </w:r>
      <w:r w:rsidR="0063372B" w:rsidRPr="00207DC2">
        <w:t>; and failing</w:t>
      </w:r>
      <w:r w:rsidRPr="00207DC2">
        <w:t xml:space="preserve"> to re</w:t>
      </w:r>
      <w:r w:rsidR="0063372B" w:rsidRPr="00207DC2">
        <w:t>-</w:t>
      </w:r>
      <w:r w:rsidRPr="00207DC2">
        <w:t xml:space="preserve">engage (with DHS). Some of these individuals may have obtained </w:t>
      </w:r>
      <w:r w:rsidR="00182441">
        <w:t>employment</w:t>
      </w:r>
      <w:r w:rsidR="0063372B" w:rsidRPr="00207DC2">
        <w:t>, but failed to report this to DHS</w:t>
      </w:r>
      <w:r w:rsidR="00DA3C1B" w:rsidRPr="00207DC2">
        <w:t>. (</w:t>
      </w:r>
      <w:r w:rsidR="00051A53" w:rsidRPr="00207DC2">
        <w:t>c</w:t>
      </w:r>
      <w:r w:rsidRPr="00207DC2">
        <w:t xml:space="preserve">) </w:t>
      </w:r>
      <w:r w:rsidR="0053458B" w:rsidRPr="00207DC2">
        <w:t>Other combines the remaining categories of DHS cancellations</w:t>
      </w:r>
      <w:r w:rsidRPr="00207DC2">
        <w:t xml:space="preserve">. </w:t>
      </w:r>
    </w:p>
    <w:p w14:paraId="37FCED2F" w14:textId="4E9A1913" w:rsidR="0091327C" w:rsidRPr="00207DC2" w:rsidRDefault="00897AED" w:rsidP="00FB626D">
      <w:pPr>
        <w:jc w:val="both"/>
        <w:rPr>
          <w:lang w:val="en-AU"/>
        </w:rPr>
      </w:pPr>
      <w:r w:rsidRPr="00207DC2">
        <w:rPr>
          <w:lang w:val="en-AU"/>
        </w:rPr>
        <w:t xml:space="preserve">Some participants may </w:t>
      </w:r>
      <w:r w:rsidR="00B310DA" w:rsidRPr="00207DC2">
        <w:rPr>
          <w:lang w:val="en-AU"/>
        </w:rPr>
        <w:t>disengag</w:t>
      </w:r>
      <w:r w:rsidRPr="00207DC2">
        <w:rPr>
          <w:lang w:val="en-AU"/>
        </w:rPr>
        <w:t>e</w:t>
      </w:r>
      <w:r w:rsidR="00B310DA" w:rsidRPr="00207DC2">
        <w:rPr>
          <w:lang w:val="en-AU"/>
        </w:rPr>
        <w:t xml:space="preserve"> from the program</w:t>
      </w:r>
      <w:r w:rsidR="0062715B" w:rsidRPr="00207DC2">
        <w:rPr>
          <w:lang w:val="en-AU"/>
        </w:rPr>
        <w:t xml:space="preserve"> </w:t>
      </w:r>
      <w:r w:rsidR="00A1595B" w:rsidRPr="00207DC2">
        <w:rPr>
          <w:lang w:val="en-AU"/>
        </w:rPr>
        <w:t>(</w:t>
      </w:r>
      <w:r w:rsidR="001C2D21" w:rsidRPr="00207DC2">
        <w:rPr>
          <w:lang w:val="en-AU"/>
        </w:rPr>
        <w:t>B</w:t>
      </w:r>
      <w:r w:rsidR="00A1595B" w:rsidRPr="00207DC2">
        <w:rPr>
          <w:lang w:val="en-AU"/>
        </w:rPr>
        <w:t>ox 3.2)</w:t>
      </w:r>
      <w:r w:rsidR="00805E81" w:rsidRPr="00207DC2">
        <w:rPr>
          <w:lang w:val="en-AU"/>
        </w:rPr>
        <w:t>, which can lead</w:t>
      </w:r>
      <w:r w:rsidR="00B310DA" w:rsidRPr="00207DC2">
        <w:rPr>
          <w:lang w:val="en-AU"/>
        </w:rPr>
        <w:t xml:space="preserve"> </w:t>
      </w:r>
      <w:r w:rsidR="00546054" w:rsidRPr="00207DC2">
        <w:rPr>
          <w:lang w:val="en-AU"/>
        </w:rPr>
        <w:t>to the cancellation of income support payments</w:t>
      </w:r>
      <w:r w:rsidR="00B310DA" w:rsidRPr="00207DC2">
        <w:rPr>
          <w:lang w:val="en-AU"/>
        </w:rPr>
        <w:t xml:space="preserve">. </w:t>
      </w:r>
    </w:p>
    <w:p w14:paraId="7D23EE66" w14:textId="4DAD5E77" w:rsidR="0057559F" w:rsidRPr="00207DC2" w:rsidRDefault="00D905BA" w:rsidP="00FB626D">
      <w:pPr>
        <w:tabs>
          <w:tab w:val="left" w:pos="5670"/>
        </w:tabs>
        <w:jc w:val="both"/>
        <w:rPr>
          <w:lang w:val="en-AU"/>
        </w:rPr>
      </w:pPr>
      <w:r w:rsidRPr="00207DC2">
        <w:rPr>
          <w:lang w:val="en-AU"/>
        </w:rPr>
        <w:t xml:space="preserve">Of those penalised in the first quarter of 2016, 32 per cent </w:t>
      </w:r>
      <w:r w:rsidR="00805E81" w:rsidRPr="00207DC2">
        <w:rPr>
          <w:lang w:val="en-AU"/>
        </w:rPr>
        <w:t xml:space="preserve">had their benefits cancelled </w:t>
      </w:r>
      <w:r w:rsidR="009D360F" w:rsidRPr="00207DC2">
        <w:rPr>
          <w:lang w:val="en-AU"/>
        </w:rPr>
        <w:t xml:space="preserve">with the reported reason being </w:t>
      </w:r>
      <w:r w:rsidR="004032FB" w:rsidRPr="00207DC2">
        <w:rPr>
          <w:lang w:val="en-AU"/>
        </w:rPr>
        <w:t>a failure to re</w:t>
      </w:r>
      <w:r w:rsidR="004032FB" w:rsidRPr="00207DC2">
        <w:rPr>
          <w:lang w:val="en-AU"/>
        </w:rPr>
        <w:noBreakHyphen/>
        <w:t xml:space="preserve">engage with either </w:t>
      </w:r>
      <w:r w:rsidR="00897AED" w:rsidRPr="00207DC2">
        <w:rPr>
          <w:lang w:val="en-AU"/>
        </w:rPr>
        <w:t>the Department of Human Services</w:t>
      </w:r>
      <w:r w:rsidR="008B67E3" w:rsidRPr="00207DC2">
        <w:rPr>
          <w:lang w:val="en-AU"/>
        </w:rPr>
        <w:t xml:space="preserve"> (DHS)</w:t>
      </w:r>
      <w:r w:rsidR="004032FB" w:rsidRPr="00207DC2">
        <w:rPr>
          <w:lang w:val="en-AU"/>
        </w:rPr>
        <w:t xml:space="preserve"> or their provider</w:t>
      </w:r>
      <w:r w:rsidRPr="00207DC2">
        <w:rPr>
          <w:lang w:val="en-AU"/>
        </w:rPr>
        <w:t xml:space="preserve"> (Table 3.2).</w:t>
      </w:r>
      <w:r w:rsidR="00247B1C" w:rsidRPr="00207DC2">
        <w:rPr>
          <w:lang w:val="en-AU"/>
        </w:rPr>
        <w:t xml:space="preserve"> </w:t>
      </w:r>
      <w:r w:rsidR="005D7E74" w:rsidRPr="00207DC2">
        <w:rPr>
          <w:lang w:val="en-AU"/>
        </w:rPr>
        <w:t>S</w:t>
      </w:r>
      <w:r w:rsidRPr="00207DC2">
        <w:rPr>
          <w:lang w:val="en-AU"/>
        </w:rPr>
        <w:t>ome of these participants may have obtained employment but not report</w:t>
      </w:r>
      <w:r w:rsidR="00FE3C11" w:rsidRPr="00207DC2">
        <w:rPr>
          <w:lang w:val="en-AU"/>
        </w:rPr>
        <w:t>ed</w:t>
      </w:r>
      <w:r w:rsidRPr="00207DC2">
        <w:rPr>
          <w:lang w:val="en-AU"/>
        </w:rPr>
        <w:t xml:space="preserve"> this to </w:t>
      </w:r>
      <w:r w:rsidR="00BD2EC4" w:rsidRPr="00207DC2">
        <w:rPr>
          <w:lang w:val="en-AU"/>
        </w:rPr>
        <w:t xml:space="preserve">their CDP provider or </w:t>
      </w:r>
      <w:r w:rsidR="008B67E3" w:rsidRPr="00207DC2">
        <w:rPr>
          <w:lang w:val="en-AU"/>
        </w:rPr>
        <w:t>DHS</w:t>
      </w:r>
      <w:r w:rsidRPr="00207DC2">
        <w:rPr>
          <w:lang w:val="en-AU"/>
        </w:rPr>
        <w:t>.</w:t>
      </w:r>
      <w:r w:rsidR="005D7E74" w:rsidRPr="00207DC2">
        <w:rPr>
          <w:lang w:val="en-AU"/>
        </w:rPr>
        <w:t xml:space="preserve"> </w:t>
      </w:r>
    </w:p>
    <w:p w14:paraId="667DC673" w14:textId="77777777" w:rsidR="00F40A47" w:rsidRPr="00207DC2" w:rsidRDefault="00805E81" w:rsidP="00FB626D">
      <w:pPr>
        <w:tabs>
          <w:tab w:val="left" w:pos="5670"/>
        </w:tabs>
        <w:jc w:val="both"/>
        <w:rPr>
          <w:lang w:val="en-AU"/>
        </w:rPr>
      </w:pPr>
      <w:r w:rsidRPr="00207DC2">
        <w:rPr>
          <w:lang w:val="en-AU"/>
        </w:rPr>
        <w:t xml:space="preserve">To gain a better understanding of how many CDP participants may be disengaging from the program despite not having paid employment, an estimated measure of disengagement was developed. The disengaged participants were measured as those who: were recorded as exiting the income support system (that is, their benefits ceased) due to failure to re-engage with DHS or their provider; </w:t>
      </w:r>
      <w:r w:rsidRPr="00207DC2">
        <w:rPr>
          <w:i/>
          <w:lang w:val="en-AU"/>
        </w:rPr>
        <w:t>and</w:t>
      </w:r>
      <w:r w:rsidRPr="00207DC2">
        <w:rPr>
          <w:lang w:val="en-AU"/>
        </w:rPr>
        <w:t xml:space="preserve"> did not have an employment outcome recorded by their CDP provider in the nine months prior to exiting the income support system (Box 3.2). </w:t>
      </w:r>
    </w:p>
    <w:tbl>
      <w:tblPr>
        <w:tblStyle w:val="TableGrid"/>
        <w:tblW w:w="0" w:type="auto"/>
        <w:tblLook w:val="04A0" w:firstRow="1" w:lastRow="0" w:firstColumn="1" w:lastColumn="0" w:noHBand="0" w:noVBand="1"/>
        <w:tblCaption w:val="Box 3.2 An indicative measure of disengagement in remote Australia"/>
      </w:tblPr>
      <w:tblGrid>
        <w:gridCol w:w="9099"/>
      </w:tblGrid>
      <w:tr w:rsidR="00781FF3" w:rsidRPr="00207DC2" w14:paraId="279EAC30" w14:textId="77777777" w:rsidTr="000A3951">
        <w:trPr>
          <w:tblHeader/>
        </w:trPr>
        <w:tc>
          <w:tcPr>
            <w:tcW w:w="9099" w:type="dxa"/>
          </w:tcPr>
          <w:p w14:paraId="02330C50" w14:textId="77777777" w:rsidR="00781FF3" w:rsidRPr="00207DC2" w:rsidRDefault="009A58D3" w:rsidP="00FB626D">
            <w:pPr>
              <w:pStyle w:val="Heading4"/>
              <w:outlineLvl w:val="3"/>
              <w:rPr>
                <w:lang w:val="en-AU"/>
              </w:rPr>
            </w:pPr>
            <w:bookmarkStart w:id="398" w:name="_Toc515185464"/>
            <w:r w:rsidRPr="00207DC2">
              <w:rPr>
                <w:lang w:val="en-AU"/>
              </w:rPr>
              <w:t xml:space="preserve">Box </w:t>
            </w:r>
            <w:r w:rsidR="00B53E8F" w:rsidRPr="00207DC2">
              <w:rPr>
                <w:lang w:val="en-AU"/>
              </w:rPr>
              <w:t>3</w:t>
            </w:r>
            <w:r w:rsidR="00352F26" w:rsidRPr="00207DC2">
              <w:rPr>
                <w:lang w:val="en-AU"/>
              </w:rPr>
              <w:t>.</w:t>
            </w:r>
            <w:r w:rsidR="004E306C" w:rsidRPr="00207DC2">
              <w:rPr>
                <w:lang w:val="en-AU"/>
              </w:rPr>
              <w:t>2</w:t>
            </w:r>
            <w:r w:rsidR="00352F26" w:rsidRPr="00207DC2">
              <w:rPr>
                <w:lang w:val="en-AU"/>
              </w:rPr>
              <w:t xml:space="preserve"> </w:t>
            </w:r>
            <w:r w:rsidR="00BB3E94" w:rsidRPr="00207DC2">
              <w:rPr>
                <w:lang w:val="en-AU"/>
              </w:rPr>
              <w:t xml:space="preserve">An indicative measure of </w:t>
            </w:r>
            <w:r w:rsidR="00781FF3" w:rsidRPr="00207DC2">
              <w:rPr>
                <w:lang w:val="en-AU"/>
              </w:rPr>
              <w:t>disengagement</w:t>
            </w:r>
            <w:r w:rsidR="009B7ACC" w:rsidRPr="00207DC2">
              <w:rPr>
                <w:lang w:val="en-AU"/>
              </w:rPr>
              <w:t xml:space="preserve"> </w:t>
            </w:r>
            <w:r w:rsidR="008E29E1" w:rsidRPr="00207DC2">
              <w:rPr>
                <w:lang w:val="en-AU"/>
              </w:rPr>
              <w:t>in remote Australia</w:t>
            </w:r>
            <w:bookmarkEnd w:id="398"/>
          </w:p>
          <w:p w14:paraId="7B6C0711" w14:textId="2657F045" w:rsidR="004E433E" w:rsidRPr="00207DC2" w:rsidRDefault="00BE6895" w:rsidP="00FB626D">
            <w:pPr>
              <w:jc w:val="both"/>
              <w:rPr>
                <w:lang w:val="en-AU"/>
              </w:rPr>
            </w:pPr>
            <w:r w:rsidRPr="00207DC2">
              <w:rPr>
                <w:lang w:val="en-AU"/>
              </w:rPr>
              <w:t xml:space="preserve">The share of program participants </w:t>
            </w:r>
            <w:r w:rsidR="00CF5DA4" w:rsidRPr="00207DC2">
              <w:rPr>
                <w:lang w:val="en-AU"/>
              </w:rPr>
              <w:t>exiting</w:t>
            </w:r>
            <w:r w:rsidRPr="00207DC2">
              <w:rPr>
                <w:lang w:val="en-AU"/>
              </w:rPr>
              <w:t xml:space="preserve"> off income support payments is often</w:t>
            </w:r>
            <w:r w:rsidR="0062715B" w:rsidRPr="00207DC2">
              <w:rPr>
                <w:lang w:val="en-AU"/>
              </w:rPr>
              <w:t xml:space="preserve"> </w:t>
            </w:r>
            <w:r w:rsidR="004E433E" w:rsidRPr="00207DC2">
              <w:rPr>
                <w:lang w:val="en-AU"/>
              </w:rPr>
              <w:t xml:space="preserve">used as </w:t>
            </w:r>
            <w:r w:rsidRPr="00207DC2">
              <w:rPr>
                <w:lang w:val="en-AU"/>
              </w:rPr>
              <w:t xml:space="preserve">a </w:t>
            </w:r>
            <w:r w:rsidR="00451E5D" w:rsidRPr="00207DC2">
              <w:rPr>
                <w:lang w:val="en-AU"/>
              </w:rPr>
              <w:t>measure of employment</w:t>
            </w:r>
            <w:r w:rsidR="004E433E" w:rsidRPr="00207DC2">
              <w:rPr>
                <w:lang w:val="en-AU"/>
              </w:rPr>
              <w:t xml:space="preserve"> outcomes</w:t>
            </w:r>
            <w:r w:rsidR="00451E5D" w:rsidRPr="00207DC2">
              <w:rPr>
                <w:lang w:val="en-AU"/>
              </w:rPr>
              <w:t xml:space="preserve"> in </w:t>
            </w:r>
            <w:r w:rsidR="004E433E" w:rsidRPr="00207DC2">
              <w:rPr>
                <w:lang w:val="en-AU"/>
              </w:rPr>
              <w:t>evaluations of</w:t>
            </w:r>
            <w:r w:rsidR="00451E5D" w:rsidRPr="00207DC2">
              <w:rPr>
                <w:lang w:val="en-AU"/>
              </w:rPr>
              <w:t xml:space="preserve"> mainstream employment programs</w:t>
            </w:r>
            <w:r w:rsidR="00145C65" w:rsidRPr="00207DC2">
              <w:rPr>
                <w:lang w:val="en-AU"/>
              </w:rPr>
              <w:t>.</w:t>
            </w:r>
            <w:r w:rsidR="003F7798" w:rsidRPr="00207DC2">
              <w:rPr>
                <w:lang w:val="en-AU"/>
              </w:rPr>
              <w:t xml:space="preserve"> However, the</w:t>
            </w:r>
            <w:r w:rsidR="004E433E" w:rsidRPr="00207DC2">
              <w:rPr>
                <w:lang w:val="en-AU"/>
              </w:rPr>
              <w:t xml:space="preserve"> assumption</w:t>
            </w:r>
            <w:r w:rsidR="00420B38" w:rsidRPr="00207DC2">
              <w:rPr>
                <w:lang w:val="en-AU"/>
              </w:rPr>
              <w:t xml:space="preserve"> that</w:t>
            </w:r>
            <w:r w:rsidR="003F7798" w:rsidRPr="00207DC2">
              <w:rPr>
                <w:lang w:val="en-AU"/>
              </w:rPr>
              <w:t xml:space="preserve"> individuals </w:t>
            </w:r>
            <w:r w:rsidR="00420B38" w:rsidRPr="00207DC2">
              <w:rPr>
                <w:lang w:val="en-AU"/>
              </w:rPr>
              <w:t xml:space="preserve">exit benefits because </w:t>
            </w:r>
            <w:r w:rsidR="003F7798" w:rsidRPr="00207DC2">
              <w:rPr>
                <w:lang w:val="en-AU"/>
              </w:rPr>
              <w:t>they have obtained paid employment</w:t>
            </w:r>
            <w:r w:rsidR="004E433E" w:rsidRPr="00207DC2">
              <w:rPr>
                <w:lang w:val="en-AU"/>
              </w:rPr>
              <w:t xml:space="preserve"> is </w:t>
            </w:r>
            <w:r w:rsidR="003F7798" w:rsidRPr="00207DC2">
              <w:rPr>
                <w:lang w:val="en-AU"/>
              </w:rPr>
              <w:t>less likely</w:t>
            </w:r>
            <w:r w:rsidR="004E433E" w:rsidRPr="00207DC2">
              <w:rPr>
                <w:lang w:val="en-AU"/>
              </w:rPr>
              <w:t xml:space="preserve"> to hold in a remote context. </w:t>
            </w:r>
            <w:r w:rsidR="0079272C" w:rsidRPr="00207DC2">
              <w:rPr>
                <w:lang w:val="en-AU"/>
              </w:rPr>
              <w:t xml:space="preserve">Markham and Biddle (2018) </w:t>
            </w:r>
            <w:r w:rsidR="00054F34" w:rsidRPr="00207DC2">
              <w:rPr>
                <w:lang w:val="en-AU"/>
              </w:rPr>
              <w:t>found</w:t>
            </w:r>
            <w:r w:rsidR="0079272C" w:rsidRPr="00207DC2">
              <w:rPr>
                <w:lang w:val="en-AU"/>
              </w:rPr>
              <w:t xml:space="preserve"> </w:t>
            </w:r>
            <w:r w:rsidR="004E433E" w:rsidRPr="00207DC2">
              <w:rPr>
                <w:lang w:val="en-AU"/>
              </w:rPr>
              <w:t xml:space="preserve">that </w:t>
            </w:r>
            <w:r w:rsidR="000541F8" w:rsidRPr="00207DC2">
              <w:rPr>
                <w:lang w:val="en-AU"/>
              </w:rPr>
              <w:t xml:space="preserve">across Australia </w:t>
            </w:r>
            <w:r w:rsidR="00626355" w:rsidRPr="00207DC2">
              <w:rPr>
                <w:lang w:val="en-AU"/>
              </w:rPr>
              <w:t>12</w:t>
            </w:r>
            <w:r w:rsidR="00054F34" w:rsidRPr="00207DC2">
              <w:rPr>
                <w:lang w:val="en-AU"/>
              </w:rPr>
              <w:t> </w:t>
            </w:r>
            <w:r w:rsidR="00626355" w:rsidRPr="00207DC2">
              <w:rPr>
                <w:lang w:val="en-AU"/>
              </w:rPr>
              <w:t>per</w:t>
            </w:r>
            <w:r w:rsidR="00054F34" w:rsidRPr="00207DC2">
              <w:rPr>
                <w:lang w:val="en-AU"/>
              </w:rPr>
              <w:t> </w:t>
            </w:r>
            <w:r w:rsidR="00626355" w:rsidRPr="00207DC2">
              <w:rPr>
                <w:lang w:val="en-AU"/>
              </w:rPr>
              <w:t xml:space="preserve">cent of </w:t>
            </w:r>
            <w:r w:rsidR="00DA2867" w:rsidRPr="00207DC2">
              <w:rPr>
                <w:lang w:val="en-AU"/>
              </w:rPr>
              <w:t>those who identif</w:t>
            </w:r>
            <w:r w:rsidR="00626355" w:rsidRPr="00207DC2">
              <w:rPr>
                <w:lang w:val="en-AU"/>
              </w:rPr>
              <w:t>ied</w:t>
            </w:r>
            <w:r w:rsidR="00DA2867" w:rsidRPr="00207DC2">
              <w:rPr>
                <w:lang w:val="en-AU"/>
              </w:rPr>
              <w:t xml:space="preserve"> as </w:t>
            </w:r>
            <w:r w:rsidR="00A6004C" w:rsidRPr="00207DC2">
              <w:rPr>
                <w:lang w:val="en-AU"/>
              </w:rPr>
              <w:t>Indigenous</w:t>
            </w:r>
            <w:r w:rsidR="00A6004C" w:rsidRPr="00207DC2" w:rsidDel="00DA2867">
              <w:rPr>
                <w:lang w:val="en-AU"/>
              </w:rPr>
              <w:t xml:space="preserve"> </w:t>
            </w:r>
            <w:r w:rsidR="00626355" w:rsidRPr="00207DC2">
              <w:rPr>
                <w:lang w:val="en-AU"/>
              </w:rPr>
              <w:t xml:space="preserve">in the 2016 Census </w:t>
            </w:r>
            <w:r w:rsidR="000541F8" w:rsidRPr="00207DC2">
              <w:rPr>
                <w:lang w:val="en-AU"/>
              </w:rPr>
              <w:t>reported having</w:t>
            </w:r>
            <w:r w:rsidR="00626355" w:rsidRPr="00207DC2">
              <w:rPr>
                <w:lang w:val="en-AU"/>
              </w:rPr>
              <w:t xml:space="preserve"> no income at all in 2016. This group had grown from </w:t>
            </w:r>
            <w:r w:rsidR="00D30648">
              <w:rPr>
                <w:lang w:val="en-AU"/>
              </w:rPr>
              <w:t>nine</w:t>
            </w:r>
            <w:r w:rsidR="00054F34" w:rsidRPr="00207DC2">
              <w:rPr>
                <w:lang w:val="en-AU"/>
              </w:rPr>
              <w:t> </w:t>
            </w:r>
            <w:r w:rsidR="00626355" w:rsidRPr="00207DC2">
              <w:rPr>
                <w:lang w:val="en-AU"/>
              </w:rPr>
              <w:t>per</w:t>
            </w:r>
            <w:r w:rsidR="00054F34" w:rsidRPr="00207DC2">
              <w:rPr>
                <w:lang w:val="en-AU"/>
              </w:rPr>
              <w:t> </w:t>
            </w:r>
            <w:r w:rsidR="00626355" w:rsidRPr="00207DC2">
              <w:rPr>
                <w:lang w:val="en-AU"/>
              </w:rPr>
              <w:t>cent in 2006</w:t>
            </w:r>
            <w:r w:rsidR="008E29E1" w:rsidRPr="00207DC2">
              <w:rPr>
                <w:lang w:val="en-AU"/>
              </w:rPr>
              <w:t>.</w:t>
            </w:r>
            <w:r w:rsidR="00420B38" w:rsidRPr="00207DC2">
              <w:rPr>
                <w:lang w:val="en-AU"/>
              </w:rPr>
              <w:t xml:space="preserve"> </w:t>
            </w:r>
          </w:p>
          <w:p w14:paraId="7A58053F" w14:textId="58B4932E" w:rsidR="00274F98" w:rsidRPr="00207DC2" w:rsidRDefault="008E29E1" w:rsidP="00FB626D">
            <w:pPr>
              <w:jc w:val="both"/>
              <w:rPr>
                <w:lang w:val="en-AU"/>
              </w:rPr>
            </w:pPr>
            <w:r w:rsidRPr="00207DC2">
              <w:rPr>
                <w:lang w:val="en-AU"/>
              </w:rPr>
              <w:t>T</w:t>
            </w:r>
            <w:r w:rsidR="00274F98" w:rsidRPr="00207DC2">
              <w:rPr>
                <w:lang w:val="en-AU"/>
              </w:rPr>
              <w:t xml:space="preserve">his analysis </w:t>
            </w:r>
            <w:r w:rsidRPr="00207DC2">
              <w:rPr>
                <w:lang w:val="en-AU"/>
              </w:rPr>
              <w:t>has</w:t>
            </w:r>
            <w:r w:rsidR="00B70AF4" w:rsidRPr="00207DC2">
              <w:rPr>
                <w:lang w:val="en-AU"/>
              </w:rPr>
              <w:t xml:space="preserve"> identified</w:t>
            </w:r>
            <w:r w:rsidR="00FA79CB" w:rsidRPr="00207DC2">
              <w:rPr>
                <w:lang w:val="en-AU"/>
              </w:rPr>
              <w:t xml:space="preserve"> people who have </w:t>
            </w:r>
            <w:r w:rsidR="00274F98" w:rsidRPr="00207DC2">
              <w:rPr>
                <w:i/>
                <w:lang w:val="en-AU"/>
              </w:rPr>
              <w:t>disengaged</w:t>
            </w:r>
            <w:r w:rsidR="00274F98" w:rsidRPr="00207DC2">
              <w:rPr>
                <w:lang w:val="en-AU"/>
              </w:rPr>
              <w:t xml:space="preserve"> from </w:t>
            </w:r>
            <w:r w:rsidR="00FA79CB" w:rsidRPr="00207DC2">
              <w:rPr>
                <w:lang w:val="en-AU"/>
              </w:rPr>
              <w:t xml:space="preserve">the </w:t>
            </w:r>
            <w:r w:rsidR="00274F98" w:rsidRPr="00207DC2">
              <w:rPr>
                <w:lang w:val="en-AU"/>
              </w:rPr>
              <w:t xml:space="preserve">CDP and the </w:t>
            </w:r>
            <w:r w:rsidRPr="00207DC2">
              <w:rPr>
                <w:lang w:val="en-AU"/>
              </w:rPr>
              <w:t xml:space="preserve">income support </w:t>
            </w:r>
            <w:r w:rsidR="00274F98" w:rsidRPr="00207DC2">
              <w:rPr>
                <w:lang w:val="en-AU"/>
              </w:rPr>
              <w:t xml:space="preserve">system despite not having paid employment. </w:t>
            </w:r>
          </w:p>
          <w:p w14:paraId="0982E3DE" w14:textId="767595AE" w:rsidR="007D0EBC" w:rsidRPr="00207DC2" w:rsidRDefault="00617B7B" w:rsidP="00FB626D">
            <w:pPr>
              <w:pStyle w:val="ListBullet"/>
              <w:ind w:left="357" w:hanging="357"/>
              <w:jc w:val="both"/>
              <w:rPr>
                <w:lang w:val="en-AU"/>
              </w:rPr>
            </w:pPr>
            <w:r w:rsidRPr="00207DC2">
              <w:rPr>
                <w:lang w:val="en-AU"/>
              </w:rPr>
              <w:t>A</w:t>
            </w:r>
            <w:r w:rsidR="00274F98" w:rsidRPr="00207DC2">
              <w:rPr>
                <w:lang w:val="en-AU"/>
              </w:rPr>
              <w:t>s</w:t>
            </w:r>
            <w:r w:rsidRPr="00207DC2">
              <w:rPr>
                <w:lang w:val="en-AU"/>
              </w:rPr>
              <w:t xml:space="preserve"> </w:t>
            </w:r>
            <w:r w:rsidR="00274F98" w:rsidRPr="00207DC2">
              <w:rPr>
                <w:lang w:val="en-AU"/>
              </w:rPr>
              <w:t>a</w:t>
            </w:r>
            <w:r w:rsidR="00FA13EA" w:rsidRPr="00207DC2">
              <w:rPr>
                <w:lang w:val="en-AU"/>
              </w:rPr>
              <w:t>n</w:t>
            </w:r>
            <w:r w:rsidR="00897AED" w:rsidRPr="00207DC2">
              <w:rPr>
                <w:lang w:val="en-AU"/>
              </w:rPr>
              <w:t xml:space="preserve"> indicative</w:t>
            </w:r>
            <w:r w:rsidR="0041137E" w:rsidRPr="00207DC2">
              <w:rPr>
                <w:lang w:val="en-AU"/>
              </w:rPr>
              <w:t xml:space="preserve"> measure </w:t>
            </w:r>
            <w:r w:rsidRPr="00207DC2">
              <w:rPr>
                <w:lang w:val="en-AU"/>
              </w:rPr>
              <w:t>of disengagement</w:t>
            </w:r>
            <w:r w:rsidR="008E29E1" w:rsidRPr="00207DC2">
              <w:rPr>
                <w:lang w:val="en-AU"/>
              </w:rPr>
              <w:t xml:space="preserve">, the </w:t>
            </w:r>
            <w:r w:rsidR="00301CDD" w:rsidRPr="00207DC2">
              <w:rPr>
                <w:lang w:val="en-AU"/>
              </w:rPr>
              <w:t xml:space="preserve">disengaged group </w:t>
            </w:r>
            <w:r w:rsidR="008E29E1" w:rsidRPr="00207DC2">
              <w:rPr>
                <w:lang w:val="en-AU"/>
              </w:rPr>
              <w:t xml:space="preserve">has been defined </w:t>
            </w:r>
            <w:r w:rsidR="00301CDD" w:rsidRPr="00207DC2">
              <w:rPr>
                <w:lang w:val="en-AU"/>
              </w:rPr>
              <w:t>to include those who</w:t>
            </w:r>
            <w:r w:rsidR="009C6B01" w:rsidRPr="00207DC2">
              <w:rPr>
                <w:lang w:val="en-AU"/>
              </w:rPr>
              <w:t xml:space="preserve"> both</w:t>
            </w:r>
            <w:r w:rsidR="00C47D97" w:rsidRPr="00207DC2">
              <w:rPr>
                <w:lang w:val="en-AU"/>
              </w:rPr>
              <w:t>:</w:t>
            </w:r>
            <w:r w:rsidR="007D0EBC" w:rsidRPr="00207DC2">
              <w:rPr>
                <w:lang w:val="en-AU"/>
              </w:rPr>
              <w:t xml:space="preserve"> </w:t>
            </w:r>
          </w:p>
          <w:p w14:paraId="4A041907" w14:textId="5C9C97EE" w:rsidR="004273A6" w:rsidRPr="00207DC2" w:rsidRDefault="00301CDD" w:rsidP="00FB626D">
            <w:pPr>
              <w:pStyle w:val="ListBullet"/>
              <w:spacing w:after="240"/>
              <w:ind w:left="357" w:hanging="357"/>
              <w:contextualSpacing/>
              <w:jc w:val="both"/>
              <w:rPr>
                <w:lang w:val="en-AU"/>
              </w:rPr>
            </w:pPr>
            <w:r w:rsidRPr="00207DC2">
              <w:rPr>
                <w:lang w:val="en-AU"/>
              </w:rPr>
              <w:t>•</w:t>
            </w:r>
            <w:r w:rsidRPr="00207DC2">
              <w:rPr>
                <w:lang w:val="en-AU"/>
              </w:rPr>
              <w:tab/>
            </w:r>
            <w:r w:rsidR="004273A6" w:rsidRPr="00207DC2">
              <w:rPr>
                <w:lang w:val="en-AU"/>
              </w:rPr>
              <w:t>w</w:t>
            </w:r>
            <w:r w:rsidR="00C47D97" w:rsidRPr="00207DC2">
              <w:rPr>
                <w:lang w:val="en-AU"/>
              </w:rPr>
              <w:t xml:space="preserve">ere recorded as exiting </w:t>
            </w:r>
            <w:r w:rsidR="008E29E1" w:rsidRPr="00207DC2">
              <w:rPr>
                <w:lang w:val="en-AU"/>
              </w:rPr>
              <w:t xml:space="preserve">the income support system </w:t>
            </w:r>
            <w:r w:rsidR="00C41729" w:rsidRPr="00207DC2">
              <w:rPr>
                <w:lang w:val="en-AU"/>
              </w:rPr>
              <w:t xml:space="preserve">(that is, their benefits ceased) </w:t>
            </w:r>
            <w:r w:rsidR="004273A6" w:rsidRPr="00207DC2">
              <w:rPr>
                <w:lang w:val="en-AU"/>
              </w:rPr>
              <w:t>at least once in 2016</w:t>
            </w:r>
            <w:r w:rsidR="00351286" w:rsidRPr="00207DC2">
              <w:rPr>
                <w:lang w:val="en-AU"/>
              </w:rPr>
              <w:t>,</w:t>
            </w:r>
            <w:r w:rsidR="004273A6" w:rsidRPr="00207DC2">
              <w:rPr>
                <w:lang w:val="en-AU"/>
              </w:rPr>
              <w:t xml:space="preserve"> and </w:t>
            </w:r>
            <w:r w:rsidRPr="00207DC2">
              <w:rPr>
                <w:lang w:val="en-AU"/>
              </w:rPr>
              <w:t>the recorded reason for benefit</w:t>
            </w:r>
            <w:r w:rsidR="00C41729" w:rsidRPr="00207DC2">
              <w:rPr>
                <w:lang w:val="en-AU"/>
              </w:rPr>
              <w:t>s ceasing</w:t>
            </w:r>
            <w:r w:rsidRPr="00207DC2">
              <w:rPr>
                <w:lang w:val="en-AU"/>
              </w:rPr>
              <w:t xml:space="preserve"> was </w:t>
            </w:r>
            <w:r w:rsidR="00A85152" w:rsidRPr="00207DC2">
              <w:rPr>
                <w:lang w:val="en-AU"/>
              </w:rPr>
              <w:t>either failure to</w:t>
            </w:r>
            <w:r w:rsidR="004273A6" w:rsidRPr="00207DC2">
              <w:rPr>
                <w:lang w:val="en-AU"/>
              </w:rPr>
              <w:t>:</w:t>
            </w:r>
            <w:r w:rsidR="00A85152" w:rsidRPr="00207DC2">
              <w:rPr>
                <w:lang w:val="en-AU"/>
              </w:rPr>
              <w:t xml:space="preserve"> </w:t>
            </w:r>
            <w:r w:rsidR="00ED3285" w:rsidRPr="00207DC2">
              <w:rPr>
                <w:lang w:val="en-AU"/>
              </w:rPr>
              <w:t>lodge form; report (auto); re</w:t>
            </w:r>
            <w:r w:rsidR="00ED3285" w:rsidRPr="00207DC2">
              <w:rPr>
                <w:lang w:val="en-AU"/>
              </w:rPr>
              <w:noBreakHyphen/>
            </w:r>
            <w:r w:rsidR="004273A6" w:rsidRPr="00207DC2">
              <w:rPr>
                <w:lang w:val="en-AU"/>
              </w:rPr>
              <w:t xml:space="preserve">engage with the provider; </w:t>
            </w:r>
            <w:r w:rsidR="00A85152" w:rsidRPr="00207DC2">
              <w:rPr>
                <w:lang w:val="en-AU"/>
              </w:rPr>
              <w:t xml:space="preserve">or to </w:t>
            </w:r>
            <w:r w:rsidR="004273A6" w:rsidRPr="00207DC2">
              <w:rPr>
                <w:lang w:val="en-AU"/>
              </w:rPr>
              <w:t>re-engage (with the D</w:t>
            </w:r>
            <w:r w:rsidR="006F48D0" w:rsidRPr="00207DC2">
              <w:rPr>
                <w:lang w:val="en-AU"/>
              </w:rPr>
              <w:t>epartment</w:t>
            </w:r>
            <w:r w:rsidR="00752712" w:rsidRPr="00207DC2">
              <w:rPr>
                <w:lang w:val="en-AU"/>
              </w:rPr>
              <w:t xml:space="preserve"> of Human Services). Participants therefore exited benefits without reporting an employment outcome to the Department</w:t>
            </w:r>
            <w:r w:rsidR="00145C65" w:rsidRPr="00207DC2">
              <w:rPr>
                <w:lang w:val="en-AU"/>
              </w:rPr>
              <w:t xml:space="preserve"> of Human Services</w:t>
            </w:r>
          </w:p>
          <w:p w14:paraId="47066CBB" w14:textId="6EBC0DDA" w:rsidR="00752712" w:rsidRPr="00207DC2" w:rsidRDefault="00C47D97" w:rsidP="00FB626D">
            <w:pPr>
              <w:pStyle w:val="ListBullet"/>
              <w:spacing w:after="240"/>
              <w:ind w:left="357" w:hanging="357"/>
              <w:jc w:val="both"/>
              <w:rPr>
                <w:lang w:val="en-AU"/>
              </w:rPr>
            </w:pPr>
            <w:r w:rsidRPr="00207DC2">
              <w:rPr>
                <w:lang w:val="en-AU"/>
              </w:rPr>
              <w:t>•</w:t>
            </w:r>
            <w:r w:rsidRPr="00207DC2">
              <w:rPr>
                <w:lang w:val="en-AU"/>
              </w:rPr>
              <w:tab/>
              <w:t>did not have an employment outcome recorded by their CDP provider in t</w:t>
            </w:r>
            <w:r w:rsidR="00752712" w:rsidRPr="00207DC2">
              <w:rPr>
                <w:lang w:val="en-AU"/>
              </w:rPr>
              <w:t>he nine months prior</w:t>
            </w:r>
            <w:r w:rsidRPr="00207DC2">
              <w:rPr>
                <w:lang w:val="en-AU"/>
              </w:rPr>
              <w:t xml:space="preserve"> </w:t>
            </w:r>
            <w:r w:rsidR="00301CDD" w:rsidRPr="00207DC2">
              <w:rPr>
                <w:lang w:val="en-AU"/>
              </w:rPr>
              <w:t>to their benefit</w:t>
            </w:r>
            <w:r w:rsidR="000245AF" w:rsidRPr="00207DC2">
              <w:rPr>
                <w:lang w:val="en-AU"/>
              </w:rPr>
              <w:t>s ceasing</w:t>
            </w:r>
            <w:r w:rsidR="00301CDD" w:rsidRPr="00207DC2">
              <w:rPr>
                <w:lang w:val="en-AU"/>
              </w:rPr>
              <w:t xml:space="preserve">. </w:t>
            </w:r>
          </w:p>
          <w:p w14:paraId="5C862D01" w14:textId="77777777" w:rsidR="00301CDD" w:rsidRPr="00207DC2" w:rsidRDefault="0057637F" w:rsidP="00FB626D">
            <w:pPr>
              <w:jc w:val="both"/>
              <w:rPr>
                <w:lang w:val="en-AU"/>
              </w:rPr>
            </w:pPr>
            <w:r w:rsidRPr="00207DC2">
              <w:rPr>
                <w:lang w:val="en-AU"/>
              </w:rPr>
              <w:t xml:space="preserve">By considering employment outcomes in the </w:t>
            </w:r>
            <w:r w:rsidR="00301CDD" w:rsidRPr="00207DC2">
              <w:rPr>
                <w:lang w:val="en-AU"/>
              </w:rPr>
              <w:t>nine</w:t>
            </w:r>
            <w:r w:rsidRPr="00207DC2">
              <w:rPr>
                <w:lang w:val="en-AU"/>
              </w:rPr>
              <w:t xml:space="preserve"> months </w:t>
            </w:r>
            <w:r w:rsidR="00FA79CB" w:rsidRPr="00207DC2">
              <w:rPr>
                <w:lang w:val="en-AU"/>
              </w:rPr>
              <w:t>prior</w:t>
            </w:r>
            <w:r w:rsidRPr="00207DC2">
              <w:rPr>
                <w:lang w:val="en-AU"/>
              </w:rPr>
              <w:t xml:space="preserve"> </w:t>
            </w:r>
            <w:r w:rsidR="00FA79CB" w:rsidRPr="00207DC2">
              <w:rPr>
                <w:lang w:val="en-AU"/>
              </w:rPr>
              <w:t xml:space="preserve">to </w:t>
            </w:r>
            <w:r w:rsidRPr="00207DC2">
              <w:rPr>
                <w:lang w:val="en-AU"/>
              </w:rPr>
              <w:t>disengagement</w:t>
            </w:r>
            <w:r w:rsidR="00FA79CB" w:rsidRPr="00207DC2">
              <w:rPr>
                <w:lang w:val="en-AU"/>
              </w:rPr>
              <w:t>, the analysis</w:t>
            </w:r>
            <w:r w:rsidR="00301CDD" w:rsidRPr="00207DC2">
              <w:rPr>
                <w:lang w:val="en-AU"/>
              </w:rPr>
              <w:t xml:space="preserve"> capture</w:t>
            </w:r>
            <w:r w:rsidR="00FA79CB" w:rsidRPr="00207DC2">
              <w:rPr>
                <w:lang w:val="en-AU"/>
              </w:rPr>
              <w:t xml:space="preserve">s </w:t>
            </w:r>
            <w:r w:rsidR="00301CDD" w:rsidRPr="00207DC2">
              <w:rPr>
                <w:lang w:val="en-AU"/>
              </w:rPr>
              <w:t>26</w:t>
            </w:r>
            <w:r w:rsidR="00D6415A" w:rsidRPr="00207DC2">
              <w:rPr>
                <w:lang w:val="en-AU"/>
              </w:rPr>
              <w:t>-</w:t>
            </w:r>
            <w:r w:rsidR="00301CDD" w:rsidRPr="00207DC2">
              <w:rPr>
                <w:lang w:val="en-AU"/>
              </w:rPr>
              <w:t xml:space="preserve">week outcomes </w:t>
            </w:r>
            <w:r w:rsidR="00FA79CB" w:rsidRPr="00207DC2">
              <w:rPr>
                <w:lang w:val="en-AU"/>
              </w:rPr>
              <w:t>(</w:t>
            </w:r>
            <w:r w:rsidR="00301CDD" w:rsidRPr="00207DC2">
              <w:rPr>
                <w:lang w:val="en-AU"/>
              </w:rPr>
              <w:t xml:space="preserve">with </w:t>
            </w:r>
            <w:r w:rsidR="00FA79CB" w:rsidRPr="00207DC2">
              <w:rPr>
                <w:lang w:val="en-AU"/>
              </w:rPr>
              <w:t xml:space="preserve">allowable </w:t>
            </w:r>
            <w:r w:rsidR="00301CDD" w:rsidRPr="00207DC2">
              <w:rPr>
                <w:lang w:val="en-AU"/>
              </w:rPr>
              <w:t>breaks</w:t>
            </w:r>
            <w:r w:rsidR="00FA79CB" w:rsidRPr="00207DC2">
              <w:rPr>
                <w:lang w:val="en-AU"/>
              </w:rPr>
              <w:t>) for CDP participants</w:t>
            </w:r>
            <w:r w:rsidR="00301CDD" w:rsidRPr="00207DC2">
              <w:rPr>
                <w:lang w:val="en-AU"/>
              </w:rPr>
              <w:t xml:space="preserve">. </w:t>
            </w:r>
            <w:r w:rsidR="00C972D2" w:rsidRPr="00207DC2">
              <w:rPr>
                <w:lang w:val="en-AU"/>
              </w:rPr>
              <w:t>Restricting</w:t>
            </w:r>
            <w:r w:rsidR="00301CDD" w:rsidRPr="00207DC2">
              <w:rPr>
                <w:lang w:val="en-AU"/>
              </w:rPr>
              <w:t xml:space="preserve"> the definition of the disengaged group to include only employment outcomes three or six months prior to the cancellation event</w:t>
            </w:r>
            <w:r w:rsidR="00B70AF4" w:rsidRPr="00207DC2">
              <w:rPr>
                <w:lang w:val="en-AU"/>
              </w:rPr>
              <w:t>,</w:t>
            </w:r>
            <w:r w:rsidR="00301CDD" w:rsidRPr="00207DC2">
              <w:rPr>
                <w:lang w:val="en-AU"/>
              </w:rPr>
              <w:t xml:space="preserve"> the group was largely consistent (with only about 25 </w:t>
            </w:r>
            <w:r w:rsidR="009774C2" w:rsidRPr="00207DC2">
              <w:rPr>
                <w:lang w:val="en-AU"/>
              </w:rPr>
              <w:t xml:space="preserve">additional </w:t>
            </w:r>
            <w:r w:rsidR="00301CDD" w:rsidRPr="00207DC2">
              <w:rPr>
                <w:lang w:val="en-AU"/>
              </w:rPr>
              <w:t xml:space="preserve">people removed for each longer time span). </w:t>
            </w:r>
          </w:p>
          <w:p w14:paraId="22796EDC" w14:textId="77777777" w:rsidR="00781FF3" w:rsidRPr="00207DC2" w:rsidRDefault="00333184" w:rsidP="00FB626D">
            <w:pPr>
              <w:jc w:val="both"/>
              <w:rPr>
                <w:lang w:val="en-AU"/>
              </w:rPr>
            </w:pPr>
            <w:r w:rsidRPr="00207DC2">
              <w:rPr>
                <w:lang w:val="en-AU"/>
              </w:rPr>
              <w:t xml:space="preserve">The group of CDP participants used </w:t>
            </w:r>
            <w:r w:rsidR="004273A6" w:rsidRPr="00207DC2">
              <w:rPr>
                <w:lang w:val="en-AU"/>
              </w:rPr>
              <w:t>in this analysis were</w:t>
            </w:r>
            <w:r w:rsidRPr="00207DC2">
              <w:rPr>
                <w:lang w:val="en-AU"/>
              </w:rPr>
              <w:t xml:space="preserve"> </w:t>
            </w:r>
            <w:r w:rsidR="00301CDD" w:rsidRPr="00207DC2">
              <w:rPr>
                <w:lang w:val="en-AU"/>
              </w:rPr>
              <w:t>those</w:t>
            </w:r>
            <w:r w:rsidRPr="00207DC2">
              <w:rPr>
                <w:lang w:val="en-AU"/>
              </w:rPr>
              <w:t xml:space="preserve"> </w:t>
            </w:r>
            <w:r w:rsidR="00301CDD" w:rsidRPr="00207DC2">
              <w:rPr>
                <w:lang w:val="en-AU"/>
              </w:rPr>
              <w:t xml:space="preserve">who were registered </w:t>
            </w:r>
            <w:r w:rsidR="006B26C5" w:rsidRPr="00207DC2">
              <w:rPr>
                <w:lang w:val="en-AU"/>
              </w:rPr>
              <w:t>with a</w:t>
            </w:r>
            <w:r w:rsidR="00301CDD" w:rsidRPr="00207DC2">
              <w:rPr>
                <w:lang w:val="en-AU"/>
              </w:rPr>
              <w:t xml:space="preserve"> CDP </w:t>
            </w:r>
            <w:r w:rsidR="006B26C5" w:rsidRPr="00207DC2">
              <w:rPr>
                <w:lang w:val="en-AU"/>
              </w:rPr>
              <w:t>provider</w:t>
            </w:r>
            <w:r w:rsidR="00301CDD" w:rsidRPr="00207DC2">
              <w:rPr>
                <w:lang w:val="en-AU"/>
              </w:rPr>
              <w:t xml:space="preserve"> on 1 January</w:t>
            </w:r>
            <w:r w:rsidR="00301CDD" w:rsidRPr="00207DC2" w:rsidDel="00314F8E">
              <w:rPr>
                <w:lang w:val="en-AU"/>
              </w:rPr>
              <w:t xml:space="preserve"> </w:t>
            </w:r>
            <w:r w:rsidR="00301CDD" w:rsidRPr="00207DC2">
              <w:rPr>
                <w:lang w:val="en-AU"/>
              </w:rPr>
              <w:t>2016</w:t>
            </w:r>
            <w:r w:rsidRPr="00207DC2">
              <w:rPr>
                <w:lang w:val="en-AU"/>
              </w:rPr>
              <w:t>.</w:t>
            </w:r>
            <w:r w:rsidR="00301CDD" w:rsidRPr="00207DC2">
              <w:rPr>
                <w:lang w:val="en-AU"/>
              </w:rPr>
              <w:t xml:space="preserve"> </w:t>
            </w:r>
          </w:p>
        </w:tc>
      </w:tr>
    </w:tbl>
    <w:p w14:paraId="198803B1" w14:textId="04DDF25B" w:rsidR="00D57D1D" w:rsidRPr="00207DC2" w:rsidRDefault="00D57D1D" w:rsidP="00FB626D">
      <w:pPr>
        <w:pStyle w:val="TableofFigures"/>
        <w:rPr>
          <w:lang w:val="en-AU" w:eastAsia="en-AU"/>
        </w:rPr>
      </w:pPr>
    </w:p>
    <w:p w14:paraId="7F3F2436" w14:textId="1F224C3D" w:rsidR="0085019F" w:rsidRPr="00207DC2" w:rsidRDefault="00F40A47" w:rsidP="00FB626D">
      <w:pPr>
        <w:tabs>
          <w:tab w:val="left" w:pos="5670"/>
        </w:tabs>
        <w:jc w:val="both"/>
        <w:rPr>
          <w:lang w:val="en-AU"/>
        </w:rPr>
      </w:pPr>
      <w:r w:rsidRPr="00207DC2">
        <w:rPr>
          <w:lang w:val="en-AU"/>
        </w:rPr>
        <w:t>By this measure,</w:t>
      </w:r>
      <w:r w:rsidRPr="00207DC2">
        <w:rPr>
          <w:i/>
          <w:lang w:val="en-AU"/>
        </w:rPr>
        <w:t xml:space="preserve"> s</w:t>
      </w:r>
      <w:r w:rsidR="002634B6" w:rsidRPr="00207DC2">
        <w:rPr>
          <w:lang w:val="en-AU"/>
        </w:rPr>
        <w:t>ix</w:t>
      </w:r>
      <w:r w:rsidR="0085019F" w:rsidRPr="00207DC2">
        <w:rPr>
          <w:lang w:val="en-AU"/>
        </w:rPr>
        <w:t> per cent (about 600) of all CDP participants penalised in the first quarter of 2016 (10,080)</w:t>
      </w:r>
      <w:r w:rsidR="00FA13EA" w:rsidRPr="00207DC2">
        <w:rPr>
          <w:lang w:val="en-AU"/>
        </w:rPr>
        <w:t xml:space="preserve"> </w:t>
      </w:r>
      <w:r w:rsidR="00FA13EA" w:rsidRPr="00207DC2">
        <w:rPr>
          <w:i/>
          <w:lang w:val="en-AU"/>
        </w:rPr>
        <w:t xml:space="preserve">disengaged </w:t>
      </w:r>
      <w:r w:rsidR="00FA13EA" w:rsidRPr="00207DC2">
        <w:rPr>
          <w:lang w:val="en-AU"/>
        </w:rPr>
        <w:t>at some stage</w:t>
      </w:r>
      <w:r w:rsidR="002317C4" w:rsidRPr="00207DC2">
        <w:rPr>
          <w:lang w:val="en-AU"/>
        </w:rPr>
        <w:t xml:space="preserve"> over the year</w:t>
      </w:r>
      <w:r w:rsidR="0085019F" w:rsidRPr="00207DC2">
        <w:rPr>
          <w:lang w:val="en-AU"/>
        </w:rPr>
        <w:t xml:space="preserve">. That is, of those participants penalised in the first quarter of 2016, one in sixteen exited </w:t>
      </w:r>
      <w:r w:rsidR="0043175B" w:rsidRPr="00207DC2">
        <w:rPr>
          <w:lang w:val="en-AU"/>
        </w:rPr>
        <w:t xml:space="preserve">off income support payments </w:t>
      </w:r>
      <w:r w:rsidR="0085019F" w:rsidRPr="00207DC2">
        <w:rPr>
          <w:lang w:val="en-AU"/>
        </w:rPr>
        <w:t xml:space="preserve">that year without having any record of an employment outcome in either the DHS or </w:t>
      </w:r>
      <w:r w:rsidRPr="00207DC2">
        <w:rPr>
          <w:lang w:val="en-AU"/>
        </w:rPr>
        <w:t>e</w:t>
      </w:r>
      <w:r w:rsidR="0085019F" w:rsidRPr="00207DC2">
        <w:rPr>
          <w:lang w:val="en-AU"/>
        </w:rPr>
        <w:t>mployment services system. This rate was higher for men than women</w:t>
      </w:r>
      <w:r w:rsidR="00396552">
        <w:rPr>
          <w:lang w:val="en-AU"/>
        </w:rPr>
        <w:t xml:space="preserve"> – </w:t>
      </w:r>
      <w:r w:rsidR="002634B6" w:rsidRPr="00207DC2">
        <w:rPr>
          <w:lang w:val="en-AU"/>
        </w:rPr>
        <w:t>four</w:t>
      </w:r>
      <w:r w:rsidR="0085019F" w:rsidRPr="00207DC2">
        <w:rPr>
          <w:lang w:val="en-AU"/>
        </w:rPr>
        <w:t xml:space="preserve"> per cent of women penalised in the first quarter of 2016 exited benefits that year with no record of having a job, compared </w:t>
      </w:r>
      <w:r w:rsidR="0083116A" w:rsidRPr="00207DC2">
        <w:rPr>
          <w:lang w:val="en-AU"/>
        </w:rPr>
        <w:t>with</w:t>
      </w:r>
      <w:r w:rsidR="0085019F" w:rsidRPr="00207DC2">
        <w:rPr>
          <w:lang w:val="en-AU"/>
        </w:rPr>
        <w:t xml:space="preserve"> </w:t>
      </w:r>
      <w:r w:rsidR="002634B6" w:rsidRPr="00207DC2">
        <w:rPr>
          <w:lang w:val="en-AU"/>
        </w:rPr>
        <w:t>eight</w:t>
      </w:r>
      <w:r w:rsidR="0085019F" w:rsidRPr="00207DC2">
        <w:rPr>
          <w:lang w:val="en-AU"/>
        </w:rPr>
        <w:t> per cent of men (</w:t>
      </w:r>
      <w:r w:rsidR="0057565A" w:rsidRPr="00207DC2">
        <w:rPr>
          <w:szCs w:val="18"/>
          <w:lang w:val="en-AU"/>
        </w:rPr>
        <w:t>PMC</w:t>
      </w:r>
      <w:r w:rsidR="00910218">
        <w:rPr>
          <w:szCs w:val="18"/>
          <w:lang w:val="en-AU"/>
        </w:rPr>
        <w:t> </w:t>
      </w:r>
      <w:r w:rsidR="0085019F" w:rsidRPr="00207DC2">
        <w:rPr>
          <w:szCs w:val="18"/>
          <w:lang w:val="en-AU"/>
        </w:rPr>
        <w:t>estimates based</w:t>
      </w:r>
      <w:r w:rsidR="00FA13EA" w:rsidRPr="00207DC2">
        <w:rPr>
          <w:szCs w:val="18"/>
          <w:lang w:val="en-AU"/>
        </w:rPr>
        <w:t xml:space="preserve"> on</w:t>
      </w:r>
      <w:r w:rsidR="0085019F" w:rsidRPr="00207DC2">
        <w:rPr>
          <w:szCs w:val="18"/>
          <w:lang w:val="en-AU"/>
        </w:rPr>
        <w:t xml:space="preserve"> </w:t>
      </w:r>
      <w:r w:rsidR="0085019F" w:rsidRPr="00207DC2">
        <w:rPr>
          <w:lang w:val="en-AU"/>
        </w:rPr>
        <w:t>unpublished DHS data).</w:t>
      </w:r>
    </w:p>
    <w:p w14:paraId="345D2FCB" w14:textId="5464A917" w:rsidR="00D905BA" w:rsidRPr="00207DC2" w:rsidRDefault="0043175B" w:rsidP="00FB626D">
      <w:pPr>
        <w:spacing w:before="240"/>
        <w:jc w:val="both"/>
        <w:rPr>
          <w:lang w:val="en-AU"/>
        </w:rPr>
      </w:pPr>
      <w:r w:rsidRPr="00207DC2">
        <w:rPr>
          <w:lang w:val="en-AU"/>
        </w:rPr>
        <w:t>P</w:t>
      </w:r>
      <w:r w:rsidR="004C3CB5" w:rsidRPr="00207DC2">
        <w:rPr>
          <w:lang w:val="en-AU"/>
        </w:rPr>
        <w:t xml:space="preserve">eople who </w:t>
      </w:r>
      <w:r w:rsidR="00D905BA" w:rsidRPr="00207DC2">
        <w:rPr>
          <w:i/>
          <w:lang w:val="en-AU"/>
        </w:rPr>
        <w:t>disengaged</w:t>
      </w:r>
      <w:r w:rsidR="00CD1E15" w:rsidRPr="00207DC2">
        <w:rPr>
          <w:i/>
          <w:lang w:val="en-AU"/>
        </w:rPr>
        <w:t xml:space="preserve"> </w:t>
      </w:r>
      <w:r w:rsidR="00D905BA" w:rsidRPr="00207DC2">
        <w:rPr>
          <w:lang w:val="en-AU"/>
        </w:rPr>
        <w:t>(</w:t>
      </w:r>
      <w:r w:rsidR="009A58D3" w:rsidRPr="00207DC2">
        <w:rPr>
          <w:lang w:val="en-AU"/>
        </w:rPr>
        <w:t>Box </w:t>
      </w:r>
      <w:r w:rsidR="00B53E8F" w:rsidRPr="00207DC2">
        <w:rPr>
          <w:lang w:val="en-AU"/>
        </w:rPr>
        <w:t>3</w:t>
      </w:r>
      <w:r w:rsidR="002317C4" w:rsidRPr="00207DC2">
        <w:rPr>
          <w:lang w:val="en-AU"/>
        </w:rPr>
        <w:t>.2</w:t>
      </w:r>
      <w:r w:rsidR="00D905BA" w:rsidRPr="00207DC2">
        <w:rPr>
          <w:lang w:val="en-AU"/>
        </w:rPr>
        <w:t>) are disproportionately men</w:t>
      </w:r>
      <w:r w:rsidRPr="00207DC2">
        <w:rPr>
          <w:lang w:val="en-AU"/>
        </w:rPr>
        <w:t xml:space="preserve"> (Figure 3.11)</w:t>
      </w:r>
      <w:r w:rsidR="00D905BA" w:rsidRPr="00207DC2">
        <w:rPr>
          <w:lang w:val="en-AU"/>
        </w:rPr>
        <w:t>. Young men, under 30 years old, accounted for 4</w:t>
      </w:r>
      <w:r w:rsidR="00AA799D" w:rsidRPr="00207DC2">
        <w:rPr>
          <w:lang w:val="en-AU"/>
        </w:rPr>
        <w:t>3</w:t>
      </w:r>
      <w:r w:rsidR="00D905BA" w:rsidRPr="00207DC2">
        <w:rPr>
          <w:lang w:val="en-AU"/>
        </w:rPr>
        <w:t xml:space="preserve"> per cent of all those who disengaged from the </w:t>
      </w:r>
      <w:r w:rsidR="00C47D97" w:rsidRPr="00207DC2">
        <w:rPr>
          <w:lang w:val="en-AU"/>
        </w:rPr>
        <w:t>income support system</w:t>
      </w:r>
      <w:r w:rsidR="00D905BA" w:rsidRPr="00207DC2">
        <w:rPr>
          <w:lang w:val="en-AU"/>
        </w:rPr>
        <w:t xml:space="preserve"> following penalties. </w:t>
      </w:r>
      <w:r w:rsidR="00EF6DAA" w:rsidRPr="00207DC2">
        <w:rPr>
          <w:lang w:val="en-AU"/>
        </w:rPr>
        <w:t>For both men and women, the disengaged group were disproportionately young people – t</w:t>
      </w:r>
      <w:r w:rsidR="00D905BA" w:rsidRPr="00207DC2">
        <w:rPr>
          <w:lang w:val="en-AU"/>
        </w:rPr>
        <w:t xml:space="preserve">his is consistent with the identified drop in the overall </w:t>
      </w:r>
      <w:r w:rsidR="001E2B34" w:rsidRPr="00207DC2">
        <w:rPr>
          <w:lang w:val="en-AU"/>
        </w:rPr>
        <w:t xml:space="preserve">number of </w:t>
      </w:r>
      <w:r w:rsidR="00D905BA" w:rsidRPr="00207DC2">
        <w:rPr>
          <w:lang w:val="en-AU"/>
        </w:rPr>
        <w:t xml:space="preserve">CDP </w:t>
      </w:r>
      <w:r w:rsidR="001E2B34" w:rsidRPr="00207DC2">
        <w:rPr>
          <w:lang w:val="en-AU"/>
        </w:rPr>
        <w:t>participants</w:t>
      </w:r>
      <w:r w:rsidR="00D905BA" w:rsidRPr="00207DC2">
        <w:rPr>
          <w:lang w:val="en-AU"/>
        </w:rPr>
        <w:t xml:space="preserve"> for you</w:t>
      </w:r>
      <w:r w:rsidR="0091327C" w:rsidRPr="00207DC2">
        <w:rPr>
          <w:lang w:val="en-AU"/>
        </w:rPr>
        <w:t>ng</w:t>
      </w:r>
      <w:r w:rsidR="00F40A47" w:rsidRPr="00207DC2">
        <w:rPr>
          <w:lang w:val="en-AU"/>
        </w:rPr>
        <w:t>er age groups</w:t>
      </w:r>
      <w:r w:rsidR="001E2B34" w:rsidRPr="00207DC2">
        <w:rPr>
          <w:lang w:val="en-AU"/>
        </w:rPr>
        <w:t xml:space="preserve"> (</w:t>
      </w:r>
      <w:r w:rsidR="0091327C" w:rsidRPr="00207DC2">
        <w:rPr>
          <w:lang w:val="en-AU"/>
        </w:rPr>
        <w:t>Chapter </w:t>
      </w:r>
      <w:r w:rsidR="00285C31" w:rsidRPr="00207DC2">
        <w:rPr>
          <w:lang w:val="en-AU"/>
        </w:rPr>
        <w:t>2</w:t>
      </w:r>
      <w:r w:rsidR="00D905BA" w:rsidRPr="00207DC2">
        <w:rPr>
          <w:lang w:val="en-AU"/>
        </w:rPr>
        <w:t xml:space="preserve">). </w:t>
      </w:r>
    </w:p>
    <w:p w14:paraId="75FF421B" w14:textId="77777777" w:rsidR="001C1256" w:rsidRPr="00207DC2" w:rsidRDefault="001C1256" w:rsidP="00FB626D">
      <w:pPr>
        <w:tabs>
          <w:tab w:val="left" w:pos="5103"/>
          <w:tab w:val="left" w:pos="5670"/>
        </w:tabs>
        <w:spacing w:before="240"/>
        <w:jc w:val="both"/>
        <w:rPr>
          <w:lang w:val="en-AU"/>
        </w:rPr>
      </w:pPr>
      <w:r w:rsidRPr="00207DC2">
        <w:rPr>
          <w:lang w:val="en-AU"/>
        </w:rPr>
        <w:t>Of this group that exited income support benefits without a prior employment outcome recorded, nearly 15 per cent did not come back on benefits within the next 12-month period. Among those that came back onto the income support system, on average they went 92 days without receiving income support payments.</w:t>
      </w:r>
    </w:p>
    <w:p w14:paraId="5C97EAF6" w14:textId="77777777" w:rsidR="001C1256" w:rsidRPr="00207DC2" w:rsidRDefault="001C1256" w:rsidP="00FB626D">
      <w:pPr>
        <w:tabs>
          <w:tab w:val="left" w:pos="5103"/>
          <w:tab w:val="left" w:pos="5670"/>
        </w:tabs>
        <w:spacing w:after="120"/>
        <w:jc w:val="both"/>
        <w:rPr>
          <w:lang w:val="en-AU"/>
        </w:rPr>
      </w:pPr>
      <w:r w:rsidRPr="00207DC2">
        <w:rPr>
          <w:lang w:val="en-AU"/>
        </w:rPr>
        <w:t>There was a high rate of variation in days off income support payments. Of the identified disengaged group (</w:t>
      </w:r>
      <w:r w:rsidR="007202B6" w:rsidRPr="00207DC2">
        <w:rPr>
          <w:lang w:val="en-AU"/>
        </w:rPr>
        <w:t xml:space="preserve">close to </w:t>
      </w:r>
      <w:r w:rsidRPr="00207DC2">
        <w:rPr>
          <w:lang w:val="en-AU"/>
        </w:rPr>
        <w:t>600 people who disengaged in 2016 without a job outcome in the prior nine months and were penalised in the first quarter of 2016):</w:t>
      </w:r>
    </w:p>
    <w:p w14:paraId="4B1DC199" w14:textId="77777777" w:rsidR="001C1256" w:rsidRPr="00207DC2" w:rsidRDefault="001C1256" w:rsidP="00F90446">
      <w:pPr>
        <w:pStyle w:val="ListParagraph"/>
        <w:numPr>
          <w:ilvl w:val="0"/>
          <w:numId w:val="8"/>
        </w:numPr>
        <w:jc w:val="both"/>
        <w:rPr>
          <w:lang w:val="en-AU"/>
        </w:rPr>
      </w:pPr>
      <w:r w:rsidRPr="00207DC2">
        <w:rPr>
          <w:lang w:val="en-AU"/>
        </w:rPr>
        <w:t>one per cent returned to the income support system within two weeks</w:t>
      </w:r>
    </w:p>
    <w:p w14:paraId="4F98E971" w14:textId="1A1058D5" w:rsidR="001C1256" w:rsidRPr="00207DC2" w:rsidRDefault="008D76D8" w:rsidP="00F90446">
      <w:pPr>
        <w:pStyle w:val="ListParagraph"/>
        <w:numPr>
          <w:ilvl w:val="0"/>
          <w:numId w:val="8"/>
        </w:numPr>
        <w:jc w:val="both"/>
        <w:rPr>
          <w:lang w:val="en-AU"/>
        </w:rPr>
      </w:pPr>
      <w:r w:rsidRPr="00207DC2">
        <w:rPr>
          <w:lang w:val="en-AU"/>
        </w:rPr>
        <w:t>eleven </w:t>
      </w:r>
      <w:r w:rsidR="001C1256" w:rsidRPr="00207DC2">
        <w:rPr>
          <w:lang w:val="en-AU"/>
        </w:rPr>
        <w:t>per cent spent between two weeks and one month off income support</w:t>
      </w:r>
    </w:p>
    <w:p w14:paraId="38406C3E" w14:textId="77777777" w:rsidR="001C1256" w:rsidRPr="00207DC2" w:rsidRDefault="001C1256" w:rsidP="00F90446">
      <w:pPr>
        <w:pStyle w:val="ListParagraph"/>
        <w:numPr>
          <w:ilvl w:val="0"/>
          <w:numId w:val="8"/>
        </w:numPr>
        <w:jc w:val="both"/>
        <w:rPr>
          <w:lang w:val="en-AU"/>
        </w:rPr>
      </w:pPr>
      <w:r w:rsidRPr="00207DC2">
        <w:rPr>
          <w:lang w:val="en-AU"/>
        </w:rPr>
        <w:t>45 per cent spent one to three months off</w:t>
      </w:r>
    </w:p>
    <w:p w14:paraId="1A855859" w14:textId="24FF7B41" w:rsidR="001C1256" w:rsidRPr="00207DC2" w:rsidRDefault="008D76D8" w:rsidP="00F90446">
      <w:pPr>
        <w:pStyle w:val="ListParagraph"/>
        <w:numPr>
          <w:ilvl w:val="0"/>
          <w:numId w:val="8"/>
        </w:numPr>
        <w:jc w:val="both"/>
        <w:rPr>
          <w:lang w:val="en-AU"/>
        </w:rPr>
      </w:pPr>
      <w:r w:rsidRPr="00207DC2">
        <w:rPr>
          <w:lang w:val="en-AU"/>
        </w:rPr>
        <w:t>30 </w:t>
      </w:r>
      <w:r w:rsidR="001C1256" w:rsidRPr="00207DC2">
        <w:rPr>
          <w:lang w:val="en-AU"/>
        </w:rPr>
        <w:t>per cent spent three months to 12 months off</w:t>
      </w:r>
    </w:p>
    <w:p w14:paraId="089B0F4C" w14:textId="77777777" w:rsidR="001C1256" w:rsidRPr="00207DC2" w:rsidRDefault="001C1256" w:rsidP="00F90446">
      <w:pPr>
        <w:pStyle w:val="ListParagraph"/>
        <w:numPr>
          <w:ilvl w:val="0"/>
          <w:numId w:val="8"/>
        </w:numPr>
        <w:jc w:val="both"/>
        <w:rPr>
          <w:lang w:val="en-AU"/>
        </w:rPr>
      </w:pPr>
      <w:r w:rsidRPr="00207DC2">
        <w:rPr>
          <w:lang w:val="en-AU"/>
        </w:rPr>
        <w:t>14 per cent still had not returned within a year.</w:t>
      </w:r>
    </w:p>
    <w:p w14:paraId="3FA69C98" w14:textId="77777777" w:rsidR="002B7DC9" w:rsidRPr="00207DC2" w:rsidRDefault="00B552CD" w:rsidP="00F35F78">
      <w:pPr>
        <w:pStyle w:val="ZED5"/>
        <w:outlineLvl w:val="3"/>
      </w:pPr>
      <w:bookmarkStart w:id="399" w:name="_Toc515185465"/>
      <w:bookmarkStart w:id="400" w:name="_Toc516219838"/>
      <w:bookmarkStart w:id="401" w:name="_Toc516220479"/>
      <w:bookmarkStart w:id="402" w:name="_Toc516223299"/>
      <w:bookmarkStart w:id="403" w:name="_Toc516225207"/>
      <w:bookmarkStart w:id="404" w:name="_Toc516228983"/>
      <w:bookmarkStart w:id="405" w:name="_Toc535935055"/>
      <w:r w:rsidRPr="00207DC2">
        <w:t xml:space="preserve">Changes between </w:t>
      </w:r>
      <w:r w:rsidR="00CD23DD" w:rsidRPr="00207DC2">
        <w:t>the RJCP and CDP</w:t>
      </w:r>
      <w:bookmarkEnd w:id="399"/>
      <w:bookmarkEnd w:id="400"/>
      <w:bookmarkEnd w:id="401"/>
      <w:bookmarkEnd w:id="402"/>
      <w:bookmarkEnd w:id="403"/>
      <w:bookmarkEnd w:id="404"/>
      <w:bookmarkEnd w:id="405"/>
    </w:p>
    <w:p w14:paraId="1DE36125" w14:textId="2F4CF11A" w:rsidR="005F7544" w:rsidRPr="00207DC2" w:rsidRDefault="001D3DF8" w:rsidP="006444C9">
      <w:pPr>
        <w:tabs>
          <w:tab w:val="left" w:pos="5812"/>
        </w:tabs>
        <w:spacing w:before="120" w:after="120"/>
        <w:jc w:val="both"/>
        <w:rPr>
          <w:lang w:val="en-AU"/>
        </w:rPr>
      </w:pPr>
      <w:r w:rsidRPr="00207DC2">
        <w:rPr>
          <w:lang w:val="en-AU"/>
        </w:rPr>
        <w:t xml:space="preserve">Participants may have responded to </w:t>
      </w:r>
      <w:r w:rsidR="00B917B4" w:rsidRPr="00207DC2">
        <w:rPr>
          <w:lang w:val="en-AU"/>
        </w:rPr>
        <w:t xml:space="preserve">the </w:t>
      </w:r>
      <w:r w:rsidR="00585A93" w:rsidRPr="00207DC2">
        <w:rPr>
          <w:lang w:val="en-AU"/>
        </w:rPr>
        <w:t>increase</w:t>
      </w:r>
      <w:r w:rsidR="006935AC" w:rsidRPr="00207DC2">
        <w:rPr>
          <w:lang w:val="en-AU"/>
        </w:rPr>
        <w:t xml:space="preserve">d application of </w:t>
      </w:r>
      <w:r w:rsidR="00585A93" w:rsidRPr="00207DC2">
        <w:rPr>
          <w:lang w:val="en-AU"/>
        </w:rPr>
        <w:t xml:space="preserve">penalties </w:t>
      </w:r>
      <w:r w:rsidR="00B917B4" w:rsidRPr="00207DC2">
        <w:rPr>
          <w:lang w:val="en-AU"/>
        </w:rPr>
        <w:t xml:space="preserve">under CDP </w:t>
      </w:r>
      <w:r w:rsidRPr="00207DC2">
        <w:rPr>
          <w:lang w:val="en-AU"/>
        </w:rPr>
        <w:t>in a number of ways</w:t>
      </w:r>
      <w:r w:rsidR="00E663BC" w:rsidRPr="00207DC2">
        <w:rPr>
          <w:lang w:val="en-AU"/>
        </w:rPr>
        <w:t>,</w:t>
      </w:r>
      <w:r w:rsidRPr="00207DC2">
        <w:rPr>
          <w:lang w:val="en-AU"/>
        </w:rPr>
        <w:t xml:space="preserve"> including </w:t>
      </w:r>
      <w:r w:rsidR="00BD6E11" w:rsidRPr="00207DC2">
        <w:rPr>
          <w:lang w:val="en-AU"/>
        </w:rPr>
        <w:t>by</w:t>
      </w:r>
      <w:r w:rsidRPr="00207DC2">
        <w:rPr>
          <w:lang w:val="en-AU"/>
        </w:rPr>
        <w:t xml:space="preserve"> </w:t>
      </w:r>
      <w:r w:rsidR="00BD6E11" w:rsidRPr="00207DC2">
        <w:rPr>
          <w:lang w:val="en-AU"/>
        </w:rPr>
        <w:t>maintaining or increasing their attendance (or valid non</w:t>
      </w:r>
      <w:r w:rsidR="00BD6E11" w:rsidRPr="00207DC2">
        <w:rPr>
          <w:lang w:val="en-AU"/>
        </w:rPr>
        <w:noBreakHyphen/>
        <w:t xml:space="preserve">attendance) in order to meet their mutual obligation requirements; or by disengaging from the program. </w:t>
      </w:r>
    </w:p>
    <w:p w14:paraId="3712801D" w14:textId="5E0D8DF7" w:rsidR="005F7544" w:rsidRPr="00207DC2" w:rsidRDefault="005926EF" w:rsidP="007601A5">
      <w:pPr>
        <w:spacing w:before="120" w:after="120"/>
        <w:jc w:val="both"/>
        <w:rPr>
          <w:lang w:val="en-AU"/>
        </w:rPr>
      </w:pPr>
      <w:r w:rsidRPr="00207DC2">
        <w:rPr>
          <w:lang w:val="en-AU"/>
        </w:rPr>
        <w:t xml:space="preserve">Indicative </w:t>
      </w:r>
      <w:r w:rsidR="007601A5" w:rsidRPr="00207DC2">
        <w:rPr>
          <w:lang w:val="en-AU"/>
        </w:rPr>
        <w:t>analysis</w:t>
      </w:r>
      <w:r w:rsidR="002D1721" w:rsidRPr="00207DC2">
        <w:rPr>
          <w:lang w:val="en-AU"/>
        </w:rPr>
        <w:t xml:space="preserve"> of the share of RJCP and CDP participants who </w:t>
      </w:r>
      <w:r w:rsidR="002D1721" w:rsidRPr="00207DC2">
        <w:rPr>
          <w:i/>
          <w:lang w:val="en-AU"/>
        </w:rPr>
        <w:t>disengage</w:t>
      </w:r>
      <w:r w:rsidR="002D1721" w:rsidRPr="00207DC2">
        <w:rPr>
          <w:lang w:val="en-AU"/>
        </w:rPr>
        <w:t xml:space="preserve"> from the </w:t>
      </w:r>
      <w:r w:rsidR="00215F5F" w:rsidRPr="00207DC2">
        <w:rPr>
          <w:lang w:val="en-AU"/>
        </w:rPr>
        <w:t>income support system</w:t>
      </w:r>
      <w:r w:rsidR="000245AF" w:rsidRPr="00207DC2">
        <w:rPr>
          <w:lang w:val="en-AU"/>
        </w:rPr>
        <w:t xml:space="preserve"> (without a recorded employment outcome)</w:t>
      </w:r>
      <w:r w:rsidR="007601A5" w:rsidRPr="00207DC2">
        <w:rPr>
          <w:lang w:val="en-AU"/>
        </w:rPr>
        <w:t xml:space="preserve">, </w:t>
      </w:r>
      <w:r w:rsidR="00810E77" w:rsidRPr="00207DC2">
        <w:rPr>
          <w:lang w:val="en-AU"/>
        </w:rPr>
        <w:t>suggests</w:t>
      </w:r>
      <w:r w:rsidR="00FB49B2" w:rsidRPr="00207DC2">
        <w:rPr>
          <w:lang w:val="en-AU"/>
        </w:rPr>
        <w:t xml:space="preserve"> that </w:t>
      </w:r>
      <w:r w:rsidR="007601A5" w:rsidRPr="00207DC2">
        <w:rPr>
          <w:i/>
          <w:lang w:val="en-AU"/>
        </w:rPr>
        <w:t>d</w:t>
      </w:r>
      <w:r w:rsidR="002B7DC9" w:rsidRPr="00207DC2">
        <w:rPr>
          <w:i/>
          <w:lang w:val="en-AU"/>
        </w:rPr>
        <w:t>isengagement</w:t>
      </w:r>
      <w:r w:rsidR="00FD20B5" w:rsidRPr="00207DC2">
        <w:rPr>
          <w:lang w:val="en-AU"/>
        </w:rPr>
        <w:t xml:space="preserve"> </w:t>
      </w:r>
      <w:r w:rsidR="000952EE" w:rsidRPr="00207DC2">
        <w:rPr>
          <w:lang w:val="en-AU"/>
        </w:rPr>
        <w:t>in a given year</w:t>
      </w:r>
      <w:r w:rsidR="00FD20B5" w:rsidRPr="00207DC2">
        <w:rPr>
          <w:lang w:val="en-AU"/>
        </w:rPr>
        <w:t xml:space="preserve"> </w:t>
      </w:r>
      <w:r w:rsidR="000952EE" w:rsidRPr="00207DC2">
        <w:rPr>
          <w:lang w:val="en-AU"/>
        </w:rPr>
        <w:t xml:space="preserve">has </w:t>
      </w:r>
      <w:r w:rsidR="00FD20B5" w:rsidRPr="00207DC2">
        <w:rPr>
          <w:lang w:val="en-AU"/>
        </w:rPr>
        <w:t>increase</w:t>
      </w:r>
      <w:r w:rsidR="00501CC3" w:rsidRPr="00207DC2">
        <w:rPr>
          <w:lang w:val="en-AU"/>
        </w:rPr>
        <w:t>d</w:t>
      </w:r>
      <w:r w:rsidR="002B7DC9" w:rsidRPr="00207DC2">
        <w:rPr>
          <w:lang w:val="en-AU"/>
        </w:rPr>
        <w:t xml:space="preserve"> by one</w:t>
      </w:r>
      <w:r w:rsidR="001D3DF8" w:rsidRPr="00207DC2">
        <w:rPr>
          <w:lang w:val="en-AU"/>
        </w:rPr>
        <w:t xml:space="preserve"> percentage point</w:t>
      </w:r>
      <w:r w:rsidR="000952EE" w:rsidRPr="00207DC2">
        <w:rPr>
          <w:lang w:val="en-AU"/>
        </w:rPr>
        <w:t xml:space="preserve">. Of those participating in the </w:t>
      </w:r>
      <w:r w:rsidR="00C57532" w:rsidRPr="00207DC2">
        <w:rPr>
          <w:lang w:val="en-AU"/>
        </w:rPr>
        <w:t xml:space="preserve">RJCP </w:t>
      </w:r>
      <w:r w:rsidR="000952EE" w:rsidRPr="00207DC2">
        <w:rPr>
          <w:lang w:val="en-AU"/>
        </w:rPr>
        <w:t>on 1 January 2014</w:t>
      </w:r>
      <w:r w:rsidR="006444C9" w:rsidRPr="00207DC2">
        <w:rPr>
          <w:lang w:val="en-AU"/>
        </w:rPr>
        <w:t>,</w:t>
      </w:r>
      <w:r w:rsidR="00C57532" w:rsidRPr="00207DC2">
        <w:rPr>
          <w:lang w:val="en-AU"/>
        </w:rPr>
        <w:t xml:space="preserve"> </w:t>
      </w:r>
      <w:r w:rsidR="008B1CC8" w:rsidRPr="00207DC2">
        <w:rPr>
          <w:lang w:val="en-AU"/>
        </w:rPr>
        <w:t xml:space="preserve">3.5 per cent </w:t>
      </w:r>
      <w:r w:rsidR="00C57532" w:rsidRPr="00207DC2">
        <w:rPr>
          <w:lang w:val="en-AU"/>
        </w:rPr>
        <w:t xml:space="preserve">of participants </w:t>
      </w:r>
      <w:r w:rsidR="000952EE" w:rsidRPr="00207DC2">
        <w:rPr>
          <w:lang w:val="en-AU"/>
        </w:rPr>
        <w:t xml:space="preserve">disengaged </w:t>
      </w:r>
      <w:r w:rsidR="00C57532" w:rsidRPr="00207DC2">
        <w:rPr>
          <w:lang w:val="en-AU"/>
        </w:rPr>
        <w:t xml:space="preserve">at some time </w:t>
      </w:r>
      <w:r w:rsidR="000952EE" w:rsidRPr="00207DC2">
        <w:rPr>
          <w:lang w:val="en-AU"/>
        </w:rPr>
        <w:t xml:space="preserve">during </w:t>
      </w:r>
      <w:r w:rsidR="00C57532" w:rsidRPr="00207DC2">
        <w:rPr>
          <w:lang w:val="en-AU"/>
        </w:rPr>
        <w:t>2014</w:t>
      </w:r>
      <w:r w:rsidR="006444C9" w:rsidRPr="00207DC2">
        <w:rPr>
          <w:lang w:val="en-AU"/>
        </w:rPr>
        <w:t xml:space="preserve">. In comparison, of those participating in the </w:t>
      </w:r>
      <w:r w:rsidR="00C57532" w:rsidRPr="00207DC2">
        <w:rPr>
          <w:lang w:val="en-AU"/>
        </w:rPr>
        <w:t xml:space="preserve">CDP </w:t>
      </w:r>
      <w:r w:rsidR="006444C9" w:rsidRPr="00207DC2">
        <w:rPr>
          <w:lang w:val="en-AU"/>
        </w:rPr>
        <w:t>on 1 January</w:t>
      </w:r>
      <w:r w:rsidR="000952EE" w:rsidRPr="00207DC2">
        <w:rPr>
          <w:lang w:val="en-AU"/>
        </w:rPr>
        <w:t xml:space="preserve"> 2016</w:t>
      </w:r>
      <w:r w:rsidR="00C57532" w:rsidRPr="00207DC2">
        <w:rPr>
          <w:lang w:val="en-AU"/>
        </w:rPr>
        <w:t>,</w:t>
      </w:r>
      <w:r w:rsidR="000952EE" w:rsidRPr="00207DC2">
        <w:rPr>
          <w:lang w:val="en-AU"/>
        </w:rPr>
        <w:t xml:space="preserve"> </w:t>
      </w:r>
      <w:r w:rsidR="008B1CC8" w:rsidRPr="00207DC2">
        <w:rPr>
          <w:lang w:val="en-AU"/>
        </w:rPr>
        <w:t xml:space="preserve">4.5 per cent </w:t>
      </w:r>
      <w:r w:rsidR="000952EE" w:rsidRPr="00207DC2">
        <w:rPr>
          <w:lang w:val="en-AU"/>
        </w:rPr>
        <w:t>disengaged</w:t>
      </w:r>
      <w:r w:rsidR="00C57532" w:rsidRPr="00207DC2">
        <w:rPr>
          <w:lang w:val="en-AU"/>
        </w:rPr>
        <w:t xml:space="preserve"> during </w:t>
      </w:r>
      <w:r w:rsidR="00A45F43" w:rsidRPr="00207DC2">
        <w:rPr>
          <w:lang w:val="en-AU"/>
        </w:rPr>
        <w:t xml:space="preserve">following </w:t>
      </w:r>
      <w:r w:rsidR="00C57532" w:rsidRPr="00207DC2">
        <w:rPr>
          <w:lang w:val="en-AU"/>
        </w:rPr>
        <w:t>year</w:t>
      </w:r>
      <w:r w:rsidR="008B1CC8" w:rsidRPr="00207DC2">
        <w:rPr>
          <w:lang w:val="en-AU"/>
        </w:rPr>
        <w:t>.</w:t>
      </w:r>
    </w:p>
    <w:p w14:paraId="5BC9B0CD" w14:textId="40F732DB" w:rsidR="00D905BA" w:rsidRPr="00207DC2" w:rsidRDefault="00554119" w:rsidP="00EF1B43">
      <w:pPr>
        <w:pStyle w:val="Figures"/>
        <w:rPr>
          <w:vertAlign w:val="superscript"/>
        </w:rPr>
      </w:pPr>
      <w:r w:rsidRPr="00207DC2">
        <w:t>Figure</w:t>
      </w:r>
      <w:r w:rsidR="00D905BA" w:rsidRPr="00207DC2">
        <w:t xml:space="preserve"> 3.</w:t>
      </w:r>
      <w:r w:rsidR="00D024F5" w:rsidRPr="00207DC2">
        <w:t>1</w:t>
      </w:r>
      <w:r w:rsidR="00F8349E" w:rsidRPr="00207DC2">
        <w:t>1</w:t>
      </w:r>
      <w:r w:rsidR="00D905BA" w:rsidRPr="00207DC2">
        <w:t xml:space="preserve"> </w:t>
      </w:r>
      <w:r w:rsidR="0057637F" w:rsidRPr="00207DC2">
        <w:t>Men were disproportionally represented among</w:t>
      </w:r>
      <w:r w:rsidR="00D905BA" w:rsidRPr="00207DC2">
        <w:t xml:space="preserve"> </w:t>
      </w:r>
      <w:r w:rsidR="0057637F" w:rsidRPr="00207DC2">
        <w:t xml:space="preserve">CDP participants who </w:t>
      </w:r>
      <w:r w:rsidR="00D905BA" w:rsidRPr="00207DC2">
        <w:t>disengaged following a penalty</w:t>
      </w:r>
      <w:r w:rsidR="005B2F27" w:rsidRPr="00207DC2">
        <w:rPr>
          <w:vertAlign w:val="superscript"/>
        </w:rPr>
        <w:t>a</w:t>
      </w:r>
    </w:p>
    <w:p w14:paraId="63908143" w14:textId="77777777" w:rsidR="00D905BA" w:rsidRPr="00207DC2" w:rsidRDefault="0057637F" w:rsidP="00CD4E83">
      <w:pPr>
        <w:pStyle w:val="TableText"/>
        <w:keepNext/>
        <w:keepLines/>
        <w:ind w:left="0" w:right="142"/>
        <w:rPr>
          <w:lang w:val="en-AU"/>
        </w:rPr>
      </w:pPr>
      <w:r w:rsidRPr="00207DC2">
        <w:rPr>
          <w:lang w:val="en-AU"/>
        </w:rPr>
        <w:t xml:space="preserve">Participants </w:t>
      </w:r>
      <w:r w:rsidR="00D905BA" w:rsidRPr="00207DC2">
        <w:rPr>
          <w:lang w:val="en-AU"/>
        </w:rPr>
        <w:t>disengaging from</w:t>
      </w:r>
      <w:r w:rsidR="001D3DF8" w:rsidRPr="00207DC2">
        <w:rPr>
          <w:lang w:val="en-AU"/>
        </w:rPr>
        <w:t xml:space="preserve"> the</w:t>
      </w:r>
      <w:r w:rsidR="00D905BA" w:rsidRPr="00207DC2">
        <w:rPr>
          <w:lang w:val="en-AU"/>
        </w:rPr>
        <w:t xml:space="preserve"> income support system in the first quarter of 2</w:t>
      </w:r>
      <w:r w:rsidR="0091327C" w:rsidRPr="00207DC2">
        <w:rPr>
          <w:lang w:val="en-AU"/>
        </w:rPr>
        <w:t>016 without a prior recorded employment</w:t>
      </w:r>
      <w:r w:rsidR="00D905BA" w:rsidRPr="00207DC2">
        <w:rPr>
          <w:lang w:val="en-AU"/>
        </w:rPr>
        <w:t xml:space="preserve"> outcome</w:t>
      </w:r>
    </w:p>
    <w:p w14:paraId="2791E453" w14:textId="0E7E18E8" w:rsidR="00DF7D3E" w:rsidRPr="00207DC2" w:rsidRDefault="000A3951" w:rsidP="00D57D1D">
      <w:pPr>
        <w:pStyle w:val="tablenotes"/>
      </w:pPr>
      <w:r w:rsidRPr="00207DC2">
        <w:drawing>
          <wp:inline distT="0" distB="0" distL="0" distR="0" wp14:anchorId="168E3622" wp14:editId="4B940276">
            <wp:extent cx="5640705" cy="3194685"/>
            <wp:effectExtent l="0" t="0" r="0" b="5715"/>
            <wp:docPr id="200" name="Picture 200" descr="The figure is a stacked bar chart comparing the age and gender distribution for: &#10;- all CDP participants; and &#10;- participants that ‘disengaged’ in the first quarter of 2016. &#10;&#10;The figure show a breakdown by gender and age group (15 to 24 years, 25 to 29 years, 30 to 39 years, and 40 years or older). People who disengaged are disproportionately men. For both men and women, the disengaged groups were also disproportionately young people.&#10;&#10;" title="Men were disproportionally represented among CDP participants who disengaged following a pen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0705" cy="3194685"/>
                    </a:xfrm>
                    <a:prstGeom prst="rect">
                      <a:avLst/>
                    </a:prstGeom>
                  </pic:spPr>
                </pic:pic>
              </a:graphicData>
            </a:graphic>
          </wp:inline>
        </w:drawing>
      </w:r>
      <w:r w:rsidR="00D905BA" w:rsidRPr="00207DC2">
        <w:rPr>
          <w:i/>
        </w:rPr>
        <w:t>Source:</w:t>
      </w:r>
      <w:r w:rsidR="00D905BA" w:rsidRPr="00207DC2">
        <w:t xml:space="preserve"> </w:t>
      </w:r>
      <w:r w:rsidR="0057565A" w:rsidRPr="00207DC2">
        <w:t>PMC</w:t>
      </w:r>
      <w:r w:rsidR="00D905BA" w:rsidRPr="00207DC2">
        <w:t xml:space="preserve"> estimates based </w:t>
      </w:r>
      <w:r w:rsidR="00A54964" w:rsidRPr="00207DC2">
        <w:t>on</w:t>
      </w:r>
      <w:r w:rsidR="00D905BA" w:rsidRPr="00207DC2">
        <w:t xml:space="preserve"> unpublished ESS operational data (extracted on 5 September 2017</w:t>
      </w:r>
      <w:r w:rsidR="00D54720" w:rsidRPr="00207DC2">
        <w:t xml:space="preserve">) and </w:t>
      </w:r>
      <w:r w:rsidR="00D54720" w:rsidRPr="00207DC2">
        <w:rPr>
          <w:rStyle w:val="tablenotesChar"/>
        </w:rPr>
        <w:t>unpublished DHS operational data (extracted from determination and circumstance files on 21 August 2017</w:t>
      </w:r>
      <w:r w:rsidR="00D905BA" w:rsidRPr="00207DC2">
        <w:t xml:space="preserve">). </w:t>
      </w:r>
    </w:p>
    <w:p w14:paraId="77C0FE3B" w14:textId="5B041D7E" w:rsidR="00545037" w:rsidRPr="00207DC2" w:rsidRDefault="00D905BA" w:rsidP="00D57D1D">
      <w:pPr>
        <w:pStyle w:val="tablenotes"/>
      </w:pPr>
      <w:r w:rsidRPr="00207DC2">
        <w:rPr>
          <w:i/>
        </w:rPr>
        <w:t>Note</w:t>
      </w:r>
      <w:r w:rsidR="0085019F" w:rsidRPr="00207DC2">
        <w:rPr>
          <w:i/>
        </w:rPr>
        <w:t>s</w:t>
      </w:r>
      <w:r w:rsidRPr="00207DC2">
        <w:rPr>
          <w:i/>
        </w:rPr>
        <w:t>:</w:t>
      </w:r>
      <w:r w:rsidRPr="00207DC2">
        <w:t xml:space="preserve"> </w:t>
      </w:r>
      <w:r w:rsidR="005B2F27" w:rsidRPr="00207DC2">
        <w:t>(a)</w:t>
      </w:r>
      <w:r w:rsidRPr="00207DC2">
        <w:t xml:space="preserve"> </w:t>
      </w:r>
      <w:r w:rsidR="00270CEA" w:rsidRPr="00207DC2">
        <w:t xml:space="preserve">Disengaged participants </w:t>
      </w:r>
      <w:r w:rsidRPr="00207DC2">
        <w:t>includes all those penalised in the first quarter who disengaged in 2016 without a job outcome recorded by their provider or DHS (N=</w:t>
      </w:r>
      <w:r w:rsidR="008D76D8" w:rsidRPr="00207DC2">
        <w:t>586</w:t>
      </w:r>
      <w:r w:rsidRPr="00207DC2">
        <w:t xml:space="preserve">). Five per cent of the penalised group had zero penalties recorded against them. </w:t>
      </w:r>
    </w:p>
    <w:p w14:paraId="16A5701F" w14:textId="65660F70" w:rsidR="00F27EF6" w:rsidRPr="00207DC2" w:rsidRDefault="00F27EF6" w:rsidP="00FB626D">
      <w:pPr>
        <w:pStyle w:val="Table"/>
        <w:tabs>
          <w:tab w:val="left" w:pos="5529"/>
        </w:tabs>
        <w:jc w:val="both"/>
        <w:outlineLvl w:val="9"/>
      </w:pPr>
      <w:r w:rsidRPr="00207DC2">
        <w:t>Table 3.</w:t>
      </w:r>
      <w:r w:rsidR="00EA3BE2" w:rsidRPr="00207DC2">
        <w:t>3</w:t>
      </w:r>
      <w:r w:rsidRPr="00207DC2">
        <w:t xml:space="preserve"> </w:t>
      </w:r>
      <w:r w:rsidR="00A127FB" w:rsidRPr="00207DC2">
        <w:t>Estimates</w:t>
      </w:r>
      <w:r w:rsidR="002D1721" w:rsidRPr="00207DC2">
        <w:t xml:space="preserve"> of disengagement</w:t>
      </w:r>
      <w:r w:rsidRPr="00207DC2">
        <w:t xml:space="preserve"> </w:t>
      </w:r>
      <w:r w:rsidR="002D1721" w:rsidRPr="00207DC2">
        <w:t xml:space="preserve">under the </w:t>
      </w:r>
      <w:r w:rsidRPr="00207DC2">
        <w:t>RJCP and CDP</w:t>
      </w:r>
    </w:p>
    <w:p w14:paraId="176B2171" w14:textId="77777777" w:rsidR="00AF742C" w:rsidRPr="00207DC2" w:rsidRDefault="00210199" w:rsidP="00FB626D">
      <w:pPr>
        <w:keepNext/>
        <w:spacing w:before="0" w:after="0"/>
        <w:jc w:val="both"/>
        <w:rPr>
          <w:lang w:val="en-AU"/>
        </w:rPr>
      </w:pPr>
      <w:r w:rsidRPr="00207DC2">
        <w:rPr>
          <w:lang w:val="en-AU"/>
        </w:rPr>
        <w:t>Participants in the scheme on</w:t>
      </w:r>
      <w:r w:rsidR="00AF742C" w:rsidRPr="00207DC2">
        <w:rPr>
          <w:lang w:val="en-AU"/>
        </w:rPr>
        <w:t xml:space="preserve"> 1 January </w:t>
      </w:r>
      <w:r w:rsidRPr="00207DC2">
        <w:rPr>
          <w:lang w:val="en-AU"/>
        </w:rPr>
        <w:t>2</w:t>
      </w:r>
      <w:r w:rsidR="00DB15CD" w:rsidRPr="00207DC2">
        <w:rPr>
          <w:lang w:val="en-AU"/>
        </w:rPr>
        <w:t>014 (RJCP) and 2016 (CDP)</w:t>
      </w:r>
      <w:r w:rsidRPr="00207DC2">
        <w:rPr>
          <w:lang w:val="en-AU"/>
        </w:rPr>
        <w:t xml:space="preserve"> </w:t>
      </w:r>
    </w:p>
    <w:tbl>
      <w:tblPr>
        <w:tblStyle w:val="PlainTable21"/>
        <w:tblW w:w="0" w:type="auto"/>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Estimates of disengagement under the RJCP and CDP"/>
        <w:tblDescription w:val="The table compares the number and proportion of participants who ‘disengaged’ under the RJCP (in 2014) and the CDP (in 2016). The table shows ‘disengaged’ participants are a share of: &#10;- participants who were penalised in the first quarter of the year; and&#10;- all participants in the scheme on 1 January 2014 (RJCP) and 2016 (CDP).&#10;"/>
      </w:tblPr>
      <w:tblGrid>
        <w:gridCol w:w="4503"/>
        <w:gridCol w:w="1134"/>
        <w:gridCol w:w="1134"/>
        <w:gridCol w:w="1134"/>
        <w:gridCol w:w="1134"/>
      </w:tblGrid>
      <w:tr w:rsidR="002A109B" w:rsidRPr="00207DC2" w14:paraId="5944CCE5"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03" w:type="dxa"/>
            <w:tcBorders>
              <w:bottom w:val="nil"/>
            </w:tcBorders>
          </w:tcPr>
          <w:p w14:paraId="63CB13AD" w14:textId="77777777" w:rsidR="002A109B" w:rsidRPr="00207DC2" w:rsidRDefault="002A109B" w:rsidP="00FB626D">
            <w:pPr>
              <w:spacing w:before="60" w:after="60"/>
              <w:jc w:val="both"/>
              <w:rPr>
                <w:color w:val="auto"/>
                <w:sz w:val="20"/>
                <w:szCs w:val="20"/>
                <w:lang w:val="en-AU"/>
              </w:rPr>
            </w:pPr>
          </w:p>
        </w:tc>
        <w:tc>
          <w:tcPr>
            <w:tcW w:w="2268" w:type="dxa"/>
            <w:gridSpan w:val="2"/>
            <w:tcBorders>
              <w:bottom w:val="dashSmallGap" w:sz="4" w:space="0" w:color="auto"/>
            </w:tcBorders>
          </w:tcPr>
          <w:p w14:paraId="00BEB974" w14:textId="77777777" w:rsidR="002A109B" w:rsidRPr="00207DC2" w:rsidRDefault="002A109B" w:rsidP="00FB626D">
            <w:pPr>
              <w:spacing w:before="60" w:after="60"/>
              <w:jc w:val="center"/>
              <w:cnfStyle w:val="100000000000" w:firstRow="1" w:lastRow="0" w:firstColumn="0" w:lastColumn="0" w:oddVBand="0" w:evenVBand="0" w:oddHBand="0" w:evenHBand="0" w:firstRowFirstColumn="0" w:firstRowLastColumn="0" w:lastRowFirstColumn="0" w:lastRowLastColumn="0"/>
              <w:rPr>
                <w:b w:val="0"/>
                <w:color w:val="auto"/>
                <w:sz w:val="20"/>
                <w:lang w:val="en-AU"/>
              </w:rPr>
            </w:pPr>
            <w:r w:rsidRPr="00207DC2">
              <w:rPr>
                <w:color w:val="auto"/>
                <w:sz w:val="20"/>
                <w:szCs w:val="20"/>
                <w:lang w:val="en-AU"/>
              </w:rPr>
              <w:t xml:space="preserve">RJCP, 2014 </w:t>
            </w:r>
          </w:p>
        </w:tc>
        <w:tc>
          <w:tcPr>
            <w:tcW w:w="2268" w:type="dxa"/>
            <w:gridSpan w:val="2"/>
            <w:tcBorders>
              <w:bottom w:val="dashSmallGap" w:sz="4" w:space="0" w:color="auto"/>
            </w:tcBorders>
          </w:tcPr>
          <w:p w14:paraId="2FDD564E" w14:textId="77777777" w:rsidR="002A109B" w:rsidRPr="00207DC2" w:rsidRDefault="002A109B" w:rsidP="00FB626D">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CDP, 2016</w:t>
            </w:r>
          </w:p>
        </w:tc>
      </w:tr>
      <w:tr w:rsidR="002A109B" w:rsidRPr="00207DC2" w14:paraId="584CF831" w14:textId="77777777" w:rsidTr="00A57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nil"/>
              <w:bottom w:val="single" w:sz="8" w:space="0" w:color="auto"/>
            </w:tcBorders>
          </w:tcPr>
          <w:p w14:paraId="3F755B60" w14:textId="77777777" w:rsidR="002A109B" w:rsidRPr="00207DC2" w:rsidRDefault="002A109B" w:rsidP="00FB626D">
            <w:pPr>
              <w:spacing w:before="60" w:after="60"/>
              <w:jc w:val="both"/>
              <w:rPr>
                <w:lang w:val="en-AU"/>
              </w:rPr>
            </w:pPr>
          </w:p>
        </w:tc>
        <w:tc>
          <w:tcPr>
            <w:tcW w:w="1134" w:type="dxa"/>
            <w:tcBorders>
              <w:top w:val="dashSmallGap" w:sz="4" w:space="0" w:color="auto"/>
              <w:bottom w:val="single" w:sz="8" w:space="0" w:color="auto"/>
            </w:tcBorders>
          </w:tcPr>
          <w:p w14:paraId="143F3C82" w14:textId="77777777" w:rsidR="002A109B" w:rsidRPr="00207DC2" w:rsidRDefault="002A109B" w:rsidP="00FB626D">
            <w:pPr>
              <w:spacing w:before="60" w:after="60"/>
              <w:jc w:val="center"/>
              <w:cnfStyle w:val="000000100000" w:firstRow="0" w:lastRow="0" w:firstColumn="0" w:lastColumn="0" w:oddVBand="0" w:evenVBand="0" w:oddHBand="1" w:evenHBand="0" w:firstRowFirstColumn="0" w:firstRowLastColumn="0" w:lastRowFirstColumn="0" w:lastRowLastColumn="0"/>
              <w:rPr>
                <w:color w:val="auto"/>
                <w:szCs w:val="20"/>
                <w:lang w:val="en-AU"/>
              </w:rPr>
            </w:pPr>
            <w:r w:rsidRPr="00207DC2">
              <w:rPr>
                <w:color w:val="auto"/>
                <w:szCs w:val="20"/>
                <w:lang w:val="en-AU"/>
              </w:rPr>
              <w:t>Count</w:t>
            </w:r>
          </w:p>
        </w:tc>
        <w:tc>
          <w:tcPr>
            <w:tcW w:w="1134" w:type="dxa"/>
            <w:tcBorders>
              <w:top w:val="dashSmallGap" w:sz="4" w:space="0" w:color="auto"/>
              <w:bottom w:val="single" w:sz="8" w:space="0" w:color="auto"/>
            </w:tcBorders>
          </w:tcPr>
          <w:p w14:paraId="5900F767" w14:textId="77777777" w:rsidR="002A109B" w:rsidRPr="00207DC2" w:rsidRDefault="002A109B" w:rsidP="00FB626D">
            <w:pPr>
              <w:spacing w:before="60" w:after="60"/>
              <w:jc w:val="center"/>
              <w:cnfStyle w:val="000000100000" w:firstRow="0" w:lastRow="0" w:firstColumn="0" w:lastColumn="0" w:oddVBand="0" w:evenVBand="0" w:oddHBand="1" w:evenHBand="0" w:firstRowFirstColumn="0" w:firstRowLastColumn="0" w:lastRowFirstColumn="0" w:lastRowLastColumn="0"/>
              <w:rPr>
                <w:color w:val="auto"/>
                <w:szCs w:val="20"/>
                <w:lang w:val="en-AU"/>
              </w:rPr>
            </w:pPr>
            <w:r w:rsidRPr="00207DC2">
              <w:rPr>
                <w:color w:val="auto"/>
                <w:szCs w:val="20"/>
                <w:lang w:val="en-AU"/>
              </w:rPr>
              <w:t>Per cent</w:t>
            </w:r>
          </w:p>
        </w:tc>
        <w:tc>
          <w:tcPr>
            <w:tcW w:w="1134" w:type="dxa"/>
            <w:tcBorders>
              <w:top w:val="dashSmallGap" w:sz="4" w:space="0" w:color="auto"/>
              <w:bottom w:val="single" w:sz="8" w:space="0" w:color="auto"/>
            </w:tcBorders>
          </w:tcPr>
          <w:p w14:paraId="152022C1" w14:textId="77777777" w:rsidR="002A109B" w:rsidRPr="00207DC2" w:rsidRDefault="002A109B" w:rsidP="00FB626D">
            <w:pPr>
              <w:spacing w:before="60" w:after="60"/>
              <w:jc w:val="center"/>
              <w:cnfStyle w:val="000000100000" w:firstRow="0" w:lastRow="0" w:firstColumn="0" w:lastColumn="0" w:oddVBand="0" w:evenVBand="0" w:oddHBand="1" w:evenHBand="0" w:firstRowFirstColumn="0" w:firstRowLastColumn="0" w:lastRowFirstColumn="0" w:lastRowLastColumn="0"/>
              <w:rPr>
                <w:color w:val="auto"/>
                <w:szCs w:val="20"/>
                <w:lang w:val="en-AU"/>
              </w:rPr>
            </w:pPr>
            <w:r w:rsidRPr="00207DC2">
              <w:rPr>
                <w:color w:val="auto"/>
                <w:szCs w:val="20"/>
                <w:lang w:val="en-AU"/>
              </w:rPr>
              <w:t>Count</w:t>
            </w:r>
          </w:p>
        </w:tc>
        <w:tc>
          <w:tcPr>
            <w:tcW w:w="1134" w:type="dxa"/>
            <w:tcBorders>
              <w:top w:val="dashSmallGap" w:sz="4" w:space="0" w:color="auto"/>
              <w:bottom w:val="single" w:sz="8" w:space="0" w:color="auto"/>
            </w:tcBorders>
          </w:tcPr>
          <w:p w14:paraId="0CE21504" w14:textId="77777777" w:rsidR="002A109B" w:rsidRPr="00207DC2" w:rsidRDefault="002A109B" w:rsidP="00FB626D">
            <w:pPr>
              <w:spacing w:before="60" w:after="60"/>
              <w:jc w:val="center"/>
              <w:cnfStyle w:val="000000100000" w:firstRow="0" w:lastRow="0" w:firstColumn="0" w:lastColumn="0" w:oddVBand="0" w:evenVBand="0" w:oddHBand="1" w:evenHBand="0" w:firstRowFirstColumn="0" w:firstRowLastColumn="0" w:lastRowFirstColumn="0" w:lastRowLastColumn="0"/>
              <w:rPr>
                <w:color w:val="auto"/>
                <w:szCs w:val="20"/>
                <w:lang w:val="en-AU"/>
              </w:rPr>
            </w:pPr>
            <w:r w:rsidRPr="00207DC2">
              <w:rPr>
                <w:color w:val="auto"/>
                <w:szCs w:val="20"/>
                <w:lang w:val="en-AU"/>
              </w:rPr>
              <w:t>Per cent</w:t>
            </w:r>
          </w:p>
        </w:tc>
      </w:tr>
      <w:tr w:rsidR="00501E43" w:rsidRPr="00207DC2" w14:paraId="2424BDC4" w14:textId="77777777" w:rsidTr="00A57AA7">
        <w:tc>
          <w:tcPr>
            <w:cnfStyle w:val="001000000000" w:firstRow="0" w:lastRow="0" w:firstColumn="1" w:lastColumn="0" w:oddVBand="0" w:evenVBand="0" w:oddHBand="0" w:evenHBand="0" w:firstRowFirstColumn="0" w:firstRowLastColumn="0" w:lastRowFirstColumn="0" w:lastRowLastColumn="0"/>
            <w:tcW w:w="9039" w:type="dxa"/>
            <w:gridSpan w:val="5"/>
            <w:tcBorders>
              <w:top w:val="single" w:sz="8" w:space="0" w:color="auto"/>
              <w:bottom w:val="dashSmallGap" w:sz="4" w:space="0" w:color="auto"/>
            </w:tcBorders>
            <w:shd w:val="clear" w:color="auto" w:fill="D0D2D3" w:themeFill="background2"/>
          </w:tcPr>
          <w:p w14:paraId="1BDA636B" w14:textId="562774B6" w:rsidR="00501E43" w:rsidRPr="00207DC2" w:rsidRDefault="00210199" w:rsidP="00FB626D">
            <w:pPr>
              <w:pStyle w:val="ListParagraph"/>
              <w:spacing w:after="0"/>
              <w:ind w:left="0"/>
              <w:rPr>
                <w:sz w:val="20"/>
                <w:lang w:val="en-AU" w:eastAsia="ja-JP"/>
              </w:rPr>
            </w:pPr>
            <w:r w:rsidRPr="00207DC2">
              <w:rPr>
                <w:sz w:val="20"/>
                <w:lang w:val="en-AU" w:eastAsia="ja-JP"/>
              </w:rPr>
              <w:t>Of those p</w:t>
            </w:r>
            <w:r w:rsidR="00501E43" w:rsidRPr="00207DC2">
              <w:rPr>
                <w:sz w:val="20"/>
                <w:lang w:val="en-AU" w:eastAsia="ja-JP"/>
              </w:rPr>
              <w:t>articipants penalised in the first quarter of the year:</w:t>
            </w:r>
          </w:p>
        </w:tc>
      </w:tr>
      <w:tr w:rsidR="009A6A9A" w:rsidRPr="00207DC2" w14:paraId="72A7F138" w14:textId="77777777" w:rsidTr="00A57A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dashSmallGap" w:sz="4" w:space="0" w:color="auto"/>
              <w:bottom w:val="dashSmallGap" w:sz="4" w:space="0" w:color="auto"/>
            </w:tcBorders>
          </w:tcPr>
          <w:p w14:paraId="3090BD07" w14:textId="77777777" w:rsidR="009A6A9A" w:rsidRPr="00207DC2" w:rsidRDefault="009A6A9A" w:rsidP="00FB626D">
            <w:pPr>
              <w:spacing w:before="60" w:after="60"/>
              <w:jc w:val="both"/>
              <w:rPr>
                <w:sz w:val="20"/>
                <w:szCs w:val="20"/>
                <w:lang w:val="en-AU"/>
              </w:rPr>
            </w:pPr>
            <w:r w:rsidRPr="00207DC2">
              <w:rPr>
                <w:b w:val="0"/>
                <w:sz w:val="20"/>
                <w:szCs w:val="20"/>
                <w:lang w:val="en-AU" w:eastAsia="ja-JP"/>
              </w:rPr>
              <w:t>Disengaged from the income support system without a recorded employment outcome in the preceding nine months</w:t>
            </w:r>
          </w:p>
        </w:tc>
        <w:tc>
          <w:tcPr>
            <w:tcW w:w="1134" w:type="dxa"/>
            <w:tcBorders>
              <w:top w:val="dashSmallGap" w:sz="4" w:space="0" w:color="auto"/>
              <w:bottom w:val="dashSmallGap" w:sz="4" w:space="0" w:color="auto"/>
            </w:tcBorders>
          </w:tcPr>
          <w:p w14:paraId="3BB0918E" w14:textId="77777777" w:rsidR="009A6A9A" w:rsidRPr="00207DC2" w:rsidRDefault="009A6A9A" w:rsidP="00FB626D">
            <w:pPr>
              <w:spacing w:before="60" w:after="60"/>
              <w:jc w:val="righ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87</w:t>
            </w:r>
          </w:p>
        </w:tc>
        <w:tc>
          <w:tcPr>
            <w:tcW w:w="1134" w:type="dxa"/>
            <w:tcBorders>
              <w:top w:val="dashSmallGap" w:sz="4" w:space="0" w:color="auto"/>
              <w:bottom w:val="dashSmallGap" w:sz="4" w:space="0" w:color="auto"/>
            </w:tcBorders>
          </w:tcPr>
          <w:p w14:paraId="7FCCD085" w14:textId="77777777" w:rsidR="009A6A9A" w:rsidRPr="00207DC2" w:rsidRDefault="00A57AA7" w:rsidP="00FB626D">
            <w:pPr>
              <w:spacing w:before="60" w:after="60"/>
              <w:jc w:val="righ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5.4</w:t>
            </w:r>
          </w:p>
        </w:tc>
        <w:tc>
          <w:tcPr>
            <w:tcW w:w="1134" w:type="dxa"/>
            <w:tcBorders>
              <w:top w:val="dashSmallGap" w:sz="4" w:space="0" w:color="auto"/>
              <w:bottom w:val="dashSmallGap" w:sz="4" w:space="0" w:color="auto"/>
            </w:tcBorders>
          </w:tcPr>
          <w:p w14:paraId="6F6879A5" w14:textId="77777777" w:rsidR="009A6A9A" w:rsidRPr="00207DC2" w:rsidRDefault="008D76D8" w:rsidP="00FB626D">
            <w:pPr>
              <w:spacing w:before="60" w:after="60"/>
              <w:jc w:val="righ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586</w:t>
            </w:r>
          </w:p>
        </w:tc>
        <w:tc>
          <w:tcPr>
            <w:tcW w:w="1134" w:type="dxa"/>
            <w:tcBorders>
              <w:top w:val="dashSmallGap" w:sz="4" w:space="0" w:color="auto"/>
              <w:bottom w:val="dashSmallGap" w:sz="4" w:space="0" w:color="auto"/>
            </w:tcBorders>
          </w:tcPr>
          <w:p w14:paraId="160FAE8C" w14:textId="77777777" w:rsidR="009A6A9A" w:rsidRPr="00207DC2" w:rsidRDefault="008D76D8" w:rsidP="00FB626D">
            <w:pPr>
              <w:spacing w:before="60" w:after="60"/>
              <w:jc w:val="righ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5.8</w:t>
            </w:r>
          </w:p>
        </w:tc>
      </w:tr>
      <w:tr w:rsidR="00FB49B2" w:rsidRPr="00207DC2" w14:paraId="70B377BD" w14:textId="77777777" w:rsidTr="007B08AF">
        <w:tc>
          <w:tcPr>
            <w:cnfStyle w:val="001000000000" w:firstRow="0" w:lastRow="0" w:firstColumn="1" w:lastColumn="0" w:oddVBand="0" w:evenVBand="0" w:oddHBand="0" w:evenHBand="0" w:firstRowFirstColumn="0" w:firstRowLastColumn="0" w:lastRowFirstColumn="0" w:lastRowLastColumn="0"/>
            <w:tcW w:w="9039" w:type="dxa"/>
            <w:gridSpan w:val="5"/>
            <w:tcBorders>
              <w:top w:val="dashSmallGap" w:sz="4" w:space="0" w:color="auto"/>
              <w:bottom w:val="dashSmallGap" w:sz="4" w:space="0" w:color="auto"/>
            </w:tcBorders>
            <w:shd w:val="clear" w:color="auto" w:fill="D0D2D3" w:themeFill="background2"/>
          </w:tcPr>
          <w:p w14:paraId="2FDDF2AC" w14:textId="20D18CF7" w:rsidR="00FB49B2" w:rsidRPr="00207DC2" w:rsidRDefault="00210199" w:rsidP="00FB626D">
            <w:pPr>
              <w:pStyle w:val="ListParagraph"/>
              <w:spacing w:after="0"/>
              <w:ind w:left="0"/>
              <w:rPr>
                <w:bCs w:val="0"/>
                <w:lang w:val="en-AU"/>
              </w:rPr>
            </w:pPr>
            <w:r w:rsidRPr="00207DC2">
              <w:rPr>
                <w:sz w:val="20"/>
                <w:lang w:val="en-AU" w:eastAsia="ja-JP"/>
              </w:rPr>
              <w:t>Of a</w:t>
            </w:r>
            <w:r w:rsidR="00FB49B2" w:rsidRPr="00207DC2">
              <w:rPr>
                <w:sz w:val="20"/>
                <w:lang w:val="en-AU" w:eastAsia="ja-JP"/>
              </w:rPr>
              <w:t>ll participants:</w:t>
            </w:r>
          </w:p>
        </w:tc>
      </w:tr>
      <w:tr w:rsidR="00FB49B2" w:rsidRPr="00207DC2" w14:paraId="600599C7" w14:textId="77777777" w:rsidTr="007B08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Borders>
              <w:top w:val="dashSmallGap" w:sz="4" w:space="0" w:color="auto"/>
              <w:bottom w:val="dashSmallGap" w:sz="4" w:space="0" w:color="auto"/>
            </w:tcBorders>
          </w:tcPr>
          <w:p w14:paraId="300583E6" w14:textId="77777777" w:rsidR="00FB49B2" w:rsidRPr="00207DC2" w:rsidRDefault="00FB49B2" w:rsidP="00FB626D">
            <w:pPr>
              <w:pStyle w:val="ListParagraph"/>
              <w:spacing w:after="0"/>
              <w:ind w:left="0"/>
              <w:rPr>
                <w:b w:val="0"/>
                <w:sz w:val="20"/>
                <w:lang w:val="en-AU" w:eastAsia="ja-JP"/>
              </w:rPr>
            </w:pPr>
            <w:r w:rsidRPr="00207DC2">
              <w:rPr>
                <w:b w:val="0"/>
                <w:sz w:val="20"/>
                <w:lang w:val="en-AU" w:eastAsia="ja-JP"/>
              </w:rPr>
              <w:t>Disengaged from the income support system without a recorded employment outcome in the preceding nine months</w:t>
            </w:r>
          </w:p>
        </w:tc>
        <w:tc>
          <w:tcPr>
            <w:tcW w:w="1134" w:type="dxa"/>
            <w:tcBorders>
              <w:top w:val="dashSmallGap" w:sz="4" w:space="0" w:color="auto"/>
              <w:bottom w:val="dashSmallGap" w:sz="4" w:space="0" w:color="auto"/>
            </w:tcBorders>
          </w:tcPr>
          <w:p w14:paraId="5EA1DA4E" w14:textId="77777777" w:rsidR="00FB49B2" w:rsidRPr="00207DC2" w:rsidRDefault="00FB49B2" w:rsidP="00FB626D">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lang w:val="en-AU"/>
              </w:rPr>
              <w:t>1,256</w:t>
            </w:r>
          </w:p>
        </w:tc>
        <w:tc>
          <w:tcPr>
            <w:tcW w:w="1134" w:type="dxa"/>
            <w:tcBorders>
              <w:top w:val="dashSmallGap" w:sz="4" w:space="0" w:color="auto"/>
              <w:bottom w:val="dashSmallGap" w:sz="4" w:space="0" w:color="auto"/>
            </w:tcBorders>
          </w:tcPr>
          <w:p w14:paraId="0240D4AE" w14:textId="77777777" w:rsidR="00FB49B2" w:rsidRPr="00207DC2" w:rsidRDefault="00FB49B2" w:rsidP="00FB626D">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lang w:val="en-AU"/>
              </w:rPr>
              <w:t>3.5</w:t>
            </w:r>
          </w:p>
        </w:tc>
        <w:tc>
          <w:tcPr>
            <w:tcW w:w="1134" w:type="dxa"/>
            <w:tcBorders>
              <w:top w:val="dashSmallGap" w:sz="4" w:space="0" w:color="auto"/>
              <w:bottom w:val="dashSmallGap" w:sz="4" w:space="0" w:color="auto"/>
            </w:tcBorders>
          </w:tcPr>
          <w:p w14:paraId="0C2BD1BC" w14:textId="77777777" w:rsidR="00FB49B2" w:rsidRPr="00207DC2" w:rsidRDefault="00FB49B2" w:rsidP="00FB626D">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lang w:val="en-AU"/>
              </w:rPr>
              <w:t>1,580</w:t>
            </w:r>
          </w:p>
        </w:tc>
        <w:tc>
          <w:tcPr>
            <w:tcW w:w="1134" w:type="dxa"/>
            <w:tcBorders>
              <w:top w:val="dashSmallGap" w:sz="4" w:space="0" w:color="auto"/>
              <w:bottom w:val="dashSmallGap" w:sz="4" w:space="0" w:color="auto"/>
            </w:tcBorders>
          </w:tcPr>
          <w:p w14:paraId="0819C775" w14:textId="77777777" w:rsidR="00FB49B2" w:rsidRPr="00207DC2" w:rsidRDefault="00FB49B2" w:rsidP="00FB626D">
            <w:pPr>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lang w:val="en-AU"/>
              </w:rPr>
              <w:t>4.</w:t>
            </w:r>
            <w:r w:rsidR="00A57AA7" w:rsidRPr="00207DC2">
              <w:rPr>
                <w:lang w:val="en-AU"/>
              </w:rPr>
              <w:t>5</w:t>
            </w:r>
          </w:p>
        </w:tc>
      </w:tr>
      <w:tr w:rsidR="009A6A9A" w:rsidRPr="00207DC2" w14:paraId="49C9C414" w14:textId="77777777" w:rsidTr="00FB44C3">
        <w:tc>
          <w:tcPr>
            <w:cnfStyle w:val="001000000000" w:firstRow="0" w:lastRow="0" w:firstColumn="1" w:lastColumn="0" w:oddVBand="0" w:evenVBand="0" w:oddHBand="0" w:evenHBand="0" w:firstRowFirstColumn="0" w:firstRowLastColumn="0" w:lastRowFirstColumn="0" w:lastRowLastColumn="0"/>
            <w:tcW w:w="4503" w:type="dxa"/>
            <w:tcBorders>
              <w:top w:val="dashSmallGap" w:sz="4" w:space="0" w:color="auto"/>
              <w:bottom w:val="single" w:sz="4" w:space="0" w:color="262626" w:themeColor="background1"/>
            </w:tcBorders>
            <w:vAlign w:val="center"/>
          </w:tcPr>
          <w:p w14:paraId="51E94069" w14:textId="77777777" w:rsidR="009A6A9A" w:rsidRPr="00207DC2" w:rsidRDefault="00501E43" w:rsidP="00FB626D">
            <w:pPr>
              <w:pStyle w:val="ListParagraph"/>
              <w:spacing w:after="0"/>
              <w:ind w:left="0"/>
              <w:rPr>
                <w:b w:val="0"/>
                <w:sz w:val="20"/>
                <w:lang w:val="en-AU" w:eastAsia="ja-JP"/>
              </w:rPr>
            </w:pPr>
            <w:r w:rsidRPr="00207DC2">
              <w:rPr>
                <w:b w:val="0"/>
                <w:sz w:val="20"/>
                <w:lang w:val="en-AU" w:eastAsia="ja-JP"/>
              </w:rPr>
              <w:t>Total number of p</w:t>
            </w:r>
            <w:r w:rsidR="009A6A9A" w:rsidRPr="00207DC2">
              <w:rPr>
                <w:b w:val="0"/>
                <w:sz w:val="20"/>
                <w:lang w:val="en-AU" w:eastAsia="ja-JP"/>
              </w:rPr>
              <w:t>articipants</w:t>
            </w:r>
          </w:p>
        </w:tc>
        <w:tc>
          <w:tcPr>
            <w:tcW w:w="1134" w:type="dxa"/>
            <w:tcBorders>
              <w:top w:val="dashSmallGap" w:sz="4" w:space="0" w:color="auto"/>
              <w:bottom w:val="single" w:sz="4" w:space="0" w:color="262626" w:themeColor="background1"/>
            </w:tcBorders>
          </w:tcPr>
          <w:p w14:paraId="7C58DC46" w14:textId="77777777" w:rsidR="009A6A9A" w:rsidRPr="00207DC2" w:rsidRDefault="009A6A9A" w:rsidP="00FB626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lang w:val="en-AU"/>
              </w:rPr>
              <w:t>35,543</w:t>
            </w:r>
          </w:p>
        </w:tc>
        <w:tc>
          <w:tcPr>
            <w:tcW w:w="1134" w:type="dxa"/>
            <w:tcBorders>
              <w:top w:val="dashSmallGap" w:sz="4" w:space="0" w:color="auto"/>
              <w:bottom w:val="single" w:sz="4" w:space="0" w:color="262626" w:themeColor="background1"/>
            </w:tcBorders>
          </w:tcPr>
          <w:p w14:paraId="78076B5A" w14:textId="77777777" w:rsidR="009A6A9A" w:rsidRPr="00207DC2" w:rsidRDefault="009A6A9A" w:rsidP="00FB626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p>
        </w:tc>
        <w:tc>
          <w:tcPr>
            <w:tcW w:w="1134" w:type="dxa"/>
            <w:tcBorders>
              <w:top w:val="dashSmallGap" w:sz="4" w:space="0" w:color="auto"/>
              <w:bottom w:val="single" w:sz="4" w:space="0" w:color="262626" w:themeColor="background1"/>
            </w:tcBorders>
          </w:tcPr>
          <w:p w14:paraId="4FAE5AB3" w14:textId="77777777" w:rsidR="009A6A9A" w:rsidRPr="00207DC2" w:rsidRDefault="009A6A9A" w:rsidP="00FB626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lang w:val="en-AU"/>
              </w:rPr>
              <w:t>34,726</w:t>
            </w:r>
          </w:p>
        </w:tc>
        <w:tc>
          <w:tcPr>
            <w:tcW w:w="1134" w:type="dxa"/>
            <w:tcBorders>
              <w:top w:val="dashSmallGap" w:sz="4" w:space="0" w:color="auto"/>
              <w:bottom w:val="single" w:sz="4" w:space="0" w:color="262626" w:themeColor="background1"/>
            </w:tcBorders>
          </w:tcPr>
          <w:p w14:paraId="6EDA5A5E" w14:textId="77777777" w:rsidR="009A6A9A" w:rsidRPr="00207DC2" w:rsidRDefault="009A6A9A" w:rsidP="00FB626D">
            <w:pPr>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p>
        </w:tc>
      </w:tr>
    </w:tbl>
    <w:p w14:paraId="5C741DE3" w14:textId="77777777" w:rsidR="00FB44C3" w:rsidRPr="00207DC2" w:rsidRDefault="00AA57D9" w:rsidP="00FB626D">
      <w:pPr>
        <w:tabs>
          <w:tab w:val="left" w:pos="5670"/>
        </w:tabs>
        <w:spacing w:before="0" w:line="240" w:lineRule="auto"/>
        <w:jc w:val="both"/>
        <w:rPr>
          <w:color w:val="auto"/>
          <w:sz w:val="18"/>
          <w:lang w:val="en-AU" w:eastAsia="en-AU"/>
        </w:rPr>
      </w:pPr>
      <w:r w:rsidRPr="00207DC2">
        <w:rPr>
          <w:i/>
          <w:sz w:val="18"/>
          <w:szCs w:val="18"/>
          <w:lang w:val="en-AU"/>
        </w:rPr>
        <w:t>Source:</w:t>
      </w:r>
      <w:r w:rsidRPr="00207DC2">
        <w:rPr>
          <w:sz w:val="18"/>
          <w:szCs w:val="18"/>
          <w:lang w:val="en-AU"/>
        </w:rPr>
        <w:t xml:space="preserve"> </w:t>
      </w:r>
      <w:r w:rsidR="0057565A" w:rsidRPr="00207DC2">
        <w:rPr>
          <w:noProof/>
          <w:color w:val="auto"/>
          <w:sz w:val="18"/>
          <w:szCs w:val="16"/>
          <w:lang w:val="en-AU" w:eastAsia="en-AU"/>
        </w:rPr>
        <w:t>PMC</w:t>
      </w:r>
      <w:r w:rsidR="00EB4DDD" w:rsidRPr="00207DC2">
        <w:rPr>
          <w:noProof/>
          <w:color w:val="auto"/>
          <w:sz w:val="18"/>
          <w:szCs w:val="16"/>
          <w:lang w:val="en-AU" w:eastAsia="en-AU"/>
        </w:rPr>
        <w:t xml:space="preserve"> estimates based </w:t>
      </w:r>
      <w:r w:rsidR="002435D9" w:rsidRPr="00207DC2">
        <w:rPr>
          <w:noProof/>
          <w:color w:val="auto"/>
          <w:sz w:val="18"/>
          <w:szCs w:val="16"/>
          <w:lang w:val="en-AU" w:eastAsia="en-AU"/>
        </w:rPr>
        <w:t>on</w:t>
      </w:r>
      <w:r w:rsidR="00EB4DDD" w:rsidRPr="00207DC2">
        <w:rPr>
          <w:noProof/>
          <w:color w:val="auto"/>
          <w:sz w:val="18"/>
          <w:szCs w:val="16"/>
          <w:lang w:val="en-AU" w:eastAsia="en-AU"/>
        </w:rPr>
        <w:t xml:space="preserve"> unpublished ESS operational data (extracted on 5 September 2017</w:t>
      </w:r>
      <w:r w:rsidR="00D54720" w:rsidRPr="00207DC2">
        <w:rPr>
          <w:noProof/>
          <w:color w:val="auto"/>
          <w:sz w:val="18"/>
          <w:szCs w:val="16"/>
          <w:lang w:val="en-AU" w:eastAsia="en-AU"/>
        </w:rPr>
        <w:t xml:space="preserve">) </w:t>
      </w:r>
      <w:r w:rsidR="00D54720" w:rsidRPr="00207DC2">
        <w:rPr>
          <w:lang w:val="en-AU"/>
        </w:rPr>
        <w:t xml:space="preserve">and </w:t>
      </w:r>
      <w:r w:rsidR="00D54720" w:rsidRPr="00207DC2">
        <w:rPr>
          <w:rStyle w:val="tablenotesChar"/>
        </w:rPr>
        <w:t>unpublished DHS operational data (extracted from determination and circumstance files on 21 August 2017</w:t>
      </w:r>
      <w:r w:rsidR="00EB4DDD" w:rsidRPr="00207DC2">
        <w:rPr>
          <w:noProof/>
          <w:color w:val="auto"/>
          <w:sz w:val="18"/>
          <w:szCs w:val="16"/>
          <w:lang w:val="en-AU" w:eastAsia="en-AU"/>
        </w:rPr>
        <w:t>).</w:t>
      </w:r>
      <w:bookmarkStart w:id="406" w:name="_Toc509412980"/>
      <w:bookmarkStart w:id="407" w:name="_Toc509587043"/>
      <w:bookmarkStart w:id="408" w:name="_Toc509588069"/>
      <w:bookmarkStart w:id="409" w:name="_Toc509588332"/>
      <w:bookmarkStart w:id="410" w:name="_Toc509589480"/>
      <w:bookmarkStart w:id="411" w:name="_Toc509926898"/>
      <w:bookmarkStart w:id="412" w:name="_Toc511661248"/>
      <w:bookmarkStart w:id="413" w:name="_Toc511826299"/>
      <w:bookmarkStart w:id="414" w:name="_Toc511940616"/>
      <w:bookmarkStart w:id="415" w:name="_Toc515185466"/>
    </w:p>
    <w:p w14:paraId="6DAB7982" w14:textId="2EE35696" w:rsidR="00D905BA" w:rsidRPr="00207DC2" w:rsidRDefault="00D905BA" w:rsidP="008055FF">
      <w:pPr>
        <w:pStyle w:val="ZED4"/>
        <w:outlineLvl w:val="2"/>
      </w:pPr>
      <w:bookmarkStart w:id="416" w:name="_Toc516219839"/>
      <w:bookmarkStart w:id="417" w:name="_Toc516220480"/>
      <w:bookmarkStart w:id="418" w:name="_Toc516223300"/>
      <w:bookmarkStart w:id="419" w:name="_Toc516225208"/>
      <w:bookmarkStart w:id="420" w:name="_Toc516228984"/>
      <w:bookmarkStart w:id="421" w:name="_Toc518468058"/>
      <w:bookmarkStart w:id="422" w:name="_Toc518487839"/>
      <w:bookmarkStart w:id="423" w:name="_Toc518558802"/>
      <w:bookmarkStart w:id="424" w:name="_Toc518565325"/>
      <w:bookmarkStart w:id="425" w:name="_Toc518565569"/>
      <w:bookmarkStart w:id="426" w:name="_Toc519504740"/>
      <w:bookmarkStart w:id="427" w:name="_Toc519505964"/>
      <w:bookmarkStart w:id="428" w:name="_Toc519844070"/>
      <w:bookmarkStart w:id="429" w:name="_Toc521068572"/>
      <w:bookmarkStart w:id="430" w:name="_Toc521391086"/>
      <w:bookmarkStart w:id="431" w:name="_Toc522013255"/>
      <w:bookmarkStart w:id="432" w:name="_Toc534965165"/>
      <w:bookmarkStart w:id="433" w:name="_Toc535935056"/>
      <w:r w:rsidRPr="00207DC2">
        <w:t>3.4</w:t>
      </w:r>
      <w:bookmarkEnd w:id="406"/>
      <w:bookmarkEnd w:id="407"/>
      <w:bookmarkEnd w:id="408"/>
      <w:bookmarkEnd w:id="409"/>
      <w:bookmarkEnd w:id="410"/>
      <w:bookmarkEnd w:id="411"/>
      <w:bookmarkEnd w:id="412"/>
      <w:bookmarkEnd w:id="413"/>
      <w:bookmarkEnd w:id="414"/>
      <w:r w:rsidR="005631B4">
        <w:tab/>
      </w:r>
      <w:r w:rsidR="00C63C25" w:rsidRPr="00207DC2">
        <w:t xml:space="preserve">Better </w:t>
      </w:r>
      <w:r w:rsidR="005D2A12" w:rsidRPr="00207DC2">
        <w:t xml:space="preserve">understanding </w:t>
      </w:r>
      <w:r w:rsidR="00FA64B4" w:rsidRPr="00207DC2">
        <w:t xml:space="preserve">the effect of </w:t>
      </w:r>
      <w:r w:rsidR="009B48F4" w:rsidRPr="00207DC2">
        <w:t>p</w:t>
      </w:r>
      <w:r w:rsidR="00FA64B4" w:rsidRPr="00207DC2">
        <w:t>enalties</w:t>
      </w:r>
      <w:bookmarkEnd w:id="415"/>
      <w:r w:rsidR="00A77D9E" w:rsidRPr="00207DC2">
        <w:t xml:space="preserve"> in CDP regions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7DFFBE18" w14:textId="77777777" w:rsidR="00EE67DD" w:rsidRPr="00207DC2" w:rsidRDefault="0069265D" w:rsidP="00810E77">
      <w:pPr>
        <w:tabs>
          <w:tab w:val="left" w:pos="4678"/>
          <w:tab w:val="left" w:pos="4820"/>
          <w:tab w:val="left" w:pos="5103"/>
          <w:tab w:val="left" w:pos="5245"/>
          <w:tab w:val="left" w:pos="5387"/>
        </w:tabs>
        <w:jc w:val="both"/>
        <w:rPr>
          <w:lang w:val="en-AU"/>
        </w:rPr>
      </w:pPr>
      <w:r w:rsidRPr="00207DC2">
        <w:rPr>
          <w:lang w:val="en-AU"/>
        </w:rPr>
        <w:t>It is not possible to determine from current data</w:t>
      </w:r>
      <w:r w:rsidR="00F23482" w:rsidRPr="00207DC2">
        <w:rPr>
          <w:lang w:val="en-AU"/>
        </w:rPr>
        <w:t xml:space="preserve"> </w:t>
      </w:r>
      <w:r w:rsidR="000C0C14" w:rsidRPr="00207DC2">
        <w:rPr>
          <w:lang w:val="en-AU"/>
        </w:rPr>
        <w:t xml:space="preserve">why </w:t>
      </w:r>
      <w:r w:rsidR="00151924" w:rsidRPr="00207DC2">
        <w:rPr>
          <w:lang w:val="en-AU"/>
        </w:rPr>
        <w:t>some CDP participants have</w:t>
      </w:r>
      <w:r w:rsidR="0045034B" w:rsidRPr="00207DC2">
        <w:rPr>
          <w:lang w:val="en-AU"/>
        </w:rPr>
        <w:t xml:space="preserve"> </w:t>
      </w:r>
      <w:r w:rsidR="00877868" w:rsidRPr="00207DC2">
        <w:rPr>
          <w:lang w:val="en-AU"/>
        </w:rPr>
        <w:t xml:space="preserve">high rates of </w:t>
      </w:r>
      <w:r w:rsidR="00877868" w:rsidRPr="00207DC2">
        <w:rPr>
          <w:i/>
          <w:lang w:val="en-AU"/>
        </w:rPr>
        <w:t xml:space="preserve">invalid </w:t>
      </w:r>
      <w:r w:rsidR="008A3576" w:rsidRPr="00207DC2">
        <w:rPr>
          <w:i/>
          <w:lang w:val="en-AU"/>
        </w:rPr>
        <w:t>non–</w:t>
      </w:r>
      <w:r w:rsidR="00BB1EE9" w:rsidRPr="00207DC2">
        <w:rPr>
          <w:i/>
          <w:lang w:val="en-AU"/>
        </w:rPr>
        <w:t>attendance</w:t>
      </w:r>
      <w:r w:rsidR="008A3576" w:rsidRPr="00207DC2">
        <w:rPr>
          <w:lang w:val="en-AU"/>
        </w:rPr>
        <w:t xml:space="preserve"> </w:t>
      </w:r>
      <w:r w:rsidR="00BB1EE9" w:rsidRPr="00207DC2">
        <w:rPr>
          <w:lang w:val="en-AU"/>
        </w:rPr>
        <w:t xml:space="preserve">or </w:t>
      </w:r>
      <w:r w:rsidR="0045034B" w:rsidRPr="00207DC2">
        <w:rPr>
          <w:i/>
          <w:lang w:val="en-AU"/>
        </w:rPr>
        <w:t>disengag</w:t>
      </w:r>
      <w:r w:rsidR="00151924" w:rsidRPr="00207DC2">
        <w:rPr>
          <w:lang w:val="en-AU"/>
        </w:rPr>
        <w:t>e from the program</w:t>
      </w:r>
      <w:r w:rsidR="000C0C14" w:rsidRPr="00207DC2">
        <w:rPr>
          <w:lang w:val="en-AU"/>
        </w:rPr>
        <w:t xml:space="preserve">. </w:t>
      </w:r>
    </w:p>
    <w:p w14:paraId="66616D94" w14:textId="52506E46" w:rsidR="00BA171D" w:rsidRPr="00207DC2" w:rsidRDefault="00F23482" w:rsidP="00810E77">
      <w:pPr>
        <w:tabs>
          <w:tab w:val="left" w:pos="4678"/>
          <w:tab w:val="left" w:pos="4820"/>
          <w:tab w:val="left" w:pos="5103"/>
          <w:tab w:val="left" w:pos="5245"/>
          <w:tab w:val="left" w:pos="5387"/>
        </w:tabs>
        <w:jc w:val="both"/>
        <w:rPr>
          <w:lang w:val="en-AU"/>
        </w:rPr>
      </w:pPr>
      <w:r w:rsidRPr="00207DC2">
        <w:rPr>
          <w:lang w:val="en-AU"/>
        </w:rPr>
        <w:t>Modelling shows that</w:t>
      </w:r>
      <w:r w:rsidRPr="003A4AB6">
        <w:rPr>
          <w:lang w:val="en-AU"/>
        </w:rPr>
        <w:t xml:space="preserve"> </w:t>
      </w:r>
      <w:r w:rsidR="00B77FF9" w:rsidRPr="003A4AB6">
        <w:rPr>
          <w:lang w:val="en-AU"/>
        </w:rPr>
        <w:t>penalties</w:t>
      </w:r>
      <w:r w:rsidR="00B77FF9">
        <w:rPr>
          <w:lang w:val="en-AU"/>
        </w:rPr>
        <w:t xml:space="preserve"> are</w:t>
      </w:r>
      <w:r w:rsidRPr="00207DC2">
        <w:rPr>
          <w:lang w:val="en-AU"/>
        </w:rPr>
        <w:t xml:space="preserve"> more common amon</w:t>
      </w:r>
      <w:r w:rsidR="006D6FCD" w:rsidRPr="00207DC2">
        <w:rPr>
          <w:lang w:val="en-AU"/>
        </w:rPr>
        <w:t xml:space="preserve">g young people, men, and </w:t>
      </w:r>
      <w:r w:rsidR="001A0227" w:rsidRPr="00207DC2">
        <w:rPr>
          <w:lang w:val="en-AU"/>
        </w:rPr>
        <w:t>some</w:t>
      </w:r>
      <w:r w:rsidR="00891938" w:rsidRPr="00207DC2">
        <w:rPr>
          <w:lang w:val="en-AU"/>
        </w:rPr>
        <w:t xml:space="preserve"> groups </w:t>
      </w:r>
      <w:r w:rsidRPr="00207DC2">
        <w:rPr>
          <w:lang w:val="en-AU"/>
        </w:rPr>
        <w:t>with identified barriers to employment</w:t>
      </w:r>
      <w:r w:rsidR="0073475C">
        <w:rPr>
          <w:lang w:val="en-AU"/>
        </w:rPr>
        <w:t xml:space="preserve"> (</w:t>
      </w:r>
      <w:r w:rsidRPr="00207DC2">
        <w:rPr>
          <w:lang w:val="en-AU"/>
        </w:rPr>
        <w:t>including</w:t>
      </w:r>
      <w:r w:rsidR="006D6FCD" w:rsidRPr="00207DC2">
        <w:rPr>
          <w:lang w:val="en-AU"/>
        </w:rPr>
        <w:t xml:space="preserve"> those with low education levels, longer durations unemployed, mixed or poor English literacy, without private transport, or not contactable by phone</w:t>
      </w:r>
      <w:r w:rsidR="0073475C">
        <w:rPr>
          <w:lang w:val="en-AU"/>
        </w:rPr>
        <w:t>)</w:t>
      </w:r>
      <w:r w:rsidR="006D6FCD" w:rsidRPr="00207DC2">
        <w:rPr>
          <w:lang w:val="en-AU"/>
        </w:rPr>
        <w:t xml:space="preserve">. </w:t>
      </w:r>
      <w:r w:rsidR="001F090D" w:rsidRPr="00207DC2">
        <w:rPr>
          <w:lang w:val="en-AU"/>
        </w:rPr>
        <w:t>These outcomes</w:t>
      </w:r>
      <w:r w:rsidR="00A06D74" w:rsidRPr="00207DC2">
        <w:rPr>
          <w:lang w:val="en-AU"/>
        </w:rPr>
        <w:t xml:space="preserve"> could </w:t>
      </w:r>
      <w:r w:rsidR="001F090D" w:rsidRPr="00207DC2">
        <w:rPr>
          <w:lang w:val="en-AU"/>
        </w:rPr>
        <w:t>be driven by</w:t>
      </w:r>
      <w:r w:rsidR="00501CC3" w:rsidRPr="00207DC2">
        <w:rPr>
          <w:lang w:val="en-AU"/>
        </w:rPr>
        <w:t xml:space="preserve"> </w:t>
      </w:r>
      <w:r w:rsidR="00EE67DD" w:rsidRPr="00207DC2">
        <w:rPr>
          <w:lang w:val="en-AU"/>
        </w:rPr>
        <w:t xml:space="preserve">a number of factors, such as </w:t>
      </w:r>
      <w:r w:rsidR="00501CC3" w:rsidRPr="00207DC2">
        <w:rPr>
          <w:lang w:val="en-AU"/>
        </w:rPr>
        <w:t>unidentified barriers to participation</w:t>
      </w:r>
      <w:r w:rsidR="00EE67DD" w:rsidRPr="00207DC2">
        <w:rPr>
          <w:lang w:val="en-AU"/>
        </w:rPr>
        <w:t>,</w:t>
      </w:r>
      <w:r w:rsidR="00501CC3" w:rsidRPr="00207DC2">
        <w:rPr>
          <w:lang w:val="en-AU"/>
        </w:rPr>
        <w:t xml:space="preserve"> </w:t>
      </w:r>
      <w:r w:rsidR="001F090D" w:rsidRPr="00207DC2">
        <w:rPr>
          <w:lang w:val="en-AU"/>
        </w:rPr>
        <w:t xml:space="preserve">or </w:t>
      </w:r>
      <w:r w:rsidR="00644DAC" w:rsidRPr="00207DC2">
        <w:rPr>
          <w:lang w:val="en-AU"/>
        </w:rPr>
        <w:t xml:space="preserve">could </w:t>
      </w:r>
      <w:r w:rsidR="001F090D" w:rsidRPr="00207DC2">
        <w:rPr>
          <w:lang w:val="en-AU"/>
        </w:rPr>
        <w:t xml:space="preserve">reflect </w:t>
      </w:r>
      <w:r w:rsidR="009D360F" w:rsidRPr="00207DC2">
        <w:rPr>
          <w:lang w:val="en-AU"/>
        </w:rPr>
        <w:t>participants</w:t>
      </w:r>
      <w:r w:rsidR="007C060B" w:rsidRPr="00207DC2">
        <w:rPr>
          <w:lang w:val="en-AU"/>
        </w:rPr>
        <w:t>’</w:t>
      </w:r>
      <w:r w:rsidR="001F090D" w:rsidRPr="00207DC2">
        <w:rPr>
          <w:lang w:val="en-AU"/>
        </w:rPr>
        <w:t xml:space="preserve"> response</w:t>
      </w:r>
      <w:r w:rsidR="00AB684D" w:rsidRPr="00207DC2">
        <w:rPr>
          <w:lang w:val="en-AU"/>
        </w:rPr>
        <w:t>s</w:t>
      </w:r>
      <w:r w:rsidR="00A06D74" w:rsidRPr="00207DC2">
        <w:rPr>
          <w:lang w:val="en-AU"/>
        </w:rPr>
        <w:t xml:space="preserve"> to</w:t>
      </w:r>
      <w:r w:rsidR="00151924" w:rsidRPr="00207DC2">
        <w:rPr>
          <w:lang w:val="en-AU"/>
        </w:rPr>
        <w:t xml:space="preserve"> the</w:t>
      </w:r>
      <w:r w:rsidR="00A06D74" w:rsidRPr="00207DC2">
        <w:rPr>
          <w:lang w:val="en-AU"/>
        </w:rPr>
        <w:t xml:space="preserve"> </w:t>
      </w:r>
      <w:r w:rsidR="00537F0B" w:rsidRPr="00207DC2">
        <w:rPr>
          <w:lang w:val="en-AU"/>
        </w:rPr>
        <w:t xml:space="preserve">quality of </w:t>
      </w:r>
      <w:r w:rsidR="0045034B" w:rsidRPr="00207DC2">
        <w:rPr>
          <w:lang w:val="en-AU"/>
        </w:rPr>
        <w:t>activities provided</w:t>
      </w:r>
      <w:r w:rsidR="00A06D74" w:rsidRPr="00207DC2">
        <w:rPr>
          <w:lang w:val="en-AU"/>
        </w:rPr>
        <w:t>,</w:t>
      </w:r>
      <w:r w:rsidR="0045034B" w:rsidRPr="00207DC2">
        <w:rPr>
          <w:lang w:val="en-AU"/>
        </w:rPr>
        <w:t xml:space="preserve"> </w:t>
      </w:r>
      <w:r w:rsidR="00151924" w:rsidRPr="00207DC2">
        <w:rPr>
          <w:lang w:val="en-AU"/>
        </w:rPr>
        <w:t>to</w:t>
      </w:r>
      <w:r w:rsidR="0045034B" w:rsidRPr="00207DC2">
        <w:rPr>
          <w:lang w:val="en-AU"/>
        </w:rPr>
        <w:t xml:space="preserve"> penalties and payment suspensions</w:t>
      </w:r>
      <w:r w:rsidR="00A06D74" w:rsidRPr="00207DC2">
        <w:rPr>
          <w:lang w:val="en-AU"/>
        </w:rPr>
        <w:t>,</w:t>
      </w:r>
      <w:r w:rsidR="0045034B" w:rsidRPr="00207DC2">
        <w:rPr>
          <w:lang w:val="en-AU"/>
        </w:rPr>
        <w:t xml:space="preserve"> or </w:t>
      </w:r>
      <w:r w:rsidR="00891938" w:rsidRPr="00207DC2">
        <w:rPr>
          <w:lang w:val="en-AU"/>
        </w:rPr>
        <w:t>factor</w:t>
      </w:r>
      <w:r w:rsidR="0073475C">
        <w:rPr>
          <w:lang w:val="en-AU"/>
        </w:rPr>
        <w:t>s</w:t>
      </w:r>
      <w:r w:rsidR="00891938" w:rsidRPr="00207DC2">
        <w:rPr>
          <w:lang w:val="en-AU"/>
        </w:rPr>
        <w:t xml:space="preserve"> </w:t>
      </w:r>
      <w:r w:rsidR="00654E8C" w:rsidRPr="00207DC2">
        <w:rPr>
          <w:lang w:val="en-AU"/>
        </w:rPr>
        <w:t>outside the program</w:t>
      </w:r>
      <w:r w:rsidR="0045034B" w:rsidRPr="00207DC2">
        <w:rPr>
          <w:lang w:val="en-AU"/>
        </w:rPr>
        <w:t>.</w:t>
      </w:r>
    </w:p>
    <w:p w14:paraId="65B696E4" w14:textId="506BA99B" w:rsidR="00EE67DD" w:rsidRPr="00207DC2" w:rsidRDefault="004B1105" w:rsidP="0075773C">
      <w:pPr>
        <w:jc w:val="both"/>
        <w:rPr>
          <w:lang w:val="en-AU"/>
        </w:rPr>
      </w:pPr>
      <w:r w:rsidRPr="00207DC2">
        <w:rPr>
          <w:lang w:val="en-AU"/>
        </w:rPr>
        <w:t>F</w:t>
      </w:r>
      <w:r w:rsidR="001F090D" w:rsidRPr="00207DC2">
        <w:rPr>
          <w:lang w:val="en-AU"/>
        </w:rPr>
        <w:t>ieldwork undertaken in eight remote communities suggests that the quality of CDP activities</w:t>
      </w:r>
      <w:r w:rsidR="00CF0501" w:rsidRPr="00207DC2">
        <w:rPr>
          <w:lang w:val="en-AU"/>
        </w:rPr>
        <w:t xml:space="preserve"> (that is, </w:t>
      </w:r>
      <w:r w:rsidR="009D360F" w:rsidRPr="00207DC2">
        <w:rPr>
          <w:lang w:val="en-AU"/>
        </w:rPr>
        <w:t xml:space="preserve">whether </w:t>
      </w:r>
      <w:r w:rsidR="001F090D" w:rsidRPr="00207DC2">
        <w:rPr>
          <w:lang w:val="en-AU"/>
        </w:rPr>
        <w:t>surveyed participants consider</w:t>
      </w:r>
      <w:r w:rsidR="009D360F" w:rsidRPr="00207DC2">
        <w:rPr>
          <w:lang w:val="en-AU"/>
        </w:rPr>
        <w:t>ed</w:t>
      </w:r>
      <w:r w:rsidR="001F090D" w:rsidRPr="00207DC2">
        <w:rPr>
          <w:lang w:val="en-AU"/>
        </w:rPr>
        <w:t xml:space="preserve"> activities to be suitable</w:t>
      </w:r>
      <w:r w:rsidR="001A0227" w:rsidRPr="00207DC2">
        <w:rPr>
          <w:lang w:val="en-AU"/>
        </w:rPr>
        <w:t xml:space="preserve"> and useful</w:t>
      </w:r>
      <w:r w:rsidR="001F090D" w:rsidRPr="00207DC2">
        <w:rPr>
          <w:lang w:val="en-AU"/>
        </w:rPr>
        <w:t xml:space="preserve">) can have an effect on </w:t>
      </w:r>
      <w:r w:rsidR="00BA171D" w:rsidRPr="00207DC2">
        <w:rPr>
          <w:lang w:val="en-AU"/>
        </w:rPr>
        <w:t xml:space="preserve">attendance and </w:t>
      </w:r>
      <w:r w:rsidR="00064194" w:rsidRPr="00207DC2">
        <w:rPr>
          <w:lang w:val="en-AU"/>
        </w:rPr>
        <w:t xml:space="preserve">participation </w:t>
      </w:r>
      <w:r w:rsidR="001F090D" w:rsidRPr="00207DC2">
        <w:rPr>
          <w:lang w:val="en-AU"/>
        </w:rPr>
        <w:t>in those activities (Winangali</w:t>
      </w:r>
      <w:r w:rsidR="00BA0B8D">
        <w:rPr>
          <w:lang w:val="en-AU"/>
        </w:rPr>
        <w:t> </w:t>
      </w:r>
      <w:r w:rsidR="001F090D" w:rsidRPr="00207DC2">
        <w:rPr>
          <w:lang w:val="en-AU"/>
        </w:rPr>
        <w:t>and Ipsos 2018).</w:t>
      </w:r>
      <w:r w:rsidR="00BA171D" w:rsidRPr="00207DC2">
        <w:rPr>
          <w:lang w:val="en-AU"/>
        </w:rPr>
        <w:t xml:space="preserve"> </w:t>
      </w:r>
      <w:r w:rsidR="001A0227" w:rsidRPr="00207DC2">
        <w:rPr>
          <w:lang w:val="en-AU"/>
        </w:rPr>
        <w:t xml:space="preserve">Qualitative data from the fieldwork </w:t>
      </w:r>
      <w:r w:rsidR="00BA171D" w:rsidRPr="00207DC2">
        <w:rPr>
          <w:lang w:val="en-AU"/>
        </w:rPr>
        <w:t xml:space="preserve">also </w:t>
      </w:r>
      <w:r w:rsidR="001A0227" w:rsidRPr="00207DC2">
        <w:rPr>
          <w:lang w:val="en-AU"/>
        </w:rPr>
        <w:t xml:space="preserve">suggests </w:t>
      </w:r>
      <w:r w:rsidR="001C1256" w:rsidRPr="00207DC2">
        <w:rPr>
          <w:lang w:val="en-AU"/>
        </w:rPr>
        <w:t>that</w:t>
      </w:r>
      <w:r w:rsidR="0075773C" w:rsidRPr="00207DC2">
        <w:rPr>
          <w:lang w:val="en-AU"/>
        </w:rPr>
        <w:t xml:space="preserve"> </w:t>
      </w:r>
      <w:r w:rsidR="001A0227" w:rsidRPr="00207DC2">
        <w:rPr>
          <w:lang w:val="en-AU"/>
        </w:rPr>
        <w:t xml:space="preserve">many CDP participants have difficulty communicating with Centrelink or their provider when they do have a </w:t>
      </w:r>
      <w:r w:rsidR="00891938" w:rsidRPr="00207DC2">
        <w:rPr>
          <w:lang w:val="en-AU"/>
        </w:rPr>
        <w:t>valid reason for not attending</w:t>
      </w:r>
      <w:r w:rsidR="001A0227" w:rsidRPr="00207DC2">
        <w:rPr>
          <w:lang w:val="en-AU"/>
        </w:rPr>
        <w:t xml:space="preserve">. </w:t>
      </w:r>
      <w:r w:rsidR="0075773C" w:rsidRPr="00207DC2">
        <w:rPr>
          <w:lang w:val="en-AU"/>
        </w:rPr>
        <w:t>And that</w:t>
      </w:r>
      <w:r w:rsidR="001C1256" w:rsidRPr="00207DC2">
        <w:rPr>
          <w:lang w:val="en-AU"/>
        </w:rPr>
        <w:t xml:space="preserve"> </w:t>
      </w:r>
      <w:r w:rsidR="0062170C" w:rsidRPr="00207DC2">
        <w:rPr>
          <w:lang w:val="en-AU"/>
        </w:rPr>
        <w:t>failure to re</w:t>
      </w:r>
      <w:r w:rsidR="0062170C" w:rsidRPr="00207DC2">
        <w:rPr>
          <w:lang w:val="en-AU"/>
        </w:rPr>
        <w:noBreakHyphen/>
        <w:t xml:space="preserve">engage </w:t>
      </w:r>
      <w:r w:rsidR="001A0227" w:rsidRPr="00207DC2">
        <w:rPr>
          <w:lang w:val="en-AU"/>
        </w:rPr>
        <w:t xml:space="preserve">can </w:t>
      </w:r>
      <w:r w:rsidR="0075773C" w:rsidRPr="00207DC2">
        <w:rPr>
          <w:lang w:val="en-AU"/>
        </w:rPr>
        <w:t>occur</w:t>
      </w:r>
      <w:r w:rsidR="0062170C" w:rsidRPr="00207DC2">
        <w:rPr>
          <w:lang w:val="en-AU"/>
        </w:rPr>
        <w:t xml:space="preserve"> for a range of reasons</w:t>
      </w:r>
      <w:r w:rsidR="001A0227" w:rsidRPr="00207DC2">
        <w:rPr>
          <w:lang w:val="en-AU"/>
        </w:rPr>
        <w:t>,</w:t>
      </w:r>
      <w:r w:rsidR="0075773C" w:rsidRPr="00207DC2">
        <w:rPr>
          <w:lang w:val="en-AU"/>
        </w:rPr>
        <w:t xml:space="preserve"> </w:t>
      </w:r>
      <w:r w:rsidR="001A0227" w:rsidRPr="00207DC2">
        <w:rPr>
          <w:lang w:val="en-AU"/>
        </w:rPr>
        <w:t>including that</w:t>
      </w:r>
      <w:r w:rsidR="0062170C" w:rsidRPr="00207DC2">
        <w:rPr>
          <w:lang w:val="en-AU"/>
        </w:rPr>
        <w:t xml:space="preserve"> </w:t>
      </w:r>
      <w:r w:rsidR="001C1256" w:rsidRPr="00207DC2">
        <w:rPr>
          <w:lang w:val="en-AU"/>
        </w:rPr>
        <w:t>some participants d</w:t>
      </w:r>
      <w:r w:rsidR="001A0227" w:rsidRPr="00207DC2">
        <w:rPr>
          <w:lang w:val="en-AU"/>
        </w:rPr>
        <w:t>o</w:t>
      </w:r>
      <w:r w:rsidR="001C1256" w:rsidRPr="00207DC2">
        <w:rPr>
          <w:lang w:val="en-AU"/>
        </w:rPr>
        <w:t xml:space="preserve"> not realise they need to contact </w:t>
      </w:r>
      <w:r w:rsidR="001A0227" w:rsidRPr="00207DC2">
        <w:rPr>
          <w:lang w:val="en-AU"/>
        </w:rPr>
        <w:t xml:space="preserve">their </w:t>
      </w:r>
      <w:r w:rsidR="001C1256" w:rsidRPr="00207DC2">
        <w:rPr>
          <w:lang w:val="en-AU"/>
        </w:rPr>
        <w:t>providers t</w:t>
      </w:r>
      <w:r w:rsidR="0062170C" w:rsidRPr="00207DC2">
        <w:rPr>
          <w:lang w:val="en-AU"/>
        </w:rPr>
        <w:t>o re</w:t>
      </w:r>
      <w:r w:rsidR="0062170C" w:rsidRPr="00207DC2">
        <w:rPr>
          <w:lang w:val="en-AU"/>
        </w:rPr>
        <w:noBreakHyphen/>
        <w:t xml:space="preserve">engage </w:t>
      </w:r>
      <w:r w:rsidR="00891938" w:rsidRPr="00207DC2">
        <w:rPr>
          <w:lang w:val="en-AU"/>
        </w:rPr>
        <w:t>(Winangali and Ipsos 2018)</w:t>
      </w:r>
      <w:r w:rsidR="001C1256" w:rsidRPr="00207DC2">
        <w:rPr>
          <w:lang w:val="en-AU"/>
        </w:rPr>
        <w:t>.</w:t>
      </w:r>
    </w:p>
    <w:p w14:paraId="211370D1" w14:textId="1EA35C6B" w:rsidR="00EE67DD" w:rsidRPr="00207DC2" w:rsidRDefault="00EE67DD" w:rsidP="002B3EF0">
      <w:pPr>
        <w:tabs>
          <w:tab w:val="left" w:pos="4678"/>
          <w:tab w:val="left" w:pos="4820"/>
          <w:tab w:val="left" w:pos="5103"/>
          <w:tab w:val="left" w:pos="5245"/>
          <w:tab w:val="left" w:pos="5387"/>
        </w:tabs>
        <w:jc w:val="both"/>
        <w:rPr>
          <w:lang w:val="en-AU"/>
        </w:rPr>
      </w:pPr>
      <w:r w:rsidRPr="00207DC2">
        <w:rPr>
          <w:lang w:val="en-AU"/>
        </w:rPr>
        <w:t>M</w:t>
      </w:r>
      <w:r w:rsidR="0091206B" w:rsidRPr="00207DC2">
        <w:rPr>
          <w:lang w:val="en-AU"/>
        </w:rPr>
        <w:t>ore data</w:t>
      </w:r>
      <w:r w:rsidR="0091206B" w:rsidRPr="00207DC2" w:rsidDel="00662557">
        <w:rPr>
          <w:lang w:val="en-AU"/>
        </w:rPr>
        <w:t xml:space="preserve"> </w:t>
      </w:r>
      <w:r w:rsidR="00662557" w:rsidRPr="00207DC2">
        <w:rPr>
          <w:lang w:val="en-AU"/>
        </w:rPr>
        <w:t xml:space="preserve">are </w:t>
      </w:r>
      <w:r w:rsidR="0091206B" w:rsidRPr="00207DC2">
        <w:rPr>
          <w:lang w:val="en-AU"/>
        </w:rPr>
        <w:t xml:space="preserve">needed to better understand the drivers of </w:t>
      </w:r>
      <w:r w:rsidR="001F090D" w:rsidRPr="00207DC2">
        <w:rPr>
          <w:lang w:val="en-AU"/>
        </w:rPr>
        <w:t>participants</w:t>
      </w:r>
      <w:r w:rsidR="009D360F" w:rsidRPr="00207DC2">
        <w:rPr>
          <w:lang w:val="en-AU"/>
        </w:rPr>
        <w:t>’</w:t>
      </w:r>
      <w:r w:rsidR="0091206B" w:rsidRPr="00207DC2">
        <w:rPr>
          <w:lang w:val="en-AU"/>
        </w:rPr>
        <w:t xml:space="preserve"> outcomes. </w:t>
      </w:r>
    </w:p>
    <w:p w14:paraId="66113CC7" w14:textId="40CCFE29" w:rsidR="00EE67DD" w:rsidRPr="00207DC2" w:rsidRDefault="00D7580E" w:rsidP="00EE67DD">
      <w:pPr>
        <w:tabs>
          <w:tab w:val="left" w:pos="4678"/>
          <w:tab w:val="left" w:pos="4820"/>
          <w:tab w:val="left" w:pos="5103"/>
          <w:tab w:val="left" w:pos="5245"/>
          <w:tab w:val="left" w:pos="5387"/>
        </w:tabs>
        <w:jc w:val="both"/>
        <w:rPr>
          <w:lang w:val="en-AU"/>
        </w:rPr>
      </w:pPr>
      <w:r w:rsidRPr="00207DC2">
        <w:rPr>
          <w:lang w:val="en-AU"/>
        </w:rPr>
        <w:t>Mea</w:t>
      </w:r>
      <w:r w:rsidR="000C0C14" w:rsidRPr="00207DC2">
        <w:rPr>
          <w:lang w:val="en-AU"/>
        </w:rPr>
        <w:t>s</w:t>
      </w:r>
      <w:r w:rsidRPr="00207DC2">
        <w:rPr>
          <w:lang w:val="en-AU"/>
        </w:rPr>
        <w:t>u</w:t>
      </w:r>
      <w:r w:rsidR="000C0C14" w:rsidRPr="00207DC2">
        <w:rPr>
          <w:lang w:val="en-AU"/>
        </w:rPr>
        <w:t>r</w:t>
      </w:r>
      <w:r w:rsidRPr="00207DC2">
        <w:rPr>
          <w:lang w:val="en-AU"/>
        </w:rPr>
        <w:t>ing</w:t>
      </w:r>
      <w:r w:rsidR="00903E7C" w:rsidRPr="00207DC2">
        <w:rPr>
          <w:lang w:val="en-AU"/>
        </w:rPr>
        <w:t xml:space="preserve"> the quality of activities</w:t>
      </w:r>
      <w:r w:rsidR="0091206B" w:rsidRPr="00207DC2">
        <w:rPr>
          <w:lang w:val="en-AU"/>
        </w:rPr>
        <w:t>, in particular,</w:t>
      </w:r>
      <w:r w:rsidR="00903E7C" w:rsidRPr="00207DC2">
        <w:rPr>
          <w:lang w:val="en-AU"/>
        </w:rPr>
        <w:t xml:space="preserve"> </w:t>
      </w:r>
      <w:r w:rsidR="00311F16" w:rsidRPr="00207DC2">
        <w:rPr>
          <w:lang w:val="en-AU"/>
        </w:rPr>
        <w:t>could</w:t>
      </w:r>
      <w:r w:rsidR="00903E7C" w:rsidRPr="00207DC2">
        <w:rPr>
          <w:lang w:val="en-AU"/>
        </w:rPr>
        <w:t xml:space="preserve"> identify the </w:t>
      </w:r>
      <w:r w:rsidR="00CE6D30" w:rsidRPr="00207DC2">
        <w:rPr>
          <w:lang w:val="en-AU"/>
        </w:rPr>
        <w:t xml:space="preserve">types of activities </w:t>
      </w:r>
      <w:r w:rsidR="00903E7C" w:rsidRPr="00207DC2">
        <w:rPr>
          <w:lang w:val="en-AU"/>
        </w:rPr>
        <w:t xml:space="preserve">that </w:t>
      </w:r>
      <w:r w:rsidR="00CE6D30" w:rsidRPr="00207DC2">
        <w:rPr>
          <w:lang w:val="en-AU"/>
        </w:rPr>
        <w:t>best support</w:t>
      </w:r>
      <w:r w:rsidR="00903E7C" w:rsidRPr="00207DC2">
        <w:rPr>
          <w:lang w:val="en-AU"/>
        </w:rPr>
        <w:t xml:space="preserve"> </w:t>
      </w:r>
      <w:r w:rsidR="00537F0B" w:rsidRPr="00207DC2">
        <w:rPr>
          <w:lang w:val="en-AU"/>
        </w:rPr>
        <w:t xml:space="preserve">attendance and participation </w:t>
      </w:r>
      <w:r w:rsidR="00903E7C" w:rsidRPr="00207DC2">
        <w:rPr>
          <w:lang w:val="en-AU"/>
        </w:rPr>
        <w:t xml:space="preserve">in </w:t>
      </w:r>
      <w:r w:rsidR="00CE6D30" w:rsidRPr="00207DC2">
        <w:rPr>
          <w:lang w:val="en-AU"/>
        </w:rPr>
        <w:t>the program and outcomes for participants</w:t>
      </w:r>
      <w:r w:rsidR="00903E7C" w:rsidRPr="00207DC2">
        <w:rPr>
          <w:lang w:val="en-AU"/>
        </w:rPr>
        <w:t>.</w:t>
      </w:r>
      <w:r w:rsidR="00F425FA" w:rsidRPr="00207DC2">
        <w:rPr>
          <w:lang w:val="en-AU"/>
        </w:rPr>
        <w:t xml:space="preserve"> There are </w:t>
      </w:r>
      <w:r w:rsidR="000741E7" w:rsidRPr="00207DC2">
        <w:rPr>
          <w:lang w:val="en-AU"/>
        </w:rPr>
        <w:t>a number of</w:t>
      </w:r>
      <w:r w:rsidR="00F425FA" w:rsidRPr="00207DC2">
        <w:rPr>
          <w:lang w:val="en-AU"/>
        </w:rPr>
        <w:t xml:space="preserve"> ways of measuring </w:t>
      </w:r>
      <w:r w:rsidR="000741E7" w:rsidRPr="00207DC2">
        <w:rPr>
          <w:lang w:val="en-AU"/>
        </w:rPr>
        <w:t>the quality of activities, including</w:t>
      </w:r>
      <w:r w:rsidR="00920380" w:rsidRPr="00207DC2">
        <w:rPr>
          <w:lang w:val="en-AU"/>
        </w:rPr>
        <w:t>:</w:t>
      </w:r>
      <w:r w:rsidR="000741E7" w:rsidRPr="00207DC2">
        <w:rPr>
          <w:lang w:val="en-AU"/>
        </w:rPr>
        <w:t xml:space="preserve"> measures of the skills attain</w:t>
      </w:r>
      <w:r w:rsidR="00920380" w:rsidRPr="00207DC2">
        <w:rPr>
          <w:lang w:val="en-AU"/>
        </w:rPr>
        <w:t>ed</w:t>
      </w:r>
      <w:r w:rsidR="000741E7" w:rsidRPr="00207DC2">
        <w:rPr>
          <w:lang w:val="en-AU"/>
        </w:rPr>
        <w:t xml:space="preserve">, employment outcomes, </w:t>
      </w:r>
      <w:r w:rsidR="00920380" w:rsidRPr="00207DC2">
        <w:rPr>
          <w:lang w:val="en-AU"/>
        </w:rPr>
        <w:t xml:space="preserve">and </w:t>
      </w:r>
      <w:r w:rsidR="000741E7" w:rsidRPr="00207DC2">
        <w:rPr>
          <w:lang w:val="en-AU"/>
        </w:rPr>
        <w:t>participant</w:t>
      </w:r>
      <w:r w:rsidR="00920380" w:rsidRPr="00207DC2">
        <w:rPr>
          <w:lang w:val="en-AU"/>
        </w:rPr>
        <w:t>-</w:t>
      </w:r>
      <w:r w:rsidR="000741E7" w:rsidRPr="00207DC2">
        <w:rPr>
          <w:lang w:val="en-AU"/>
        </w:rPr>
        <w:t xml:space="preserve">reported </w:t>
      </w:r>
      <w:r w:rsidR="00920380" w:rsidRPr="00207DC2">
        <w:rPr>
          <w:lang w:val="en-AU"/>
        </w:rPr>
        <w:t>measures</w:t>
      </w:r>
      <w:r w:rsidR="000741E7" w:rsidRPr="00207DC2">
        <w:rPr>
          <w:lang w:val="en-AU"/>
        </w:rPr>
        <w:t xml:space="preserve"> of </w:t>
      </w:r>
      <w:r w:rsidR="000C0C14" w:rsidRPr="00207DC2">
        <w:rPr>
          <w:lang w:val="en-AU"/>
        </w:rPr>
        <w:t xml:space="preserve">activity </w:t>
      </w:r>
      <w:r w:rsidR="000741E7" w:rsidRPr="00207DC2">
        <w:rPr>
          <w:lang w:val="en-AU"/>
        </w:rPr>
        <w:t>quality</w:t>
      </w:r>
      <w:r w:rsidR="000C0C14" w:rsidRPr="00207DC2">
        <w:rPr>
          <w:lang w:val="en-AU"/>
        </w:rPr>
        <w:t xml:space="preserve"> and </w:t>
      </w:r>
      <w:r w:rsidR="005360E1" w:rsidRPr="00207DC2">
        <w:rPr>
          <w:lang w:val="en-AU"/>
        </w:rPr>
        <w:t>suitability</w:t>
      </w:r>
      <w:r w:rsidR="000741E7" w:rsidRPr="00207DC2">
        <w:rPr>
          <w:lang w:val="en-AU"/>
        </w:rPr>
        <w:t>.</w:t>
      </w:r>
      <w:r w:rsidR="004D66B7" w:rsidRPr="00207DC2">
        <w:rPr>
          <w:lang w:val="en-AU"/>
        </w:rPr>
        <w:t xml:space="preserve"> </w:t>
      </w:r>
      <w:r w:rsidR="00EE67DD" w:rsidRPr="00207DC2">
        <w:rPr>
          <w:lang w:val="en-AU"/>
        </w:rPr>
        <w:t>A</w:t>
      </w:r>
      <w:r w:rsidR="00955B7C" w:rsidRPr="00207DC2">
        <w:rPr>
          <w:lang w:val="en-AU"/>
        </w:rPr>
        <w:t xml:space="preserve"> combination of multiple measures </w:t>
      </w:r>
      <w:r w:rsidR="00EE67DD" w:rsidRPr="00207DC2">
        <w:rPr>
          <w:lang w:val="en-AU"/>
        </w:rPr>
        <w:t xml:space="preserve">could </w:t>
      </w:r>
      <w:r w:rsidR="00955B7C" w:rsidRPr="00207DC2">
        <w:rPr>
          <w:lang w:val="en-AU"/>
        </w:rPr>
        <w:t xml:space="preserve">be used to capture different </w:t>
      </w:r>
      <w:r w:rsidR="00EE67DD" w:rsidRPr="00207DC2">
        <w:rPr>
          <w:lang w:val="en-AU"/>
        </w:rPr>
        <w:t xml:space="preserve">aspects </w:t>
      </w:r>
      <w:r w:rsidR="00955B7C" w:rsidRPr="00207DC2">
        <w:rPr>
          <w:lang w:val="en-AU"/>
        </w:rPr>
        <w:t>of activity quality.</w:t>
      </w:r>
      <w:r w:rsidR="004D66B7" w:rsidRPr="00207DC2">
        <w:rPr>
          <w:lang w:val="en-AU"/>
        </w:rPr>
        <w:t xml:space="preserve"> </w:t>
      </w:r>
    </w:p>
    <w:p w14:paraId="0289C09B" w14:textId="17AB9242" w:rsidR="005926EF" w:rsidRPr="00207DC2" w:rsidRDefault="00F425FA" w:rsidP="00EE67DD">
      <w:pPr>
        <w:tabs>
          <w:tab w:val="left" w:pos="5103"/>
          <w:tab w:val="left" w:pos="7230"/>
        </w:tabs>
        <w:jc w:val="both"/>
        <w:rPr>
          <w:lang w:val="en-AU"/>
        </w:rPr>
      </w:pPr>
      <w:r w:rsidRPr="00207DC2">
        <w:rPr>
          <w:lang w:val="en-AU"/>
        </w:rPr>
        <w:t>Measur</w:t>
      </w:r>
      <w:r w:rsidR="0091206B" w:rsidRPr="00207DC2">
        <w:rPr>
          <w:lang w:val="en-AU"/>
        </w:rPr>
        <w:t xml:space="preserve">ing and reporting on </w:t>
      </w:r>
      <w:r w:rsidRPr="00207DC2">
        <w:rPr>
          <w:lang w:val="en-AU"/>
        </w:rPr>
        <w:t xml:space="preserve">what happens to people exiting off the CDP </w:t>
      </w:r>
      <w:r w:rsidR="000C0C14" w:rsidRPr="00207DC2">
        <w:rPr>
          <w:lang w:val="en-AU"/>
        </w:rPr>
        <w:t>(and who are th</w:t>
      </w:r>
      <w:r w:rsidR="00A06D74" w:rsidRPr="00207DC2">
        <w:rPr>
          <w:lang w:val="en-AU"/>
        </w:rPr>
        <w:t>erefore</w:t>
      </w:r>
      <w:r w:rsidR="000C0C14" w:rsidRPr="00207DC2">
        <w:rPr>
          <w:lang w:val="en-AU"/>
        </w:rPr>
        <w:t xml:space="preserve"> no longer recorded in the </w:t>
      </w:r>
      <w:r w:rsidR="00B917B4" w:rsidRPr="00207DC2">
        <w:rPr>
          <w:lang w:val="en-AU"/>
        </w:rPr>
        <w:t xml:space="preserve">CDP provider </w:t>
      </w:r>
      <w:r w:rsidR="000C0C14" w:rsidRPr="00207DC2">
        <w:rPr>
          <w:lang w:val="en-AU"/>
        </w:rPr>
        <w:t>data)</w:t>
      </w:r>
      <w:r w:rsidRPr="00207DC2">
        <w:rPr>
          <w:lang w:val="en-AU"/>
        </w:rPr>
        <w:t xml:space="preserve"> </w:t>
      </w:r>
      <w:r w:rsidR="0091206B" w:rsidRPr="00207DC2">
        <w:rPr>
          <w:lang w:val="en-AU"/>
        </w:rPr>
        <w:t xml:space="preserve">could improve </w:t>
      </w:r>
      <w:r w:rsidRPr="00207DC2">
        <w:rPr>
          <w:lang w:val="en-AU"/>
        </w:rPr>
        <w:t>understand</w:t>
      </w:r>
      <w:r w:rsidR="0091206B" w:rsidRPr="00207DC2">
        <w:rPr>
          <w:lang w:val="en-AU"/>
        </w:rPr>
        <w:t>ing of the impact of penalties, activities and the program more b</w:t>
      </w:r>
      <w:r w:rsidR="000C0C14" w:rsidRPr="00207DC2">
        <w:rPr>
          <w:lang w:val="en-AU"/>
        </w:rPr>
        <w:t>r</w:t>
      </w:r>
      <w:r w:rsidR="0091206B" w:rsidRPr="00207DC2">
        <w:rPr>
          <w:lang w:val="en-AU"/>
        </w:rPr>
        <w:t>oadly</w:t>
      </w:r>
      <w:r w:rsidRPr="00207DC2">
        <w:rPr>
          <w:lang w:val="en-AU"/>
        </w:rPr>
        <w:t xml:space="preserve">. This requires that outcomes </w:t>
      </w:r>
      <w:r w:rsidR="009D360F" w:rsidRPr="00207DC2">
        <w:rPr>
          <w:lang w:val="en-AU"/>
        </w:rPr>
        <w:t>be</w:t>
      </w:r>
      <w:r w:rsidRPr="00207DC2">
        <w:rPr>
          <w:lang w:val="en-AU"/>
        </w:rPr>
        <w:t xml:space="preserve"> monitored across the CDP and income support administrative systems.</w:t>
      </w:r>
    </w:p>
    <w:p w14:paraId="2CC98523" w14:textId="7EAE8389" w:rsidR="005926EF" w:rsidRPr="00207DC2" w:rsidRDefault="005926EF">
      <w:pPr>
        <w:tabs>
          <w:tab w:val="left" w:pos="5103"/>
          <w:tab w:val="left" w:pos="7230"/>
        </w:tabs>
        <w:jc w:val="both"/>
        <w:rPr>
          <w:lang w:val="en-AU"/>
        </w:rPr>
      </w:pPr>
    </w:p>
    <w:p w14:paraId="5458BBC4" w14:textId="77777777" w:rsidR="00E445F8" w:rsidRPr="00207DC2" w:rsidRDefault="00E445F8" w:rsidP="0021431F">
      <w:pPr>
        <w:pStyle w:val="ZED11"/>
        <w:ind w:left="357" w:hanging="357"/>
        <w:outlineLvl w:val="1"/>
      </w:pPr>
      <w:bookmarkStart w:id="434" w:name="_Toc509587044"/>
      <w:bookmarkStart w:id="435" w:name="_Toc509588070"/>
      <w:bookmarkStart w:id="436" w:name="_Toc509588333"/>
      <w:bookmarkStart w:id="437" w:name="_Toc509589481"/>
      <w:bookmarkStart w:id="438" w:name="_Toc509926899"/>
      <w:bookmarkStart w:id="439" w:name="_Toc511661249"/>
      <w:bookmarkStart w:id="440" w:name="_Toc511826300"/>
      <w:bookmarkStart w:id="441" w:name="_Toc511940617"/>
      <w:bookmarkStart w:id="442" w:name="_Toc515185467"/>
      <w:bookmarkStart w:id="443" w:name="_Toc516219840"/>
      <w:bookmarkStart w:id="444" w:name="_Toc516220481"/>
      <w:bookmarkStart w:id="445" w:name="_Toc516223301"/>
      <w:bookmarkStart w:id="446" w:name="_Toc516225209"/>
      <w:bookmarkStart w:id="447" w:name="_Toc516228985"/>
      <w:bookmarkStart w:id="448" w:name="_Toc518468059"/>
      <w:bookmarkStart w:id="449" w:name="_Toc518487840"/>
      <w:bookmarkStart w:id="450" w:name="_Toc518558803"/>
      <w:bookmarkStart w:id="451" w:name="_Toc518565326"/>
      <w:bookmarkStart w:id="452" w:name="_Toc518565570"/>
      <w:bookmarkStart w:id="453" w:name="_Toc519504741"/>
      <w:bookmarkStart w:id="454" w:name="_Toc519505965"/>
      <w:bookmarkStart w:id="455" w:name="_Toc519844071"/>
      <w:bookmarkStart w:id="456" w:name="_Toc521068573"/>
      <w:bookmarkStart w:id="457" w:name="_Toc521391087"/>
      <w:bookmarkStart w:id="458" w:name="_Toc522013256"/>
      <w:bookmarkStart w:id="459" w:name="_Toc534965166"/>
      <w:bookmarkStart w:id="460" w:name="_Toc535935057"/>
      <w:r w:rsidRPr="00207DC2">
        <w:t>Employment outcomes</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points box"/>
      </w:tblPr>
      <w:tblGrid>
        <w:gridCol w:w="9099"/>
      </w:tblGrid>
      <w:tr w:rsidR="00E445F8" w:rsidRPr="00207DC2" w14:paraId="0696B887" w14:textId="77777777" w:rsidTr="000A3951">
        <w:trPr>
          <w:tblHeader/>
        </w:trPr>
        <w:tc>
          <w:tcPr>
            <w:tcW w:w="9099" w:type="dxa"/>
            <w:tcBorders>
              <w:top w:val="single" w:sz="4" w:space="0" w:color="auto"/>
              <w:bottom w:val="single" w:sz="4" w:space="0" w:color="auto"/>
            </w:tcBorders>
            <w:shd w:val="clear" w:color="auto" w:fill="D0D2D3" w:themeFill="background2"/>
          </w:tcPr>
          <w:p w14:paraId="6B282006" w14:textId="77777777" w:rsidR="00B657FE" w:rsidRPr="003D7FEC" w:rsidRDefault="00B657FE" w:rsidP="003D7FEC">
            <w:pPr>
              <w:rPr>
                <w:rFonts w:ascii="Montserrat" w:hAnsi="Montserrat"/>
                <w:b/>
                <w:lang w:val="en-AU"/>
              </w:rPr>
            </w:pPr>
            <w:r w:rsidRPr="003D7FEC">
              <w:rPr>
                <w:rFonts w:ascii="Montserrat" w:hAnsi="Montserrat"/>
                <w:b/>
                <w:lang w:val="en-AU"/>
              </w:rPr>
              <w:t>Key Points</w:t>
            </w:r>
          </w:p>
          <w:p w14:paraId="74E3F6C6" w14:textId="31512DA4" w:rsidR="00A636CA" w:rsidRPr="008050A9" w:rsidRDefault="000E622D" w:rsidP="00F90446">
            <w:pPr>
              <w:pStyle w:val="ListParagraph"/>
              <w:numPr>
                <w:ilvl w:val="0"/>
                <w:numId w:val="36"/>
              </w:numPr>
              <w:spacing w:after="120"/>
              <w:ind w:left="714" w:hanging="357"/>
              <w:contextualSpacing w:val="0"/>
              <w:rPr>
                <w:lang w:val="en-AU"/>
              </w:rPr>
            </w:pPr>
            <w:r w:rsidRPr="008050A9">
              <w:rPr>
                <w:lang w:val="en-AU"/>
              </w:rPr>
              <w:t>The Community Development Programme (CDP) aims to provide participants with skills and experiences to make them more job-ready and able to move into</w:t>
            </w:r>
            <w:r w:rsidR="003F70EA" w:rsidRPr="008050A9">
              <w:rPr>
                <w:lang w:val="en-AU"/>
              </w:rPr>
              <w:t>, and remain in,</w:t>
            </w:r>
            <w:r w:rsidRPr="008050A9">
              <w:rPr>
                <w:lang w:val="en-AU"/>
              </w:rPr>
              <w:t xml:space="preserve"> </w:t>
            </w:r>
            <w:r w:rsidR="003F70EA" w:rsidRPr="008050A9">
              <w:rPr>
                <w:lang w:val="en-AU"/>
              </w:rPr>
              <w:t>paid</w:t>
            </w:r>
            <w:r w:rsidRPr="008050A9">
              <w:rPr>
                <w:lang w:val="en-AU"/>
              </w:rPr>
              <w:t xml:space="preserve"> employment.</w:t>
            </w:r>
          </w:p>
          <w:p w14:paraId="39057F10" w14:textId="70E883A9" w:rsidR="00AA328A" w:rsidRPr="008050A9" w:rsidRDefault="009841FE" w:rsidP="00F90446">
            <w:pPr>
              <w:pStyle w:val="ListParagraph"/>
              <w:numPr>
                <w:ilvl w:val="0"/>
                <w:numId w:val="36"/>
              </w:numPr>
              <w:spacing w:after="120"/>
              <w:ind w:left="714" w:hanging="357"/>
              <w:contextualSpacing w:val="0"/>
              <w:rPr>
                <w:lang w:val="en-AU"/>
              </w:rPr>
            </w:pPr>
            <w:r w:rsidRPr="008050A9">
              <w:rPr>
                <w:lang w:val="en-AU"/>
              </w:rPr>
              <w:t>A number of</w:t>
            </w:r>
            <w:r w:rsidR="00C46BC9" w:rsidRPr="008050A9">
              <w:rPr>
                <w:lang w:val="en-AU"/>
              </w:rPr>
              <w:t xml:space="preserve"> modelling approaches were </w:t>
            </w:r>
            <w:r w:rsidR="005E6661" w:rsidRPr="008050A9">
              <w:rPr>
                <w:lang w:val="en-AU"/>
              </w:rPr>
              <w:t>undertaken</w:t>
            </w:r>
            <w:r w:rsidR="00C46BC9" w:rsidRPr="008050A9">
              <w:rPr>
                <w:lang w:val="en-AU"/>
              </w:rPr>
              <w:t xml:space="preserve"> to estimate the effect of the introduction of the CDP on employment outcomes</w:t>
            </w:r>
            <w:r w:rsidRPr="008050A9">
              <w:rPr>
                <w:lang w:val="en-AU"/>
              </w:rPr>
              <w:t xml:space="preserve"> after controlling for the characteristics of participants and changes in labour market conditions</w:t>
            </w:r>
            <w:r w:rsidR="00092D65" w:rsidRPr="008050A9">
              <w:rPr>
                <w:lang w:val="en-AU"/>
              </w:rPr>
              <w:t xml:space="preserve">. </w:t>
            </w:r>
            <w:r w:rsidR="00C46BC9" w:rsidRPr="008050A9">
              <w:rPr>
                <w:lang w:val="en-AU"/>
              </w:rPr>
              <w:t xml:space="preserve">In addition to before to after modelling, quasi-experimental </w:t>
            </w:r>
            <w:r w:rsidR="00A00992" w:rsidRPr="008050A9">
              <w:rPr>
                <w:lang w:val="en-AU"/>
              </w:rPr>
              <w:t>techniques were used to compare</w:t>
            </w:r>
            <w:r w:rsidR="00C46BC9" w:rsidRPr="008050A9">
              <w:rPr>
                <w:lang w:val="en-AU"/>
              </w:rPr>
              <w:t xml:space="preserve"> changes in employment outcomes for participants in remote regions with changes for jobseekers in </w:t>
            </w:r>
            <w:r w:rsidR="00BE2885" w:rsidRPr="008050A9">
              <w:rPr>
                <w:lang w:val="en-AU"/>
              </w:rPr>
              <w:t>neighbouring</w:t>
            </w:r>
            <w:r w:rsidR="00C46BC9" w:rsidRPr="008050A9">
              <w:rPr>
                <w:lang w:val="en-AU"/>
              </w:rPr>
              <w:t xml:space="preserve"> jobactive regions.</w:t>
            </w:r>
            <w:r w:rsidR="00FE08FF" w:rsidRPr="008050A9">
              <w:rPr>
                <w:lang w:val="en-AU"/>
              </w:rPr>
              <w:t xml:space="preserve"> </w:t>
            </w:r>
          </w:p>
          <w:p w14:paraId="4095EEFB" w14:textId="01B1B77A" w:rsidR="00E8172E" w:rsidRPr="008050A9" w:rsidRDefault="00FE08FF" w:rsidP="00F90446">
            <w:pPr>
              <w:pStyle w:val="ListParagraph"/>
              <w:numPr>
                <w:ilvl w:val="0"/>
                <w:numId w:val="36"/>
              </w:numPr>
              <w:spacing w:after="120"/>
              <w:ind w:left="714" w:hanging="357"/>
              <w:contextualSpacing w:val="0"/>
              <w:rPr>
                <w:lang w:val="en-AU"/>
              </w:rPr>
            </w:pPr>
            <w:r w:rsidRPr="008050A9">
              <w:rPr>
                <w:lang w:val="en-AU"/>
              </w:rPr>
              <w:t>Three outcomes were examined</w:t>
            </w:r>
            <w:r w:rsidR="00A967DB" w:rsidRPr="008050A9">
              <w:rPr>
                <w:lang w:val="en-AU"/>
              </w:rPr>
              <w:t xml:space="preserve"> </w:t>
            </w:r>
            <w:r w:rsidR="00310BCE" w:rsidRPr="008050A9">
              <w:rPr>
                <w:lang w:val="en-AU"/>
              </w:rPr>
              <w:t>including</w:t>
            </w:r>
            <w:r w:rsidRPr="008050A9">
              <w:rPr>
                <w:lang w:val="en-AU"/>
              </w:rPr>
              <w:t xml:space="preserve"> the </w:t>
            </w:r>
            <w:r w:rsidR="00A967DB" w:rsidRPr="008050A9">
              <w:rPr>
                <w:lang w:val="en-AU"/>
              </w:rPr>
              <w:t>share</w:t>
            </w:r>
            <w:r w:rsidRPr="008050A9">
              <w:rPr>
                <w:lang w:val="en-AU"/>
              </w:rPr>
              <w:t xml:space="preserve"> of participants who obtained at least one job placement, 13</w:t>
            </w:r>
            <w:r w:rsidR="005411CB" w:rsidRPr="008050A9">
              <w:rPr>
                <w:lang w:val="en-AU"/>
              </w:rPr>
              <w:t>-</w:t>
            </w:r>
            <w:r w:rsidR="00E92D79" w:rsidRPr="008050A9">
              <w:rPr>
                <w:lang w:val="en-AU"/>
              </w:rPr>
              <w:t>week</w:t>
            </w:r>
            <w:r w:rsidRPr="008050A9">
              <w:rPr>
                <w:lang w:val="en-AU"/>
              </w:rPr>
              <w:t xml:space="preserve"> and 26</w:t>
            </w:r>
            <w:r w:rsidR="005411CB" w:rsidRPr="008050A9">
              <w:rPr>
                <w:lang w:val="en-AU"/>
              </w:rPr>
              <w:t>-</w:t>
            </w:r>
            <w:r w:rsidRPr="008050A9">
              <w:rPr>
                <w:lang w:val="en-AU"/>
              </w:rPr>
              <w:t>week</w:t>
            </w:r>
            <w:r w:rsidR="00971F5F" w:rsidRPr="008050A9">
              <w:rPr>
                <w:lang w:val="en-AU"/>
              </w:rPr>
              <w:t xml:space="preserve"> employment outcome, over an 18-</w:t>
            </w:r>
            <w:r w:rsidRPr="008050A9">
              <w:rPr>
                <w:lang w:val="en-AU"/>
              </w:rPr>
              <w:t>month period.</w:t>
            </w:r>
            <w:r w:rsidR="00092D65" w:rsidRPr="008050A9">
              <w:rPr>
                <w:lang w:val="en-AU"/>
              </w:rPr>
              <w:t xml:space="preserve"> </w:t>
            </w:r>
            <w:r w:rsidR="00C46BC9" w:rsidRPr="008050A9">
              <w:rPr>
                <w:lang w:val="en-AU"/>
              </w:rPr>
              <w:t xml:space="preserve">Across the </w:t>
            </w:r>
            <w:r w:rsidR="000E61D4" w:rsidRPr="008050A9">
              <w:rPr>
                <w:lang w:val="en-AU"/>
              </w:rPr>
              <w:t xml:space="preserve">modelling </w:t>
            </w:r>
            <w:r w:rsidR="009A2CD2" w:rsidRPr="008050A9">
              <w:rPr>
                <w:lang w:val="en-AU"/>
              </w:rPr>
              <w:t xml:space="preserve">results </w:t>
            </w:r>
            <w:r w:rsidR="00DB175D" w:rsidRPr="008050A9">
              <w:rPr>
                <w:lang w:val="en-AU"/>
              </w:rPr>
              <w:t>and sensitivity tests</w:t>
            </w:r>
            <w:r w:rsidR="00E8172E" w:rsidRPr="008050A9">
              <w:rPr>
                <w:lang w:val="en-AU"/>
              </w:rPr>
              <w:t xml:space="preserve">: </w:t>
            </w:r>
          </w:p>
          <w:p w14:paraId="2AE49AE6" w14:textId="2C5C47F7" w:rsidR="00E8172E" w:rsidRPr="008050A9" w:rsidRDefault="00E8172E" w:rsidP="00F90446">
            <w:pPr>
              <w:pStyle w:val="ListParagraph"/>
              <w:numPr>
                <w:ilvl w:val="1"/>
                <w:numId w:val="36"/>
              </w:numPr>
              <w:spacing w:after="120"/>
              <w:contextualSpacing w:val="0"/>
              <w:rPr>
                <w:lang w:val="en-AU"/>
              </w:rPr>
            </w:pPr>
            <w:r w:rsidRPr="008050A9">
              <w:rPr>
                <w:lang w:val="en-AU"/>
              </w:rPr>
              <w:t xml:space="preserve">no </w:t>
            </w:r>
            <w:r w:rsidR="009A2CD2" w:rsidRPr="008050A9">
              <w:rPr>
                <w:lang w:val="en-AU"/>
              </w:rPr>
              <w:t>conclusive evidence was</w:t>
            </w:r>
            <w:r w:rsidRPr="008050A9">
              <w:rPr>
                <w:lang w:val="en-AU"/>
              </w:rPr>
              <w:t xml:space="preserve"> found for the effect of the introduction of the CDP on job placements and 13-week outcomes</w:t>
            </w:r>
            <w:r w:rsidR="009A2CD2" w:rsidRPr="008050A9">
              <w:rPr>
                <w:lang w:val="en-AU"/>
              </w:rPr>
              <w:t>;</w:t>
            </w:r>
            <w:r w:rsidRPr="008050A9">
              <w:rPr>
                <w:lang w:val="en-AU"/>
              </w:rPr>
              <w:t xml:space="preserve"> </w:t>
            </w:r>
          </w:p>
          <w:p w14:paraId="1C23C258" w14:textId="77777777" w:rsidR="00E14426" w:rsidRDefault="00E8172E" w:rsidP="00BA0B8D">
            <w:pPr>
              <w:pStyle w:val="ListParagraph"/>
              <w:numPr>
                <w:ilvl w:val="1"/>
                <w:numId w:val="36"/>
              </w:numPr>
              <w:spacing w:after="120"/>
              <w:contextualSpacing w:val="0"/>
              <w:rPr>
                <w:lang w:val="en-AU"/>
              </w:rPr>
            </w:pPr>
            <w:r w:rsidRPr="008050A9">
              <w:rPr>
                <w:lang w:val="en-AU"/>
              </w:rPr>
              <w:t xml:space="preserve">however, </w:t>
            </w:r>
            <w:r w:rsidR="00C46BC9" w:rsidRPr="008050A9">
              <w:rPr>
                <w:lang w:val="en-AU"/>
              </w:rPr>
              <w:t>a statistically significant improvement of around one percentage point was est</w:t>
            </w:r>
            <w:r w:rsidR="00647807" w:rsidRPr="008050A9">
              <w:rPr>
                <w:lang w:val="en-AU"/>
              </w:rPr>
              <w:t>imated for 26-week outcomes.</w:t>
            </w:r>
            <w:r w:rsidR="009C41A6" w:rsidRPr="008050A9">
              <w:rPr>
                <w:lang w:val="en-AU"/>
              </w:rPr>
              <w:t xml:space="preserve"> </w:t>
            </w:r>
            <w:r w:rsidR="00C46BC9" w:rsidRPr="008050A9">
              <w:rPr>
                <w:lang w:val="en-AU"/>
              </w:rPr>
              <w:t>In the before to after modelling,</w:t>
            </w:r>
            <w:r w:rsidR="000C3670" w:rsidRPr="008050A9">
              <w:rPr>
                <w:lang w:val="en-AU"/>
              </w:rPr>
              <w:t xml:space="preserve"> for example,</w:t>
            </w:r>
            <w:r w:rsidR="00C46BC9" w:rsidRPr="008050A9">
              <w:rPr>
                <w:lang w:val="en-AU"/>
              </w:rPr>
              <w:t xml:space="preserve"> 26-week employment outcomes increased by 1.2</w:t>
            </w:r>
            <w:r w:rsidR="000C3670" w:rsidRPr="008050A9">
              <w:rPr>
                <w:lang w:val="en-AU"/>
              </w:rPr>
              <w:t> </w:t>
            </w:r>
            <w:r w:rsidR="00C46BC9" w:rsidRPr="008050A9">
              <w:rPr>
                <w:lang w:val="en-AU"/>
              </w:rPr>
              <w:t>percentage point</w:t>
            </w:r>
            <w:r w:rsidR="00A1752D" w:rsidRPr="008050A9">
              <w:rPr>
                <w:lang w:val="en-AU"/>
              </w:rPr>
              <w:t>s</w:t>
            </w:r>
            <w:r w:rsidR="000A2607" w:rsidRPr="008050A9">
              <w:rPr>
                <w:lang w:val="en-AU"/>
              </w:rPr>
              <w:t xml:space="preserve"> </w:t>
            </w:r>
            <w:r w:rsidR="00FE08FF" w:rsidRPr="008050A9">
              <w:rPr>
                <w:lang w:val="en-AU"/>
              </w:rPr>
              <w:t xml:space="preserve">under </w:t>
            </w:r>
            <w:r w:rsidR="00B7089D">
              <w:rPr>
                <w:lang w:val="en-AU"/>
              </w:rPr>
              <w:t xml:space="preserve">the </w:t>
            </w:r>
            <w:r w:rsidR="00FE08FF" w:rsidRPr="008050A9">
              <w:rPr>
                <w:lang w:val="en-AU"/>
              </w:rPr>
              <w:t>CDP</w:t>
            </w:r>
            <w:r w:rsidR="000A2607" w:rsidRPr="008050A9">
              <w:rPr>
                <w:lang w:val="en-AU"/>
              </w:rPr>
              <w:t xml:space="preserve"> from a base of 5.7</w:t>
            </w:r>
            <w:r w:rsidR="000C3670" w:rsidRPr="008050A9">
              <w:rPr>
                <w:lang w:val="en-AU"/>
              </w:rPr>
              <w:t> </w:t>
            </w:r>
            <w:r w:rsidR="000A2607" w:rsidRPr="008050A9">
              <w:rPr>
                <w:lang w:val="en-AU"/>
              </w:rPr>
              <w:t>per</w:t>
            </w:r>
            <w:r w:rsidR="000C3670" w:rsidRPr="008050A9">
              <w:rPr>
                <w:lang w:val="en-AU"/>
              </w:rPr>
              <w:t> </w:t>
            </w:r>
            <w:r w:rsidR="000A2607" w:rsidRPr="008050A9">
              <w:rPr>
                <w:lang w:val="en-AU"/>
              </w:rPr>
              <w:t xml:space="preserve">cent </w:t>
            </w:r>
            <w:r w:rsidR="00FE08FF" w:rsidRPr="008050A9">
              <w:rPr>
                <w:lang w:val="en-AU"/>
              </w:rPr>
              <w:t xml:space="preserve">under </w:t>
            </w:r>
            <w:r w:rsidR="00B7089D">
              <w:rPr>
                <w:lang w:val="en-AU"/>
              </w:rPr>
              <w:t xml:space="preserve">the </w:t>
            </w:r>
            <w:r w:rsidR="00FE08FF" w:rsidRPr="008050A9">
              <w:rPr>
                <w:lang w:val="en-AU"/>
              </w:rPr>
              <w:t>RJCP</w:t>
            </w:r>
            <w:r w:rsidR="000A2607" w:rsidRPr="008050A9">
              <w:rPr>
                <w:lang w:val="en-AU"/>
              </w:rPr>
              <w:t>.</w:t>
            </w:r>
            <w:r w:rsidR="00B7089D">
              <w:rPr>
                <w:lang w:val="en-AU"/>
              </w:rPr>
              <w:t xml:space="preserve"> </w:t>
            </w:r>
          </w:p>
          <w:p w14:paraId="5C87239C" w14:textId="21A398A5" w:rsidR="00C46BC9" w:rsidRPr="00E14426" w:rsidRDefault="00FF33B2" w:rsidP="00E14426">
            <w:pPr>
              <w:spacing w:after="120"/>
              <w:ind w:left="714"/>
              <w:rPr>
                <w:lang w:val="en-AU"/>
              </w:rPr>
            </w:pPr>
            <w:r w:rsidRPr="00E14426">
              <w:rPr>
                <w:lang w:val="en-AU"/>
              </w:rPr>
              <w:t>Th</w:t>
            </w:r>
            <w:r w:rsidR="002A185E" w:rsidRPr="00E14426">
              <w:rPr>
                <w:lang w:val="en-AU"/>
              </w:rPr>
              <w:t>is</w:t>
            </w:r>
            <w:r w:rsidR="001E52A6" w:rsidRPr="00E14426">
              <w:rPr>
                <w:lang w:val="en-AU"/>
              </w:rPr>
              <w:t xml:space="preserve"> </w:t>
            </w:r>
            <w:r w:rsidR="002A185E" w:rsidRPr="00E14426">
              <w:rPr>
                <w:lang w:val="en-AU"/>
              </w:rPr>
              <w:t>is</w:t>
            </w:r>
            <w:r w:rsidRPr="00E14426">
              <w:rPr>
                <w:lang w:val="en-AU"/>
              </w:rPr>
              <w:t xml:space="preserve"> consistent with the greater </w:t>
            </w:r>
            <w:r w:rsidR="009A2CD2" w:rsidRPr="00E14426">
              <w:rPr>
                <w:lang w:val="en-AU"/>
              </w:rPr>
              <w:t xml:space="preserve">weight placed on </w:t>
            </w:r>
            <w:r w:rsidR="004129D6" w:rsidRPr="00E14426">
              <w:rPr>
                <w:lang w:val="en-AU"/>
              </w:rPr>
              <w:t>26</w:t>
            </w:r>
            <w:r w:rsidR="00BA0B8D" w:rsidRPr="00E14426">
              <w:rPr>
                <w:lang w:val="en-AU"/>
              </w:rPr>
              <w:t> </w:t>
            </w:r>
            <w:r w:rsidR="004129D6" w:rsidRPr="00E14426">
              <w:rPr>
                <w:lang w:val="en-AU"/>
              </w:rPr>
              <w:t>consecutive-week</w:t>
            </w:r>
            <w:r w:rsidRPr="00E14426">
              <w:rPr>
                <w:lang w:val="en-AU"/>
              </w:rPr>
              <w:t xml:space="preserve"> employment outcomes</w:t>
            </w:r>
            <w:r w:rsidR="009A0919" w:rsidRPr="00E14426">
              <w:rPr>
                <w:lang w:val="en-AU"/>
              </w:rPr>
              <w:t xml:space="preserve"> in provider </w:t>
            </w:r>
            <w:r w:rsidR="00216771" w:rsidRPr="00E14426">
              <w:rPr>
                <w:lang w:val="en-AU"/>
              </w:rPr>
              <w:t>and employer</w:t>
            </w:r>
            <w:r w:rsidR="009A0919" w:rsidRPr="00E14426">
              <w:rPr>
                <w:lang w:val="en-AU"/>
              </w:rPr>
              <w:t xml:space="preserve"> payments</w:t>
            </w:r>
            <w:r w:rsidRPr="00E14426">
              <w:rPr>
                <w:lang w:val="en-AU"/>
              </w:rPr>
              <w:t>.</w:t>
            </w:r>
          </w:p>
          <w:p w14:paraId="07C76AA4" w14:textId="68174A0A" w:rsidR="005E6661" w:rsidRPr="008050A9" w:rsidRDefault="005E6661" w:rsidP="00F90446">
            <w:pPr>
              <w:pStyle w:val="ListParagraph"/>
              <w:numPr>
                <w:ilvl w:val="0"/>
                <w:numId w:val="36"/>
              </w:numPr>
              <w:spacing w:after="120"/>
              <w:ind w:left="714" w:hanging="357"/>
              <w:contextualSpacing w:val="0"/>
              <w:rPr>
                <w:lang w:val="en-AU"/>
              </w:rPr>
            </w:pPr>
            <w:r w:rsidRPr="008050A9">
              <w:rPr>
                <w:lang w:val="en-AU"/>
              </w:rPr>
              <w:t xml:space="preserve">Close to three in four CDP participants have </w:t>
            </w:r>
            <w:r w:rsidRPr="008050A9">
              <w:rPr>
                <w:i/>
                <w:lang w:val="en-AU"/>
              </w:rPr>
              <w:t xml:space="preserve">moderate to extreme barriers </w:t>
            </w:r>
            <w:r w:rsidRPr="008050A9">
              <w:rPr>
                <w:lang w:val="en-AU"/>
              </w:rPr>
              <w:t>to employment based on the</w:t>
            </w:r>
            <w:r w:rsidR="003E0511" w:rsidRPr="008050A9">
              <w:rPr>
                <w:lang w:val="en-AU"/>
              </w:rPr>
              <w:t xml:space="preserve"> Job Seeker Classification Instrument</w:t>
            </w:r>
            <w:r w:rsidR="00F3398E" w:rsidRPr="008050A9">
              <w:rPr>
                <w:lang w:val="en-AU"/>
              </w:rPr>
              <w:t xml:space="preserve"> (JSCI)</w:t>
            </w:r>
            <w:r w:rsidR="003E0511" w:rsidRPr="008050A9">
              <w:rPr>
                <w:lang w:val="en-AU"/>
              </w:rPr>
              <w:t>. This reflects, in part, the</w:t>
            </w:r>
            <w:r w:rsidRPr="008050A9">
              <w:rPr>
                <w:lang w:val="en-AU"/>
              </w:rPr>
              <w:t xml:space="preserve">: </w:t>
            </w:r>
          </w:p>
          <w:p w14:paraId="66B73CBF" w14:textId="318CBCDB" w:rsidR="00160AD2" w:rsidRPr="008050A9" w:rsidRDefault="00160AD2" w:rsidP="00F90446">
            <w:pPr>
              <w:pStyle w:val="ListParagraph"/>
              <w:numPr>
                <w:ilvl w:val="1"/>
                <w:numId w:val="36"/>
              </w:numPr>
              <w:spacing w:after="120"/>
              <w:contextualSpacing w:val="0"/>
              <w:rPr>
                <w:lang w:val="en-AU"/>
              </w:rPr>
            </w:pPr>
            <w:r w:rsidRPr="008050A9">
              <w:rPr>
                <w:lang w:val="en-AU"/>
              </w:rPr>
              <w:t xml:space="preserve">high share of participants living in very remote areas with more limited </w:t>
            </w:r>
            <w:r w:rsidR="004C4409">
              <w:rPr>
                <w:lang w:val="en-AU"/>
              </w:rPr>
              <w:t>labour market opportunities</w:t>
            </w:r>
          </w:p>
          <w:p w14:paraId="2962234E" w14:textId="10C7544F" w:rsidR="005E6661" w:rsidRPr="008050A9" w:rsidRDefault="005E6661" w:rsidP="00F90446">
            <w:pPr>
              <w:pStyle w:val="ListParagraph"/>
              <w:numPr>
                <w:ilvl w:val="1"/>
                <w:numId w:val="36"/>
              </w:numPr>
              <w:spacing w:after="120"/>
              <w:contextualSpacing w:val="0"/>
              <w:rPr>
                <w:lang w:val="en-AU"/>
              </w:rPr>
            </w:pPr>
            <w:r w:rsidRPr="008050A9">
              <w:rPr>
                <w:lang w:val="en-AU"/>
              </w:rPr>
              <w:t>limited experience many CDP participants have in the labour market</w:t>
            </w:r>
            <w:r w:rsidR="00396552" w:rsidRPr="008050A9">
              <w:rPr>
                <w:lang w:val="en-AU"/>
              </w:rPr>
              <w:t xml:space="preserve"> – </w:t>
            </w:r>
            <w:r w:rsidRPr="008050A9">
              <w:rPr>
                <w:lang w:val="en-AU"/>
              </w:rPr>
              <w:t>of those participating on 1 January 2016, one in five had spent at least 70 per cent of their adult life on income</w:t>
            </w:r>
            <w:r w:rsidR="00160AD2" w:rsidRPr="008050A9">
              <w:rPr>
                <w:lang w:val="en-AU"/>
              </w:rPr>
              <w:t xml:space="preserve"> support </w:t>
            </w:r>
            <w:r w:rsidR="00AF42D9" w:rsidRPr="008050A9">
              <w:rPr>
                <w:lang w:val="en-AU"/>
              </w:rPr>
              <w:t>(</w:t>
            </w:r>
            <w:r w:rsidR="00160AD2" w:rsidRPr="008050A9">
              <w:rPr>
                <w:lang w:val="en-AU"/>
              </w:rPr>
              <w:t>over the past 20 years</w:t>
            </w:r>
            <w:r w:rsidR="00AF42D9" w:rsidRPr="008050A9">
              <w:rPr>
                <w:lang w:val="en-AU"/>
              </w:rPr>
              <w:t>)</w:t>
            </w:r>
            <w:r w:rsidR="00160AD2" w:rsidRPr="008050A9">
              <w:rPr>
                <w:lang w:val="en-AU"/>
              </w:rPr>
              <w:t>.</w:t>
            </w:r>
            <w:r w:rsidRPr="008050A9">
              <w:rPr>
                <w:lang w:val="en-AU"/>
              </w:rPr>
              <w:t xml:space="preserve"> </w:t>
            </w:r>
          </w:p>
          <w:p w14:paraId="545869A2" w14:textId="67030F4E" w:rsidR="005E6661" w:rsidRPr="008050A9" w:rsidRDefault="005E6661" w:rsidP="00F90446">
            <w:pPr>
              <w:pStyle w:val="ListParagraph"/>
              <w:numPr>
                <w:ilvl w:val="0"/>
                <w:numId w:val="36"/>
              </w:numPr>
              <w:spacing w:after="120"/>
              <w:ind w:left="714" w:hanging="357"/>
              <w:contextualSpacing w:val="0"/>
              <w:rPr>
                <w:lang w:val="en-AU"/>
              </w:rPr>
            </w:pPr>
            <w:r w:rsidRPr="008050A9">
              <w:rPr>
                <w:lang w:val="en-AU"/>
              </w:rPr>
              <w:t xml:space="preserve">Achieving employment outcomes for CDP participants with </w:t>
            </w:r>
            <w:r w:rsidRPr="008050A9">
              <w:rPr>
                <w:i/>
                <w:lang w:val="en-AU"/>
              </w:rPr>
              <w:t xml:space="preserve">extreme </w:t>
            </w:r>
            <w:r w:rsidRPr="008050A9">
              <w:rPr>
                <w:lang w:val="en-AU"/>
              </w:rPr>
              <w:t>employment barriers is likely to require an investment over time.</w:t>
            </w:r>
          </w:p>
          <w:p w14:paraId="66131EF0" w14:textId="2603FEFD" w:rsidR="00B47993" w:rsidRPr="008050A9" w:rsidRDefault="00B47993" w:rsidP="00F90446">
            <w:pPr>
              <w:pStyle w:val="ListParagraph"/>
              <w:numPr>
                <w:ilvl w:val="0"/>
                <w:numId w:val="36"/>
              </w:numPr>
              <w:spacing w:after="120"/>
              <w:ind w:left="714" w:hanging="357"/>
              <w:contextualSpacing w:val="0"/>
              <w:rPr>
                <w:lang w:val="en-AU"/>
              </w:rPr>
            </w:pPr>
            <w:r w:rsidRPr="008050A9">
              <w:rPr>
                <w:lang w:val="en-AU"/>
              </w:rPr>
              <w:t>The CDP has only been operating for a short time and the estimated employment effects will therefore not capture any long</w:t>
            </w:r>
            <w:r w:rsidRPr="008050A9">
              <w:rPr>
                <w:lang w:val="en-AU"/>
              </w:rPr>
              <w:noBreakHyphen/>
              <w:t xml:space="preserve">term changes in employment outcomes. </w:t>
            </w:r>
            <w:r w:rsidR="005E6661" w:rsidRPr="008050A9">
              <w:rPr>
                <w:lang w:val="en-AU"/>
              </w:rPr>
              <w:t>In the first two years of the program,</w:t>
            </w:r>
            <w:r w:rsidR="00F34222" w:rsidRPr="008050A9">
              <w:rPr>
                <w:lang w:val="en-AU"/>
              </w:rPr>
              <w:t xml:space="preserve"> </w:t>
            </w:r>
            <w:r w:rsidR="005E6661" w:rsidRPr="008050A9">
              <w:rPr>
                <w:lang w:val="en-AU"/>
              </w:rPr>
              <w:t xml:space="preserve">participants with </w:t>
            </w:r>
            <w:r w:rsidR="005E6661" w:rsidRPr="008050A9">
              <w:rPr>
                <w:i/>
                <w:lang w:val="en-AU"/>
              </w:rPr>
              <w:t>low barriers</w:t>
            </w:r>
            <w:r w:rsidR="005E6661" w:rsidRPr="008050A9">
              <w:rPr>
                <w:lang w:val="en-AU"/>
              </w:rPr>
              <w:t xml:space="preserve"> to employment </w:t>
            </w:r>
            <w:r w:rsidR="00F34222" w:rsidRPr="008050A9">
              <w:rPr>
                <w:lang w:val="en-AU"/>
              </w:rPr>
              <w:t>had</w:t>
            </w:r>
            <w:r w:rsidR="005E6661" w:rsidRPr="008050A9">
              <w:rPr>
                <w:lang w:val="en-AU"/>
              </w:rPr>
              <w:t xml:space="preserve"> the highest</w:t>
            </w:r>
            <w:r w:rsidRPr="008050A9">
              <w:rPr>
                <w:lang w:val="en-AU"/>
              </w:rPr>
              <w:t xml:space="preserve"> estimated</w:t>
            </w:r>
            <w:r w:rsidR="005E6661" w:rsidRPr="008050A9">
              <w:rPr>
                <w:lang w:val="en-AU"/>
              </w:rPr>
              <w:t xml:space="preserve"> increase in 26</w:t>
            </w:r>
            <w:r w:rsidR="005E6661" w:rsidRPr="008050A9">
              <w:rPr>
                <w:lang w:val="en-AU"/>
              </w:rPr>
              <w:noBreakHyphen/>
              <w:t>week outcomes under the CDP (up 3.4 percentage points based on the before to after modelling).</w:t>
            </w:r>
            <w:r w:rsidR="00D665E1" w:rsidRPr="008050A9">
              <w:rPr>
                <w:lang w:val="en-AU"/>
              </w:rPr>
              <w:t xml:space="preserve"> </w:t>
            </w:r>
          </w:p>
        </w:tc>
      </w:tr>
    </w:tbl>
    <w:p w14:paraId="5F31D6A0" w14:textId="618581C2" w:rsidR="00E445F8" w:rsidRPr="00207DC2" w:rsidRDefault="00E445F8" w:rsidP="00E445F8">
      <w:pPr>
        <w:spacing w:before="240"/>
        <w:jc w:val="both"/>
        <w:rPr>
          <w:lang w:val="en-AU"/>
        </w:rPr>
      </w:pPr>
      <w:r w:rsidRPr="00207DC2">
        <w:rPr>
          <w:lang w:val="en-AU"/>
        </w:rPr>
        <w:t xml:space="preserve">One of the aims of the </w:t>
      </w:r>
      <w:r w:rsidR="00170AFA">
        <w:rPr>
          <w:lang w:val="en-AU"/>
        </w:rPr>
        <w:t>Community Development Programme (</w:t>
      </w:r>
      <w:r w:rsidRPr="00207DC2">
        <w:rPr>
          <w:lang w:val="en-AU"/>
        </w:rPr>
        <w:t>CDP</w:t>
      </w:r>
      <w:r w:rsidR="00170AFA">
        <w:rPr>
          <w:lang w:val="en-AU"/>
        </w:rPr>
        <w:t>)</w:t>
      </w:r>
      <w:r w:rsidRPr="00207DC2">
        <w:rPr>
          <w:lang w:val="en-AU"/>
        </w:rPr>
        <w:t xml:space="preserve"> is </w:t>
      </w:r>
      <w:r w:rsidR="00024C41" w:rsidRPr="00207DC2">
        <w:rPr>
          <w:lang w:val="en-AU"/>
        </w:rPr>
        <w:t xml:space="preserve">to </w:t>
      </w:r>
      <w:r w:rsidRPr="00207DC2">
        <w:rPr>
          <w:lang w:val="en-AU"/>
        </w:rPr>
        <w:t>provid</w:t>
      </w:r>
      <w:r w:rsidR="00024C41" w:rsidRPr="00207DC2">
        <w:rPr>
          <w:lang w:val="en-AU"/>
        </w:rPr>
        <w:t>e</w:t>
      </w:r>
      <w:r w:rsidRPr="00207DC2">
        <w:rPr>
          <w:lang w:val="en-AU"/>
        </w:rPr>
        <w:t xml:space="preserve"> participants, through Work for the Dole and other activities, with skills and experiences that will make them more job-ready and able to </w:t>
      </w:r>
      <w:r w:rsidR="001A6225" w:rsidRPr="00207DC2">
        <w:rPr>
          <w:lang w:val="en-AU"/>
        </w:rPr>
        <w:t>move into</w:t>
      </w:r>
      <w:r w:rsidR="00C136E0" w:rsidRPr="00207DC2">
        <w:rPr>
          <w:lang w:val="en-AU"/>
        </w:rPr>
        <w:t>, a</w:t>
      </w:r>
      <w:r w:rsidR="00EF6D3D" w:rsidRPr="00207DC2">
        <w:rPr>
          <w:lang w:val="en-AU"/>
        </w:rPr>
        <w:t>n</w:t>
      </w:r>
      <w:r w:rsidR="00C136E0" w:rsidRPr="00207DC2">
        <w:rPr>
          <w:lang w:val="en-AU"/>
        </w:rPr>
        <w:t>d remain in, paid</w:t>
      </w:r>
      <w:r w:rsidR="001A6225" w:rsidRPr="00207DC2">
        <w:rPr>
          <w:lang w:val="en-AU"/>
        </w:rPr>
        <w:t xml:space="preserve"> employment (Chapter</w:t>
      </w:r>
      <w:r w:rsidR="002317B0" w:rsidRPr="00207DC2">
        <w:rPr>
          <w:lang w:val="en-AU"/>
        </w:rPr>
        <w:t> </w:t>
      </w:r>
      <w:r w:rsidRPr="00207DC2">
        <w:rPr>
          <w:lang w:val="en-AU"/>
        </w:rPr>
        <w:t xml:space="preserve">2). </w:t>
      </w:r>
    </w:p>
    <w:p w14:paraId="1603B230" w14:textId="1A2C7604" w:rsidR="00E445F8" w:rsidRPr="00207DC2" w:rsidDel="00DE5D0D" w:rsidRDefault="00E445F8" w:rsidP="00E445F8">
      <w:pPr>
        <w:jc w:val="both"/>
        <w:rPr>
          <w:lang w:val="en-AU"/>
        </w:rPr>
      </w:pPr>
      <w:r w:rsidRPr="00207DC2">
        <w:rPr>
          <w:lang w:val="en-AU"/>
        </w:rPr>
        <w:t xml:space="preserve">Work for the Dole activities are designed to build </w:t>
      </w:r>
      <w:r w:rsidR="00370C95" w:rsidRPr="00207DC2">
        <w:rPr>
          <w:lang w:val="en-AU"/>
        </w:rPr>
        <w:t xml:space="preserve">participants’ </w:t>
      </w:r>
      <w:r w:rsidRPr="00207DC2">
        <w:rPr>
          <w:lang w:val="en-AU"/>
        </w:rPr>
        <w:t>skills and employability and can include placements in real workplaces or, where the activity has capacity to generate income, the creation of local businesses or social enterprises (</w:t>
      </w:r>
      <w:r w:rsidR="0057565A" w:rsidRPr="00207DC2">
        <w:rPr>
          <w:lang w:val="en-AU"/>
        </w:rPr>
        <w:t>PMC</w:t>
      </w:r>
      <w:r w:rsidRPr="00207DC2">
        <w:rPr>
          <w:lang w:val="en-AU"/>
        </w:rPr>
        <w:t xml:space="preserve"> 2016). Complementary employment programs, </w:t>
      </w:r>
      <w:r w:rsidR="00C04ED6" w:rsidRPr="00207DC2">
        <w:rPr>
          <w:lang w:val="en-AU"/>
        </w:rPr>
        <w:t>including</w:t>
      </w:r>
      <w:r w:rsidR="00370C95" w:rsidRPr="00207DC2">
        <w:rPr>
          <w:lang w:val="en-AU"/>
        </w:rPr>
        <w:t xml:space="preserve"> </w:t>
      </w:r>
      <w:r w:rsidRPr="00207DC2">
        <w:rPr>
          <w:lang w:val="en-AU"/>
        </w:rPr>
        <w:t xml:space="preserve">the </w:t>
      </w:r>
      <w:r w:rsidRPr="00207DC2">
        <w:rPr>
          <w:i/>
          <w:lang w:val="en-AU"/>
        </w:rPr>
        <w:t xml:space="preserve">Employer Incentive </w:t>
      </w:r>
      <w:r w:rsidR="006E69F8" w:rsidRPr="00207DC2">
        <w:rPr>
          <w:i/>
          <w:lang w:val="en-AU"/>
        </w:rPr>
        <w:t>P</w:t>
      </w:r>
      <w:r w:rsidR="00801DF4" w:rsidRPr="00207DC2">
        <w:rPr>
          <w:i/>
          <w:lang w:val="en-AU"/>
        </w:rPr>
        <w:t>ayments</w:t>
      </w:r>
      <w:r w:rsidRPr="00207DC2">
        <w:rPr>
          <w:lang w:val="en-AU"/>
        </w:rPr>
        <w:t xml:space="preserve"> and the </w:t>
      </w:r>
      <w:r w:rsidRPr="00207DC2">
        <w:rPr>
          <w:i/>
          <w:lang w:val="en-AU"/>
        </w:rPr>
        <w:t xml:space="preserve">Indigenous Enterprise Development </w:t>
      </w:r>
      <w:r w:rsidR="00370C95" w:rsidRPr="00207DC2">
        <w:rPr>
          <w:i/>
          <w:lang w:val="en-AU"/>
        </w:rPr>
        <w:t>Fund</w:t>
      </w:r>
      <w:r w:rsidRPr="00207DC2">
        <w:rPr>
          <w:lang w:val="en-AU"/>
        </w:rPr>
        <w:t xml:space="preserve">, were also set up to improve employment opportunities for CDP participants. Employer </w:t>
      </w:r>
      <w:r w:rsidR="00801DF4" w:rsidRPr="00207DC2">
        <w:rPr>
          <w:lang w:val="en-AU"/>
        </w:rPr>
        <w:t>i</w:t>
      </w:r>
      <w:r w:rsidRPr="00207DC2">
        <w:rPr>
          <w:lang w:val="en-AU"/>
        </w:rPr>
        <w:t xml:space="preserve">ncentive </w:t>
      </w:r>
      <w:r w:rsidR="006E69F8" w:rsidRPr="00207DC2">
        <w:rPr>
          <w:lang w:val="en-AU"/>
        </w:rPr>
        <w:t>P</w:t>
      </w:r>
      <w:r w:rsidR="00801DF4" w:rsidRPr="00207DC2">
        <w:rPr>
          <w:lang w:val="en-AU"/>
        </w:rPr>
        <w:t>ayments</w:t>
      </w:r>
      <w:r w:rsidRPr="00207DC2">
        <w:rPr>
          <w:lang w:val="en-AU"/>
        </w:rPr>
        <w:t xml:space="preserve"> provides payments to employers who employ a CDP participant for 26</w:t>
      </w:r>
      <w:r w:rsidR="002317B0" w:rsidRPr="00207DC2">
        <w:rPr>
          <w:lang w:val="en-AU"/>
        </w:rPr>
        <w:t> </w:t>
      </w:r>
      <w:r w:rsidRPr="00207DC2">
        <w:rPr>
          <w:lang w:val="en-AU"/>
        </w:rPr>
        <w:t xml:space="preserve">consecutive weeks. </w:t>
      </w:r>
    </w:p>
    <w:p w14:paraId="26D78ACB" w14:textId="1A4F66D6" w:rsidR="00E445F8" w:rsidRPr="00207DC2" w:rsidRDefault="008A598A" w:rsidP="00654DA2">
      <w:pPr>
        <w:jc w:val="both"/>
        <w:rPr>
          <w:lang w:val="en-AU"/>
        </w:rPr>
      </w:pPr>
      <w:r w:rsidRPr="00207DC2">
        <w:rPr>
          <w:lang w:val="en-AU"/>
        </w:rPr>
        <w:t>C</w:t>
      </w:r>
      <w:r w:rsidR="00E445F8" w:rsidRPr="00207DC2">
        <w:rPr>
          <w:lang w:val="en-AU"/>
        </w:rPr>
        <w:t>hanges made to the provider payment model under</w:t>
      </w:r>
      <w:r w:rsidR="006B26C5" w:rsidRPr="00207DC2">
        <w:rPr>
          <w:lang w:val="en-AU"/>
        </w:rPr>
        <w:t xml:space="preserve"> the</w:t>
      </w:r>
      <w:r w:rsidRPr="00207DC2">
        <w:rPr>
          <w:lang w:val="en-AU"/>
        </w:rPr>
        <w:t xml:space="preserve"> CDP </w:t>
      </w:r>
      <w:r w:rsidR="00E445F8" w:rsidRPr="00207DC2">
        <w:rPr>
          <w:lang w:val="en-AU"/>
        </w:rPr>
        <w:t xml:space="preserve">were designed to improve stable employment outcomes for remote CDP participants (ANAO 2017). In particular, employment outcome payments for providers were </w:t>
      </w:r>
      <w:r w:rsidR="00370C95" w:rsidRPr="00207DC2">
        <w:rPr>
          <w:lang w:val="en-AU"/>
        </w:rPr>
        <w:t>shifted</w:t>
      </w:r>
      <w:r w:rsidR="00E445F8" w:rsidRPr="00207DC2">
        <w:rPr>
          <w:lang w:val="en-AU"/>
        </w:rPr>
        <w:t xml:space="preserve"> to focus on achieving longer</w:t>
      </w:r>
      <w:r w:rsidR="00E445F8" w:rsidRPr="00207DC2">
        <w:rPr>
          <w:lang w:val="en-AU"/>
        </w:rPr>
        <w:noBreakHyphen/>
        <w:t>term employment for remote participants</w:t>
      </w:r>
      <w:r w:rsidR="00370C95" w:rsidRPr="00207DC2">
        <w:rPr>
          <w:lang w:val="en-AU"/>
        </w:rPr>
        <w:t>.</w:t>
      </w:r>
      <w:r w:rsidR="00B94414" w:rsidRPr="00207DC2">
        <w:rPr>
          <w:lang w:val="en-AU"/>
        </w:rPr>
        <w:t xml:space="preserve"> </w:t>
      </w:r>
      <w:r w:rsidR="00370C95" w:rsidRPr="00207DC2">
        <w:rPr>
          <w:lang w:val="en-AU"/>
        </w:rPr>
        <w:t xml:space="preserve">Specifically, </w:t>
      </w:r>
      <w:r w:rsidR="00EF6D3D" w:rsidRPr="00207DC2">
        <w:rPr>
          <w:lang w:val="en-AU"/>
        </w:rPr>
        <w:t>under the CDP, providers are paid when participants</w:t>
      </w:r>
      <w:r w:rsidR="00E445F8" w:rsidRPr="00207DC2">
        <w:rPr>
          <w:lang w:val="en-AU"/>
        </w:rPr>
        <w:t xml:space="preserve"> </w:t>
      </w:r>
      <w:r w:rsidR="00EF6D3D" w:rsidRPr="00207DC2">
        <w:rPr>
          <w:lang w:val="en-AU"/>
        </w:rPr>
        <w:t>are</w:t>
      </w:r>
      <w:r w:rsidR="00E445F8" w:rsidRPr="00207DC2">
        <w:rPr>
          <w:lang w:val="en-AU"/>
        </w:rPr>
        <w:t xml:space="preserve"> continuously employed for </w:t>
      </w:r>
      <w:r w:rsidR="00EF6D3D" w:rsidRPr="00207DC2">
        <w:rPr>
          <w:lang w:val="en-AU"/>
        </w:rPr>
        <w:t xml:space="preserve">13 and </w:t>
      </w:r>
      <w:r w:rsidR="00E445F8" w:rsidRPr="00207DC2">
        <w:rPr>
          <w:lang w:val="en-AU"/>
        </w:rPr>
        <w:t>26</w:t>
      </w:r>
      <w:r w:rsidR="002317B0" w:rsidRPr="00207DC2">
        <w:rPr>
          <w:lang w:val="en-AU"/>
        </w:rPr>
        <w:t> </w:t>
      </w:r>
      <w:r w:rsidR="00E445F8" w:rsidRPr="00207DC2">
        <w:rPr>
          <w:lang w:val="en-AU"/>
        </w:rPr>
        <w:t>weeks (with some allowable breaks) (Figure</w:t>
      </w:r>
      <w:r w:rsidR="00EA3E5A" w:rsidRPr="00207DC2">
        <w:rPr>
          <w:lang w:val="en-AU"/>
        </w:rPr>
        <w:t> </w:t>
      </w:r>
      <w:r w:rsidR="00E445F8" w:rsidRPr="00207DC2">
        <w:rPr>
          <w:lang w:val="en-AU"/>
        </w:rPr>
        <w:t>1.2)</w:t>
      </w:r>
      <w:r w:rsidR="00EF6D3D" w:rsidRPr="00207DC2">
        <w:rPr>
          <w:lang w:val="en-AU"/>
        </w:rPr>
        <w:t>. No</w:t>
      </w:r>
      <w:r w:rsidR="00E445F8" w:rsidRPr="00207DC2">
        <w:rPr>
          <w:lang w:val="en-AU"/>
        </w:rPr>
        <w:t xml:space="preserve"> provider fee </w:t>
      </w:r>
      <w:r w:rsidR="00EF6D3D" w:rsidRPr="00207DC2">
        <w:rPr>
          <w:lang w:val="en-AU"/>
        </w:rPr>
        <w:t xml:space="preserve">is available </w:t>
      </w:r>
      <w:r w:rsidR="00370C95" w:rsidRPr="00207DC2">
        <w:rPr>
          <w:lang w:val="en-AU"/>
        </w:rPr>
        <w:t xml:space="preserve">for either a </w:t>
      </w:r>
      <w:r w:rsidR="00E445F8" w:rsidRPr="00207DC2">
        <w:rPr>
          <w:lang w:val="en-AU"/>
        </w:rPr>
        <w:t xml:space="preserve">job placement or </w:t>
      </w:r>
      <w:r w:rsidR="003D07D6" w:rsidRPr="00207DC2">
        <w:rPr>
          <w:lang w:val="en-AU"/>
        </w:rPr>
        <w:t>seven</w:t>
      </w:r>
      <w:r w:rsidR="00B7089D">
        <w:rPr>
          <w:lang w:val="en-AU"/>
        </w:rPr>
        <w:t>-</w:t>
      </w:r>
      <w:r w:rsidR="00E445F8" w:rsidRPr="00207DC2">
        <w:rPr>
          <w:lang w:val="en-AU"/>
        </w:rPr>
        <w:t>week</w:t>
      </w:r>
      <w:r w:rsidR="00370C95" w:rsidRPr="00207DC2">
        <w:rPr>
          <w:lang w:val="en-AU"/>
        </w:rPr>
        <w:t xml:space="preserve"> employment</w:t>
      </w:r>
      <w:r w:rsidR="00EF6D3D" w:rsidRPr="00207DC2">
        <w:rPr>
          <w:lang w:val="en-AU"/>
        </w:rPr>
        <w:t xml:space="preserve"> outcome</w:t>
      </w:r>
      <w:r w:rsidR="00E445F8" w:rsidRPr="00207DC2">
        <w:rPr>
          <w:lang w:val="en-AU"/>
        </w:rPr>
        <w:t>.</w:t>
      </w:r>
    </w:p>
    <w:p w14:paraId="35F45FCB" w14:textId="755D58B1" w:rsidR="001B0086" w:rsidRPr="00207DC2" w:rsidRDefault="00E445F8" w:rsidP="00E445F8">
      <w:pPr>
        <w:jc w:val="both"/>
        <w:rPr>
          <w:lang w:val="en-AU"/>
        </w:rPr>
      </w:pPr>
      <w:r w:rsidRPr="00207DC2">
        <w:rPr>
          <w:lang w:val="en-AU"/>
        </w:rPr>
        <w:t>A critical question for evaluating the effectiveness of</w:t>
      </w:r>
      <w:r w:rsidR="006B26C5" w:rsidRPr="00207DC2">
        <w:rPr>
          <w:lang w:val="en-AU"/>
        </w:rPr>
        <w:t xml:space="preserve"> the</w:t>
      </w:r>
      <w:r w:rsidRPr="00207DC2">
        <w:rPr>
          <w:lang w:val="en-AU"/>
        </w:rPr>
        <w:t xml:space="preserve"> CDP is</w:t>
      </w:r>
      <w:r w:rsidR="000378F0" w:rsidRPr="00207DC2">
        <w:rPr>
          <w:lang w:val="en-AU"/>
        </w:rPr>
        <w:t xml:space="preserve"> </w:t>
      </w:r>
      <w:r w:rsidRPr="00207DC2">
        <w:rPr>
          <w:lang w:val="en-AU"/>
        </w:rPr>
        <w:t>whether the changes to the program improved employment outcomes for more</w:t>
      </w:r>
      <w:r w:rsidRPr="00207DC2" w:rsidDel="0006554D">
        <w:rPr>
          <w:lang w:val="en-AU"/>
        </w:rPr>
        <w:t xml:space="preserve"> </w:t>
      </w:r>
      <w:r w:rsidRPr="00207DC2">
        <w:rPr>
          <w:lang w:val="en-AU"/>
        </w:rPr>
        <w:t xml:space="preserve">participants than the </w:t>
      </w:r>
      <w:r w:rsidR="00F3398E" w:rsidRPr="00207DC2">
        <w:rPr>
          <w:lang w:val="en-AU"/>
        </w:rPr>
        <w:t>Remote Jobs and Communities Program (</w:t>
      </w:r>
      <w:r w:rsidRPr="00207DC2">
        <w:rPr>
          <w:lang w:val="en-AU"/>
        </w:rPr>
        <w:t>RJCP</w:t>
      </w:r>
      <w:r w:rsidR="00F3398E" w:rsidRPr="00207DC2">
        <w:rPr>
          <w:lang w:val="en-AU"/>
        </w:rPr>
        <w:t>)</w:t>
      </w:r>
      <w:r w:rsidRPr="00207DC2">
        <w:rPr>
          <w:lang w:val="en-AU"/>
        </w:rPr>
        <w:t xml:space="preserve">. </w:t>
      </w:r>
    </w:p>
    <w:p w14:paraId="7B0BC49C" w14:textId="77777777" w:rsidR="000F3E8A" w:rsidRPr="00207DC2" w:rsidRDefault="00E445F8" w:rsidP="000F3E8A">
      <w:pPr>
        <w:jc w:val="both"/>
        <w:rPr>
          <w:lang w:val="en-AU"/>
        </w:rPr>
      </w:pPr>
      <w:r w:rsidRPr="00207DC2">
        <w:rPr>
          <w:lang w:val="en-AU"/>
        </w:rPr>
        <w:t xml:space="preserve">This chapter examines how employment outcomes have changed over the first two years of the CDP. In doing so, it is important to recognise that employment outcomes will depend on an individual’s past experience in the labour market, education and training, and other individual characteristics, as well as the employment opportunities available in the local labour market. </w:t>
      </w:r>
    </w:p>
    <w:p w14:paraId="1EF59BA8" w14:textId="1C718C6D" w:rsidR="00E445F8" w:rsidRPr="00207DC2" w:rsidRDefault="00E445F8" w:rsidP="00E445F8">
      <w:pPr>
        <w:jc w:val="both"/>
        <w:rPr>
          <w:lang w:val="en-AU"/>
        </w:rPr>
      </w:pPr>
      <w:r w:rsidRPr="00207DC2">
        <w:rPr>
          <w:lang w:val="en-AU"/>
        </w:rPr>
        <w:t xml:space="preserve">A diversity of people participate in the CDP. Some may only require minimal support from </w:t>
      </w:r>
      <w:r w:rsidR="00ED1861" w:rsidRPr="00207DC2">
        <w:rPr>
          <w:lang w:val="en-AU"/>
        </w:rPr>
        <w:t xml:space="preserve">an </w:t>
      </w:r>
      <w:r w:rsidRPr="00207DC2">
        <w:rPr>
          <w:lang w:val="en-AU"/>
        </w:rPr>
        <w:t xml:space="preserve">employment provider to find work (low barriers), while others </w:t>
      </w:r>
      <w:r w:rsidR="006A072E" w:rsidRPr="00207DC2">
        <w:rPr>
          <w:lang w:val="en-AU"/>
        </w:rPr>
        <w:t xml:space="preserve">face </w:t>
      </w:r>
      <w:r w:rsidRPr="00207DC2">
        <w:rPr>
          <w:lang w:val="en-AU"/>
        </w:rPr>
        <w:t>substantial barriers (vocation</w:t>
      </w:r>
      <w:r w:rsidR="007079D3" w:rsidRPr="00207DC2">
        <w:rPr>
          <w:lang w:val="en-AU"/>
        </w:rPr>
        <w:t>al</w:t>
      </w:r>
      <w:r w:rsidRPr="00207DC2">
        <w:rPr>
          <w:lang w:val="en-AU"/>
        </w:rPr>
        <w:t xml:space="preserve"> and non-vocational) to part</w:t>
      </w:r>
      <w:r w:rsidR="0045059C" w:rsidRPr="00207DC2">
        <w:rPr>
          <w:lang w:val="en-AU"/>
        </w:rPr>
        <w:t xml:space="preserve">icipating in the labour market. </w:t>
      </w:r>
      <w:r w:rsidRPr="00207DC2">
        <w:rPr>
          <w:lang w:val="en-AU"/>
        </w:rPr>
        <w:t>This latter group may require a</w:t>
      </w:r>
      <w:r w:rsidR="00DD117B" w:rsidRPr="00207DC2">
        <w:rPr>
          <w:lang w:val="en-AU"/>
        </w:rPr>
        <w:t xml:space="preserve"> larger</w:t>
      </w:r>
      <w:r w:rsidRPr="00207DC2">
        <w:rPr>
          <w:lang w:val="en-AU"/>
        </w:rPr>
        <w:t xml:space="preserve"> investment from their employment provider to help them to be ready to take</w:t>
      </w:r>
      <w:r w:rsidRPr="00207DC2">
        <w:rPr>
          <w:lang w:val="en-AU"/>
        </w:rPr>
        <w:noBreakHyphen/>
        <w:t xml:space="preserve">up and retain a job. </w:t>
      </w:r>
      <w:r w:rsidR="008846CB" w:rsidRPr="00207DC2">
        <w:rPr>
          <w:lang w:val="en-AU"/>
        </w:rPr>
        <w:t xml:space="preserve">For some people, </w:t>
      </w:r>
      <w:r w:rsidR="00591F8A" w:rsidRPr="00207DC2">
        <w:rPr>
          <w:lang w:val="en-AU"/>
        </w:rPr>
        <w:t>addressing</w:t>
      </w:r>
      <w:r w:rsidRPr="00207DC2">
        <w:rPr>
          <w:lang w:val="en-AU"/>
        </w:rPr>
        <w:t xml:space="preserve"> long</w:t>
      </w:r>
      <w:r w:rsidRPr="00207DC2">
        <w:rPr>
          <w:lang w:val="en-AU"/>
        </w:rPr>
        <w:noBreakHyphen/>
        <w:t xml:space="preserve">term entrenched social problems and skill deficiencies may require </w:t>
      </w:r>
      <w:r w:rsidR="00A75FB2" w:rsidRPr="00207DC2">
        <w:rPr>
          <w:lang w:val="en-AU"/>
        </w:rPr>
        <w:t xml:space="preserve">long-term </w:t>
      </w:r>
      <w:r w:rsidRPr="00207DC2">
        <w:rPr>
          <w:lang w:val="en-AU"/>
        </w:rPr>
        <w:t xml:space="preserve">interventions (Borland </w:t>
      </w:r>
      <w:r w:rsidR="00B12944" w:rsidRPr="00207DC2">
        <w:rPr>
          <w:lang w:val="en-AU"/>
        </w:rPr>
        <w:t xml:space="preserve">and Tseng </w:t>
      </w:r>
      <w:r w:rsidRPr="00207DC2">
        <w:rPr>
          <w:lang w:val="en-AU"/>
        </w:rPr>
        <w:t xml:space="preserve">2011). </w:t>
      </w:r>
    </w:p>
    <w:p w14:paraId="4F613E7E" w14:textId="0861B9E3" w:rsidR="00E445F8" w:rsidRPr="00207DC2" w:rsidRDefault="00E445F8" w:rsidP="00E445F8">
      <w:pPr>
        <w:tabs>
          <w:tab w:val="left" w:pos="4253"/>
        </w:tabs>
        <w:jc w:val="both"/>
        <w:rPr>
          <w:lang w:val="en-AU"/>
        </w:rPr>
      </w:pPr>
      <w:r w:rsidRPr="00207DC2">
        <w:rPr>
          <w:lang w:val="en-AU"/>
        </w:rPr>
        <w:t xml:space="preserve">Measuring long-term employment outcomes of the CDP in this report is limited by two factors. First, the CDP has only been operating for two years and so the evaluation period may not be long enough to </w:t>
      </w:r>
      <w:r w:rsidR="00ED1861" w:rsidRPr="00207DC2">
        <w:rPr>
          <w:lang w:val="en-AU"/>
        </w:rPr>
        <w:t xml:space="preserve">fully </w:t>
      </w:r>
      <w:r w:rsidRPr="00207DC2">
        <w:rPr>
          <w:lang w:val="en-AU"/>
        </w:rPr>
        <w:t xml:space="preserve">see changes in skills that lead to increased employment outcomes. This is particularly true for participants with high barriers to employment. Second, the administrative </w:t>
      </w:r>
      <w:r w:rsidR="00496A76" w:rsidRPr="00207DC2">
        <w:rPr>
          <w:lang w:val="en-AU"/>
        </w:rPr>
        <w:t>systems</w:t>
      </w:r>
      <w:r w:rsidRPr="00207DC2">
        <w:rPr>
          <w:lang w:val="en-AU"/>
        </w:rPr>
        <w:t xml:space="preserve"> do not </w:t>
      </w:r>
      <w:r w:rsidR="003B574F" w:rsidRPr="00207DC2">
        <w:rPr>
          <w:lang w:val="en-AU"/>
        </w:rPr>
        <w:t xml:space="preserve">record </w:t>
      </w:r>
      <w:r w:rsidRPr="00207DC2">
        <w:rPr>
          <w:lang w:val="en-AU"/>
        </w:rPr>
        <w:t>long</w:t>
      </w:r>
      <w:r w:rsidRPr="00207DC2">
        <w:rPr>
          <w:lang w:val="en-AU"/>
        </w:rPr>
        <w:noBreakHyphen/>
        <w:t>term employment outcomes, track</w:t>
      </w:r>
      <w:r w:rsidR="00ED1861" w:rsidRPr="00207DC2">
        <w:rPr>
          <w:lang w:val="en-AU"/>
        </w:rPr>
        <w:t>ing</w:t>
      </w:r>
      <w:r w:rsidRPr="00207DC2">
        <w:rPr>
          <w:lang w:val="en-AU"/>
        </w:rPr>
        <w:t xml:space="preserve"> 26</w:t>
      </w:r>
      <w:r w:rsidR="002317B0" w:rsidRPr="00207DC2">
        <w:rPr>
          <w:lang w:val="en-AU"/>
        </w:rPr>
        <w:noBreakHyphen/>
      </w:r>
      <w:r w:rsidRPr="00207DC2">
        <w:rPr>
          <w:lang w:val="en-AU"/>
        </w:rPr>
        <w:t>week outcomes at most.</w:t>
      </w:r>
    </w:p>
    <w:p w14:paraId="60A74608" w14:textId="5DF3356C" w:rsidR="00E445F8" w:rsidRPr="00207DC2" w:rsidRDefault="005631B4" w:rsidP="008055FF">
      <w:pPr>
        <w:pStyle w:val="ZED4"/>
        <w:outlineLvl w:val="2"/>
      </w:pPr>
      <w:bookmarkStart w:id="461" w:name="_Toc509234889"/>
      <w:bookmarkStart w:id="462" w:name="_Toc509587045"/>
      <w:bookmarkStart w:id="463" w:name="_Toc509588071"/>
      <w:bookmarkStart w:id="464" w:name="_Toc509588334"/>
      <w:bookmarkStart w:id="465" w:name="_Toc509589482"/>
      <w:bookmarkStart w:id="466" w:name="_Toc509926900"/>
      <w:bookmarkStart w:id="467" w:name="_Toc511661250"/>
      <w:bookmarkStart w:id="468" w:name="_Toc511826301"/>
      <w:bookmarkStart w:id="469" w:name="_Toc511940618"/>
      <w:bookmarkStart w:id="470" w:name="_Toc515185468"/>
      <w:bookmarkStart w:id="471" w:name="_Toc516219841"/>
      <w:bookmarkStart w:id="472" w:name="_Toc516220482"/>
      <w:bookmarkStart w:id="473" w:name="_Toc516223302"/>
      <w:bookmarkStart w:id="474" w:name="_Toc516225210"/>
      <w:bookmarkStart w:id="475" w:name="_Toc516228986"/>
      <w:bookmarkStart w:id="476" w:name="_Toc518468060"/>
      <w:bookmarkStart w:id="477" w:name="_Toc518487841"/>
      <w:bookmarkStart w:id="478" w:name="_Toc518558804"/>
      <w:bookmarkStart w:id="479" w:name="_Toc518565327"/>
      <w:bookmarkStart w:id="480" w:name="_Toc518565571"/>
      <w:bookmarkStart w:id="481" w:name="_Toc519504742"/>
      <w:bookmarkStart w:id="482" w:name="_Toc519505966"/>
      <w:bookmarkStart w:id="483" w:name="_Toc519844072"/>
      <w:bookmarkStart w:id="484" w:name="_Toc521068574"/>
      <w:bookmarkStart w:id="485" w:name="_Toc521391088"/>
      <w:bookmarkStart w:id="486" w:name="_Toc522013257"/>
      <w:bookmarkStart w:id="487" w:name="_Toc534965167"/>
      <w:bookmarkStart w:id="488" w:name="_Toc535935058"/>
      <w:r>
        <w:t>4.1</w:t>
      </w:r>
      <w:r>
        <w:tab/>
      </w:r>
      <w:r w:rsidR="00E445F8" w:rsidRPr="00207DC2">
        <w:t>Employment outcomes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0C368E15" w14:textId="546A257E" w:rsidR="00E445F8" w:rsidRPr="00207DC2" w:rsidRDefault="00E445F8" w:rsidP="00E445F8">
      <w:pPr>
        <w:jc w:val="both"/>
        <w:rPr>
          <w:lang w:val="en-AU"/>
        </w:rPr>
      </w:pPr>
      <w:r w:rsidRPr="00207DC2">
        <w:rPr>
          <w:lang w:val="en-AU"/>
        </w:rPr>
        <w:t>The share of program participants moving off income support payments</w:t>
      </w:r>
      <w:r w:rsidR="007F30AB" w:rsidRPr="00207DC2">
        <w:rPr>
          <w:lang w:val="en-AU"/>
        </w:rPr>
        <w:t xml:space="preserve"> </w:t>
      </w:r>
      <w:r w:rsidRPr="00207DC2">
        <w:rPr>
          <w:lang w:val="en-AU"/>
        </w:rPr>
        <w:t>is frequently used to measure the success rate of mainstream employment programs. However, there are many reasons why an individual may stop receiving income support payments (including failure to fulfil mutual obligations or report to Centrelink)</w:t>
      </w:r>
      <w:r w:rsidR="00B72029" w:rsidRPr="00207DC2">
        <w:rPr>
          <w:lang w:val="en-AU"/>
        </w:rPr>
        <w:t>.</w:t>
      </w:r>
      <w:r w:rsidRPr="00207DC2">
        <w:rPr>
          <w:lang w:val="en-AU"/>
        </w:rPr>
        <w:t xml:space="preserve"> </w:t>
      </w:r>
      <w:r w:rsidR="003B574F" w:rsidRPr="00207DC2">
        <w:rPr>
          <w:lang w:val="en-AU"/>
        </w:rPr>
        <w:t>I</w:t>
      </w:r>
      <w:r w:rsidRPr="00207DC2">
        <w:rPr>
          <w:lang w:val="en-AU"/>
        </w:rPr>
        <w:t>ncome support administrati</w:t>
      </w:r>
      <w:r w:rsidR="00DB1088" w:rsidRPr="00207DC2">
        <w:rPr>
          <w:lang w:val="en-AU"/>
        </w:rPr>
        <w:t>ve</w:t>
      </w:r>
      <w:r w:rsidRPr="00207DC2">
        <w:rPr>
          <w:lang w:val="en-AU"/>
        </w:rPr>
        <w:t xml:space="preserve"> data do not contain sufficient information to </w:t>
      </w:r>
      <w:r w:rsidR="00B72029" w:rsidRPr="00207DC2">
        <w:rPr>
          <w:lang w:val="en-AU"/>
        </w:rPr>
        <w:t>distinguish between</w:t>
      </w:r>
      <w:r w:rsidRPr="00207DC2">
        <w:rPr>
          <w:lang w:val="en-AU"/>
        </w:rPr>
        <w:t xml:space="preserve"> those that have moved off income support because they have obtained paid employment</w:t>
      </w:r>
      <w:r w:rsidR="003B574F" w:rsidRPr="00207DC2">
        <w:rPr>
          <w:lang w:val="en-AU"/>
        </w:rPr>
        <w:t>,</w:t>
      </w:r>
      <w:r w:rsidR="00B72029" w:rsidRPr="00207DC2">
        <w:rPr>
          <w:lang w:val="en-AU"/>
        </w:rPr>
        <w:t xml:space="preserve"> and those who have moved off income support for other reasons</w:t>
      </w:r>
      <w:r w:rsidRPr="00207DC2">
        <w:rPr>
          <w:lang w:val="en-AU"/>
        </w:rPr>
        <w:t xml:space="preserve">. Future work may consider linking income support data with other </w:t>
      </w:r>
      <w:r w:rsidR="00DB1088" w:rsidRPr="00207DC2">
        <w:rPr>
          <w:lang w:val="en-AU"/>
        </w:rPr>
        <w:t>administrative</w:t>
      </w:r>
      <w:r w:rsidRPr="00207DC2">
        <w:rPr>
          <w:lang w:val="en-AU"/>
        </w:rPr>
        <w:t xml:space="preserve"> data to develop an indicator of long-term </w:t>
      </w:r>
      <w:r w:rsidR="00B7089D">
        <w:rPr>
          <w:lang w:val="en-AU"/>
        </w:rPr>
        <w:t xml:space="preserve">(beyond 26 weeks) </w:t>
      </w:r>
      <w:r w:rsidRPr="00207DC2">
        <w:rPr>
          <w:lang w:val="en-AU"/>
        </w:rPr>
        <w:t xml:space="preserve">employment outcomes. </w:t>
      </w:r>
    </w:p>
    <w:p w14:paraId="23F561B2" w14:textId="77777777" w:rsidR="00E445F8" w:rsidRPr="00207DC2" w:rsidRDefault="00E445F8" w:rsidP="00E445F8">
      <w:pPr>
        <w:jc w:val="both"/>
        <w:rPr>
          <w:lang w:val="en-AU"/>
        </w:rPr>
      </w:pPr>
      <w:r w:rsidRPr="00207DC2">
        <w:rPr>
          <w:lang w:val="en-AU"/>
        </w:rPr>
        <w:t>CDP service provider</w:t>
      </w:r>
      <w:r w:rsidR="008638E5" w:rsidRPr="00207DC2">
        <w:rPr>
          <w:lang w:val="en-AU"/>
        </w:rPr>
        <w:t>s record</w:t>
      </w:r>
      <w:r w:rsidRPr="00207DC2">
        <w:rPr>
          <w:lang w:val="en-AU"/>
        </w:rPr>
        <w:t xml:space="preserve"> participant </w:t>
      </w:r>
      <w:r w:rsidR="008638E5" w:rsidRPr="00207DC2">
        <w:rPr>
          <w:lang w:val="en-AU"/>
        </w:rPr>
        <w:t>placements</w:t>
      </w:r>
      <w:r w:rsidRPr="00207DC2">
        <w:rPr>
          <w:lang w:val="en-AU"/>
        </w:rPr>
        <w:t xml:space="preserve"> in a job and whether they </w:t>
      </w:r>
      <w:r w:rsidR="001544CA" w:rsidRPr="00207DC2">
        <w:rPr>
          <w:lang w:val="en-AU"/>
        </w:rPr>
        <w:t xml:space="preserve">remained </w:t>
      </w:r>
      <w:r w:rsidRPr="00207DC2">
        <w:rPr>
          <w:lang w:val="en-AU"/>
        </w:rPr>
        <w:t>working in that job for 13 and 26</w:t>
      </w:r>
      <w:r w:rsidR="00516648" w:rsidRPr="00207DC2">
        <w:rPr>
          <w:lang w:val="en-AU"/>
        </w:rPr>
        <w:t> </w:t>
      </w:r>
      <w:r w:rsidRPr="00207DC2">
        <w:rPr>
          <w:lang w:val="en-AU"/>
        </w:rPr>
        <w:t>weeks</w:t>
      </w:r>
      <w:r w:rsidR="008638E5" w:rsidRPr="00207DC2">
        <w:rPr>
          <w:lang w:val="en-AU"/>
        </w:rPr>
        <w:t xml:space="preserve">. </w:t>
      </w:r>
      <w:r w:rsidR="00BE6895" w:rsidRPr="00207DC2">
        <w:rPr>
          <w:lang w:val="en-AU"/>
        </w:rPr>
        <w:t>In remote labour markets, t</w:t>
      </w:r>
      <w:r w:rsidR="008638E5" w:rsidRPr="00207DC2">
        <w:rPr>
          <w:lang w:val="en-AU"/>
        </w:rPr>
        <w:t>hese records</w:t>
      </w:r>
      <w:r w:rsidRPr="00207DC2">
        <w:rPr>
          <w:lang w:val="en-AU"/>
        </w:rPr>
        <w:t xml:space="preserve"> </w:t>
      </w:r>
      <w:r w:rsidR="00ED1861" w:rsidRPr="00207DC2">
        <w:rPr>
          <w:lang w:val="en-AU"/>
        </w:rPr>
        <w:t xml:space="preserve">can </w:t>
      </w:r>
      <w:r w:rsidRPr="00207DC2">
        <w:rPr>
          <w:lang w:val="en-AU"/>
        </w:rPr>
        <w:t>more accurately identify employment outcomes</w:t>
      </w:r>
      <w:r w:rsidR="008638E5" w:rsidRPr="00207DC2">
        <w:rPr>
          <w:lang w:val="en-AU"/>
        </w:rPr>
        <w:t xml:space="preserve"> than</w:t>
      </w:r>
      <w:r w:rsidR="00BE6895" w:rsidRPr="00207DC2">
        <w:rPr>
          <w:lang w:val="en-AU"/>
        </w:rPr>
        <w:t xml:space="preserve"> </w:t>
      </w:r>
      <w:r w:rsidR="00516648" w:rsidRPr="00207DC2">
        <w:rPr>
          <w:lang w:val="en-AU"/>
        </w:rPr>
        <w:t>examining</w:t>
      </w:r>
      <w:r w:rsidR="00BE6895" w:rsidRPr="00207DC2">
        <w:rPr>
          <w:lang w:val="en-AU"/>
        </w:rPr>
        <w:t xml:space="preserve"> the share of participants moving off income support payments</w:t>
      </w:r>
      <w:r w:rsidRPr="00207DC2">
        <w:rPr>
          <w:lang w:val="en-AU"/>
        </w:rPr>
        <w:t xml:space="preserve">. </w:t>
      </w:r>
    </w:p>
    <w:p w14:paraId="2B6F4460" w14:textId="019BB04E" w:rsidR="00FB626D" w:rsidRDefault="00FB626D" w:rsidP="00FB626D">
      <w:pPr>
        <w:jc w:val="both"/>
        <w:rPr>
          <w:lang w:val="en-AU"/>
        </w:rPr>
      </w:pPr>
      <w:r w:rsidRPr="00207DC2">
        <w:rPr>
          <w:lang w:val="en-AU"/>
        </w:rPr>
        <w:t xml:space="preserve">These CDP administrative records show that employment outcomes increased slightly for remote </w:t>
      </w:r>
      <w:r w:rsidR="00903A7A">
        <w:rPr>
          <w:lang w:val="en-AU"/>
        </w:rPr>
        <w:t>activity-tested</w:t>
      </w:r>
      <w:r w:rsidRPr="00207DC2">
        <w:rPr>
          <w:lang w:val="en-AU"/>
        </w:rPr>
        <w:t xml:space="preserve"> participants following the introduction of the CDP, for both 13</w:t>
      </w:r>
      <w:r w:rsidRPr="00207DC2">
        <w:rPr>
          <w:lang w:val="en-AU"/>
        </w:rPr>
        <w:noBreakHyphen/>
        <w:t>week and 26</w:t>
      </w:r>
      <w:r w:rsidRPr="00207DC2">
        <w:rPr>
          <w:lang w:val="en-AU"/>
        </w:rPr>
        <w:noBreakHyphen/>
        <w:t xml:space="preserve">week outcomes (Table 4.1). Of the 33,901 CDP participants as at </w:t>
      </w:r>
      <w:r w:rsidR="00BA0B8D">
        <w:rPr>
          <w:lang w:val="en-AU"/>
        </w:rPr>
        <w:t>1 </w:t>
      </w:r>
      <w:r w:rsidRPr="00207DC2">
        <w:rPr>
          <w:lang w:val="en-AU"/>
        </w:rPr>
        <w:t>January 2016, ten per cent had been placed in a job for at least 13 weeks over the eighteen months to June 2017, and around seven per cent had been placed in a job for at least 26 weeks. This is an increase compared with the RJCP, where under eight per cent had been placed in a job for at least 13 weeks over the eighteen months to June 2015, and just under six per cent had been placed in a job for at least 26 weeks.</w:t>
      </w:r>
      <w:r w:rsidRPr="00207DC2">
        <w:rPr>
          <w:rStyle w:val="FootnoteReference"/>
          <w:lang w:val="en-AU"/>
        </w:rPr>
        <w:footnoteReference w:id="28"/>
      </w:r>
      <w:r w:rsidRPr="00207DC2">
        <w:rPr>
          <w:lang w:val="en-AU"/>
        </w:rPr>
        <w:t xml:space="preserve"> </w:t>
      </w:r>
    </w:p>
    <w:p w14:paraId="0E84786C" w14:textId="568BF0A3" w:rsidR="00BA0B8D" w:rsidRDefault="00BA0B8D" w:rsidP="00BA0B8D">
      <w:pPr>
        <w:jc w:val="both"/>
        <w:rPr>
          <w:lang w:val="en-AU"/>
        </w:rPr>
      </w:pPr>
      <w:r w:rsidRPr="00207DC2">
        <w:rPr>
          <w:lang w:val="en-AU"/>
        </w:rPr>
        <w:t xml:space="preserve">Slight improvements in employment outcomes are also observed in selected neighbouring mainstream employment areas over the same time period (Table 4.1). </w:t>
      </w:r>
    </w:p>
    <w:p w14:paraId="5E89CA2D" w14:textId="77777777" w:rsidR="00BA0B8D" w:rsidRDefault="00BA0B8D" w:rsidP="00BA0B8D">
      <w:pPr>
        <w:tabs>
          <w:tab w:val="left" w:pos="4962"/>
        </w:tabs>
        <w:jc w:val="both"/>
        <w:rPr>
          <w:lang w:val="en-AU"/>
        </w:rPr>
      </w:pPr>
      <w:r w:rsidRPr="00207DC2">
        <w:rPr>
          <w:lang w:val="en-AU"/>
        </w:rPr>
        <w:t>Under the CDP, employment outcomes have improved across all age groups and for remote participants with varying levels of employment barriers (Table 4.2). The largest increase in job placements was among participants aged 25 to 34 years, and the largest increase in 26-week employment outcomes was observed for participants with low barriers to employment (Table 4.2). Remote participants with the highest barriers to employment</w:t>
      </w:r>
      <w:r>
        <w:rPr>
          <w:lang w:val="en-AU"/>
        </w:rPr>
        <w:t xml:space="preserve"> – </w:t>
      </w:r>
      <w:r w:rsidRPr="00207DC2">
        <w:rPr>
          <w:lang w:val="en-AU"/>
        </w:rPr>
        <w:t xml:space="preserve">including participants with </w:t>
      </w:r>
      <w:r w:rsidRPr="00207DC2">
        <w:rPr>
          <w:i/>
          <w:lang w:val="en-AU"/>
        </w:rPr>
        <w:t>moderate to extreme barriers</w:t>
      </w:r>
      <w:r w:rsidRPr="00207DC2">
        <w:rPr>
          <w:lang w:val="en-AU"/>
        </w:rPr>
        <w:t xml:space="preserve"> to work (as recorded by the JSCI and those longest on income support</w:t>
      </w:r>
      <w:r>
        <w:rPr>
          <w:lang w:val="en-AU"/>
        </w:rPr>
        <w:t xml:space="preserve"> – </w:t>
      </w:r>
      <w:r w:rsidRPr="00207DC2">
        <w:rPr>
          <w:lang w:val="en-AU"/>
        </w:rPr>
        <w:t xml:space="preserve">have lower employment rates under both the RJCP and the CDP (Table 4.2). </w:t>
      </w:r>
    </w:p>
    <w:p w14:paraId="519B8344" w14:textId="132AB636" w:rsidR="00BA0B8D" w:rsidRDefault="00BA0B8D" w:rsidP="00BA0B8D">
      <w:pPr>
        <w:spacing w:before="240"/>
        <w:jc w:val="both"/>
        <w:rPr>
          <w:lang w:val="en-AU"/>
        </w:rPr>
      </w:pPr>
      <w:r w:rsidRPr="00207DC2">
        <w:rPr>
          <w:lang w:val="en-AU"/>
        </w:rPr>
        <w:t>Identifying how the introduction of the CDP policy has changed employment outcomes needs to take account of the effect of other factors</w:t>
      </w:r>
      <w:r>
        <w:rPr>
          <w:lang w:val="en-AU"/>
        </w:rPr>
        <w:t xml:space="preserve"> – </w:t>
      </w:r>
      <w:r w:rsidRPr="00207DC2">
        <w:rPr>
          <w:lang w:val="en-AU"/>
        </w:rPr>
        <w:t xml:space="preserve">namely the participants’ characteristics, labour market conditions and changed reporting incentives for providers. The next section presents the methodology and results of modelling used to try to isolate the effect of </w:t>
      </w:r>
      <w:r>
        <w:rPr>
          <w:lang w:val="en-AU"/>
        </w:rPr>
        <w:t>the CDP on employment outcomes.</w:t>
      </w:r>
    </w:p>
    <w:p w14:paraId="558F1288" w14:textId="0DAF7C03" w:rsidR="00BA0B8D" w:rsidRPr="00207DC2" w:rsidRDefault="00BA0B8D" w:rsidP="00BA0B8D">
      <w:pPr>
        <w:jc w:val="both"/>
        <w:rPr>
          <w:lang w:val="en-AU"/>
        </w:rPr>
      </w:pPr>
      <w:r w:rsidRPr="00207DC2">
        <w:rPr>
          <w:lang w:val="en-AU"/>
        </w:rPr>
        <w:t xml:space="preserve">Changes in employment outcomes can be driven by a number of factors including employment services policies, </w:t>
      </w:r>
      <w:r w:rsidR="00D30648">
        <w:rPr>
          <w:lang w:val="en-AU"/>
        </w:rPr>
        <w:t>as well as</w:t>
      </w:r>
      <w:r w:rsidRPr="00207DC2">
        <w:rPr>
          <w:lang w:val="en-AU"/>
        </w:rPr>
        <w:t xml:space="preserve"> changes in the (measured and unmeasured) characteristics of participants and labour market conditions (which vary over time and across regions).</w:t>
      </w:r>
    </w:p>
    <w:p w14:paraId="17B1A7A2" w14:textId="6185AF09" w:rsidR="00E445F8" w:rsidRPr="00207DC2" w:rsidRDefault="00E445F8" w:rsidP="00FB626D">
      <w:pPr>
        <w:pStyle w:val="Table"/>
        <w:outlineLvl w:val="9"/>
      </w:pPr>
      <w:r w:rsidRPr="00207DC2">
        <w:t xml:space="preserve">Table </w:t>
      </w:r>
      <w:r w:rsidR="00905D1A">
        <w:t>4</w:t>
      </w:r>
      <w:r w:rsidR="00581320" w:rsidRPr="00207DC2">
        <w:t>.</w:t>
      </w:r>
      <w:r w:rsidR="00905D1A">
        <w:t>1</w:t>
      </w:r>
      <w:r w:rsidRPr="00207DC2">
        <w:t xml:space="preserve"> Employment outcomes have improved for remote employment programs between 2014 and 2016</w:t>
      </w:r>
      <w:r w:rsidR="006948DF" w:rsidRPr="00207DC2">
        <w:rPr>
          <w:vertAlign w:val="superscript"/>
        </w:rPr>
        <w:t>a</w:t>
      </w:r>
      <w:r w:rsidR="006948DF" w:rsidRPr="00207DC2">
        <w:t xml:space="preserve"> </w:t>
      </w:r>
    </w:p>
    <w:p w14:paraId="1578ADA6" w14:textId="77777777" w:rsidR="00E445F8" w:rsidRPr="00207DC2" w:rsidRDefault="00E445F8" w:rsidP="00FB626D">
      <w:pPr>
        <w:keepNext/>
        <w:keepLines/>
        <w:spacing w:before="0" w:after="0"/>
        <w:jc w:val="both"/>
        <w:rPr>
          <w:lang w:val="en-AU"/>
        </w:rPr>
      </w:pPr>
      <w:r w:rsidRPr="00207DC2">
        <w:rPr>
          <w:lang w:val="en-AU"/>
        </w:rPr>
        <w:t>Share of the 1 January participants that achieved one or more outcome</w:t>
      </w:r>
    </w:p>
    <w:tbl>
      <w:tblPr>
        <w:tblStyle w:val="PlainTable21"/>
        <w:tblW w:w="8896" w:type="dxa"/>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Employment outcomes have improved for remote employment programs between 2014 and 2016"/>
        <w:tblDescription w:val="The table displays the total number of participants and employment outcomes (placements in a job, 13-week and 26-week outcomes) for participants in:&#10;- remote employment services (including the RJCP in 2014 and the CDP in 2016); and&#10;- neighbouring mainstream employment services (including Job Services Australia (JSA) in 2014 and jobactive in 2016).&#10;"/>
      </w:tblPr>
      <w:tblGrid>
        <w:gridCol w:w="1384"/>
        <w:gridCol w:w="2126"/>
        <w:gridCol w:w="1984"/>
        <w:gridCol w:w="1985"/>
        <w:gridCol w:w="1417"/>
      </w:tblGrid>
      <w:tr w:rsidR="00E445F8" w:rsidRPr="00207DC2" w14:paraId="261D7756"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Borders>
              <w:bottom w:val="single" w:sz="4" w:space="0" w:color="262626" w:themeColor="background1"/>
            </w:tcBorders>
          </w:tcPr>
          <w:p w14:paraId="51AA6AD5" w14:textId="77777777" w:rsidR="00E445F8" w:rsidRPr="00207DC2" w:rsidRDefault="00E445F8" w:rsidP="00FB626D">
            <w:pPr>
              <w:keepNext/>
              <w:keepLines/>
              <w:spacing w:before="60" w:after="60"/>
              <w:jc w:val="both"/>
              <w:rPr>
                <w:color w:val="auto"/>
                <w:sz w:val="20"/>
                <w:szCs w:val="20"/>
                <w:lang w:val="en-AU"/>
              </w:rPr>
            </w:pPr>
          </w:p>
        </w:tc>
        <w:tc>
          <w:tcPr>
            <w:tcW w:w="2126" w:type="dxa"/>
            <w:tcBorders>
              <w:bottom w:val="single" w:sz="4" w:space="0" w:color="262626" w:themeColor="background1"/>
            </w:tcBorders>
          </w:tcPr>
          <w:p w14:paraId="11D149B2" w14:textId="77777777" w:rsidR="002D07E1" w:rsidRPr="00207DC2" w:rsidRDefault="00E445F8"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Placed</w:t>
            </w:r>
          </w:p>
          <w:p w14:paraId="2504DCC0" w14:textId="77777777" w:rsidR="00E445F8" w:rsidRPr="00207DC2" w:rsidRDefault="002D07E1"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 (n)</w:t>
            </w:r>
          </w:p>
        </w:tc>
        <w:tc>
          <w:tcPr>
            <w:tcW w:w="1984" w:type="dxa"/>
            <w:tcBorders>
              <w:bottom w:val="single" w:sz="4" w:space="0" w:color="262626" w:themeColor="background1"/>
            </w:tcBorders>
          </w:tcPr>
          <w:p w14:paraId="4695763C" w14:textId="2F50C7C9" w:rsidR="002D07E1" w:rsidRPr="00207DC2" w:rsidRDefault="00E445F8"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vertAlign w:val="superscript"/>
                <w:lang w:val="en-AU"/>
              </w:rPr>
            </w:pPr>
            <w:r w:rsidRPr="00207DC2">
              <w:rPr>
                <w:color w:val="auto"/>
                <w:sz w:val="20"/>
                <w:szCs w:val="20"/>
                <w:lang w:val="en-AU"/>
              </w:rPr>
              <w:t>12/13</w:t>
            </w:r>
            <w:r w:rsidR="00281CF6">
              <w:rPr>
                <w:color w:val="auto"/>
                <w:sz w:val="20"/>
                <w:szCs w:val="20"/>
                <w:lang w:val="en-AU"/>
              </w:rPr>
              <w:t xml:space="preserve"> </w:t>
            </w:r>
            <w:r w:rsidRPr="00207DC2">
              <w:rPr>
                <w:color w:val="auto"/>
                <w:sz w:val="20"/>
                <w:szCs w:val="20"/>
                <w:lang w:val="en-AU"/>
              </w:rPr>
              <w:t>week</w:t>
            </w:r>
            <w:r w:rsidRPr="00207DC2">
              <w:rPr>
                <w:color w:val="auto"/>
                <w:sz w:val="20"/>
                <w:szCs w:val="20"/>
                <w:vertAlign w:val="superscript"/>
                <w:lang w:val="en-AU"/>
              </w:rPr>
              <w:t>b</w:t>
            </w:r>
          </w:p>
          <w:p w14:paraId="6EE5B662" w14:textId="77777777" w:rsidR="00E445F8" w:rsidRPr="00207DC2" w:rsidRDefault="002D07E1"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 (n)</w:t>
            </w:r>
          </w:p>
        </w:tc>
        <w:tc>
          <w:tcPr>
            <w:tcW w:w="1985" w:type="dxa"/>
            <w:tcBorders>
              <w:bottom w:val="single" w:sz="4" w:space="0" w:color="262626" w:themeColor="background1"/>
            </w:tcBorders>
          </w:tcPr>
          <w:p w14:paraId="7D92BE97" w14:textId="3CB715B8" w:rsidR="002D07E1" w:rsidRPr="00207DC2" w:rsidRDefault="00E445F8"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26</w:t>
            </w:r>
            <w:r w:rsidR="00281CF6">
              <w:rPr>
                <w:color w:val="auto"/>
                <w:sz w:val="20"/>
                <w:szCs w:val="20"/>
                <w:lang w:val="en-AU"/>
              </w:rPr>
              <w:t xml:space="preserve"> </w:t>
            </w:r>
            <w:r w:rsidRPr="00207DC2">
              <w:rPr>
                <w:color w:val="auto"/>
                <w:sz w:val="20"/>
                <w:szCs w:val="20"/>
                <w:lang w:val="en-AU"/>
              </w:rPr>
              <w:t>week</w:t>
            </w:r>
          </w:p>
          <w:p w14:paraId="01A6A3C4" w14:textId="77777777" w:rsidR="00E445F8" w:rsidRPr="00207DC2" w:rsidRDefault="002D07E1"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 (n)</w:t>
            </w:r>
          </w:p>
        </w:tc>
        <w:tc>
          <w:tcPr>
            <w:tcW w:w="1417" w:type="dxa"/>
            <w:tcBorders>
              <w:bottom w:val="single" w:sz="4" w:space="0" w:color="262626" w:themeColor="background1"/>
            </w:tcBorders>
          </w:tcPr>
          <w:p w14:paraId="70E541E2" w14:textId="77777777" w:rsidR="00E445F8" w:rsidRPr="00207DC2" w:rsidRDefault="00E445F8"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Number of participants</w:t>
            </w:r>
          </w:p>
        </w:tc>
      </w:tr>
      <w:tr w:rsidR="00E445F8" w:rsidRPr="00207DC2" w14:paraId="395BB2FF" w14:textId="77777777" w:rsidTr="005A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1" w:type="dxa"/>
            <w:gridSpan w:val="5"/>
            <w:tcBorders>
              <w:top w:val="dotted" w:sz="4" w:space="0" w:color="auto"/>
              <w:bottom w:val="nil"/>
            </w:tcBorders>
            <w:shd w:val="clear" w:color="auto" w:fill="D0D2D3" w:themeFill="background2"/>
          </w:tcPr>
          <w:p w14:paraId="5377E366" w14:textId="77777777" w:rsidR="00E445F8" w:rsidRPr="00207DC2" w:rsidRDefault="00E445F8" w:rsidP="00FB626D">
            <w:pPr>
              <w:keepNext/>
              <w:keepLines/>
              <w:spacing w:before="60" w:after="60"/>
              <w:rPr>
                <w:sz w:val="20"/>
                <w:szCs w:val="20"/>
                <w:lang w:val="en-AU"/>
              </w:rPr>
            </w:pPr>
            <w:r w:rsidRPr="00207DC2">
              <w:rPr>
                <w:sz w:val="20"/>
                <w:szCs w:val="20"/>
                <w:lang w:val="en-AU"/>
              </w:rPr>
              <w:t>Remote employment services:</w:t>
            </w:r>
          </w:p>
        </w:tc>
      </w:tr>
      <w:tr w:rsidR="00E445F8" w:rsidRPr="00207DC2" w14:paraId="32EF935A" w14:textId="77777777" w:rsidTr="005A50CC">
        <w:tc>
          <w:tcPr>
            <w:cnfStyle w:val="001000000000" w:firstRow="0" w:lastRow="0" w:firstColumn="1" w:lastColumn="0" w:oddVBand="0" w:evenVBand="0" w:oddHBand="0" w:evenHBand="0" w:firstRowFirstColumn="0" w:firstRowLastColumn="0" w:lastRowFirstColumn="0" w:lastRowLastColumn="0"/>
            <w:tcW w:w="1384" w:type="dxa"/>
            <w:tcBorders>
              <w:top w:val="nil"/>
              <w:bottom w:val="nil"/>
            </w:tcBorders>
          </w:tcPr>
          <w:p w14:paraId="0DEEAC8B" w14:textId="77777777" w:rsidR="00E445F8" w:rsidRPr="00207DC2" w:rsidRDefault="00E445F8" w:rsidP="00FB626D">
            <w:pPr>
              <w:keepNext/>
              <w:keepLines/>
              <w:spacing w:before="60" w:after="60"/>
              <w:jc w:val="both"/>
              <w:rPr>
                <w:sz w:val="20"/>
                <w:szCs w:val="20"/>
                <w:lang w:val="en-AU"/>
              </w:rPr>
            </w:pPr>
            <w:r w:rsidRPr="00207DC2">
              <w:rPr>
                <w:sz w:val="20"/>
                <w:szCs w:val="20"/>
                <w:lang w:val="en-AU"/>
              </w:rPr>
              <w:t>RJCP, 2014</w:t>
            </w:r>
          </w:p>
        </w:tc>
        <w:tc>
          <w:tcPr>
            <w:tcW w:w="2126" w:type="dxa"/>
            <w:tcBorders>
              <w:top w:val="nil"/>
              <w:bottom w:val="nil"/>
            </w:tcBorders>
          </w:tcPr>
          <w:p w14:paraId="185E040D" w14:textId="77777777" w:rsidR="00E445F8" w:rsidRPr="00207DC2" w:rsidRDefault="009D5166" w:rsidP="00FB626D">
            <w:pPr>
              <w:keepNext/>
              <w:keepLines/>
              <w:spacing w:before="60" w:after="60"/>
              <w:ind w:left="37" w:hanging="37"/>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16</w:t>
            </w:r>
            <w:r w:rsidR="002D07E1" w:rsidRPr="00207DC2">
              <w:rPr>
                <w:sz w:val="20"/>
                <w:szCs w:val="20"/>
                <w:lang w:val="en-AU"/>
              </w:rPr>
              <w:t xml:space="preserve">.8% </w:t>
            </w:r>
            <w:r w:rsidR="002D07E1" w:rsidRPr="00207DC2">
              <w:rPr>
                <w:sz w:val="20"/>
                <w:szCs w:val="20"/>
                <w:lang w:val="en-AU"/>
              </w:rPr>
              <w:br/>
              <w:t>(5</w:t>
            </w:r>
            <w:r w:rsidR="009E4467" w:rsidRPr="00207DC2">
              <w:rPr>
                <w:sz w:val="20"/>
                <w:szCs w:val="20"/>
                <w:lang w:val="en-AU"/>
              </w:rPr>
              <w:t>,</w:t>
            </w:r>
            <w:r w:rsidR="002D07E1" w:rsidRPr="00207DC2">
              <w:rPr>
                <w:sz w:val="20"/>
                <w:szCs w:val="20"/>
                <w:lang w:val="en-AU"/>
              </w:rPr>
              <w:t xml:space="preserve">800, of </w:t>
            </w:r>
            <w:r w:rsidR="00D81562" w:rsidRPr="00207DC2">
              <w:rPr>
                <w:sz w:val="20"/>
                <w:szCs w:val="20"/>
                <w:lang w:val="en-AU"/>
              </w:rPr>
              <w:t>which</w:t>
            </w:r>
            <w:r w:rsidR="002D07E1" w:rsidRPr="00207DC2">
              <w:rPr>
                <w:sz w:val="20"/>
                <w:szCs w:val="20"/>
                <w:lang w:val="en-AU"/>
              </w:rPr>
              <w:t xml:space="preserve"> 961 had multiple outcomes)</w:t>
            </w:r>
          </w:p>
        </w:tc>
        <w:tc>
          <w:tcPr>
            <w:tcW w:w="1984" w:type="dxa"/>
            <w:tcBorders>
              <w:top w:val="nil"/>
              <w:bottom w:val="nil"/>
            </w:tcBorders>
          </w:tcPr>
          <w:p w14:paraId="69CE18FF" w14:textId="77777777" w:rsidR="00E445F8" w:rsidRPr="00207DC2" w:rsidRDefault="00E66524"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8.1</w:t>
            </w:r>
            <w:r w:rsidR="002D07E1" w:rsidRPr="00207DC2">
              <w:rPr>
                <w:sz w:val="20"/>
                <w:szCs w:val="20"/>
                <w:lang w:val="en-AU"/>
              </w:rPr>
              <w:t>%</w:t>
            </w:r>
            <w:r w:rsidR="002D07E1" w:rsidRPr="00207DC2">
              <w:rPr>
                <w:sz w:val="20"/>
                <w:szCs w:val="20"/>
                <w:lang w:val="en-AU"/>
              </w:rPr>
              <w:br/>
              <w:t>(</w:t>
            </w:r>
            <w:r w:rsidR="00DE5F9C" w:rsidRPr="00207DC2">
              <w:rPr>
                <w:sz w:val="20"/>
                <w:szCs w:val="20"/>
                <w:lang w:val="en-AU"/>
              </w:rPr>
              <w:t>2</w:t>
            </w:r>
            <w:r w:rsidR="009E4467" w:rsidRPr="00207DC2">
              <w:rPr>
                <w:sz w:val="20"/>
                <w:szCs w:val="20"/>
                <w:lang w:val="en-AU"/>
              </w:rPr>
              <w:t>,</w:t>
            </w:r>
            <w:r w:rsidR="00DE5F9C" w:rsidRPr="00207DC2">
              <w:rPr>
                <w:sz w:val="20"/>
                <w:szCs w:val="20"/>
                <w:lang w:val="en-AU"/>
              </w:rPr>
              <w:t>584</w:t>
            </w:r>
            <w:r w:rsidR="002D07E1" w:rsidRPr="00207DC2">
              <w:rPr>
                <w:sz w:val="20"/>
                <w:szCs w:val="20"/>
                <w:lang w:val="en-AU"/>
              </w:rPr>
              <w:t>, of which 95 had multiple outcomes)</w:t>
            </w:r>
          </w:p>
        </w:tc>
        <w:tc>
          <w:tcPr>
            <w:tcW w:w="1985" w:type="dxa"/>
            <w:tcBorders>
              <w:top w:val="nil"/>
              <w:bottom w:val="nil"/>
            </w:tcBorders>
          </w:tcPr>
          <w:p w14:paraId="22A1EA45" w14:textId="77777777" w:rsidR="00E445F8" w:rsidRPr="00207DC2" w:rsidRDefault="002D07E1"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5.7%</w:t>
            </w:r>
            <w:r w:rsidRPr="00207DC2">
              <w:rPr>
                <w:sz w:val="20"/>
                <w:szCs w:val="20"/>
                <w:lang w:val="en-AU"/>
              </w:rPr>
              <w:br/>
              <w:t>(</w:t>
            </w:r>
            <w:r w:rsidR="003D4E5F" w:rsidRPr="00207DC2">
              <w:rPr>
                <w:sz w:val="20"/>
                <w:szCs w:val="20"/>
                <w:lang w:val="en-AU"/>
              </w:rPr>
              <w:t>1</w:t>
            </w:r>
            <w:r w:rsidR="009E4467" w:rsidRPr="00207DC2">
              <w:rPr>
                <w:sz w:val="20"/>
                <w:szCs w:val="20"/>
                <w:lang w:val="en-AU"/>
              </w:rPr>
              <w:t>,</w:t>
            </w:r>
            <w:r w:rsidRPr="00207DC2">
              <w:rPr>
                <w:sz w:val="20"/>
                <w:szCs w:val="20"/>
                <w:lang w:val="en-AU"/>
              </w:rPr>
              <w:t>960, of which 33 had multiple outcomes)</w:t>
            </w:r>
          </w:p>
        </w:tc>
        <w:tc>
          <w:tcPr>
            <w:tcW w:w="1417" w:type="dxa"/>
            <w:tcBorders>
              <w:top w:val="nil"/>
              <w:bottom w:val="nil"/>
            </w:tcBorders>
          </w:tcPr>
          <w:p w14:paraId="38A527AB" w14:textId="77777777" w:rsidR="00E445F8" w:rsidRPr="00207DC2" w:rsidRDefault="00E66524"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34,611</w:t>
            </w:r>
          </w:p>
        </w:tc>
      </w:tr>
      <w:tr w:rsidR="00E445F8" w:rsidRPr="00207DC2" w14:paraId="1B039FF9" w14:textId="77777777" w:rsidTr="005A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bottom w:val="dashSmallGap" w:sz="4" w:space="0" w:color="auto"/>
            </w:tcBorders>
          </w:tcPr>
          <w:p w14:paraId="2BF4C16F" w14:textId="77777777" w:rsidR="00E445F8" w:rsidRPr="00207DC2" w:rsidRDefault="00E445F8" w:rsidP="00FB626D">
            <w:pPr>
              <w:keepNext/>
              <w:keepLines/>
              <w:spacing w:before="60" w:after="60" w:line="288" w:lineRule="auto"/>
              <w:jc w:val="both"/>
              <w:rPr>
                <w:sz w:val="20"/>
                <w:szCs w:val="20"/>
                <w:lang w:val="en-AU"/>
              </w:rPr>
            </w:pPr>
            <w:r w:rsidRPr="00207DC2">
              <w:rPr>
                <w:sz w:val="20"/>
                <w:szCs w:val="20"/>
                <w:lang w:val="en-AU"/>
              </w:rPr>
              <w:t>CDP, 2016</w:t>
            </w:r>
          </w:p>
        </w:tc>
        <w:tc>
          <w:tcPr>
            <w:tcW w:w="2126" w:type="dxa"/>
            <w:tcBorders>
              <w:top w:val="nil"/>
              <w:bottom w:val="dashSmallGap" w:sz="4" w:space="0" w:color="auto"/>
            </w:tcBorders>
          </w:tcPr>
          <w:p w14:paraId="67AD7BB7" w14:textId="77777777" w:rsidR="00E445F8" w:rsidRPr="00207DC2" w:rsidRDefault="002D07E1" w:rsidP="00FB626D">
            <w:pPr>
              <w:keepNext/>
              <w:keepLines/>
              <w:spacing w:before="60" w:after="60" w:line="288" w:lineRule="auto"/>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18.4%</w:t>
            </w:r>
            <w:r w:rsidRPr="00207DC2">
              <w:rPr>
                <w:sz w:val="20"/>
                <w:szCs w:val="20"/>
                <w:lang w:val="en-AU"/>
              </w:rPr>
              <w:br/>
              <w:t>(6</w:t>
            </w:r>
            <w:r w:rsidR="009E4467" w:rsidRPr="00207DC2">
              <w:rPr>
                <w:sz w:val="20"/>
                <w:szCs w:val="20"/>
                <w:lang w:val="en-AU"/>
              </w:rPr>
              <w:t>,</w:t>
            </w:r>
            <w:r w:rsidRPr="00207DC2">
              <w:rPr>
                <w:sz w:val="20"/>
                <w:szCs w:val="20"/>
                <w:lang w:val="en-AU"/>
              </w:rPr>
              <w:t>252, of which 1</w:t>
            </w:r>
            <w:r w:rsidR="009E4467" w:rsidRPr="00207DC2">
              <w:rPr>
                <w:sz w:val="20"/>
                <w:szCs w:val="20"/>
                <w:lang w:val="en-AU"/>
              </w:rPr>
              <w:t>,</w:t>
            </w:r>
            <w:r w:rsidRPr="00207DC2">
              <w:rPr>
                <w:sz w:val="20"/>
                <w:szCs w:val="20"/>
                <w:lang w:val="en-AU"/>
              </w:rPr>
              <w:t>246 had multiple outcomes)</w:t>
            </w:r>
          </w:p>
        </w:tc>
        <w:tc>
          <w:tcPr>
            <w:tcW w:w="1984" w:type="dxa"/>
            <w:tcBorders>
              <w:top w:val="nil"/>
              <w:bottom w:val="dashSmallGap" w:sz="4" w:space="0" w:color="auto"/>
            </w:tcBorders>
          </w:tcPr>
          <w:p w14:paraId="057004C2" w14:textId="77777777" w:rsidR="00E445F8" w:rsidRPr="00207DC2" w:rsidRDefault="002D07E1" w:rsidP="00FB626D">
            <w:pPr>
              <w:keepNext/>
              <w:keepLines/>
              <w:spacing w:before="60" w:after="60" w:line="288" w:lineRule="auto"/>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10.3%</w:t>
            </w:r>
            <w:r w:rsidRPr="00207DC2">
              <w:rPr>
                <w:sz w:val="20"/>
                <w:szCs w:val="20"/>
                <w:lang w:val="en-AU"/>
              </w:rPr>
              <w:br/>
              <w:t>(3</w:t>
            </w:r>
            <w:r w:rsidR="009E4467" w:rsidRPr="00207DC2">
              <w:rPr>
                <w:sz w:val="20"/>
                <w:szCs w:val="20"/>
                <w:lang w:val="en-AU"/>
              </w:rPr>
              <w:t>,</w:t>
            </w:r>
            <w:r w:rsidRPr="00207DC2">
              <w:rPr>
                <w:sz w:val="20"/>
                <w:szCs w:val="20"/>
                <w:lang w:val="en-AU"/>
              </w:rPr>
              <w:t>4</w:t>
            </w:r>
            <w:r w:rsidR="00E66524" w:rsidRPr="00207DC2">
              <w:rPr>
                <w:sz w:val="20"/>
                <w:szCs w:val="20"/>
                <w:lang w:val="en-AU"/>
              </w:rPr>
              <w:t>80</w:t>
            </w:r>
            <w:r w:rsidRPr="00207DC2">
              <w:rPr>
                <w:sz w:val="20"/>
                <w:szCs w:val="20"/>
                <w:lang w:val="en-AU"/>
              </w:rPr>
              <w:t>, of which 183 had multiple outcomes)</w:t>
            </w:r>
          </w:p>
        </w:tc>
        <w:tc>
          <w:tcPr>
            <w:tcW w:w="1985" w:type="dxa"/>
            <w:tcBorders>
              <w:top w:val="nil"/>
              <w:bottom w:val="dashSmallGap" w:sz="4" w:space="0" w:color="auto"/>
            </w:tcBorders>
          </w:tcPr>
          <w:p w14:paraId="461DF1D0" w14:textId="77777777" w:rsidR="00B42103" w:rsidRPr="00207DC2" w:rsidRDefault="006B39A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6.9%</w:t>
            </w:r>
          </w:p>
          <w:p w14:paraId="357341D2" w14:textId="0E1D3403" w:rsidR="00E445F8" w:rsidRPr="00207DC2" w:rsidRDefault="006B39A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w:t>
            </w:r>
            <w:r w:rsidR="002D07E1" w:rsidRPr="00207DC2">
              <w:rPr>
                <w:sz w:val="20"/>
                <w:szCs w:val="20"/>
                <w:lang w:val="en-AU"/>
              </w:rPr>
              <w:t>2</w:t>
            </w:r>
            <w:r w:rsidR="009E4467" w:rsidRPr="00207DC2">
              <w:rPr>
                <w:sz w:val="20"/>
                <w:szCs w:val="20"/>
                <w:lang w:val="en-AU"/>
              </w:rPr>
              <w:t>,</w:t>
            </w:r>
            <w:r w:rsidR="002D07E1" w:rsidRPr="00207DC2">
              <w:rPr>
                <w:sz w:val="20"/>
                <w:szCs w:val="20"/>
                <w:lang w:val="en-AU"/>
              </w:rPr>
              <w:t>349</w:t>
            </w:r>
            <w:r w:rsidRPr="00207DC2">
              <w:rPr>
                <w:sz w:val="20"/>
                <w:szCs w:val="20"/>
                <w:lang w:val="en-AU"/>
              </w:rPr>
              <w:t xml:space="preserve">, of which </w:t>
            </w:r>
            <w:r w:rsidR="002D07E1" w:rsidRPr="00207DC2">
              <w:rPr>
                <w:sz w:val="20"/>
                <w:szCs w:val="20"/>
                <w:lang w:val="en-AU"/>
              </w:rPr>
              <w:t xml:space="preserve">54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417" w:type="dxa"/>
            <w:tcBorders>
              <w:top w:val="nil"/>
              <w:bottom w:val="dashSmallGap" w:sz="4" w:space="0" w:color="auto"/>
            </w:tcBorders>
          </w:tcPr>
          <w:p w14:paraId="21B0E9BC" w14:textId="77777777" w:rsidR="00E445F8" w:rsidRPr="00207DC2" w:rsidRDefault="00E66524"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33,901</w:t>
            </w:r>
          </w:p>
        </w:tc>
      </w:tr>
      <w:tr w:rsidR="00E445F8" w:rsidRPr="00207DC2" w14:paraId="703020A5" w14:textId="77777777" w:rsidTr="005A50CC">
        <w:tc>
          <w:tcPr>
            <w:cnfStyle w:val="001000000000" w:firstRow="0" w:lastRow="0" w:firstColumn="1" w:lastColumn="0" w:oddVBand="0" w:evenVBand="0" w:oddHBand="0" w:evenHBand="0" w:firstRowFirstColumn="0" w:firstRowLastColumn="0" w:lastRowFirstColumn="0" w:lastRowLastColumn="0"/>
            <w:tcW w:w="8891" w:type="dxa"/>
            <w:gridSpan w:val="5"/>
            <w:tcBorders>
              <w:top w:val="dashSmallGap" w:sz="4" w:space="0" w:color="auto"/>
              <w:bottom w:val="nil"/>
            </w:tcBorders>
            <w:shd w:val="clear" w:color="auto" w:fill="D0D2D3" w:themeFill="background2"/>
          </w:tcPr>
          <w:p w14:paraId="751CE2A7" w14:textId="77777777" w:rsidR="00E445F8" w:rsidRPr="00207DC2" w:rsidRDefault="00E445F8" w:rsidP="00FB626D">
            <w:pPr>
              <w:keepNext/>
              <w:keepLines/>
              <w:spacing w:before="60" w:after="60"/>
              <w:rPr>
                <w:sz w:val="20"/>
                <w:szCs w:val="20"/>
                <w:lang w:val="en-AU"/>
              </w:rPr>
            </w:pPr>
            <w:r w:rsidRPr="00207DC2">
              <w:rPr>
                <w:sz w:val="20"/>
                <w:szCs w:val="20"/>
                <w:lang w:val="en-AU"/>
              </w:rPr>
              <w:t>Neighbouring mainstream employment services:</w:t>
            </w:r>
          </w:p>
        </w:tc>
      </w:tr>
      <w:tr w:rsidR="00E445F8" w:rsidRPr="00207DC2" w14:paraId="37B1831C" w14:textId="77777777" w:rsidTr="005A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Borders>
              <w:top w:val="nil"/>
              <w:bottom w:val="nil"/>
            </w:tcBorders>
          </w:tcPr>
          <w:p w14:paraId="01613D13" w14:textId="66BE5234" w:rsidR="00E445F8" w:rsidRPr="00207DC2" w:rsidRDefault="00EC3583" w:rsidP="00FB626D">
            <w:pPr>
              <w:keepNext/>
              <w:keepLines/>
              <w:spacing w:before="60" w:after="60"/>
              <w:rPr>
                <w:sz w:val="20"/>
                <w:szCs w:val="20"/>
                <w:lang w:val="en-AU"/>
              </w:rPr>
            </w:pPr>
            <w:r w:rsidRPr="00207DC2">
              <w:rPr>
                <w:sz w:val="20"/>
                <w:szCs w:val="20"/>
                <w:lang w:val="en-AU"/>
              </w:rPr>
              <w:t>Job Services Australia (</w:t>
            </w:r>
            <w:r w:rsidR="00E445F8" w:rsidRPr="00207DC2">
              <w:rPr>
                <w:sz w:val="20"/>
                <w:szCs w:val="20"/>
                <w:lang w:val="en-AU"/>
              </w:rPr>
              <w:t>JSA</w:t>
            </w:r>
            <w:r w:rsidRPr="00207DC2">
              <w:rPr>
                <w:sz w:val="20"/>
                <w:szCs w:val="20"/>
                <w:lang w:val="en-AU"/>
              </w:rPr>
              <w:t>)</w:t>
            </w:r>
            <w:r w:rsidR="00E445F8" w:rsidRPr="00207DC2">
              <w:rPr>
                <w:sz w:val="20"/>
                <w:szCs w:val="20"/>
                <w:lang w:val="en-AU"/>
              </w:rPr>
              <w:t>, 2014</w:t>
            </w:r>
          </w:p>
        </w:tc>
        <w:tc>
          <w:tcPr>
            <w:tcW w:w="2126" w:type="dxa"/>
            <w:tcBorders>
              <w:top w:val="nil"/>
              <w:bottom w:val="nil"/>
            </w:tcBorders>
          </w:tcPr>
          <w:p w14:paraId="0A70C15F" w14:textId="77777777" w:rsidR="00E445F8" w:rsidRPr="00207DC2" w:rsidRDefault="006B39A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 xml:space="preserve">30.1% </w:t>
            </w:r>
            <w:r w:rsidRPr="00207DC2">
              <w:rPr>
                <w:sz w:val="20"/>
                <w:szCs w:val="20"/>
                <w:lang w:val="en-AU"/>
              </w:rPr>
              <w:br/>
              <w:t>(</w:t>
            </w:r>
            <w:r w:rsidR="003D4E5F" w:rsidRPr="00207DC2">
              <w:rPr>
                <w:sz w:val="20"/>
                <w:szCs w:val="20"/>
                <w:lang w:val="en-AU"/>
              </w:rPr>
              <w:t>4</w:t>
            </w:r>
            <w:r w:rsidR="009E4467" w:rsidRPr="00207DC2">
              <w:rPr>
                <w:sz w:val="20"/>
                <w:szCs w:val="20"/>
                <w:lang w:val="en-AU"/>
              </w:rPr>
              <w:t>,</w:t>
            </w:r>
            <w:r w:rsidR="003D4E5F" w:rsidRPr="00207DC2">
              <w:rPr>
                <w:sz w:val="20"/>
                <w:szCs w:val="20"/>
                <w:lang w:val="en-AU"/>
              </w:rPr>
              <w:t>989</w:t>
            </w:r>
            <w:r w:rsidRPr="00207DC2">
              <w:rPr>
                <w:sz w:val="20"/>
                <w:szCs w:val="20"/>
                <w:lang w:val="en-AU"/>
              </w:rPr>
              <w:t xml:space="preserve">, of which </w:t>
            </w:r>
            <w:r w:rsidR="003D4E5F" w:rsidRPr="00207DC2">
              <w:rPr>
                <w:sz w:val="20"/>
                <w:szCs w:val="20"/>
                <w:lang w:val="en-AU"/>
              </w:rPr>
              <w:t>1</w:t>
            </w:r>
            <w:r w:rsidR="009E4467" w:rsidRPr="00207DC2">
              <w:rPr>
                <w:sz w:val="20"/>
                <w:szCs w:val="20"/>
                <w:lang w:val="en-AU"/>
              </w:rPr>
              <w:t>,</w:t>
            </w:r>
            <w:r w:rsidR="003D4E5F" w:rsidRPr="00207DC2">
              <w:rPr>
                <w:sz w:val="20"/>
                <w:szCs w:val="20"/>
                <w:lang w:val="en-AU"/>
              </w:rPr>
              <w:t xml:space="preserve">655 </w:t>
            </w:r>
            <w:r w:rsidRPr="00207DC2">
              <w:rPr>
                <w:sz w:val="20"/>
                <w:szCs w:val="20"/>
                <w:lang w:val="en-AU"/>
              </w:rPr>
              <w:t>had</w:t>
            </w:r>
            <w:r w:rsidR="003D4E5F" w:rsidRPr="00207DC2">
              <w:rPr>
                <w:sz w:val="20"/>
                <w:szCs w:val="20"/>
                <w:lang w:val="en-AU"/>
              </w:rPr>
              <w:t xml:space="preserve"> </w:t>
            </w:r>
            <w:r w:rsidR="002D07E1" w:rsidRPr="00207DC2">
              <w:rPr>
                <w:sz w:val="20"/>
                <w:szCs w:val="20"/>
                <w:lang w:val="en-AU"/>
              </w:rPr>
              <w:t>multiple</w:t>
            </w:r>
            <w:r w:rsidRPr="00207DC2">
              <w:rPr>
                <w:sz w:val="20"/>
                <w:szCs w:val="20"/>
                <w:lang w:val="en-AU"/>
              </w:rPr>
              <w:t xml:space="preserve"> outcomes)</w:t>
            </w:r>
          </w:p>
        </w:tc>
        <w:tc>
          <w:tcPr>
            <w:tcW w:w="1984" w:type="dxa"/>
            <w:tcBorders>
              <w:top w:val="nil"/>
              <w:bottom w:val="nil"/>
            </w:tcBorders>
          </w:tcPr>
          <w:p w14:paraId="22B70739" w14:textId="77777777" w:rsidR="00E445F8" w:rsidRPr="00207DC2" w:rsidRDefault="006B39A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13.2%</w:t>
            </w:r>
            <w:r w:rsidRPr="00207DC2">
              <w:rPr>
                <w:sz w:val="20"/>
                <w:szCs w:val="20"/>
                <w:lang w:val="en-AU"/>
              </w:rPr>
              <w:br/>
              <w:t>(</w:t>
            </w:r>
            <w:r w:rsidR="002D07E1" w:rsidRPr="00207DC2">
              <w:rPr>
                <w:sz w:val="20"/>
                <w:szCs w:val="20"/>
                <w:lang w:val="en-AU"/>
              </w:rPr>
              <w:t>2</w:t>
            </w:r>
            <w:r w:rsidR="009E4467" w:rsidRPr="00207DC2">
              <w:rPr>
                <w:sz w:val="20"/>
                <w:szCs w:val="20"/>
                <w:lang w:val="en-AU"/>
              </w:rPr>
              <w:t>,</w:t>
            </w:r>
            <w:r w:rsidR="002D07E1" w:rsidRPr="00207DC2">
              <w:rPr>
                <w:sz w:val="20"/>
                <w:szCs w:val="20"/>
                <w:lang w:val="en-AU"/>
              </w:rPr>
              <w:t>187</w:t>
            </w:r>
            <w:r w:rsidRPr="00207DC2">
              <w:rPr>
                <w:sz w:val="20"/>
                <w:szCs w:val="20"/>
                <w:lang w:val="en-AU"/>
              </w:rPr>
              <w:t xml:space="preserve">, of which </w:t>
            </w:r>
            <w:r w:rsidR="002D07E1" w:rsidRPr="00207DC2">
              <w:rPr>
                <w:sz w:val="20"/>
                <w:szCs w:val="20"/>
                <w:lang w:val="en-AU"/>
              </w:rPr>
              <w:t xml:space="preserve">145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985" w:type="dxa"/>
            <w:tcBorders>
              <w:top w:val="nil"/>
              <w:bottom w:val="nil"/>
            </w:tcBorders>
          </w:tcPr>
          <w:p w14:paraId="629CCD0A" w14:textId="77777777" w:rsidR="00E445F8" w:rsidRPr="00207DC2" w:rsidRDefault="006B39A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7.7%</w:t>
            </w:r>
            <w:r w:rsidRPr="00207DC2">
              <w:rPr>
                <w:sz w:val="20"/>
                <w:szCs w:val="20"/>
                <w:lang w:val="en-AU"/>
              </w:rPr>
              <w:br/>
              <w:t>(1</w:t>
            </w:r>
            <w:r w:rsidR="009E4467" w:rsidRPr="00207DC2">
              <w:rPr>
                <w:sz w:val="20"/>
                <w:szCs w:val="20"/>
                <w:lang w:val="en-AU"/>
              </w:rPr>
              <w:t>,</w:t>
            </w:r>
            <w:r w:rsidRPr="00207DC2">
              <w:rPr>
                <w:sz w:val="20"/>
                <w:szCs w:val="20"/>
                <w:lang w:val="en-AU"/>
              </w:rPr>
              <w:t>272, of wh</w:t>
            </w:r>
            <w:r w:rsidR="00DF3314" w:rsidRPr="00207DC2">
              <w:rPr>
                <w:sz w:val="20"/>
                <w:szCs w:val="20"/>
                <w:lang w:val="en-AU"/>
              </w:rPr>
              <w:t>i</w:t>
            </w:r>
            <w:r w:rsidRPr="00207DC2">
              <w:rPr>
                <w:sz w:val="20"/>
                <w:szCs w:val="20"/>
                <w:lang w:val="en-AU"/>
              </w:rPr>
              <w:t>ch</w:t>
            </w:r>
            <w:r w:rsidR="002D07E1" w:rsidRPr="00207DC2">
              <w:rPr>
                <w:sz w:val="20"/>
                <w:szCs w:val="20"/>
                <w:lang w:val="en-AU"/>
              </w:rPr>
              <w:t xml:space="preserve"> </w:t>
            </w:r>
            <w:r w:rsidR="002D07E1" w:rsidRPr="00207DC2">
              <w:rPr>
                <w:sz w:val="20"/>
                <w:szCs w:val="20"/>
                <w:lang w:val="en-AU"/>
              </w:rPr>
              <w:br/>
            </w:r>
            <w:r w:rsidR="002D02CD" w:rsidRPr="00207DC2">
              <w:rPr>
                <w:sz w:val="20"/>
                <w:szCs w:val="20"/>
                <w:lang w:val="en-AU"/>
              </w:rPr>
              <w:t xml:space="preserve">nine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417" w:type="dxa"/>
            <w:tcBorders>
              <w:top w:val="nil"/>
              <w:bottom w:val="nil"/>
            </w:tcBorders>
          </w:tcPr>
          <w:p w14:paraId="3472EB16" w14:textId="77777777" w:rsidR="00E445F8" w:rsidRPr="00207DC2" w:rsidRDefault="00DE5F9C" w:rsidP="00FB626D">
            <w:pPr>
              <w:keepNext/>
              <w:keepLines/>
              <w:spacing w:before="60" w:after="60"/>
              <w:jc w:val="right"/>
              <w:cnfStyle w:val="000000100000" w:firstRow="0" w:lastRow="0" w:firstColumn="0" w:lastColumn="0" w:oddVBand="0" w:evenVBand="0" w:oddHBand="1" w:evenHBand="0" w:firstRowFirstColumn="0" w:firstRowLastColumn="0" w:lastRowFirstColumn="0" w:lastRowLastColumn="0"/>
              <w:rPr>
                <w:sz w:val="20"/>
                <w:szCs w:val="20"/>
                <w:lang w:val="en-AU"/>
              </w:rPr>
            </w:pPr>
            <w:r w:rsidRPr="00207DC2">
              <w:rPr>
                <w:sz w:val="20"/>
                <w:szCs w:val="20"/>
                <w:lang w:val="en-AU"/>
              </w:rPr>
              <w:t>16,558</w:t>
            </w:r>
          </w:p>
        </w:tc>
      </w:tr>
      <w:tr w:rsidR="00E445F8" w:rsidRPr="00207DC2" w14:paraId="76283762" w14:textId="77777777" w:rsidTr="005A50CC">
        <w:tc>
          <w:tcPr>
            <w:cnfStyle w:val="001000000000" w:firstRow="0" w:lastRow="0" w:firstColumn="1" w:lastColumn="0" w:oddVBand="0" w:evenVBand="0" w:oddHBand="0" w:evenHBand="0" w:firstRowFirstColumn="0" w:firstRowLastColumn="0" w:lastRowFirstColumn="0" w:lastRowLastColumn="0"/>
            <w:tcW w:w="1384" w:type="dxa"/>
            <w:tcBorders>
              <w:top w:val="nil"/>
            </w:tcBorders>
          </w:tcPr>
          <w:p w14:paraId="2FFF9407" w14:textId="77777777" w:rsidR="00E445F8" w:rsidRPr="00207DC2" w:rsidRDefault="00CE4608" w:rsidP="00FB626D">
            <w:pPr>
              <w:keepNext/>
              <w:keepLines/>
              <w:spacing w:before="60" w:after="60"/>
              <w:jc w:val="both"/>
              <w:rPr>
                <w:sz w:val="20"/>
                <w:szCs w:val="20"/>
                <w:lang w:val="en-AU"/>
              </w:rPr>
            </w:pPr>
            <w:r w:rsidRPr="00207DC2">
              <w:rPr>
                <w:sz w:val="20"/>
                <w:szCs w:val="20"/>
                <w:lang w:val="en-AU"/>
              </w:rPr>
              <w:t>j</w:t>
            </w:r>
            <w:r w:rsidR="00E445F8" w:rsidRPr="00207DC2">
              <w:rPr>
                <w:sz w:val="20"/>
                <w:szCs w:val="20"/>
                <w:lang w:val="en-AU"/>
              </w:rPr>
              <w:t>obactive, 2016</w:t>
            </w:r>
          </w:p>
        </w:tc>
        <w:tc>
          <w:tcPr>
            <w:tcW w:w="2126" w:type="dxa"/>
            <w:tcBorders>
              <w:top w:val="nil"/>
            </w:tcBorders>
          </w:tcPr>
          <w:p w14:paraId="7ADE95A0" w14:textId="77777777" w:rsidR="00E445F8" w:rsidRPr="00207DC2" w:rsidRDefault="001249E7"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30.6%</w:t>
            </w:r>
            <w:r w:rsidRPr="00207DC2">
              <w:rPr>
                <w:sz w:val="20"/>
                <w:szCs w:val="20"/>
                <w:lang w:val="en-AU"/>
              </w:rPr>
              <w:br/>
              <w:t>(</w:t>
            </w:r>
            <w:r w:rsidR="002D07E1" w:rsidRPr="00207DC2">
              <w:rPr>
                <w:sz w:val="20"/>
                <w:szCs w:val="20"/>
                <w:lang w:val="en-AU"/>
              </w:rPr>
              <w:t>5</w:t>
            </w:r>
            <w:r w:rsidR="009E4467" w:rsidRPr="00207DC2">
              <w:rPr>
                <w:sz w:val="20"/>
                <w:szCs w:val="20"/>
                <w:lang w:val="en-AU"/>
              </w:rPr>
              <w:t>,</w:t>
            </w:r>
            <w:r w:rsidR="002D07E1" w:rsidRPr="00207DC2">
              <w:rPr>
                <w:sz w:val="20"/>
                <w:szCs w:val="20"/>
                <w:lang w:val="en-AU"/>
              </w:rPr>
              <w:t>271</w:t>
            </w:r>
            <w:r w:rsidRPr="00207DC2">
              <w:rPr>
                <w:sz w:val="20"/>
                <w:szCs w:val="20"/>
                <w:lang w:val="en-AU"/>
              </w:rPr>
              <w:t>, of which</w:t>
            </w:r>
            <w:r w:rsidR="002D07E1" w:rsidRPr="00207DC2">
              <w:rPr>
                <w:sz w:val="20"/>
                <w:szCs w:val="20"/>
                <w:lang w:val="en-AU"/>
              </w:rPr>
              <w:t xml:space="preserve"> 1</w:t>
            </w:r>
            <w:r w:rsidR="009E4467" w:rsidRPr="00207DC2">
              <w:rPr>
                <w:sz w:val="20"/>
                <w:szCs w:val="20"/>
                <w:lang w:val="en-AU"/>
              </w:rPr>
              <w:t>,</w:t>
            </w:r>
            <w:r w:rsidR="002D07E1" w:rsidRPr="00207DC2">
              <w:rPr>
                <w:sz w:val="20"/>
                <w:szCs w:val="20"/>
                <w:lang w:val="en-AU"/>
              </w:rPr>
              <w:t xml:space="preserve">729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984" w:type="dxa"/>
            <w:tcBorders>
              <w:top w:val="nil"/>
            </w:tcBorders>
          </w:tcPr>
          <w:p w14:paraId="481F0719" w14:textId="77777777" w:rsidR="00E445F8" w:rsidRPr="00207DC2" w:rsidRDefault="001249E7"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16.9%</w:t>
            </w:r>
            <w:r w:rsidRPr="00207DC2">
              <w:rPr>
                <w:sz w:val="20"/>
                <w:szCs w:val="20"/>
                <w:lang w:val="en-AU"/>
              </w:rPr>
              <w:br/>
              <w:t>(</w:t>
            </w:r>
            <w:r w:rsidR="002D07E1" w:rsidRPr="00207DC2">
              <w:rPr>
                <w:sz w:val="20"/>
                <w:szCs w:val="20"/>
                <w:lang w:val="en-AU"/>
              </w:rPr>
              <w:t>2</w:t>
            </w:r>
            <w:r w:rsidR="009E4467" w:rsidRPr="00207DC2">
              <w:rPr>
                <w:sz w:val="20"/>
                <w:szCs w:val="20"/>
                <w:lang w:val="en-AU"/>
              </w:rPr>
              <w:t>,</w:t>
            </w:r>
            <w:r w:rsidR="002D07E1" w:rsidRPr="00207DC2">
              <w:rPr>
                <w:sz w:val="20"/>
                <w:szCs w:val="20"/>
                <w:lang w:val="en-AU"/>
              </w:rPr>
              <w:t>919</w:t>
            </w:r>
            <w:r w:rsidRPr="00207DC2">
              <w:rPr>
                <w:sz w:val="20"/>
                <w:szCs w:val="20"/>
                <w:lang w:val="en-AU"/>
              </w:rPr>
              <w:t>, of which</w:t>
            </w:r>
            <w:r w:rsidR="00B72029" w:rsidRPr="00207DC2">
              <w:rPr>
                <w:sz w:val="20"/>
                <w:szCs w:val="20"/>
                <w:lang w:val="en-AU"/>
              </w:rPr>
              <w:t xml:space="preserve"> </w:t>
            </w:r>
            <w:r w:rsidR="002D07E1" w:rsidRPr="00207DC2">
              <w:rPr>
                <w:sz w:val="20"/>
                <w:szCs w:val="20"/>
                <w:lang w:val="en-AU"/>
              </w:rPr>
              <w:t xml:space="preserve">509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985" w:type="dxa"/>
            <w:tcBorders>
              <w:top w:val="nil"/>
            </w:tcBorders>
          </w:tcPr>
          <w:p w14:paraId="69601A2E" w14:textId="77777777" w:rsidR="00E445F8" w:rsidRPr="00207DC2" w:rsidRDefault="001249E7"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7.8%</w:t>
            </w:r>
            <w:r w:rsidRPr="00207DC2">
              <w:rPr>
                <w:sz w:val="20"/>
                <w:szCs w:val="20"/>
                <w:lang w:val="en-AU"/>
              </w:rPr>
              <w:br/>
              <w:t>(</w:t>
            </w:r>
            <w:r w:rsidR="002D07E1" w:rsidRPr="00207DC2">
              <w:rPr>
                <w:sz w:val="20"/>
                <w:szCs w:val="20"/>
                <w:lang w:val="en-AU"/>
              </w:rPr>
              <w:t>1</w:t>
            </w:r>
            <w:r w:rsidR="009E4467" w:rsidRPr="00207DC2">
              <w:rPr>
                <w:sz w:val="20"/>
                <w:szCs w:val="20"/>
                <w:lang w:val="en-AU"/>
              </w:rPr>
              <w:t>,</w:t>
            </w:r>
            <w:r w:rsidR="002D07E1" w:rsidRPr="00207DC2">
              <w:rPr>
                <w:sz w:val="20"/>
                <w:szCs w:val="20"/>
                <w:lang w:val="en-AU"/>
              </w:rPr>
              <w:t>353</w:t>
            </w:r>
            <w:r w:rsidRPr="00207DC2">
              <w:rPr>
                <w:sz w:val="20"/>
                <w:szCs w:val="20"/>
                <w:lang w:val="en-AU"/>
              </w:rPr>
              <w:t xml:space="preserve">, of which </w:t>
            </w:r>
            <w:r w:rsidR="003D07D6" w:rsidRPr="00207DC2">
              <w:rPr>
                <w:sz w:val="20"/>
                <w:szCs w:val="20"/>
                <w:lang w:val="en-AU"/>
              </w:rPr>
              <w:t>six</w:t>
            </w:r>
            <w:r w:rsidR="002D07E1" w:rsidRPr="00207DC2">
              <w:rPr>
                <w:sz w:val="20"/>
                <w:szCs w:val="20"/>
                <w:lang w:val="en-AU"/>
              </w:rPr>
              <w:t xml:space="preserve"> </w:t>
            </w:r>
            <w:r w:rsidRPr="00207DC2">
              <w:rPr>
                <w:sz w:val="20"/>
                <w:szCs w:val="20"/>
                <w:lang w:val="en-AU"/>
              </w:rPr>
              <w:t>had</w:t>
            </w:r>
            <w:r w:rsidR="002D07E1" w:rsidRPr="00207DC2">
              <w:rPr>
                <w:sz w:val="20"/>
                <w:szCs w:val="20"/>
                <w:lang w:val="en-AU"/>
              </w:rPr>
              <w:t xml:space="preserve"> multiple</w:t>
            </w:r>
            <w:r w:rsidRPr="00207DC2">
              <w:rPr>
                <w:sz w:val="20"/>
                <w:szCs w:val="20"/>
                <w:lang w:val="en-AU"/>
              </w:rPr>
              <w:t xml:space="preserve"> outcomes)</w:t>
            </w:r>
          </w:p>
        </w:tc>
        <w:tc>
          <w:tcPr>
            <w:tcW w:w="1417" w:type="dxa"/>
            <w:tcBorders>
              <w:top w:val="nil"/>
              <w:bottom w:val="single" w:sz="4" w:space="0" w:color="auto"/>
            </w:tcBorders>
          </w:tcPr>
          <w:p w14:paraId="26D93738" w14:textId="77777777" w:rsidR="00E445F8" w:rsidRPr="00207DC2" w:rsidRDefault="00DE5F9C" w:rsidP="00FB626D">
            <w:pPr>
              <w:keepNext/>
              <w:keepLines/>
              <w:spacing w:before="60" w:after="60"/>
              <w:jc w:val="right"/>
              <w:cnfStyle w:val="000000000000" w:firstRow="0" w:lastRow="0" w:firstColumn="0" w:lastColumn="0" w:oddVBand="0" w:evenVBand="0" w:oddHBand="0" w:evenHBand="0" w:firstRowFirstColumn="0" w:firstRowLastColumn="0" w:lastRowFirstColumn="0" w:lastRowLastColumn="0"/>
              <w:rPr>
                <w:sz w:val="20"/>
                <w:szCs w:val="20"/>
                <w:lang w:val="en-AU"/>
              </w:rPr>
            </w:pPr>
            <w:r w:rsidRPr="00207DC2">
              <w:rPr>
                <w:sz w:val="20"/>
                <w:szCs w:val="20"/>
                <w:lang w:val="en-AU"/>
              </w:rPr>
              <w:t>17,245</w:t>
            </w:r>
          </w:p>
        </w:tc>
      </w:tr>
    </w:tbl>
    <w:p w14:paraId="7FE194D9" w14:textId="77777777" w:rsidR="00DF7D3E" w:rsidRPr="00207DC2" w:rsidRDefault="00E445F8" w:rsidP="00FB626D">
      <w:pPr>
        <w:pStyle w:val="tablenotes"/>
      </w:pPr>
      <w:r w:rsidRPr="00207DC2">
        <w:rPr>
          <w:i/>
        </w:rPr>
        <w:t>Source:</w:t>
      </w:r>
      <w:r w:rsidRPr="00207DC2">
        <w:t xml:space="preserve"> </w:t>
      </w:r>
      <w:r w:rsidR="0057565A" w:rsidRPr="00207DC2">
        <w:t>PMC</w:t>
      </w:r>
      <w:r w:rsidRPr="00207DC2">
        <w:t xml:space="preserve"> estimates based on unpublished ESS operational data (</w:t>
      </w:r>
      <w:r w:rsidR="00FE5ED2" w:rsidRPr="00207DC2">
        <w:t xml:space="preserve">extracted on </w:t>
      </w:r>
      <w:r w:rsidR="00E538AC" w:rsidRPr="00207DC2">
        <w:t>3</w:t>
      </w:r>
      <w:r w:rsidR="002317B0" w:rsidRPr="00207DC2">
        <w:t> </w:t>
      </w:r>
      <w:r w:rsidR="00E538AC" w:rsidRPr="00207DC2">
        <w:t>Octo</w:t>
      </w:r>
      <w:r w:rsidR="002317B0" w:rsidRPr="00207DC2">
        <w:t>ber </w:t>
      </w:r>
      <w:r w:rsidR="00E538AC" w:rsidRPr="00207DC2">
        <w:t>2017</w:t>
      </w:r>
      <w:r w:rsidR="001A6225" w:rsidRPr="00207DC2">
        <w:t xml:space="preserve">). </w:t>
      </w:r>
    </w:p>
    <w:p w14:paraId="0C18388E" w14:textId="2B00B1EF" w:rsidR="00E445F8" w:rsidRPr="00207DC2" w:rsidRDefault="00E445F8" w:rsidP="00FB626D">
      <w:pPr>
        <w:pStyle w:val="tablenotes"/>
      </w:pPr>
      <w:r w:rsidRPr="00207DC2">
        <w:rPr>
          <w:i/>
        </w:rPr>
        <w:t>Notes:</w:t>
      </w:r>
      <w:r w:rsidRPr="00207DC2">
        <w:t xml:space="preserve"> (a) Employment outcomes are measured by tracking individual outcomes (as recorded by employment providers) over an 18-month period. The base population includes all </w:t>
      </w:r>
      <w:r w:rsidR="003B574F" w:rsidRPr="00207DC2">
        <w:t xml:space="preserve">registered </w:t>
      </w:r>
      <w:r w:rsidRPr="00207DC2">
        <w:t xml:space="preserve">program participants on respective sampling dates. </w:t>
      </w:r>
      <w:r w:rsidR="003B574F" w:rsidRPr="00207DC2">
        <w:t>The</w:t>
      </w:r>
      <w:r w:rsidRPr="00207DC2">
        <w:t xml:space="preserve"> methodology and estimates differ from that used in routine reporting which excludes those who never commenced</w:t>
      </w:r>
      <w:r w:rsidR="000F33EC" w:rsidRPr="00207DC2">
        <w:t xml:space="preserve"> (ie actively started participating)</w:t>
      </w:r>
      <w:r w:rsidRPr="00207DC2">
        <w:t xml:space="preserve"> into the program. (b) Under jobactive, employment ou</w:t>
      </w:r>
      <w:r w:rsidR="003D4E5F" w:rsidRPr="00207DC2">
        <w:t>tcomes are available for 4</w:t>
      </w:r>
      <w:r w:rsidR="00E700A8" w:rsidRPr="00207DC2">
        <w:noBreakHyphen/>
      </w:r>
      <w:r w:rsidR="003D4E5F" w:rsidRPr="00207DC2">
        <w:t>week, 12-week and 26-week</w:t>
      </w:r>
      <w:r w:rsidRPr="00207DC2">
        <w:t xml:space="preserve"> outcomes</w:t>
      </w:r>
      <w:r w:rsidR="00EC3583" w:rsidRPr="00207DC2">
        <w:t xml:space="preserve">. In comparison, under </w:t>
      </w:r>
      <w:r w:rsidR="003D4E5F" w:rsidRPr="00207DC2">
        <w:t xml:space="preserve">JSA </w:t>
      </w:r>
      <w:r w:rsidR="00EC3583" w:rsidRPr="00207DC2">
        <w:t>(</w:t>
      </w:r>
      <w:r w:rsidR="003D4E5F" w:rsidRPr="00207DC2">
        <w:t>and RJCP/CDP's</w:t>
      </w:r>
      <w:r w:rsidR="00EC3583" w:rsidRPr="00207DC2">
        <w:t xml:space="preserve">) providers </w:t>
      </w:r>
      <w:r w:rsidR="00B7089D">
        <w:t>we</w:t>
      </w:r>
      <w:r w:rsidR="00915FAC">
        <w:t xml:space="preserve">re paid </w:t>
      </w:r>
      <w:r w:rsidR="00EC3583" w:rsidRPr="00207DC2">
        <w:t xml:space="preserve">when participant’s </w:t>
      </w:r>
      <w:r w:rsidR="00B7089D">
        <w:t>we</w:t>
      </w:r>
      <w:r w:rsidR="00EC3583" w:rsidRPr="00207DC2">
        <w:t>re in a job for</w:t>
      </w:r>
      <w:r w:rsidR="003D4E5F" w:rsidRPr="00207DC2">
        <w:t xml:space="preserve"> 13</w:t>
      </w:r>
      <w:r w:rsidR="00915FAC">
        <w:t xml:space="preserve"> and 26</w:t>
      </w:r>
      <w:r w:rsidR="00EC3583" w:rsidRPr="00207DC2">
        <w:t> </w:t>
      </w:r>
      <w:r w:rsidRPr="00207DC2">
        <w:t>week</w:t>
      </w:r>
      <w:r w:rsidR="00EC3583" w:rsidRPr="00207DC2">
        <w:t>s</w:t>
      </w:r>
      <w:r w:rsidRPr="00207DC2">
        <w:t>.</w:t>
      </w:r>
      <w:r w:rsidR="00EC3583" w:rsidRPr="00207DC2" w:rsidDel="00EC3583">
        <w:t xml:space="preserve"> </w:t>
      </w:r>
    </w:p>
    <w:p w14:paraId="183E4C79" w14:textId="556AB74E" w:rsidR="000F33EC" w:rsidRDefault="000F33EC" w:rsidP="00FB626D">
      <w:pPr>
        <w:pStyle w:val="tablenotes"/>
      </w:pPr>
    </w:p>
    <w:p w14:paraId="33F38347" w14:textId="5B891726" w:rsidR="00E445F8" w:rsidRPr="00207DC2" w:rsidRDefault="00E445F8" w:rsidP="00FB626D">
      <w:pPr>
        <w:pStyle w:val="Table"/>
        <w:outlineLvl w:val="9"/>
      </w:pPr>
      <w:r w:rsidRPr="00207DC2">
        <w:t xml:space="preserve">Table </w:t>
      </w:r>
      <w:r w:rsidR="00905D1A">
        <w:t>4</w:t>
      </w:r>
      <w:r w:rsidR="00581320" w:rsidRPr="00207DC2">
        <w:t>.</w:t>
      </w:r>
      <w:r w:rsidR="00905D1A">
        <w:t>2</w:t>
      </w:r>
      <w:r w:rsidRPr="00207DC2">
        <w:t xml:space="preserve"> Employment outcomes for participants under the RJCP and </w:t>
      </w:r>
      <w:r w:rsidR="0028792D" w:rsidRPr="00207DC2">
        <w:t xml:space="preserve">the </w:t>
      </w:r>
      <w:r w:rsidRPr="00207DC2">
        <w:t>CDP</w:t>
      </w:r>
    </w:p>
    <w:p w14:paraId="200019A8" w14:textId="77777777" w:rsidR="00E445F8" w:rsidRPr="00207DC2" w:rsidRDefault="00E445F8" w:rsidP="00FB626D">
      <w:pPr>
        <w:keepNext/>
        <w:spacing w:before="0" w:after="0"/>
        <w:jc w:val="both"/>
        <w:rPr>
          <w:lang w:val="en-AU"/>
        </w:rPr>
      </w:pPr>
      <w:r w:rsidRPr="00207DC2">
        <w:rPr>
          <w:lang w:val="en-AU"/>
        </w:rPr>
        <w:t xml:space="preserve">Share of the 1 January </w:t>
      </w:r>
      <w:r w:rsidR="0052597B" w:rsidRPr="00207DC2">
        <w:rPr>
          <w:lang w:val="en-AU"/>
        </w:rPr>
        <w:t>participant cohort</w:t>
      </w:r>
      <w:r w:rsidRPr="00207DC2">
        <w:rPr>
          <w:lang w:val="en-AU"/>
        </w:rPr>
        <w:t xml:space="preserve"> that achieved one or more employment outcome</w:t>
      </w:r>
      <w:r w:rsidR="0052597B" w:rsidRPr="00207DC2">
        <w:rPr>
          <w:lang w:val="en-AU"/>
        </w:rPr>
        <w:t>s</w:t>
      </w:r>
      <w:r w:rsidR="00C33667" w:rsidRPr="00207DC2">
        <w:rPr>
          <w:lang w:val="en-AU"/>
        </w:rPr>
        <w:t>, by selected characteris</w:t>
      </w:r>
      <w:r w:rsidR="001223FB" w:rsidRPr="00207DC2">
        <w:rPr>
          <w:lang w:val="en-AU"/>
        </w:rPr>
        <w:t>t</w:t>
      </w:r>
      <w:r w:rsidR="00C33667" w:rsidRPr="00207DC2">
        <w:rPr>
          <w:lang w:val="en-AU"/>
        </w:rPr>
        <w:t>ics</w:t>
      </w:r>
    </w:p>
    <w:tbl>
      <w:tblPr>
        <w:tblStyle w:val="PlainTable21"/>
        <w:tblW w:w="9430" w:type="dxa"/>
        <w:tblLayout w:type="fixed"/>
        <w:tblLook w:val="04A0" w:firstRow="1" w:lastRow="0" w:firstColumn="1" w:lastColumn="0" w:noHBand="0" w:noVBand="1"/>
        <w:tblCaption w:val="Employment outcomes for participants under the RJCP and CDP"/>
        <w:tblDescription w:val="The table shows employment outcome (placements, 13- and 26-week outcomes) for RJCP (in 2014) and CDP (in 2016) participants by: &#10;- age groups; &#10;- barriers to employment (based on the JSCI); and &#10;- participant duration on income support payments (by quintile)."/>
      </w:tblPr>
      <w:tblGrid>
        <w:gridCol w:w="3085"/>
        <w:gridCol w:w="1134"/>
        <w:gridCol w:w="1099"/>
        <w:gridCol w:w="993"/>
        <w:gridCol w:w="1135"/>
        <w:gridCol w:w="992"/>
        <w:gridCol w:w="992"/>
      </w:tblGrid>
      <w:tr w:rsidR="00E445F8" w:rsidRPr="00207DC2" w14:paraId="1A0AB2C2" w14:textId="77777777" w:rsidTr="000A39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262626" w:themeColor="background1"/>
              <w:bottom w:val="nil"/>
            </w:tcBorders>
            <w:noWrap/>
            <w:hideMark/>
          </w:tcPr>
          <w:p w14:paraId="3EE4F3DC" w14:textId="77777777" w:rsidR="00E445F8" w:rsidRPr="00207DC2" w:rsidRDefault="00E445F8" w:rsidP="00FB626D">
            <w:pPr>
              <w:pStyle w:val="TableText"/>
              <w:keepNext/>
              <w:ind w:left="0" w:right="-108"/>
              <w:rPr>
                <w:rFonts w:cs="Calibri Light"/>
                <w:sz w:val="20"/>
                <w:szCs w:val="20"/>
                <w:lang w:val="en-AU"/>
              </w:rPr>
            </w:pPr>
          </w:p>
        </w:tc>
        <w:tc>
          <w:tcPr>
            <w:tcW w:w="3226" w:type="dxa"/>
            <w:gridSpan w:val="3"/>
            <w:tcBorders>
              <w:top w:val="single" w:sz="4" w:space="0" w:color="262626" w:themeColor="background1"/>
              <w:bottom w:val="dashSmallGap" w:sz="4" w:space="0" w:color="auto"/>
            </w:tcBorders>
            <w:noWrap/>
            <w:hideMark/>
          </w:tcPr>
          <w:p w14:paraId="706C10BE" w14:textId="77777777" w:rsidR="00E445F8" w:rsidRPr="00207DC2" w:rsidRDefault="00E445F8" w:rsidP="00FB626D">
            <w:pPr>
              <w:pStyle w:val="TableText"/>
              <w:keepNext/>
              <w:contextualSpacing/>
              <w:jc w:val="center"/>
              <w:cnfStyle w:val="100000000000" w:firstRow="1"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RJCP, 2014</w:t>
            </w:r>
          </w:p>
        </w:tc>
        <w:tc>
          <w:tcPr>
            <w:tcW w:w="3119" w:type="dxa"/>
            <w:gridSpan w:val="3"/>
            <w:tcBorders>
              <w:top w:val="single" w:sz="4" w:space="0" w:color="262626" w:themeColor="background1"/>
              <w:bottom w:val="dashSmallGap" w:sz="4" w:space="0" w:color="auto"/>
            </w:tcBorders>
            <w:noWrap/>
            <w:hideMark/>
          </w:tcPr>
          <w:p w14:paraId="7CCB3059" w14:textId="77777777" w:rsidR="00E445F8" w:rsidRPr="00207DC2" w:rsidRDefault="00E445F8" w:rsidP="00FB626D">
            <w:pPr>
              <w:pStyle w:val="TableText"/>
              <w:keepNext/>
              <w:contextualSpacing/>
              <w:jc w:val="center"/>
              <w:cnfStyle w:val="100000000000" w:firstRow="1"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CDP, 2016</w:t>
            </w:r>
          </w:p>
        </w:tc>
      </w:tr>
      <w:tr w:rsidR="00E445F8" w:rsidRPr="00207DC2" w14:paraId="2C4523C8"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single" w:sz="4" w:space="0" w:color="262626" w:themeColor="background1"/>
            </w:tcBorders>
            <w:noWrap/>
            <w:hideMark/>
          </w:tcPr>
          <w:p w14:paraId="277869A9" w14:textId="77777777" w:rsidR="00E445F8" w:rsidRPr="00207DC2" w:rsidRDefault="00E445F8" w:rsidP="00FB626D">
            <w:pPr>
              <w:pStyle w:val="TableText"/>
              <w:keepNext/>
              <w:ind w:left="0" w:right="-108"/>
              <w:rPr>
                <w:rFonts w:cs="Calibri Light"/>
                <w:sz w:val="20"/>
                <w:szCs w:val="20"/>
                <w:lang w:val="en-AU"/>
              </w:rPr>
            </w:pPr>
          </w:p>
        </w:tc>
        <w:tc>
          <w:tcPr>
            <w:tcW w:w="1134" w:type="dxa"/>
            <w:tcBorders>
              <w:top w:val="dashSmallGap" w:sz="4" w:space="0" w:color="auto"/>
              <w:bottom w:val="single" w:sz="4" w:space="0" w:color="262626" w:themeColor="background1"/>
            </w:tcBorders>
            <w:noWrap/>
            <w:hideMark/>
          </w:tcPr>
          <w:p w14:paraId="517A402D" w14:textId="77777777" w:rsidR="00E445F8" w:rsidRPr="00207DC2" w:rsidRDefault="00E445F8" w:rsidP="00FB626D">
            <w:pPr>
              <w:pStyle w:val="TableText"/>
              <w:keepNext/>
              <w:ind w:right="0"/>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Placed</w:t>
            </w:r>
          </w:p>
          <w:p w14:paraId="59FCD8A3"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c>
          <w:tcPr>
            <w:tcW w:w="1099" w:type="dxa"/>
            <w:tcBorders>
              <w:top w:val="dashSmallGap" w:sz="4" w:space="0" w:color="auto"/>
              <w:bottom w:val="single" w:sz="4" w:space="0" w:color="262626" w:themeColor="background1"/>
            </w:tcBorders>
            <w:noWrap/>
            <w:hideMark/>
          </w:tcPr>
          <w:p w14:paraId="540FBA55" w14:textId="6AB32636" w:rsidR="00E445F8" w:rsidRPr="00207DC2" w:rsidRDefault="00E445F8" w:rsidP="00FB626D">
            <w:pPr>
              <w:pStyle w:val="TableText"/>
              <w:keepNext/>
              <w:ind w:right="0"/>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13</w:t>
            </w:r>
            <w:r w:rsidR="00281CF6">
              <w:rPr>
                <w:rFonts w:cs="Calibri Light"/>
                <w:sz w:val="20"/>
                <w:szCs w:val="20"/>
                <w:lang w:val="en-AU"/>
              </w:rPr>
              <w:t xml:space="preserve"> </w:t>
            </w:r>
            <w:r w:rsidRPr="00207DC2">
              <w:rPr>
                <w:rFonts w:cs="Calibri Light"/>
                <w:sz w:val="20"/>
                <w:szCs w:val="20"/>
                <w:lang w:val="en-AU"/>
              </w:rPr>
              <w:br/>
              <w:t>week</w:t>
            </w:r>
          </w:p>
          <w:p w14:paraId="7A6C35E7"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c>
          <w:tcPr>
            <w:tcW w:w="992" w:type="dxa"/>
            <w:tcBorders>
              <w:top w:val="dashSmallGap" w:sz="4" w:space="0" w:color="auto"/>
              <w:bottom w:val="single" w:sz="4" w:space="0" w:color="262626" w:themeColor="background1"/>
            </w:tcBorders>
            <w:noWrap/>
            <w:hideMark/>
          </w:tcPr>
          <w:p w14:paraId="245CD5C2" w14:textId="47BAD9FE" w:rsidR="00E445F8" w:rsidRPr="00207DC2" w:rsidRDefault="00E445F8" w:rsidP="00FB626D">
            <w:pPr>
              <w:pStyle w:val="TableText"/>
              <w:keepNext/>
              <w:ind w:left="132" w:right="0"/>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26</w:t>
            </w:r>
            <w:r w:rsidR="00281CF6">
              <w:rPr>
                <w:rFonts w:cs="Calibri Light"/>
                <w:sz w:val="20"/>
                <w:szCs w:val="20"/>
                <w:lang w:val="en-AU"/>
              </w:rPr>
              <w:t xml:space="preserve"> </w:t>
            </w:r>
            <w:r w:rsidRPr="00207DC2">
              <w:rPr>
                <w:rFonts w:cs="Calibri Light"/>
                <w:sz w:val="20"/>
                <w:szCs w:val="20"/>
                <w:lang w:val="en-AU"/>
              </w:rPr>
              <w:br/>
              <w:t>week</w:t>
            </w:r>
          </w:p>
          <w:p w14:paraId="18812A40"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c>
          <w:tcPr>
            <w:tcW w:w="1135" w:type="dxa"/>
            <w:tcBorders>
              <w:top w:val="dashSmallGap" w:sz="4" w:space="0" w:color="auto"/>
              <w:bottom w:val="single" w:sz="4" w:space="0" w:color="262626" w:themeColor="background1"/>
            </w:tcBorders>
            <w:noWrap/>
            <w:hideMark/>
          </w:tcPr>
          <w:p w14:paraId="2E3EAAA0" w14:textId="77777777" w:rsidR="00E445F8" w:rsidRPr="00207DC2" w:rsidRDefault="00E445F8" w:rsidP="00FB626D">
            <w:pPr>
              <w:pStyle w:val="TableText"/>
              <w:keepNext/>
              <w:ind w:right="-7"/>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Placed</w:t>
            </w:r>
          </w:p>
          <w:p w14:paraId="352479A4"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c>
          <w:tcPr>
            <w:tcW w:w="992" w:type="dxa"/>
            <w:tcBorders>
              <w:top w:val="dashSmallGap" w:sz="4" w:space="0" w:color="auto"/>
              <w:bottom w:val="single" w:sz="4" w:space="0" w:color="262626" w:themeColor="background1"/>
            </w:tcBorders>
            <w:noWrap/>
            <w:hideMark/>
          </w:tcPr>
          <w:p w14:paraId="535B6749" w14:textId="4DDB36AB" w:rsidR="00E445F8" w:rsidRPr="00207DC2" w:rsidRDefault="00E445F8" w:rsidP="00FB626D">
            <w:pPr>
              <w:pStyle w:val="TableText"/>
              <w:keepNext/>
              <w:ind w:right="0"/>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13</w:t>
            </w:r>
            <w:r w:rsidR="00281CF6">
              <w:rPr>
                <w:rFonts w:cs="Calibri Light"/>
                <w:sz w:val="20"/>
                <w:szCs w:val="20"/>
                <w:lang w:val="en-AU"/>
              </w:rPr>
              <w:t xml:space="preserve"> </w:t>
            </w:r>
            <w:r w:rsidRPr="00207DC2">
              <w:rPr>
                <w:rFonts w:cs="Calibri Light"/>
                <w:sz w:val="20"/>
                <w:szCs w:val="20"/>
                <w:lang w:val="en-AU"/>
              </w:rPr>
              <w:br/>
              <w:t>week</w:t>
            </w:r>
          </w:p>
          <w:p w14:paraId="74964C22"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c>
          <w:tcPr>
            <w:tcW w:w="992" w:type="dxa"/>
            <w:tcBorders>
              <w:top w:val="dashSmallGap" w:sz="4" w:space="0" w:color="auto"/>
              <w:bottom w:val="single" w:sz="4" w:space="0" w:color="262626" w:themeColor="background1"/>
            </w:tcBorders>
            <w:noWrap/>
            <w:hideMark/>
          </w:tcPr>
          <w:p w14:paraId="44F3B4C7" w14:textId="0CBDABE3" w:rsidR="00E445F8" w:rsidRPr="00207DC2" w:rsidRDefault="00E445F8" w:rsidP="00FB626D">
            <w:pPr>
              <w:pStyle w:val="TableText"/>
              <w:keepNext/>
              <w:ind w:right="0"/>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26</w:t>
            </w:r>
            <w:r w:rsidR="00281CF6">
              <w:rPr>
                <w:rFonts w:cs="Calibri Light"/>
                <w:sz w:val="20"/>
                <w:szCs w:val="20"/>
                <w:lang w:val="en-AU"/>
              </w:rPr>
              <w:t xml:space="preserve"> </w:t>
            </w:r>
            <w:r w:rsidRPr="00207DC2">
              <w:rPr>
                <w:rFonts w:cs="Calibri Light"/>
                <w:sz w:val="20"/>
                <w:szCs w:val="20"/>
                <w:lang w:val="en-AU"/>
              </w:rPr>
              <w:t>week</w:t>
            </w:r>
          </w:p>
          <w:p w14:paraId="546B1D05" w14:textId="77777777" w:rsidR="00E445F8" w:rsidRPr="00207DC2" w:rsidRDefault="00E445F8" w:rsidP="00FB626D">
            <w:pPr>
              <w:pStyle w:val="TableText"/>
              <w:keepNext/>
              <w:contextualSpacing/>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w:t>
            </w:r>
          </w:p>
        </w:tc>
      </w:tr>
      <w:tr w:rsidR="00E445F8" w:rsidRPr="00207DC2" w14:paraId="423B2CF8" w14:textId="77777777" w:rsidTr="000D1E44">
        <w:trPr>
          <w:trHeight w:val="300"/>
        </w:trPr>
        <w:tc>
          <w:tcPr>
            <w:cnfStyle w:val="001000000000" w:firstRow="0" w:lastRow="0" w:firstColumn="1" w:lastColumn="0" w:oddVBand="0" w:evenVBand="0" w:oddHBand="0" w:evenHBand="0" w:firstRowFirstColumn="0" w:firstRowLastColumn="0" w:lastRowFirstColumn="0" w:lastRowLastColumn="0"/>
            <w:tcW w:w="5318" w:type="dxa"/>
            <w:gridSpan w:val="3"/>
            <w:tcBorders>
              <w:top w:val="single" w:sz="4" w:space="0" w:color="262626" w:themeColor="background1"/>
              <w:bottom w:val="nil"/>
            </w:tcBorders>
            <w:shd w:val="clear" w:color="auto" w:fill="D0D2D3" w:themeFill="background2"/>
            <w:noWrap/>
          </w:tcPr>
          <w:p w14:paraId="737A76C3"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 xml:space="preserve">Age groups: </w:t>
            </w:r>
          </w:p>
        </w:tc>
        <w:tc>
          <w:tcPr>
            <w:tcW w:w="992" w:type="dxa"/>
            <w:tcBorders>
              <w:top w:val="single" w:sz="4" w:space="0" w:color="262626" w:themeColor="background1"/>
              <w:bottom w:val="nil"/>
            </w:tcBorders>
            <w:shd w:val="clear" w:color="auto" w:fill="D0D2D3" w:themeFill="background2"/>
            <w:noWrap/>
          </w:tcPr>
          <w:p w14:paraId="3C2AFF24" w14:textId="77777777" w:rsidR="00E445F8" w:rsidRPr="00207DC2" w:rsidRDefault="00E445F8" w:rsidP="00FB626D">
            <w:pPr>
              <w:pStyle w:val="TableText"/>
              <w:keepNext/>
              <w:contextualSpacing/>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p>
        </w:tc>
        <w:tc>
          <w:tcPr>
            <w:tcW w:w="1135" w:type="dxa"/>
            <w:tcBorders>
              <w:top w:val="single" w:sz="4" w:space="0" w:color="262626" w:themeColor="background1"/>
              <w:bottom w:val="nil"/>
            </w:tcBorders>
            <w:shd w:val="clear" w:color="auto" w:fill="D0D2D3" w:themeFill="background2"/>
            <w:noWrap/>
          </w:tcPr>
          <w:p w14:paraId="588ADBEC" w14:textId="77777777" w:rsidR="00E445F8" w:rsidRPr="00207DC2" w:rsidRDefault="00E445F8" w:rsidP="00FB626D">
            <w:pPr>
              <w:pStyle w:val="TableText"/>
              <w:keepNext/>
              <w:contextualSpacing/>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p>
        </w:tc>
        <w:tc>
          <w:tcPr>
            <w:tcW w:w="992" w:type="dxa"/>
            <w:tcBorders>
              <w:top w:val="single" w:sz="4" w:space="0" w:color="262626" w:themeColor="background1"/>
              <w:bottom w:val="nil"/>
            </w:tcBorders>
            <w:shd w:val="clear" w:color="auto" w:fill="D0D2D3" w:themeFill="background2"/>
            <w:noWrap/>
          </w:tcPr>
          <w:p w14:paraId="6223D063" w14:textId="77777777" w:rsidR="00E445F8" w:rsidRPr="00207DC2" w:rsidRDefault="00E445F8" w:rsidP="00FB626D">
            <w:pPr>
              <w:pStyle w:val="TableText"/>
              <w:keepNext/>
              <w:contextualSpacing/>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p>
        </w:tc>
        <w:tc>
          <w:tcPr>
            <w:tcW w:w="992" w:type="dxa"/>
            <w:tcBorders>
              <w:top w:val="single" w:sz="4" w:space="0" w:color="262626" w:themeColor="background1"/>
              <w:bottom w:val="nil"/>
            </w:tcBorders>
            <w:shd w:val="clear" w:color="auto" w:fill="D0D2D3" w:themeFill="background2"/>
            <w:noWrap/>
          </w:tcPr>
          <w:p w14:paraId="12FE5623" w14:textId="77777777" w:rsidR="00E445F8" w:rsidRPr="00207DC2" w:rsidRDefault="00E445F8" w:rsidP="00FB626D">
            <w:pPr>
              <w:pStyle w:val="TableText"/>
              <w:keepNext/>
              <w:contextualSpacing/>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p>
        </w:tc>
      </w:tr>
      <w:tr w:rsidR="00E445F8" w:rsidRPr="00207DC2" w14:paraId="35C92F1E"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7338FF08"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15 to 25 years</w:t>
            </w:r>
          </w:p>
        </w:tc>
        <w:tc>
          <w:tcPr>
            <w:tcW w:w="1134" w:type="dxa"/>
            <w:tcBorders>
              <w:top w:val="nil"/>
              <w:bottom w:val="nil"/>
            </w:tcBorders>
            <w:noWrap/>
            <w:hideMark/>
          </w:tcPr>
          <w:p w14:paraId="6C9CC70C"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15.3</w:t>
            </w:r>
          </w:p>
        </w:tc>
        <w:tc>
          <w:tcPr>
            <w:tcW w:w="1099" w:type="dxa"/>
            <w:tcBorders>
              <w:top w:val="nil"/>
              <w:bottom w:val="nil"/>
            </w:tcBorders>
            <w:noWrap/>
            <w:hideMark/>
          </w:tcPr>
          <w:p w14:paraId="558CFBFD"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6.6</w:t>
            </w:r>
          </w:p>
        </w:tc>
        <w:tc>
          <w:tcPr>
            <w:tcW w:w="992" w:type="dxa"/>
            <w:tcBorders>
              <w:top w:val="nil"/>
              <w:bottom w:val="nil"/>
            </w:tcBorders>
            <w:noWrap/>
            <w:hideMark/>
          </w:tcPr>
          <w:p w14:paraId="1CABF0A7"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4.2</w:t>
            </w:r>
          </w:p>
        </w:tc>
        <w:tc>
          <w:tcPr>
            <w:tcW w:w="1135" w:type="dxa"/>
            <w:tcBorders>
              <w:top w:val="nil"/>
              <w:bottom w:val="nil"/>
            </w:tcBorders>
            <w:noWrap/>
            <w:hideMark/>
          </w:tcPr>
          <w:p w14:paraId="0B3C050C"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16.5</w:t>
            </w:r>
          </w:p>
        </w:tc>
        <w:tc>
          <w:tcPr>
            <w:tcW w:w="992" w:type="dxa"/>
            <w:tcBorders>
              <w:top w:val="nil"/>
              <w:bottom w:val="nil"/>
            </w:tcBorders>
            <w:noWrap/>
            <w:hideMark/>
          </w:tcPr>
          <w:p w14:paraId="189A50B0"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8.7</w:t>
            </w:r>
          </w:p>
        </w:tc>
        <w:tc>
          <w:tcPr>
            <w:tcW w:w="992" w:type="dxa"/>
            <w:tcBorders>
              <w:top w:val="nil"/>
              <w:bottom w:val="nil"/>
            </w:tcBorders>
            <w:noWrap/>
            <w:hideMark/>
          </w:tcPr>
          <w:p w14:paraId="731633AB"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5.6</w:t>
            </w:r>
          </w:p>
        </w:tc>
      </w:tr>
      <w:tr w:rsidR="00E445F8" w:rsidRPr="00207DC2" w14:paraId="5744D5CD" w14:textId="77777777" w:rsidTr="000D1E44">
        <w:trPr>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tcPr>
          <w:p w14:paraId="02215F74"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25 to 34 years</w:t>
            </w:r>
          </w:p>
        </w:tc>
        <w:tc>
          <w:tcPr>
            <w:tcW w:w="1134" w:type="dxa"/>
            <w:tcBorders>
              <w:top w:val="nil"/>
              <w:bottom w:val="nil"/>
            </w:tcBorders>
            <w:noWrap/>
          </w:tcPr>
          <w:p w14:paraId="5557988A"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17.0</w:t>
            </w:r>
          </w:p>
        </w:tc>
        <w:tc>
          <w:tcPr>
            <w:tcW w:w="1099" w:type="dxa"/>
            <w:tcBorders>
              <w:top w:val="nil"/>
              <w:bottom w:val="nil"/>
            </w:tcBorders>
            <w:noWrap/>
          </w:tcPr>
          <w:p w14:paraId="1C83D734"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8.0</w:t>
            </w:r>
          </w:p>
        </w:tc>
        <w:tc>
          <w:tcPr>
            <w:tcW w:w="992" w:type="dxa"/>
            <w:tcBorders>
              <w:top w:val="nil"/>
              <w:bottom w:val="nil"/>
            </w:tcBorders>
            <w:noWrap/>
          </w:tcPr>
          <w:p w14:paraId="08E3B40B"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5.6</w:t>
            </w:r>
          </w:p>
        </w:tc>
        <w:tc>
          <w:tcPr>
            <w:tcW w:w="1135" w:type="dxa"/>
            <w:tcBorders>
              <w:top w:val="nil"/>
              <w:bottom w:val="nil"/>
            </w:tcBorders>
            <w:noWrap/>
          </w:tcPr>
          <w:p w14:paraId="227ECEC8"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20.4</w:t>
            </w:r>
          </w:p>
        </w:tc>
        <w:tc>
          <w:tcPr>
            <w:tcW w:w="992" w:type="dxa"/>
            <w:tcBorders>
              <w:top w:val="nil"/>
              <w:bottom w:val="nil"/>
            </w:tcBorders>
            <w:noWrap/>
          </w:tcPr>
          <w:p w14:paraId="75CF9EC0"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10.7</w:t>
            </w:r>
          </w:p>
        </w:tc>
        <w:tc>
          <w:tcPr>
            <w:tcW w:w="992" w:type="dxa"/>
            <w:tcBorders>
              <w:top w:val="nil"/>
              <w:bottom w:val="nil"/>
            </w:tcBorders>
            <w:noWrap/>
          </w:tcPr>
          <w:p w14:paraId="390A329F"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7.0</w:t>
            </w:r>
          </w:p>
        </w:tc>
      </w:tr>
      <w:tr w:rsidR="00E445F8" w:rsidRPr="00207DC2" w14:paraId="3B611155"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dashSmallGap" w:sz="4" w:space="0" w:color="auto"/>
            </w:tcBorders>
            <w:noWrap/>
          </w:tcPr>
          <w:p w14:paraId="06CB03BA"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35 years plus</w:t>
            </w:r>
          </w:p>
        </w:tc>
        <w:tc>
          <w:tcPr>
            <w:tcW w:w="1134" w:type="dxa"/>
            <w:tcBorders>
              <w:top w:val="nil"/>
              <w:bottom w:val="dashSmallGap" w:sz="4" w:space="0" w:color="auto"/>
            </w:tcBorders>
            <w:noWrap/>
          </w:tcPr>
          <w:p w14:paraId="355A996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17.0</w:t>
            </w:r>
          </w:p>
        </w:tc>
        <w:tc>
          <w:tcPr>
            <w:tcW w:w="1099" w:type="dxa"/>
            <w:tcBorders>
              <w:top w:val="nil"/>
              <w:bottom w:val="dashSmallGap" w:sz="4" w:space="0" w:color="auto"/>
            </w:tcBorders>
            <w:noWrap/>
          </w:tcPr>
          <w:p w14:paraId="6FBC3CBD"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8.8</w:t>
            </w:r>
          </w:p>
        </w:tc>
        <w:tc>
          <w:tcPr>
            <w:tcW w:w="992" w:type="dxa"/>
            <w:tcBorders>
              <w:top w:val="nil"/>
              <w:bottom w:val="dashSmallGap" w:sz="4" w:space="0" w:color="auto"/>
            </w:tcBorders>
            <w:noWrap/>
          </w:tcPr>
          <w:p w14:paraId="23731892"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6.4</w:t>
            </w:r>
          </w:p>
        </w:tc>
        <w:tc>
          <w:tcPr>
            <w:tcW w:w="1135" w:type="dxa"/>
            <w:tcBorders>
              <w:top w:val="nil"/>
              <w:bottom w:val="dashSmallGap" w:sz="4" w:space="0" w:color="auto"/>
            </w:tcBorders>
            <w:noWrap/>
          </w:tcPr>
          <w:p w14:paraId="118260E6"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18.0</w:t>
            </w:r>
          </w:p>
        </w:tc>
        <w:tc>
          <w:tcPr>
            <w:tcW w:w="992" w:type="dxa"/>
            <w:tcBorders>
              <w:top w:val="nil"/>
              <w:bottom w:val="dashSmallGap" w:sz="4" w:space="0" w:color="auto"/>
            </w:tcBorders>
            <w:noWrap/>
          </w:tcPr>
          <w:p w14:paraId="51CC1273"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10.6</w:t>
            </w:r>
          </w:p>
        </w:tc>
        <w:tc>
          <w:tcPr>
            <w:tcW w:w="992" w:type="dxa"/>
            <w:tcBorders>
              <w:top w:val="nil"/>
              <w:bottom w:val="dashSmallGap" w:sz="4" w:space="0" w:color="auto"/>
            </w:tcBorders>
            <w:noWrap/>
          </w:tcPr>
          <w:p w14:paraId="1CEC96C7"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7.4</w:t>
            </w:r>
          </w:p>
        </w:tc>
      </w:tr>
      <w:tr w:rsidR="00E445F8" w:rsidRPr="00207DC2" w14:paraId="358CD1C3" w14:textId="77777777" w:rsidTr="000D1E44">
        <w:trPr>
          <w:trHeight w:val="60"/>
        </w:trPr>
        <w:tc>
          <w:tcPr>
            <w:cnfStyle w:val="001000000000" w:firstRow="0" w:lastRow="0" w:firstColumn="1" w:lastColumn="0" w:oddVBand="0" w:evenVBand="0" w:oddHBand="0" w:evenHBand="0" w:firstRowFirstColumn="0" w:firstRowLastColumn="0" w:lastRowFirstColumn="0" w:lastRowLastColumn="0"/>
            <w:tcW w:w="9430" w:type="dxa"/>
            <w:gridSpan w:val="7"/>
            <w:tcBorders>
              <w:top w:val="dashSmallGap" w:sz="4" w:space="0" w:color="auto"/>
              <w:bottom w:val="nil"/>
            </w:tcBorders>
            <w:shd w:val="clear" w:color="auto" w:fill="D0D2D3" w:themeFill="background2"/>
            <w:noWrap/>
          </w:tcPr>
          <w:p w14:paraId="15E2B6D5" w14:textId="77777777" w:rsidR="00E445F8" w:rsidRPr="00207DC2" w:rsidRDefault="00E445F8" w:rsidP="00FB626D">
            <w:pPr>
              <w:pStyle w:val="TableText"/>
              <w:keepNext/>
              <w:ind w:left="142" w:right="142"/>
              <w:rPr>
                <w:rFonts w:cs="Calibri Light"/>
                <w:sz w:val="20"/>
                <w:szCs w:val="20"/>
                <w:lang w:val="en-AU"/>
              </w:rPr>
            </w:pPr>
            <w:r w:rsidRPr="00207DC2">
              <w:rPr>
                <w:rFonts w:cs="Calibri Light"/>
                <w:sz w:val="20"/>
                <w:szCs w:val="20"/>
                <w:lang w:val="en-AU"/>
              </w:rPr>
              <w:t xml:space="preserve">Barriers to employment, based on the JSCI: </w:t>
            </w:r>
          </w:p>
        </w:tc>
      </w:tr>
      <w:tr w:rsidR="00E445F8" w:rsidRPr="00207DC2" w14:paraId="1547C3C0"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7657EB25"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 xml:space="preserve">Low barriers </w:t>
            </w:r>
          </w:p>
        </w:tc>
        <w:tc>
          <w:tcPr>
            <w:tcW w:w="1134" w:type="dxa"/>
            <w:tcBorders>
              <w:top w:val="nil"/>
              <w:bottom w:val="nil"/>
            </w:tcBorders>
            <w:noWrap/>
            <w:hideMark/>
          </w:tcPr>
          <w:p w14:paraId="25E4EB52"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Cs w:val="20"/>
                <w:lang w:val="en-AU"/>
              </w:rPr>
              <w:t>25.7</w:t>
            </w:r>
          </w:p>
        </w:tc>
        <w:tc>
          <w:tcPr>
            <w:tcW w:w="1099" w:type="dxa"/>
            <w:tcBorders>
              <w:top w:val="nil"/>
              <w:bottom w:val="nil"/>
            </w:tcBorders>
            <w:noWrap/>
            <w:hideMark/>
          </w:tcPr>
          <w:p w14:paraId="5A246C73"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13.3</w:t>
            </w:r>
          </w:p>
        </w:tc>
        <w:tc>
          <w:tcPr>
            <w:tcW w:w="992" w:type="dxa"/>
            <w:tcBorders>
              <w:top w:val="nil"/>
              <w:bottom w:val="nil"/>
            </w:tcBorders>
            <w:noWrap/>
            <w:hideMark/>
          </w:tcPr>
          <w:p w14:paraId="42615271"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8.8</w:t>
            </w:r>
          </w:p>
        </w:tc>
        <w:tc>
          <w:tcPr>
            <w:tcW w:w="1135" w:type="dxa"/>
            <w:tcBorders>
              <w:top w:val="nil"/>
              <w:bottom w:val="nil"/>
            </w:tcBorders>
            <w:noWrap/>
            <w:hideMark/>
          </w:tcPr>
          <w:p w14:paraId="2AA48AA6"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23.6</w:t>
            </w:r>
          </w:p>
        </w:tc>
        <w:tc>
          <w:tcPr>
            <w:tcW w:w="992" w:type="dxa"/>
            <w:tcBorders>
              <w:top w:val="nil"/>
              <w:bottom w:val="nil"/>
            </w:tcBorders>
            <w:noWrap/>
            <w:hideMark/>
          </w:tcPr>
          <w:p w14:paraId="0567D4BB"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15.7</w:t>
            </w:r>
          </w:p>
        </w:tc>
        <w:tc>
          <w:tcPr>
            <w:tcW w:w="992" w:type="dxa"/>
            <w:tcBorders>
              <w:top w:val="nil"/>
              <w:bottom w:val="nil"/>
            </w:tcBorders>
            <w:noWrap/>
            <w:hideMark/>
          </w:tcPr>
          <w:p w14:paraId="7B58B5E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11.9</w:t>
            </w:r>
          </w:p>
        </w:tc>
      </w:tr>
      <w:tr w:rsidR="00E445F8" w:rsidRPr="00207DC2" w14:paraId="513C2910" w14:textId="77777777" w:rsidTr="000D1E44">
        <w:trPr>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7D2D6C65"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 xml:space="preserve">Mild barriers </w:t>
            </w:r>
          </w:p>
        </w:tc>
        <w:tc>
          <w:tcPr>
            <w:tcW w:w="1134" w:type="dxa"/>
            <w:tcBorders>
              <w:top w:val="nil"/>
              <w:bottom w:val="nil"/>
            </w:tcBorders>
            <w:noWrap/>
            <w:hideMark/>
          </w:tcPr>
          <w:p w14:paraId="52A4621D"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Cs w:val="20"/>
                <w:lang w:val="en-AU"/>
              </w:rPr>
              <w:t>20.4</w:t>
            </w:r>
          </w:p>
        </w:tc>
        <w:tc>
          <w:tcPr>
            <w:tcW w:w="1099" w:type="dxa"/>
            <w:tcBorders>
              <w:top w:val="nil"/>
              <w:bottom w:val="nil"/>
            </w:tcBorders>
            <w:noWrap/>
            <w:hideMark/>
          </w:tcPr>
          <w:p w14:paraId="0754E375"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10.0</w:t>
            </w:r>
          </w:p>
        </w:tc>
        <w:tc>
          <w:tcPr>
            <w:tcW w:w="992" w:type="dxa"/>
            <w:tcBorders>
              <w:top w:val="nil"/>
              <w:bottom w:val="nil"/>
            </w:tcBorders>
            <w:noWrap/>
            <w:hideMark/>
          </w:tcPr>
          <w:p w14:paraId="5EA6A8B7"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6.8</w:t>
            </w:r>
          </w:p>
        </w:tc>
        <w:tc>
          <w:tcPr>
            <w:tcW w:w="1135" w:type="dxa"/>
            <w:tcBorders>
              <w:top w:val="nil"/>
              <w:bottom w:val="nil"/>
            </w:tcBorders>
            <w:noWrap/>
            <w:hideMark/>
          </w:tcPr>
          <w:p w14:paraId="3AA34A93"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20.8</w:t>
            </w:r>
          </w:p>
        </w:tc>
        <w:tc>
          <w:tcPr>
            <w:tcW w:w="992" w:type="dxa"/>
            <w:tcBorders>
              <w:top w:val="nil"/>
              <w:bottom w:val="nil"/>
            </w:tcBorders>
            <w:noWrap/>
            <w:hideMark/>
          </w:tcPr>
          <w:p w14:paraId="2570B7EE"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12.2</w:t>
            </w:r>
          </w:p>
        </w:tc>
        <w:tc>
          <w:tcPr>
            <w:tcW w:w="992" w:type="dxa"/>
            <w:tcBorders>
              <w:top w:val="nil"/>
              <w:bottom w:val="nil"/>
            </w:tcBorders>
            <w:noWrap/>
            <w:hideMark/>
          </w:tcPr>
          <w:p w14:paraId="704CE6B9"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8.5</w:t>
            </w:r>
          </w:p>
        </w:tc>
      </w:tr>
      <w:tr w:rsidR="00E445F8" w:rsidRPr="00207DC2" w14:paraId="00CA3AC3"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dashSmallGap" w:sz="4" w:space="0" w:color="auto"/>
            </w:tcBorders>
            <w:noWrap/>
            <w:hideMark/>
          </w:tcPr>
          <w:p w14:paraId="0C002D59"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 xml:space="preserve">Moderate to extreme barriers </w:t>
            </w:r>
          </w:p>
        </w:tc>
        <w:tc>
          <w:tcPr>
            <w:tcW w:w="1134" w:type="dxa"/>
            <w:tcBorders>
              <w:top w:val="nil"/>
              <w:bottom w:val="dashSmallGap" w:sz="4" w:space="0" w:color="auto"/>
            </w:tcBorders>
            <w:noWrap/>
            <w:hideMark/>
          </w:tcPr>
          <w:p w14:paraId="7DD85D56"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Cs w:val="20"/>
                <w:lang w:val="en-AU"/>
              </w:rPr>
              <w:t>15.7</w:t>
            </w:r>
          </w:p>
        </w:tc>
        <w:tc>
          <w:tcPr>
            <w:tcW w:w="1099" w:type="dxa"/>
            <w:tcBorders>
              <w:top w:val="nil"/>
              <w:bottom w:val="dashSmallGap" w:sz="4" w:space="0" w:color="auto"/>
            </w:tcBorders>
            <w:noWrap/>
            <w:hideMark/>
          </w:tcPr>
          <w:p w14:paraId="70819A4F"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7.5</w:t>
            </w:r>
          </w:p>
        </w:tc>
        <w:tc>
          <w:tcPr>
            <w:tcW w:w="992" w:type="dxa"/>
            <w:tcBorders>
              <w:top w:val="nil"/>
              <w:bottom w:val="dashSmallGap" w:sz="4" w:space="0" w:color="auto"/>
            </w:tcBorders>
            <w:noWrap/>
            <w:hideMark/>
          </w:tcPr>
          <w:p w14:paraId="3709C275"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5.3</w:t>
            </w:r>
          </w:p>
        </w:tc>
        <w:tc>
          <w:tcPr>
            <w:tcW w:w="1135" w:type="dxa"/>
            <w:tcBorders>
              <w:top w:val="nil"/>
              <w:bottom w:val="dashSmallGap" w:sz="4" w:space="0" w:color="auto"/>
            </w:tcBorders>
            <w:noWrap/>
            <w:hideMark/>
          </w:tcPr>
          <w:p w14:paraId="0C75E2C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17.7</w:t>
            </w:r>
          </w:p>
        </w:tc>
        <w:tc>
          <w:tcPr>
            <w:tcW w:w="992" w:type="dxa"/>
            <w:tcBorders>
              <w:top w:val="nil"/>
              <w:bottom w:val="dashSmallGap" w:sz="4" w:space="0" w:color="auto"/>
            </w:tcBorders>
            <w:noWrap/>
            <w:hideMark/>
          </w:tcPr>
          <w:p w14:paraId="218A2285"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9.3</w:t>
            </w:r>
          </w:p>
        </w:tc>
        <w:tc>
          <w:tcPr>
            <w:tcW w:w="992" w:type="dxa"/>
            <w:tcBorders>
              <w:top w:val="nil"/>
              <w:bottom w:val="dashSmallGap" w:sz="4" w:space="0" w:color="auto"/>
            </w:tcBorders>
            <w:noWrap/>
            <w:hideMark/>
          </w:tcPr>
          <w:p w14:paraId="4B5B1890"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6.0</w:t>
            </w:r>
          </w:p>
        </w:tc>
      </w:tr>
      <w:tr w:rsidR="00E445F8" w:rsidRPr="00207DC2" w14:paraId="62740C6D" w14:textId="77777777" w:rsidTr="000D1E44">
        <w:trPr>
          <w:trHeight w:val="60"/>
        </w:trPr>
        <w:tc>
          <w:tcPr>
            <w:cnfStyle w:val="001000000000" w:firstRow="0" w:lastRow="0" w:firstColumn="1" w:lastColumn="0" w:oddVBand="0" w:evenVBand="0" w:oddHBand="0" w:evenHBand="0" w:firstRowFirstColumn="0" w:firstRowLastColumn="0" w:lastRowFirstColumn="0" w:lastRowLastColumn="0"/>
            <w:tcW w:w="9430" w:type="dxa"/>
            <w:gridSpan w:val="7"/>
            <w:tcBorders>
              <w:top w:val="dashSmallGap" w:sz="4" w:space="0" w:color="auto"/>
              <w:bottom w:val="nil"/>
            </w:tcBorders>
            <w:shd w:val="clear" w:color="auto" w:fill="D0D2D3" w:themeFill="background2"/>
            <w:noWrap/>
          </w:tcPr>
          <w:p w14:paraId="693CF446" w14:textId="3D727B9A" w:rsidR="00E445F8" w:rsidRPr="00207DC2" w:rsidRDefault="00E445F8" w:rsidP="00FB626D">
            <w:pPr>
              <w:pStyle w:val="TableText"/>
              <w:keepNext/>
              <w:ind w:left="142" w:right="142"/>
              <w:rPr>
                <w:rFonts w:cs="Calibri Light"/>
                <w:sz w:val="20"/>
                <w:szCs w:val="20"/>
                <w:lang w:val="en-AU"/>
              </w:rPr>
            </w:pPr>
            <w:r w:rsidRPr="00207DC2">
              <w:rPr>
                <w:rFonts w:cs="Calibri Light"/>
                <w:sz w:val="20"/>
                <w:szCs w:val="20"/>
                <w:lang w:val="en-AU"/>
              </w:rPr>
              <w:t xml:space="preserve">Time on income support payments: </w:t>
            </w:r>
          </w:p>
        </w:tc>
      </w:tr>
      <w:tr w:rsidR="00E445F8" w:rsidRPr="00207DC2" w14:paraId="1272EBE9"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190DA597" w14:textId="3B45095A" w:rsidR="00E445F8" w:rsidRPr="00207DC2" w:rsidRDefault="00C33667" w:rsidP="00FB626D">
            <w:pPr>
              <w:pStyle w:val="TableText"/>
              <w:keepNext/>
              <w:ind w:left="0" w:right="-108"/>
              <w:rPr>
                <w:rFonts w:cs="Calibri Light"/>
                <w:sz w:val="20"/>
                <w:szCs w:val="20"/>
                <w:lang w:val="en-AU"/>
              </w:rPr>
            </w:pPr>
            <w:r w:rsidRPr="00207DC2">
              <w:rPr>
                <w:rFonts w:cs="Calibri Light"/>
                <w:sz w:val="20"/>
                <w:szCs w:val="20"/>
                <w:lang w:val="en-AU"/>
              </w:rPr>
              <w:t xml:space="preserve">First </w:t>
            </w:r>
            <w:r w:rsidR="00E445F8" w:rsidRPr="00207DC2">
              <w:rPr>
                <w:rFonts w:cs="Calibri Light"/>
                <w:sz w:val="20"/>
                <w:szCs w:val="20"/>
                <w:lang w:val="en-AU"/>
              </w:rPr>
              <w:t>qu</w:t>
            </w:r>
            <w:r w:rsidRPr="00207DC2">
              <w:rPr>
                <w:rFonts w:cs="Calibri Light"/>
                <w:sz w:val="20"/>
                <w:szCs w:val="20"/>
                <w:lang w:val="en-AU"/>
              </w:rPr>
              <w:t>i</w:t>
            </w:r>
            <w:r w:rsidR="00E445F8" w:rsidRPr="00207DC2">
              <w:rPr>
                <w:rFonts w:cs="Calibri Light"/>
                <w:sz w:val="20"/>
                <w:szCs w:val="20"/>
                <w:lang w:val="en-AU"/>
              </w:rPr>
              <w:t xml:space="preserve">ntile (shortest </w:t>
            </w:r>
            <w:r w:rsidR="00B3432B" w:rsidRPr="00207DC2">
              <w:rPr>
                <w:rFonts w:cs="Calibri Light"/>
                <w:sz w:val="20"/>
                <w:szCs w:val="20"/>
                <w:lang w:val="en-AU"/>
              </w:rPr>
              <w:t xml:space="preserve">time </w:t>
            </w:r>
            <w:r w:rsidR="00E445F8" w:rsidRPr="00207DC2">
              <w:rPr>
                <w:rFonts w:cs="Calibri Light"/>
                <w:sz w:val="20"/>
                <w:szCs w:val="20"/>
                <w:lang w:val="en-AU"/>
              </w:rPr>
              <w:t xml:space="preserve">on </w:t>
            </w:r>
            <w:r w:rsidR="00DF407F" w:rsidRPr="00207DC2">
              <w:rPr>
                <w:rFonts w:cs="Calibri Light"/>
                <w:sz w:val="20"/>
                <w:szCs w:val="20"/>
                <w:lang w:val="en-AU"/>
              </w:rPr>
              <w:t>income support</w:t>
            </w:r>
            <w:r w:rsidR="00E445F8" w:rsidRPr="00207DC2">
              <w:rPr>
                <w:rFonts w:cs="Calibri Light"/>
                <w:sz w:val="20"/>
                <w:szCs w:val="20"/>
                <w:lang w:val="en-AU"/>
              </w:rPr>
              <w:t>)</w:t>
            </w:r>
          </w:p>
        </w:tc>
        <w:tc>
          <w:tcPr>
            <w:tcW w:w="1134" w:type="dxa"/>
            <w:tcBorders>
              <w:top w:val="nil"/>
              <w:bottom w:val="nil"/>
            </w:tcBorders>
            <w:noWrap/>
            <w:hideMark/>
          </w:tcPr>
          <w:p w14:paraId="3B964C3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18.1</w:t>
            </w:r>
          </w:p>
        </w:tc>
        <w:tc>
          <w:tcPr>
            <w:tcW w:w="1099" w:type="dxa"/>
            <w:tcBorders>
              <w:top w:val="nil"/>
              <w:bottom w:val="nil"/>
            </w:tcBorders>
            <w:noWrap/>
            <w:hideMark/>
          </w:tcPr>
          <w:p w14:paraId="0FF713A8"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9.9</w:t>
            </w:r>
          </w:p>
        </w:tc>
        <w:tc>
          <w:tcPr>
            <w:tcW w:w="992" w:type="dxa"/>
            <w:tcBorders>
              <w:top w:val="nil"/>
              <w:bottom w:val="nil"/>
            </w:tcBorders>
            <w:noWrap/>
            <w:hideMark/>
          </w:tcPr>
          <w:p w14:paraId="14B9CB8E"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7.0</w:t>
            </w:r>
          </w:p>
        </w:tc>
        <w:tc>
          <w:tcPr>
            <w:tcW w:w="1135" w:type="dxa"/>
            <w:tcBorders>
              <w:top w:val="nil"/>
              <w:bottom w:val="nil"/>
            </w:tcBorders>
            <w:noWrap/>
            <w:hideMark/>
          </w:tcPr>
          <w:p w14:paraId="36C2D0E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18.6</w:t>
            </w:r>
          </w:p>
        </w:tc>
        <w:tc>
          <w:tcPr>
            <w:tcW w:w="992" w:type="dxa"/>
            <w:tcBorders>
              <w:top w:val="nil"/>
              <w:bottom w:val="nil"/>
            </w:tcBorders>
            <w:noWrap/>
            <w:hideMark/>
          </w:tcPr>
          <w:p w14:paraId="6AD5820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12.1</w:t>
            </w:r>
          </w:p>
        </w:tc>
        <w:tc>
          <w:tcPr>
            <w:tcW w:w="992" w:type="dxa"/>
            <w:tcBorders>
              <w:top w:val="nil"/>
              <w:bottom w:val="nil"/>
            </w:tcBorders>
            <w:noWrap/>
            <w:hideMark/>
          </w:tcPr>
          <w:p w14:paraId="1BEA9C17"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9.1</w:t>
            </w:r>
          </w:p>
        </w:tc>
      </w:tr>
      <w:tr w:rsidR="00E445F8" w:rsidRPr="00207DC2" w14:paraId="49144D53" w14:textId="77777777" w:rsidTr="000D1E44">
        <w:trPr>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5DD0FD0B"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Second qu</w:t>
            </w:r>
            <w:r w:rsidR="00C33667" w:rsidRPr="00207DC2">
              <w:rPr>
                <w:rFonts w:cs="Calibri Light"/>
                <w:sz w:val="20"/>
                <w:szCs w:val="20"/>
                <w:lang w:val="en-AU"/>
              </w:rPr>
              <w:t>i</w:t>
            </w:r>
            <w:r w:rsidRPr="00207DC2">
              <w:rPr>
                <w:rFonts w:cs="Calibri Light"/>
                <w:sz w:val="20"/>
                <w:szCs w:val="20"/>
                <w:lang w:val="en-AU"/>
              </w:rPr>
              <w:t>ntile</w:t>
            </w:r>
          </w:p>
        </w:tc>
        <w:tc>
          <w:tcPr>
            <w:tcW w:w="1134" w:type="dxa"/>
            <w:tcBorders>
              <w:top w:val="nil"/>
              <w:bottom w:val="nil"/>
            </w:tcBorders>
            <w:noWrap/>
            <w:hideMark/>
          </w:tcPr>
          <w:p w14:paraId="35888010"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17.3</w:t>
            </w:r>
          </w:p>
        </w:tc>
        <w:tc>
          <w:tcPr>
            <w:tcW w:w="1099" w:type="dxa"/>
            <w:tcBorders>
              <w:top w:val="nil"/>
              <w:bottom w:val="nil"/>
            </w:tcBorders>
            <w:noWrap/>
            <w:hideMark/>
          </w:tcPr>
          <w:p w14:paraId="50A5C353"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8.7</w:t>
            </w:r>
          </w:p>
        </w:tc>
        <w:tc>
          <w:tcPr>
            <w:tcW w:w="992" w:type="dxa"/>
            <w:tcBorders>
              <w:top w:val="nil"/>
              <w:bottom w:val="nil"/>
            </w:tcBorders>
            <w:noWrap/>
            <w:hideMark/>
          </w:tcPr>
          <w:p w14:paraId="02431502"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5.8</w:t>
            </w:r>
          </w:p>
        </w:tc>
        <w:tc>
          <w:tcPr>
            <w:tcW w:w="1135" w:type="dxa"/>
            <w:tcBorders>
              <w:top w:val="nil"/>
              <w:bottom w:val="nil"/>
            </w:tcBorders>
            <w:noWrap/>
            <w:hideMark/>
          </w:tcPr>
          <w:p w14:paraId="628996A3"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19.2</w:t>
            </w:r>
          </w:p>
        </w:tc>
        <w:tc>
          <w:tcPr>
            <w:tcW w:w="992" w:type="dxa"/>
            <w:tcBorders>
              <w:top w:val="nil"/>
              <w:bottom w:val="nil"/>
            </w:tcBorders>
            <w:noWrap/>
            <w:hideMark/>
          </w:tcPr>
          <w:p w14:paraId="5364CBCD"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11.3</w:t>
            </w:r>
          </w:p>
        </w:tc>
        <w:tc>
          <w:tcPr>
            <w:tcW w:w="992" w:type="dxa"/>
            <w:tcBorders>
              <w:top w:val="nil"/>
              <w:bottom w:val="nil"/>
            </w:tcBorders>
            <w:noWrap/>
            <w:hideMark/>
          </w:tcPr>
          <w:p w14:paraId="5CEB471F"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7.7</w:t>
            </w:r>
          </w:p>
        </w:tc>
      </w:tr>
      <w:tr w:rsidR="00E445F8" w:rsidRPr="00207DC2" w14:paraId="7AC86688"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2AE7338F"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Third qu</w:t>
            </w:r>
            <w:r w:rsidR="00C33667" w:rsidRPr="00207DC2">
              <w:rPr>
                <w:rFonts w:cs="Calibri Light"/>
                <w:sz w:val="20"/>
                <w:szCs w:val="20"/>
                <w:lang w:val="en-AU"/>
              </w:rPr>
              <w:t>i</w:t>
            </w:r>
            <w:r w:rsidRPr="00207DC2">
              <w:rPr>
                <w:rFonts w:cs="Calibri Light"/>
                <w:sz w:val="20"/>
                <w:szCs w:val="20"/>
                <w:lang w:val="en-AU"/>
              </w:rPr>
              <w:t>ntile</w:t>
            </w:r>
          </w:p>
        </w:tc>
        <w:tc>
          <w:tcPr>
            <w:tcW w:w="1134" w:type="dxa"/>
            <w:tcBorders>
              <w:top w:val="nil"/>
              <w:bottom w:val="nil"/>
            </w:tcBorders>
            <w:noWrap/>
            <w:hideMark/>
          </w:tcPr>
          <w:p w14:paraId="02B1B697"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16.5</w:t>
            </w:r>
          </w:p>
        </w:tc>
        <w:tc>
          <w:tcPr>
            <w:tcW w:w="1099" w:type="dxa"/>
            <w:tcBorders>
              <w:top w:val="nil"/>
              <w:bottom w:val="nil"/>
            </w:tcBorders>
            <w:noWrap/>
            <w:hideMark/>
          </w:tcPr>
          <w:p w14:paraId="76B676D3"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8.0</w:t>
            </w:r>
          </w:p>
        </w:tc>
        <w:tc>
          <w:tcPr>
            <w:tcW w:w="992" w:type="dxa"/>
            <w:tcBorders>
              <w:top w:val="nil"/>
              <w:bottom w:val="nil"/>
            </w:tcBorders>
            <w:noWrap/>
            <w:hideMark/>
          </w:tcPr>
          <w:p w14:paraId="50F970CB"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5.6</w:t>
            </w:r>
          </w:p>
        </w:tc>
        <w:tc>
          <w:tcPr>
            <w:tcW w:w="1135" w:type="dxa"/>
            <w:tcBorders>
              <w:top w:val="nil"/>
              <w:bottom w:val="nil"/>
            </w:tcBorders>
            <w:noWrap/>
            <w:hideMark/>
          </w:tcPr>
          <w:p w14:paraId="0C68FB22"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18.1</w:t>
            </w:r>
          </w:p>
        </w:tc>
        <w:tc>
          <w:tcPr>
            <w:tcW w:w="992" w:type="dxa"/>
            <w:tcBorders>
              <w:top w:val="nil"/>
              <w:bottom w:val="nil"/>
            </w:tcBorders>
            <w:noWrap/>
            <w:hideMark/>
          </w:tcPr>
          <w:p w14:paraId="32770398"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9.4</w:t>
            </w:r>
          </w:p>
        </w:tc>
        <w:tc>
          <w:tcPr>
            <w:tcW w:w="992" w:type="dxa"/>
            <w:tcBorders>
              <w:top w:val="nil"/>
              <w:bottom w:val="nil"/>
            </w:tcBorders>
            <w:noWrap/>
            <w:hideMark/>
          </w:tcPr>
          <w:p w14:paraId="1AD1B98F"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6.1</w:t>
            </w:r>
          </w:p>
        </w:tc>
      </w:tr>
      <w:tr w:rsidR="00E445F8" w:rsidRPr="00207DC2" w14:paraId="275A1892" w14:textId="77777777" w:rsidTr="000D1E44">
        <w:trPr>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noWrap/>
            <w:hideMark/>
          </w:tcPr>
          <w:p w14:paraId="75126976" w14:textId="77777777" w:rsidR="00E445F8" w:rsidRPr="00207DC2" w:rsidRDefault="00E445F8" w:rsidP="00FB626D">
            <w:pPr>
              <w:pStyle w:val="TableText"/>
              <w:keepNext/>
              <w:ind w:left="0" w:right="-108"/>
              <w:rPr>
                <w:rFonts w:cs="Calibri Light"/>
                <w:sz w:val="20"/>
                <w:szCs w:val="20"/>
                <w:lang w:val="en-AU"/>
              </w:rPr>
            </w:pPr>
            <w:r w:rsidRPr="00207DC2">
              <w:rPr>
                <w:rFonts w:cs="Calibri Light"/>
                <w:sz w:val="20"/>
                <w:szCs w:val="20"/>
                <w:lang w:val="en-AU"/>
              </w:rPr>
              <w:t>Fo</w:t>
            </w:r>
            <w:r w:rsidR="00C33667" w:rsidRPr="00207DC2">
              <w:rPr>
                <w:rFonts w:cs="Calibri Light"/>
                <w:sz w:val="20"/>
                <w:szCs w:val="20"/>
                <w:lang w:val="en-AU"/>
              </w:rPr>
              <w:t>u</w:t>
            </w:r>
            <w:r w:rsidRPr="00207DC2">
              <w:rPr>
                <w:rFonts w:cs="Calibri Light"/>
                <w:sz w:val="20"/>
                <w:szCs w:val="20"/>
                <w:lang w:val="en-AU"/>
              </w:rPr>
              <w:t>rth qu</w:t>
            </w:r>
            <w:r w:rsidR="00C33667" w:rsidRPr="00207DC2">
              <w:rPr>
                <w:rFonts w:cs="Calibri Light"/>
                <w:sz w:val="20"/>
                <w:szCs w:val="20"/>
                <w:lang w:val="en-AU"/>
              </w:rPr>
              <w:t>i</w:t>
            </w:r>
            <w:r w:rsidRPr="00207DC2">
              <w:rPr>
                <w:rFonts w:cs="Calibri Light"/>
                <w:sz w:val="20"/>
                <w:szCs w:val="20"/>
                <w:lang w:val="en-AU"/>
              </w:rPr>
              <w:t>ntile</w:t>
            </w:r>
          </w:p>
        </w:tc>
        <w:tc>
          <w:tcPr>
            <w:tcW w:w="1134" w:type="dxa"/>
            <w:tcBorders>
              <w:top w:val="nil"/>
              <w:bottom w:val="nil"/>
            </w:tcBorders>
            <w:noWrap/>
            <w:hideMark/>
          </w:tcPr>
          <w:p w14:paraId="5E64D006"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16.4</w:t>
            </w:r>
          </w:p>
        </w:tc>
        <w:tc>
          <w:tcPr>
            <w:tcW w:w="1099" w:type="dxa"/>
            <w:tcBorders>
              <w:top w:val="nil"/>
              <w:bottom w:val="nil"/>
            </w:tcBorders>
            <w:noWrap/>
            <w:hideMark/>
          </w:tcPr>
          <w:p w14:paraId="5C8D4F45"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7.4</w:t>
            </w:r>
          </w:p>
        </w:tc>
        <w:tc>
          <w:tcPr>
            <w:tcW w:w="992" w:type="dxa"/>
            <w:tcBorders>
              <w:top w:val="nil"/>
              <w:bottom w:val="nil"/>
            </w:tcBorders>
            <w:noWrap/>
            <w:hideMark/>
          </w:tcPr>
          <w:p w14:paraId="3426E2C8"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5.4</w:t>
            </w:r>
          </w:p>
        </w:tc>
        <w:tc>
          <w:tcPr>
            <w:tcW w:w="1135" w:type="dxa"/>
            <w:tcBorders>
              <w:top w:val="nil"/>
              <w:bottom w:val="nil"/>
            </w:tcBorders>
            <w:noWrap/>
            <w:hideMark/>
          </w:tcPr>
          <w:p w14:paraId="52D6EEE4"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18.7</w:t>
            </w:r>
          </w:p>
        </w:tc>
        <w:tc>
          <w:tcPr>
            <w:tcW w:w="992" w:type="dxa"/>
            <w:tcBorders>
              <w:top w:val="nil"/>
              <w:bottom w:val="nil"/>
            </w:tcBorders>
            <w:noWrap/>
            <w:hideMark/>
          </w:tcPr>
          <w:p w14:paraId="1A9791AC"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9.9</w:t>
            </w:r>
          </w:p>
        </w:tc>
        <w:tc>
          <w:tcPr>
            <w:tcW w:w="992" w:type="dxa"/>
            <w:tcBorders>
              <w:top w:val="nil"/>
              <w:bottom w:val="nil"/>
            </w:tcBorders>
            <w:noWrap/>
            <w:hideMark/>
          </w:tcPr>
          <w:p w14:paraId="43BC3C17" w14:textId="77777777" w:rsidR="00E445F8" w:rsidRPr="00207DC2" w:rsidRDefault="00E445F8" w:rsidP="00FB626D">
            <w:pPr>
              <w:pStyle w:val="TableText"/>
              <w:keepNext/>
              <w:ind w:left="142" w:right="142"/>
              <w:jc w:val="right"/>
              <w:cnfStyle w:val="000000000000" w:firstRow="0" w:lastRow="0" w:firstColumn="0" w:lastColumn="0" w:oddVBand="0" w:evenVBand="0" w:oddHBand="0" w:evenHBand="0" w:firstRowFirstColumn="0" w:firstRowLastColumn="0" w:lastRowFirstColumn="0" w:lastRowLastColumn="0"/>
              <w:rPr>
                <w:rFonts w:cs="Calibri Light"/>
                <w:sz w:val="20"/>
                <w:szCs w:val="20"/>
                <w:lang w:val="en-AU"/>
              </w:rPr>
            </w:pPr>
            <w:r w:rsidRPr="00207DC2">
              <w:rPr>
                <w:rFonts w:cs="Calibri Light"/>
                <w:sz w:val="20"/>
                <w:szCs w:val="20"/>
                <w:lang w:val="en-AU"/>
              </w:rPr>
              <w:t>6.4</w:t>
            </w:r>
          </w:p>
        </w:tc>
      </w:tr>
      <w:tr w:rsidR="00E445F8" w:rsidRPr="00207DC2" w14:paraId="29F18061" w14:textId="77777777" w:rsidTr="000D1E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single" w:sz="4" w:space="0" w:color="262626" w:themeColor="background1"/>
            </w:tcBorders>
            <w:noWrap/>
            <w:hideMark/>
          </w:tcPr>
          <w:p w14:paraId="466D6730" w14:textId="3A2A0610" w:rsidR="00E445F8" w:rsidRPr="00207DC2" w:rsidRDefault="00C33667" w:rsidP="00FB626D">
            <w:pPr>
              <w:pStyle w:val="TableText"/>
              <w:keepNext/>
              <w:ind w:left="0" w:right="-108"/>
              <w:rPr>
                <w:rFonts w:cs="Calibri Light"/>
                <w:sz w:val="20"/>
                <w:szCs w:val="20"/>
                <w:lang w:val="en-AU"/>
              </w:rPr>
            </w:pPr>
            <w:r w:rsidRPr="00207DC2">
              <w:rPr>
                <w:rFonts w:cs="Calibri Light"/>
                <w:sz w:val="20"/>
                <w:szCs w:val="20"/>
                <w:lang w:val="en-AU"/>
              </w:rPr>
              <w:t xml:space="preserve">Fifth </w:t>
            </w:r>
            <w:r w:rsidR="00E445F8" w:rsidRPr="00207DC2">
              <w:rPr>
                <w:rFonts w:cs="Calibri Light"/>
                <w:sz w:val="20"/>
                <w:szCs w:val="20"/>
                <w:lang w:val="en-AU"/>
              </w:rPr>
              <w:t>qu</w:t>
            </w:r>
            <w:r w:rsidRPr="00207DC2">
              <w:rPr>
                <w:rFonts w:cs="Calibri Light"/>
                <w:sz w:val="20"/>
                <w:szCs w:val="20"/>
                <w:lang w:val="en-AU"/>
              </w:rPr>
              <w:t>i</w:t>
            </w:r>
            <w:r w:rsidR="00E445F8" w:rsidRPr="00207DC2">
              <w:rPr>
                <w:rFonts w:cs="Calibri Light"/>
                <w:sz w:val="20"/>
                <w:szCs w:val="20"/>
                <w:lang w:val="en-AU"/>
              </w:rPr>
              <w:t xml:space="preserve">ntile (longest </w:t>
            </w:r>
            <w:r w:rsidR="00B3432B" w:rsidRPr="00207DC2">
              <w:rPr>
                <w:rFonts w:cs="Calibri Light"/>
                <w:sz w:val="20"/>
                <w:szCs w:val="20"/>
                <w:lang w:val="en-AU"/>
              </w:rPr>
              <w:t xml:space="preserve">time </w:t>
            </w:r>
            <w:r w:rsidR="00E445F8" w:rsidRPr="00207DC2">
              <w:rPr>
                <w:rFonts w:cs="Calibri Light"/>
                <w:sz w:val="20"/>
                <w:szCs w:val="20"/>
                <w:lang w:val="en-AU"/>
              </w:rPr>
              <w:t xml:space="preserve">on </w:t>
            </w:r>
            <w:r w:rsidR="00DF407F" w:rsidRPr="00207DC2">
              <w:rPr>
                <w:rFonts w:cs="Calibri Light"/>
                <w:sz w:val="20"/>
                <w:szCs w:val="20"/>
                <w:lang w:val="en-AU"/>
              </w:rPr>
              <w:t>income support</w:t>
            </w:r>
            <w:r w:rsidR="00E445F8" w:rsidRPr="00207DC2">
              <w:rPr>
                <w:rFonts w:cs="Calibri Light"/>
                <w:sz w:val="20"/>
                <w:szCs w:val="20"/>
                <w:lang w:val="en-AU"/>
              </w:rPr>
              <w:t>)</w:t>
            </w:r>
          </w:p>
        </w:tc>
        <w:tc>
          <w:tcPr>
            <w:tcW w:w="1134" w:type="dxa"/>
            <w:tcBorders>
              <w:top w:val="nil"/>
              <w:bottom w:val="single" w:sz="4" w:space="0" w:color="262626" w:themeColor="background1"/>
            </w:tcBorders>
            <w:noWrap/>
            <w:hideMark/>
          </w:tcPr>
          <w:p w14:paraId="6E1C8795"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14.3</w:t>
            </w:r>
          </w:p>
        </w:tc>
        <w:tc>
          <w:tcPr>
            <w:tcW w:w="1099" w:type="dxa"/>
            <w:tcBorders>
              <w:top w:val="nil"/>
              <w:bottom w:val="single" w:sz="4" w:space="0" w:color="262626" w:themeColor="background1"/>
            </w:tcBorders>
            <w:noWrap/>
            <w:hideMark/>
          </w:tcPr>
          <w:p w14:paraId="578A5597"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5.9</w:t>
            </w:r>
          </w:p>
        </w:tc>
        <w:tc>
          <w:tcPr>
            <w:tcW w:w="992" w:type="dxa"/>
            <w:tcBorders>
              <w:top w:val="nil"/>
              <w:bottom w:val="single" w:sz="4" w:space="0" w:color="262626" w:themeColor="background1"/>
            </w:tcBorders>
            <w:noWrap/>
            <w:hideMark/>
          </w:tcPr>
          <w:p w14:paraId="7102626F"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4.1</w:t>
            </w:r>
          </w:p>
        </w:tc>
        <w:tc>
          <w:tcPr>
            <w:tcW w:w="1135" w:type="dxa"/>
            <w:tcBorders>
              <w:top w:val="nil"/>
              <w:bottom w:val="single" w:sz="4" w:space="0" w:color="262626" w:themeColor="background1"/>
            </w:tcBorders>
            <w:noWrap/>
            <w:hideMark/>
          </w:tcPr>
          <w:p w14:paraId="038741B3"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16.5</w:t>
            </w:r>
          </w:p>
        </w:tc>
        <w:tc>
          <w:tcPr>
            <w:tcW w:w="992" w:type="dxa"/>
            <w:tcBorders>
              <w:top w:val="nil"/>
              <w:bottom w:val="single" w:sz="4" w:space="0" w:color="262626" w:themeColor="background1"/>
            </w:tcBorders>
            <w:noWrap/>
            <w:hideMark/>
          </w:tcPr>
          <w:p w14:paraId="76F02FCA"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8.1</w:t>
            </w:r>
          </w:p>
        </w:tc>
        <w:tc>
          <w:tcPr>
            <w:tcW w:w="992" w:type="dxa"/>
            <w:tcBorders>
              <w:top w:val="nil"/>
              <w:bottom w:val="single" w:sz="4" w:space="0" w:color="262626" w:themeColor="background1"/>
            </w:tcBorders>
            <w:noWrap/>
            <w:hideMark/>
          </w:tcPr>
          <w:p w14:paraId="77664853" w14:textId="77777777" w:rsidR="00E445F8" w:rsidRPr="00207DC2" w:rsidRDefault="00E445F8" w:rsidP="00FB626D">
            <w:pPr>
              <w:pStyle w:val="TableText"/>
              <w:keepNext/>
              <w:ind w:left="142" w:right="142"/>
              <w:jc w:val="right"/>
              <w:cnfStyle w:val="000000100000" w:firstRow="0" w:lastRow="0" w:firstColumn="0" w:lastColumn="0" w:oddVBand="0" w:evenVBand="0" w:oddHBand="1" w:evenHBand="0" w:firstRowFirstColumn="0" w:firstRowLastColumn="0" w:lastRowFirstColumn="0" w:lastRowLastColumn="0"/>
              <w:rPr>
                <w:rFonts w:cs="Calibri Light"/>
                <w:sz w:val="20"/>
                <w:szCs w:val="20"/>
                <w:lang w:val="en-AU"/>
              </w:rPr>
            </w:pPr>
            <w:r w:rsidRPr="00207DC2">
              <w:rPr>
                <w:rFonts w:cs="Calibri Light"/>
                <w:sz w:val="20"/>
                <w:szCs w:val="20"/>
                <w:lang w:val="en-AU"/>
              </w:rPr>
              <w:t>4.9</w:t>
            </w:r>
          </w:p>
        </w:tc>
      </w:tr>
    </w:tbl>
    <w:p w14:paraId="30D6D631" w14:textId="1672429C" w:rsidR="00E445F8" w:rsidRPr="00207DC2" w:rsidRDefault="00E445F8" w:rsidP="00FB626D">
      <w:pPr>
        <w:pStyle w:val="tablenotes"/>
      </w:pPr>
      <w:r w:rsidRPr="00207DC2">
        <w:t xml:space="preserve">Source: </w:t>
      </w:r>
      <w:r w:rsidR="0057565A" w:rsidRPr="00207DC2">
        <w:t>PMC</w:t>
      </w:r>
      <w:r w:rsidRPr="00207DC2">
        <w:t xml:space="preserve"> estimates based </w:t>
      </w:r>
      <w:r w:rsidR="003B574F" w:rsidRPr="00207DC2">
        <w:t xml:space="preserve">on </w:t>
      </w:r>
      <w:r w:rsidRPr="00207DC2">
        <w:t xml:space="preserve">unpublished ESS operational data (extracted on </w:t>
      </w:r>
      <w:r w:rsidR="00E538AC" w:rsidRPr="00207DC2">
        <w:t>3</w:t>
      </w:r>
      <w:r w:rsidR="002317B0" w:rsidRPr="00207DC2">
        <w:t> </w:t>
      </w:r>
      <w:r w:rsidR="00E538AC" w:rsidRPr="00207DC2">
        <w:t>Octo</w:t>
      </w:r>
      <w:r w:rsidR="002317B0" w:rsidRPr="00207DC2">
        <w:t>ber </w:t>
      </w:r>
      <w:r w:rsidR="00E538AC" w:rsidRPr="00207DC2">
        <w:t>2017) and DHS operational data (extracted on 9 October 2017</w:t>
      </w:r>
      <w:r w:rsidRPr="00207DC2">
        <w:t>).</w:t>
      </w:r>
    </w:p>
    <w:p w14:paraId="3CE3DE2F" w14:textId="05344098" w:rsidR="00E445F8" w:rsidRPr="00207DC2" w:rsidRDefault="005631B4" w:rsidP="008055FF">
      <w:pPr>
        <w:pStyle w:val="ZED4"/>
        <w:outlineLvl w:val="2"/>
      </w:pPr>
      <w:bookmarkStart w:id="489" w:name="_Toc509234890"/>
      <w:bookmarkStart w:id="490" w:name="_Toc509587046"/>
      <w:bookmarkStart w:id="491" w:name="_Toc509588072"/>
      <w:bookmarkStart w:id="492" w:name="_Toc509588335"/>
      <w:bookmarkStart w:id="493" w:name="_Toc509589483"/>
      <w:bookmarkStart w:id="494" w:name="_Toc509926901"/>
      <w:bookmarkStart w:id="495" w:name="_Toc511661251"/>
      <w:bookmarkStart w:id="496" w:name="_Toc511826302"/>
      <w:bookmarkStart w:id="497" w:name="_Toc511940619"/>
      <w:bookmarkStart w:id="498" w:name="_Toc515185469"/>
      <w:bookmarkStart w:id="499" w:name="_Toc516219842"/>
      <w:bookmarkStart w:id="500" w:name="_Toc516220483"/>
      <w:bookmarkStart w:id="501" w:name="_Toc516223303"/>
      <w:bookmarkStart w:id="502" w:name="_Toc516225211"/>
      <w:bookmarkStart w:id="503" w:name="_Toc516228987"/>
      <w:bookmarkStart w:id="504" w:name="_Toc518468061"/>
      <w:bookmarkStart w:id="505" w:name="_Toc518487842"/>
      <w:bookmarkStart w:id="506" w:name="_Toc518558805"/>
      <w:bookmarkStart w:id="507" w:name="_Toc518565328"/>
      <w:bookmarkStart w:id="508" w:name="_Toc518565572"/>
      <w:bookmarkStart w:id="509" w:name="_Toc519504743"/>
      <w:bookmarkStart w:id="510" w:name="_Toc519505967"/>
      <w:bookmarkStart w:id="511" w:name="_Toc519844073"/>
      <w:bookmarkStart w:id="512" w:name="_Toc521068575"/>
      <w:bookmarkStart w:id="513" w:name="_Toc521391089"/>
      <w:bookmarkStart w:id="514" w:name="_Toc522013258"/>
      <w:bookmarkStart w:id="515" w:name="_Toc534965168"/>
      <w:bookmarkStart w:id="516" w:name="_Toc535935059"/>
      <w:r>
        <w:t>4.2</w:t>
      </w:r>
      <w:r>
        <w:tab/>
      </w:r>
      <w:r w:rsidR="00E445F8" w:rsidRPr="00207DC2">
        <w:t>Estimating the employment effect</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0CCF7663" w14:textId="77777777" w:rsidR="00E445F8" w:rsidRPr="00207DC2" w:rsidRDefault="00E445F8" w:rsidP="00E445F8">
      <w:pPr>
        <w:jc w:val="both"/>
        <w:rPr>
          <w:lang w:val="en-AU"/>
        </w:rPr>
      </w:pPr>
      <w:r w:rsidRPr="00207DC2" w:rsidDel="00581F48">
        <w:rPr>
          <w:lang w:val="en-AU"/>
        </w:rPr>
        <w:t>CDP regions are the same as the RJCP regions, with the boundaries for both programs based on remoteness measures. This provides the opportunity to compare employment outcomes before and after the introduction of the CDP.</w:t>
      </w:r>
    </w:p>
    <w:p w14:paraId="0DFD681E" w14:textId="77777777" w:rsidR="00E445F8" w:rsidRPr="00207DC2" w:rsidRDefault="00E445F8" w:rsidP="00E445F8">
      <w:pPr>
        <w:jc w:val="both"/>
        <w:rPr>
          <w:lang w:val="en-AU"/>
        </w:rPr>
      </w:pPr>
      <w:r w:rsidRPr="00207DC2">
        <w:rPr>
          <w:lang w:val="en-AU"/>
        </w:rPr>
        <w:t xml:space="preserve">To estimate the employment impact of the CDP independent of the changes in the characteristics of participants and labour market conditions, two different modelling approaches were undertaken. </w:t>
      </w:r>
    </w:p>
    <w:p w14:paraId="4D900A8F" w14:textId="1AA02915" w:rsidR="00E445F8" w:rsidRPr="00207DC2" w:rsidRDefault="00E445F8" w:rsidP="00E445F8">
      <w:pPr>
        <w:jc w:val="both"/>
        <w:rPr>
          <w:lang w:val="en-AU"/>
        </w:rPr>
      </w:pPr>
      <w:r w:rsidRPr="00207DC2">
        <w:rPr>
          <w:lang w:val="en-AU"/>
        </w:rPr>
        <w:t>The first model estimate</w:t>
      </w:r>
      <w:r w:rsidR="00435FEA" w:rsidRPr="00207DC2">
        <w:rPr>
          <w:lang w:val="en-AU"/>
        </w:rPr>
        <w:t>d</w:t>
      </w:r>
      <w:r w:rsidRPr="00207DC2">
        <w:rPr>
          <w:lang w:val="en-AU"/>
        </w:rPr>
        <w:t xml:space="preserve"> the change in employm</w:t>
      </w:r>
      <w:r w:rsidR="002317B0" w:rsidRPr="00207DC2">
        <w:rPr>
          <w:lang w:val="en-AU"/>
        </w:rPr>
        <w:t>ent outcomes (job placements, 13</w:t>
      </w:r>
      <w:r w:rsidR="002317B0" w:rsidRPr="00207DC2">
        <w:rPr>
          <w:lang w:val="en-AU"/>
        </w:rPr>
        <w:noBreakHyphen/>
      </w:r>
      <w:r w:rsidRPr="00207DC2">
        <w:rPr>
          <w:lang w:val="en-AU"/>
        </w:rPr>
        <w:t xml:space="preserve">week and 26-week outcomes) from before to after the introduction of the CDP. This modelling controls for the characteristics of participants, as well as changes in labour market conditions using the unemployment rate in the region over the two time periods (using 12 monthly average </w:t>
      </w:r>
      <w:r w:rsidR="00831CC9">
        <w:rPr>
          <w:lang w:val="en-AU"/>
        </w:rPr>
        <w:t>S</w:t>
      </w:r>
      <w:r w:rsidRPr="00207DC2">
        <w:rPr>
          <w:lang w:val="en-AU"/>
        </w:rPr>
        <w:t xml:space="preserve">mall </w:t>
      </w:r>
      <w:r w:rsidR="00831CC9">
        <w:rPr>
          <w:lang w:val="en-AU"/>
        </w:rPr>
        <w:t>A</w:t>
      </w:r>
      <w:r w:rsidRPr="00207DC2">
        <w:rPr>
          <w:lang w:val="en-AU"/>
        </w:rPr>
        <w:t xml:space="preserve">rea </w:t>
      </w:r>
      <w:r w:rsidR="00831CC9">
        <w:rPr>
          <w:lang w:val="en-AU"/>
        </w:rPr>
        <w:t>L</w:t>
      </w:r>
      <w:r w:rsidRPr="00207DC2">
        <w:rPr>
          <w:lang w:val="en-AU"/>
        </w:rPr>
        <w:t xml:space="preserve">abour </w:t>
      </w:r>
      <w:r w:rsidR="00831CC9">
        <w:rPr>
          <w:lang w:val="en-AU"/>
        </w:rPr>
        <w:t>M</w:t>
      </w:r>
      <w:r w:rsidRPr="00207DC2">
        <w:rPr>
          <w:lang w:val="en-AU"/>
        </w:rPr>
        <w:t xml:space="preserve">arket </w:t>
      </w:r>
      <w:r w:rsidR="000D6162" w:rsidRPr="00207DC2">
        <w:rPr>
          <w:lang w:val="en-AU"/>
        </w:rPr>
        <w:t xml:space="preserve">(SALM) </w:t>
      </w:r>
      <w:r w:rsidRPr="00207DC2">
        <w:rPr>
          <w:lang w:val="en-AU"/>
        </w:rPr>
        <w:t xml:space="preserve">unemployment estimates, available on a quarterly basis). </w:t>
      </w:r>
    </w:p>
    <w:p w14:paraId="72B6363C" w14:textId="4EF2C731" w:rsidR="00235BF4" w:rsidRPr="00207DC2" w:rsidRDefault="00E445F8" w:rsidP="00286346">
      <w:pPr>
        <w:jc w:val="both"/>
        <w:rPr>
          <w:lang w:val="en-AU"/>
        </w:rPr>
      </w:pPr>
      <w:r w:rsidRPr="00207DC2">
        <w:rPr>
          <w:lang w:val="en-AU"/>
        </w:rPr>
        <w:t>Th</w:t>
      </w:r>
      <w:r w:rsidR="00EA3E5A" w:rsidRPr="00207DC2">
        <w:rPr>
          <w:lang w:val="en-AU"/>
        </w:rPr>
        <w:t>e</w:t>
      </w:r>
      <w:r w:rsidRPr="00207DC2">
        <w:rPr>
          <w:lang w:val="en-AU"/>
        </w:rPr>
        <w:t xml:space="preserve"> before to after analysis </w:t>
      </w:r>
      <w:r w:rsidR="00286346" w:rsidRPr="00207DC2">
        <w:rPr>
          <w:lang w:val="en-AU"/>
        </w:rPr>
        <w:t xml:space="preserve">may </w:t>
      </w:r>
      <w:r w:rsidRPr="00207DC2">
        <w:rPr>
          <w:lang w:val="en-AU"/>
        </w:rPr>
        <w:t xml:space="preserve">not adequately separate out the changes in employment outcomes that </w:t>
      </w:r>
      <w:r w:rsidR="00435FEA" w:rsidRPr="00207DC2">
        <w:rPr>
          <w:lang w:val="en-AU"/>
        </w:rPr>
        <w:t>are</w:t>
      </w:r>
      <w:r w:rsidRPr="00207DC2" w:rsidDel="00FE19B3">
        <w:rPr>
          <w:lang w:val="en-AU"/>
        </w:rPr>
        <w:t xml:space="preserve"> </w:t>
      </w:r>
      <w:r w:rsidRPr="00207DC2">
        <w:rPr>
          <w:lang w:val="en-AU"/>
        </w:rPr>
        <w:t>driven by changes in labour market conditions from th</w:t>
      </w:r>
      <w:r w:rsidR="003B574F" w:rsidRPr="00207DC2">
        <w:rPr>
          <w:lang w:val="en-AU"/>
        </w:rPr>
        <w:t>os</w:t>
      </w:r>
      <w:r w:rsidRPr="00207DC2">
        <w:rPr>
          <w:lang w:val="en-AU"/>
        </w:rPr>
        <w:t xml:space="preserve">e driven by the introduction of the CDP. </w:t>
      </w:r>
      <w:r w:rsidRPr="00207DC2" w:rsidDel="00FE19B3">
        <w:rPr>
          <w:lang w:val="en-AU"/>
        </w:rPr>
        <w:t xml:space="preserve">As an alternative specification, the second model </w:t>
      </w:r>
      <w:r w:rsidR="00235BF4" w:rsidRPr="00207DC2">
        <w:rPr>
          <w:lang w:val="en-AU"/>
        </w:rPr>
        <w:t>uses quasi</w:t>
      </w:r>
      <w:r w:rsidR="00235BF4" w:rsidRPr="00207DC2">
        <w:rPr>
          <w:lang w:val="en-AU"/>
        </w:rPr>
        <w:noBreakHyphen/>
        <w:t xml:space="preserve">experimental difference-in-difference techniques to </w:t>
      </w:r>
      <w:r w:rsidR="00235BF4" w:rsidRPr="00207DC2">
        <w:rPr>
          <w:rFonts w:eastAsiaTheme="minorEastAsia"/>
          <w:lang w:val="en-AU"/>
        </w:rPr>
        <w:t xml:space="preserve">compare </w:t>
      </w:r>
      <w:r w:rsidR="00235BF4" w:rsidRPr="00207DC2">
        <w:rPr>
          <w:lang w:val="en-AU"/>
        </w:rPr>
        <w:t>changes in employment outcomes for participants in remote regions (treatment group) with changes for jobseekers in neighbouring mainstream regions (</w:t>
      </w:r>
      <w:r w:rsidR="00ED1411" w:rsidRPr="00207DC2">
        <w:rPr>
          <w:lang w:val="en-AU"/>
        </w:rPr>
        <w:t>comparison</w:t>
      </w:r>
      <w:r w:rsidR="00235BF4" w:rsidRPr="00207DC2">
        <w:rPr>
          <w:lang w:val="en-AU"/>
        </w:rPr>
        <w:t xml:space="preserve"> group</w:t>
      </w:r>
      <w:r w:rsidR="003B7CF5" w:rsidRPr="00207DC2">
        <w:rPr>
          <w:lang w:val="en-AU"/>
        </w:rPr>
        <w:t>)</w:t>
      </w:r>
      <w:r w:rsidRPr="00207DC2">
        <w:rPr>
          <w:lang w:val="en-AU"/>
        </w:rPr>
        <w:t xml:space="preserve">. </w:t>
      </w:r>
    </w:p>
    <w:p w14:paraId="7B1BCB45" w14:textId="77777777" w:rsidR="00E445F8" w:rsidRPr="00207DC2" w:rsidRDefault="00E445F8" w:rsidP="00E445F8">
      <w:pPr>
        <w:jc w:val="both"/>
        <w:rPr>
          <w:lang w:val="en-AU"/>
        </w:rPr>
      </w:pPr>
      <w:r w:rsidRPr="00207DC2">
        <w:rPr>
          <w:lang w:val="en-AU"/>
        </w:rPr>
        <w:t>For both models two groups of participants were defined</w:t>
      </w:r>
      <w:r w:rsidR="00350888" w:rsidRPr="00207DC2">
        <w:rPr>
          <w:lang w:val="en-AU"/>
        </w:rPr>
        <w:t>:</w:t>
      </w:r>
    </w:p>
    <w:p w14:paraId="74520EC6" w14:textId="77777777" w:rsidR="00E445F8" w:rsidRPr="00207DC2" w:rsidRDefault="00E445F8" w:rsidP="00F90446">
      <w:pPr>
        <w:pStyle w:val="ListParagraph"/>
        <w:numPr>
          <w:ilvl w:val="0"/>
          <w:numId w:val="19"/>
        </w:numPr>
        <w:jc w:val="both"/>
        <w:rPr>
          <w:lang w:val="en-AU"/>
        </w:rPr>
      </w:pPr>
      <w:r w:rsidRPr="00207DC2">
        <w:rPr>
          <w:lang w:val="en-AU"/>
        </w:rPr>
        <w:t xml:space="preserve">The </w:t>
      </w:r>
      <w:r w:rsidRPr="00207DC2">
        <w:rPr>
          <w:i/>
          <w:lang w:val="en-AU"/>
        </w:rPr>
        <w:t xml:space="preserve">point-in-time </w:t>
      </w:r>
      <w:r w:rsidRPr="00207DC2">
        <w:rPr>
          <w:lang w:val="en-AU"/>
        </w:rPr>
        <w:t xml:space="preserve">group includes all </w:t>
      </w:r>
      <w:r w:rsidR="003B574F" w:rsidRPr="00207DC2">
        <w:rPr>
          <w:lang w:val="en-AU"/>
        </w:rPr>
        <w:t xml:space="preserve">registered </w:t>
      </w:r>
      <w:r w:rsidRPr="00207DC2">
        <w:rPr>
          <w:lang w:val="en-AU"/>
        </w:rPr>
        <w:t xml:space="preserve">participants (commenced, </w:t>
      </w:r>
      <w:r w:rsidR="00D56D1D" w:rsidRPr="00207DC2">
        <w:rPr>
          <w:lang w:val="en-AU"/>
        </w:rPr>
        <w:t>temporarily exempt</w:t>
      </w:r>
      <w:r w:rsidRPr="00207DC2">
        <w:rPr>
          <w:lang w:val="en-AU"/>
        </w:rPr>
        <w:t xml:space="preserve"> or pending) on 1 January of each analysis year (2014 for </w:t>
      </w:r>
      <w:r w:rsidR="006B26C5" w:rsidRPr="00207DC2">
        <w:rPr>
          <w:lang w:val="en-AU"/>
        </w:rPr>
        <w:t xml:space="preserve">the </w:t>
      </w:r>
      <w:r w:rsidRPr="00207DC2">
        <w:rPr>
          <w:lang w:val="en-AU"/>
        </w:rPr>
        <w:t xml:space="preserve">RJCP and 2016 for </w:t>
      </w:r>
      <w:r w:rsidR="006B26C5" w:rsidRPr="00207DC2">
        <w:rPr>
          <w:lang w:val="en-AU"/>
        </w:rPr>
        <w:t xml:space="preserve">the </w:t>
      </w:r>
      <w:r w:rsidRPr="00207DC2">
        <w:rPr>
          <w:lang w:val="en-AU"/>
        </w:rPr>
        <w:t xml:space="preserve">CDP). </w:t>
      </w:r>
    </w:p>
    <w:p w14:paraId="0B0DB3C0" w14:textId="77777777" w:rsidR="00E445F8" w:rsidRPr="00207DC2" w:rsidRDefault="00E445F8" w:rsidP="00F90446">
      <w:pPr>
        <w:pStyle w:val="ListParagraph"/>
        <w:numPr>
          <w:ilvl w:val="0"/>
          <w:numId w:val="19"/>
        </w:numPr>
        <w:jc w:val="both"/>
        <w:rPr>
          <w:lang w:val="en-AU"/>
        </w:rPr>
      </w:pPr>
      <w:r w:rsidRPr="00207DC2">
        <w:rPr>
          <w:lang w:val="en-AU"/>
        </w:rPr>
        <w:t xml:space="preserve">The </w:t>
      </w:r>
      <w:r w:rsidRPr="00207DC2">
        <w:rPr>
          <w:i/>
          <w:lang w:val="en-AU"/>
        </w:rPr>
        <w:t>newly commenced</w:t>
      </w:r>
      <w:r w:rsidRPr="00207DC2">
        <w:rPr>
          <w:lang w:val="en-AU"/>
        </w:rPr>
        <w:t xml:space="preserve"> group commenced on the program between 2</w:t>
      </w:r>
      <w:r w:rsidR="002317B0" w:rsidRPr="00207DC2">
        <w:rPr>
          <w:lang w:val="en-AU"/>
        </w:rPr>
        <w:t> </w:t>
      </w:r>
      <w:r w:rsidRPr="00207DC2">
        <w:rPr>
          <w:lang w:val="en-AU"/>
        </w:rPr>
        <w:t>January and 30</w:t>
      </w:r>
      <w:r w:rsidR="002317B0" w:rsidRPr="00207DC2">
        <w:rPr>
          <w:lang w:val="en-AU"/>
        </w:rPr>
        <w:t> </w:t>
      </w:r>
      <w:r w:rsidRPr="00207DC2">
        <w:rPr>
          <w:lang w:val="en-AU"/>
        </w:rPr>
        <w:t>June of the relevant year. As would be expected, the newly commenced</w:t>
      </w:r>
      <w:r w:rsidRPr="00207DC2" w:rsidDel="00660BF0">
        <w:rPr>
          <w:lang w:val="en-AU"/>
        </w:rPr>
        <w:t xml:space="preserve"> </w:t>
      </w:r>
      <w:r w:rsidRPr="00207DC2">
        <w:rPr>
          <w:lang w:val="en-AU"/>
        </w:rPr>
        <w:t>sample contains a larger share of participants with low barriers to employment (</w:t>
      </w:r>
      <w:r w:rsidR="00187D8D" w:rsidRPr="00207DC2">
        <w:rPr>
          <w:lang w:val="en-AU"/>
        </w:rPr>
        <w:t xml:space="preserve">as measured by the </w:t>
      </w:r>
      <w:r w:rsidRPr="00207DC2">
        <w:rPr>
          <w:lang w:val="en-AU"/>
        </w:rPr>
        <w:t>JSCI) (details of the group selection and summary descriptive statistics are included in Appendix C, Table C.1).</w:t>
      </w:r>
    </w:p>
    <w:p w14:paraId="27B57CEE" w14:textId="77777777" w:rsidR="00BF67FE" w:rsidRPr="00207DC2" w:rsidRDefault="00BF67FE" w:rsidP="00E445F8">
      <w:pPr>
        <w:jc w:val="both"/>
        <w:rPr>
          <w:lang w:val="en-AU"/>
        </w:rPr>
      </w:pPr>
      <w:r w:rsidRPr="00207DC2">
        <w:rPr>
          <w:lang w:val="en-AU"/>
        </w:rPr>
        <w:t xml:space="preserve">The results of modelling are discussed next (details on the methodology and results are provided in Appendix C). </w:t>
      </w:r>
    </w:p>
    <w:p w14:paraId="7886886E" w14:textId="77777777" w:rsidR="00E445F8" w:rsidRPr="00207DC2" w:rsidRDefault="00E445F8" w:rsidP="00F35F78">
      <w:pPr>
        <w:pStyle w:val="ZED5"/>
        <w:outlineLvl w:val="3"/>
        <w:rPr>
          <w:rFonts w:eastAsiaTheme="minorHAnsi"/>
        </w:rPr>
      </w:pPr>
      <w:bookmarkStart w:id="517" w:name="_Toc509587047"/>
      <w:bookmarkStart w:id="518" w:name="_Toc509588073"/>
      <w:bookmarkStart w:id="519" w:name="_Toc509588336"/>
      <w:bookmarkStart w:id="520" w:name="_Toc509589484"/>
      <w:bookmarkStart w:id="521" w:name="_Toc509926902"/>
      <w:bookmarkStart w:id="522" w:name="_Toc511661252"/>
      <w:bookmarkStart w:id="523" w:name="_Toc511826303"/>
      <w:bookmarkStart w:id="524" w:name="_Toc511940620"/>
      <w:bookmarkStart w:id="525" w:name="_Toc515185470"/>
      <w:bookmarkStart w:id="526" w:name="_Toc516219843"/>
      <w:bookmarkStart w:id="527" w:name="_Toc516220484"/>
      <w:bookmarkStart w:id="528" w:name="_Toc516223304"/>
      <w:bookmarkStart w:id="529" w:name="_Toc516225212"/>
      <w:bookmarkStart w:id="530" w:name="_Toc516228988"/>
      <w:bookmarkStart w:id="531" w:name="_Toc535935060"/>
      <w:r w:rsidRPr="00207DC2">
        <w:rPr>
          <w:rFonts w:eastAsiaTheme="minorHAnsi"/>
        </w:rPr>
        <w:t xml:space="preserve">RJCP to CDP </w:t>
      </w:r>
      <w:r w:rsidRPr="00F35F78">
        <w:t>comparison</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5C2CD939" w14:textId="5BFC79CB" w:rsidR="003468B8" w:rsidRPr="00207DC2" w:rsidRDefault="00CE4159" w:rsidP="00320DA4">
      <w:pPr>
        <w:tabs>
          <w:tab w:val="left" w:pos="6663"/>
        </w:tabs>
        <w:jc w:val="both"/>
        <w:rPr>
          <w:lang w:val="en-AU"/>
        </w:rPr>
      </w:pPr>
      <w:r w:rsidRPr="00207DC2">
        <w:rPr>
          <w:lang w:val="en-AU"/>
        </w:rPr>
        <w:t>The before to after m</w:t>
      </w:r>
      <w:r w:rsidR="00E445F8" w:rsidRPr="00207DC2">
        <w:rPr>
          <w:lang w:val="en-AU"/>
        </w:rPr>
        <w:t xml:space="preserve">odelling suggests a </w:t>
      </w:r>
      <w:r w:rsidR="003468B8" w:rsidRPr="00207DC2">
        <w:rPr>
          <w:lang w:val="en-AU"/>
        </w:rPr>
        <w:t>statistically significant</w:t>
      </w:r>
      <w:r w:rsidR="00E445F8" w:rsidRPr="00207DC2">
        <w:rPr>
          <w:lang w:val="en-AU"/>
        </w:rPr>
        <w:t xml:space="preserve"> positive increase in employment outcomes occurred under the CDP compared to the RJCP </w:t>
      </w:r>
      <w:r w:rsidR="00E445F8" w:rsidRPr="00207DC2" w:rsidDel="001A4DF6">
        <w:rPr>
          <w:lang w:val="en-AU"/>
        </w:rPr>
        <w:t>(</w:t>
      </w:r>
      <w:r w:rsidR="00E445F8" w:rsidRPr="00207DC2">
        <w:rPr>
          <w:lang w:val="en-AU"/>
        </w:rPr>
        <w:t>Table</w:t>
      </w:r>
      <w:r w:rsidR="002317B0" w:rsidRPr="00207DC2">
        <w:rPr>
          <w:lang w:val="en-AU"/>
        </w:rPr>
        <w:t> </w:t>
      </w:r>
      <w:r w:rsidR="00E445F8" w:rsidRPr="00207DC2">
        <w:rPr>
          <w:lang w:val="en-AU"/>
        </w:rPr>
        <w:t>4.3). That is, after controlling for participant characteristics, the introduction of the CDP was estimated to increase the probability of a participant achieving</w:t>
      </w:r>
      <w:r w:rsidR="00971F5F">
        <w:rPr>
          <w:lang w:val="en-AU"/>
        </w:rPr>
        <w:t xml:space="preserve"> (within an 18-</w:t>
      </w:r>
      <w:r w:rsidR="000F1D71" w:rsidRPr="00207DC2">
        <w:rPr>
          <w:lang w:val="en-AU"/>
        </w:rPr>
        <w:t>month period)</w:t>
      </w:r>
      <w:r w:rsidR="003468B8" w:rsidRPr="00207DC2">
        <w:rPr>
          <w:lang w:val="en-AU"/>
        </w:rPr>
        <w:t>:</w:t>
      </w:r>
    </w:p>
    <w:p w14:paraId="3F9643E3" w14:textId="0D5243FD" w:rsidR="003468B8" w:rsidRPr="00207DC2" w:rsidRDefault="00E445F8" w:rsidP="00F90446">
      <w:pPr>
        <w:pStyle w:val="ListParagraph"/>
        <w:numPr>
          <w:ilvl w:val="0"/>
          <w:numId w:val="25"/>
        </w:numPr>
        <w:jc w:val="both"/>
        <w:rPr>
          <w:lang w:val="en-AU"/>
        </w:rPr>
      </w:pPr>
      <w:r w:rsidRPr="00207DC2">
        <w:rPr>
          <w:lang w:val="en-AU"/>
        </w:rPr>
        <w:t xml:space="preserve">at least one job placement by </w:t>
      </w:r>
      <w:r w:rsidR="000321C2" w:rsidRPr="00207DC2">
        <w:rPr>
          <w:lang w:val="en-AU"/>
        </w:rPr>
        <w:t>1.3</w:t>
      </w:r>
      <w:r w:rsidRPr="00207DC2">
        <w:rPr>
          <w:lang w:val="en-AU"/>
        </w:rPr>
        <w:t> percent</w:t>
      </w:r>
      <w:r w:rsidR="00B27FEB" w:rsidRPr="00207DC2">
        <w:rPr>
          <w:lang w:val="en-AU"/>
        </w:rPr>
        <w:t>age points</w:t>
      </w:r>
      <w:r w:rsidR="000321C2" w:rsidRPr="00207DC2">
        <w:rPr>
          <w:lang w:val="en-AU"/>
        </w:rPr>
        <w:t xml:space="preserve"> (up from a base of 16.5</w:t>
      </w:r>
      <w:r w:rsidR="00286346" w:rsidRPr="00207DC2">
        <w:rPr>
          <w:lang w:val="en-AU"/>
        </w:rPr>
        <w:t> </w:t>
      </w:r>
      <w:r w:rsidR="000321C2" w:rsidRPr="00207DC2">
        <w:rPr>
          <w:lang w:val="en-AU"/>
        </w:rPr>
        <w:t>per</w:t>
      </w:r>
      <w:r w:rsidR="00286346" w:rsidRPr="00207DC2">
        <w:rPr>
          <w:lang w:val="en-AU"/>
        </w:rPr>
        <w:t> </w:t>
      </w:r>
      <w:r w:rsidR="000321C2" w:rsidRPr="00207DC2">
        <w:rPr>
          <w:lang w:val="en-AU"/>
        </w:rPr>
        <w:t>cent of participants under the RJCP)</w:t>
      </w:r>
      <w:r w:rsidRPr="00207DC2">
        <w:rPr>
          <w:lang w:val="en-AU"/>
        </w:rPr>
        <w:t xml:space="preserve">, </w:t>
      </w:r>
    </w:p>
    <w:p w14:paraId="02B72FB0" w14:textId="054D3384" w:rsidR="003468B8" w:rsidRPr="00207DC2" w:rsidRDefault="00E445F8" w:rsidP="00F90446">
      <w:pPr>
        <w:pStyle w:val="ListParagraph"/>
        <w:numPr>
          <w:ilvl w:val="0"/>
          <w:numId w:val="25"/>
        </w:numPr>
        <w:jc w:val="both"/>
        <w:rPr>
          <w:lang w:val="en-AU"/>
        </w:rPr>
      </w:pPr>
      <w:r w:rsidRPr="00207DC2">
        <w:rPr>
          <w:lang w:val="en-AU"/>
        </w:rPr>
        <w:t>at least one 13</w:t>
      </w:r>
      <w:r w:rsidRPr="00207DC2">
        <w:rPr>
          <w:lang w:val="en-AU"/>
        </w:rPr>
        <w:noBreakHyphen/>
        <w:t>week placement by 2.2 </w:t>
      </w:r>
      <w:r w:rsidR="002803C8" w:rsidRPr="00207DC2">
        <w:rPr>
          <w:lang w:val="en-AU"/>
        </w:rPr>
        <w:t>percentage points</w:t>
      </w:r>
      <w:r w:rsidR="000321C2" w:rsidRPr="00207DC2">
        <w:rPr>
          <w:lang w:val="en-AU"/>
        </w:rPr>
        <w:t xml:space="preserve"> (up from a base of 8.0</w:t>
      </w:r>
      <w:r w:rsidR="002317B0" w:rsidRPr="00207DC2">
        <w:rPr>
          <w:lang w:val="en-AU"/>
        </w:rPr>
        <w:t> </w:t>
      </w:r>
      <w:r w:rsidR="000321C2" w:rsidRPr="00207DC2">
        <w:rPr>
          <w:lang w:val="en-AU"/>
        </w:rPr>
        <w:t>per c</w:t>
      </w:r>
      <w:r w:rsidR="000539C3" w:rsidRPr="00207DC2">
        <w:rPr>
          <w:lang w:val="en-AU"/>
        </w:rPr>
        <w:t>ent</w:t>
      </w:r>
      <w:r w:rsidR="000321C2" w:rsidRPr="00207DC2">
        <w:rPr>
          <w:lang w:val="en-AU"/>
        </w:rPr>
        <w:t>)</w:t>
      </w:r>
      <w:r w:rsidRPr="00207DC2">
        <w:rPr>
          <w:lang w:val="en-AU"/>
        </w:rPr>
        <w:t xml:space="preserve">, and </w:t>
      </w:r>
    </w:p>
    <w:p w14:paraId="48AD2CB5" w14:textId="77777777" w:rsidR="00E445F8" w:rsidRPr="00207DC2" w:rsidRDefault="00E445F8" w:rsidP="00F90446">
      <w:pPr>
        <w:pStyle w:val="ListParagraph"/>
        <w:numPr>
          <w:ilvl w:val="0"/>
          <w:numId w:val="25"/>
        </w:numPr>
        <w:jc w:val="both"/>
        <w:rPr>
          <w:lang w:val="en-AU"/>
        </w:rPr>
      </w:pPr>
      <w:r w:rsidRPr="00207DC2">
        <w:rPr>
          <w:lang w:val="en-AU"/>
        </w:rPr>
        <w:t>at least one 26</w:t>
      </w:r>
      <w:r w:rsidRPr="00207DC2">
        <w:rPr>
          <w:lang w:val="en-AU"/>
        </w:rPr>
        <w:noBreakHyphen/>
        <w:t>week outcome by 1.2 percent</w:t>
      </w:r>
      <w:r w:rsidR="00B27FEB" w:rsidRPr="00207DC2">
        <w:rPr>
          <w:lang w:val="en-AU"/>
        </w:rPr>
        <w:t>age points</w:t>
      </w:r>
      <w:r w:rsidR="000321C2" w:rsidRPr="00207DC2">
        <w:rPr>
          <w:lang w:val="en-AU"/>
        </w:rPr>
        <w:t xml:space="preserve"> (up from a </w:t>
      </w:r>
      <w:r w:rsidR="000539C3" w:rsidRPr="00207DC2">
        <w:rPr>
          <w:lang w:val="en-AU"/>
        </w:rPr>
        <w:t>base of 5.6</w:t>
      </w:r>
      <w:r w:rsidR="002317B0" w:rsidRPr="00207DC2">
        <w:rPr>
          <w:lang w:val="en-AU"/>
        </w:rPr>
        <w:t> </w:t>
      </w:r>
      <w:r w:rsidR="000539C3" w:rsidRPr="00207DC2">
        <w:rPr>
          <w:lang w:val="en-AU"/>
        </w:rPr>
        <w:t>per cent)</w:t>
      </w:r>
      <w:r w:rsidRPr="00207DC2">
        <w:rPr>
          <w:lang w:val="en-AU"/>
        </w:rPr>
        <w:t xml:space="preserve">. </w:t>
      </w:r>
    </w:p>
    <w:p w14:paraId="3698F752" w14:textId="140042C7" w:rsidR="004A6F06" w:rsidRPr="00207DC2" w:rsidRDefault="00E445F8" w:rsidP="00E445F8">
      <w:pPr>
        <w:jc w:val="both"/>
        <w:rPr>
          <w:lang w:val="en-AU"/>
        </w:rPr>
      </w:pPr>
      <w:r w:rsidRPr="00207DC2">
        <w:rPr>
          <w:lang w:val="en-AU"/>
        </w:rPr>
        <w:t xml:space="preserve">There is no substantial difference in the modelling results whether the participant characteristics were controlled for or not. </w:t>
      </w:r>
      <w:r w:rsidR="00654DA2" w:rsidRPr="00207DC2">
        <w:rPr>
          <w:lang w:val="en-AU"/>
        </w:rPr>
        <w:t xml:space="preserve">This strongly suggests that there is little difference in the characteristics of participants for the RJCP and </w:t>
      </w:r>
      <w:r w:rsidR="0028792D" w:rsidRPr="00207DC2">
        <w:rPr>
          <w:lang w:val="en-AU"/>
        </w:rPr>
        <w:t xml:space="preserve">the </w:t>
      </w:r>
      <w:r w:rsidR="00654DA2" w:rsidRPr="00207DC2">
        <w:rPr>
          <w:lang w:val="en-AU"/>
        </w:rPr>
        <w:t>CDP samples.</w:t>
      </w:r>
      <w:r w:rsidRPr="00207DC2">
        <w:rPr>
          <w:lang w:val="en-AU"/>
        </w:rPr>
        <w:t xml:space="preserve"> </w:t>
      </w:r>
      <w:r w:rsidR="008F1CC8" w:rsidRPr="00207DC2">
        <w:rPr>
          <w:lang w:val="en-AU"/>
        </w:rPr>
        <w:t>It follows</w:t>
      </w:r>
      <w:r w:rsidRPr="00207DC2">
        <w:rPr>
          <w:lang w:val="en-AU"/>
        </w:rPr>
        <w:t xml:space="preserve"> that the estimated increase in employment outcomes between the periods is </w:t>
      </w:r>
      <w:r w:rsidR="00AD7622" w:rsidRPr="00207DC2">
        <w:rPr>
          <w:lang w:val="en-AU"/>
        </w:rPr>
        <w:t xml:space="preserve">not due to </w:t>
      </w:r>
      <w:r w:rsidR="00614343" w:rsidRPr="00207DC2">
        <w:rPr>
          <w:lang w:val="en-AU"/>
        </w:rPr>
        <w:t xml:space="preserve">the change in the </w:t>
      </w:r>
      <w:r w:rsidR="00AD7622" w:rsidRPr="00207DC2">
        <w:rPr>
          <w:lang w:val="en-AU"/>
        </w:rPr>
        <w:t xml:space="preserve">characteristics of </w:t>
      </w:r>
      <w:r w:rsidR="000539C3" w:rsidRPr="00207DC2">
        <w:rPr>
          <w:lang w:val="en-AU"/>
        </w:rPr>
        <w:t>participants</w:t>
      </w:r>
      <w:r w:rsidRPr="00207DC2">
        <w:rPr>
          <w:lang w:val="en-AU"/>
        </w:rPr>
        <w:t xml:space="preserve">. </w:t>
      </w:r>
      <w:r w:rsidR="00483557" w:rsidRPr="00207DC2">
        <w:rPr>
          <w:lang w:val="en-AU"/>
        </w:rPr>
        <w:t>N</w:t>
      </w:r>
      <w:r w:rsidR="002D6A95" w:rsidRPr="00207DC2">
        <w:rPr>
          <w:lang w:val="en-AU"/>
        </w:rPr>
        <w:t xml:space="preserve">o substantial difference in </w:t>
      </w:r>
      <w:r w:rsidR="00483557" w:rsidRPr="00207DC2">
        <w:rPr>
          <w:lang w:val="en-AU"/>
        </w:rPr>
        <w:t>the estimated</w:t>
      </w:r>
      <w:r w:rsidR="002D6A95" w:rsidRPr="00207DC2">
        <w:rPr>
          <w:lang w:val="en-AU"/>
        </w:rPr>
        <w:t xml:space="preserve"> results </w:t>
      </w:r>
      <w:r w:rsidR="00483557" w:rsidRPr="00207DC2">
        <w:rPr>
          <w:lang w:val="en-AU"/>
        </w:rPr>
        <w:t xml:space="preserve">was found </w:t>
      </w:r>
      <w:r w:rsidR="002D6A95" w:rsidRPr="00207DC2">
        <w:rPr>
          <w:lang w:val="en-AU"/>
        </w:rPr>
        <w:t>when</w:t>
      </w:r>
      <w:r w:rsidR="00483557" w:rsidRPr="00207DC2">
        <w:rPr>
          <w:lang w:val="en-AU"/>
        </w:rPr>
        <w:t xml:space="preserve"> the model was re-run using</w:t>
      </w:r>
      <w:r w:rsidR="002D6A95" w:rsidRPr="00207DC2">
        <w:rPr>
          <w:lang w:val="en-AU"/>
        </w:rPr>
        <w:t xml:space="preserve"> a second point-in-time sample (</w:t>
      </w:r>
      <w:r w:rsidR="00483557" w:rsidRPr="00207DC2">
        <w:rPr>
          <w:lang w:val="en-AU"/>
        </w:rPr>
        <w:t xml:space="preserve">on </w:t>
      </w:r>
      <w:r w:rsidR="000539C3" w:rsidRPr="00207DC2">
        <w:rPr>
          <w:lang w:val="en-AU"/>
        </w:rPr>
        <w:t xml:space="preserve">1 </w:t>
      </w:r>
      <w:r w:rsidR="002D6A95" w:rsidRPr="00207DC2">
        <w:rPr>
          <w:lang w:val="en-AU"/>
        </w:rPr>
        <w:t>June</w:t>
      </w:r>
      <w:r w:rsidR="00483557" w:rsidRPr="00207DC2">
        <w:rPr>
          <w:lang w:val="en-AU"/>
        </w:rPr>
        <w:t xml:space="preserve"> </w:t>
      </w:r>
      <w:r w:rsidR="00981373" w:rsidRPr="00207DC2">
        <w:rPr>
          <w:lang w:val="en-AU"/>
        </w:rPr>
        <w:t>2</w:t>
      </w:r>
      <w:r w:rsidR="000F1D71" w:rsidRPr="00207DC2">
        <w:rPr>
          <w:lang w:val="en-AU"/>
        </w:rPr>
        <w:t>01</w:t>
      </w:r>
      <w:r w:rsidR="00981373" w:rsidRPr="00207DC2">
        <w:rPr>
          <w:lang w:val="en-AU"/>
        </w:rPr>
        <w:t xml:space="preserve">4 </w:t>
      </w:r>
      <w:r w:rsidR="00BC1F6B" w:rsidRPr="00207DC2">
        <w:rPr>
          <w:lang w:val="en-AU"/>
        </w:rPr>
        <w:t>and</w:t>
      </w:r>
      <w:r w:rsidR="00981373" w:rsidRPr="00207DC2">
        <w:rPr>
          <w:lang w:val="en-AU"/>
        </w:rPr>
        <w:t xml:space="preserve"> </w:t>
      </w:r>
      <w:r w:rsidR="00483557" w:rsidRPr="00207DC2">
        <w:rPr>
          <w:lang w:val="en-AU"/>
        </w:rPr>
        <w:t>2016)</w:t>
      </w:r>
      <w:r w:rsidR="002D6A95" w:rsidRPr="00207DC2">
        <w:rPr>
          <w:lang w:val="en-AU"/>
        </w:rPr>
        <w:t xml:space="preserve">. </w:t>
      </w:r>
    </w:p>
    <w:p w14:paraId="2554CDEC" w14:textId="7BE4FF99" w:rsidR="00E445F8" w:rsidRPr="00207DC2" w:rsidRDefault="00E445F8" w:rsidP="00FB626D">
      <w:pPr>
        <w:pStyle w:val="Table"/>
        <w:outlineLvl w:val="9"/>
      </w:pPr>
      <w:r w:rsidRPr="00207DC2">
        <w:t xml:space="preserve">Table </w:t>
      </w:r>
      <w:r w:rsidR="00905D1A">
        <w:t>4</w:t>
      </w:r>
      <w:r w:rsidR="00581320" w:rsidRPr="00207DC2">
        <w:t>.</w:t>
      </w:r>
      <w:r w:rsidR="00905D1A">
        <w:t>3</w:t>
      </w:r>
      <w:r w:rsidR="00905D1A" w:rsidRPr="00207DC2">
        <w:t xml:space="preserve"> </w:t>
      </w:r>
      <w:r w:rsidRPr="00207DC2">
        <w:t>Estimated change in employment outcome</w:t>
      </w:r>
      <w:r w:rsidR="0076512D" w:rsidRPr="00207DC2">
        <w:t xml:space="preserve"> rate</w:t>
      </w:r>
      <w:r w:rsidRPr="00207DC2">
        <w:t xml:space="preserve">s from the </w:t>
      </w:r>
      <w:r w:rsidRPr="00207DC2">
        <w:rPr>
          <w:rFonts w:eastAsiaTheme="minorHAnsi"/>
        </w:rPr>
        <w:t xml:space="preserve">RJCP to </w:t>
      </w:r>
      <w:r w:rsidR="0028792D" w:rsidRPr="00207DC2">
        <w:rPr>
          <w:rFonts w:eastAsiaTheme="minorHAnsi"/>
        </w:rPr>
        <w:t xml:space="preserve">the </w:t>
      </w:r>
      <w:r w:rsidRPr="00207DC2">
        <w:rPr>
          <w:rFonts w:eastAsiaTheme="minorHAnsi"/>
        </w:rPr>
        <w:t>CDP</w:t>
      </w:r>
      <w:r w:rsidRPr="00207DC2">
        <w:t xml:space="preserve"> modelling</w:t>
      </w:r>
      <w:r w:rsidR="00E6322D" w:rsidRPr="00207DC2">
        <w:rPr>
          <w:b/>
          <w:vertAlign w:val="superscript"/>
        </w:rPr>
        <w:t>a</w:t>
      </w:r>
    </w:p>
    <w:tbl>
      <w:tblPr>
        <w:tblStyle w:val="PlainTable21"/>
        <w:tblW w:w="0" w:type="auto"/>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Estimated change in employment outcome rates from the RJCP to CDP modelling"/>
        <w:tblDescription w:val="The table presents the estimated percentage point change in employment outcomes (placements, 13- and 26-week outcomes) for the RJCP to CDP modelling for the: &#10;- point in time sample &#10;- newly commenced sample. "/>
      </w:tblPr>
      <w:tblGrid>
        <w:gridCol w:w="5637"/>
        <w:gridCol w:w="1134"/>
        <w:gridCol w:w="1134"/>
        <w:gridCol w:w="1134"/>
      </w:tblGrid>
      <w:tr w:rsidR="00E445F8" w:rsidRPr="00207DC2" w14:paraId="61C8E3CA" w14:textId="77777777" w:rsidTr="000A3951">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5637" w:type="dxa"/>
            <w:tcBorders>
              <w:bottom w:val="single" w:sz="4" w:space="0" w:color="262626" w:themeColor="background1"/>
            </w:tcBorders>
          </w:tcPr>
          <w:p w14:paraId="416C9500" w14:textId="454DBD12" w:rsidR="00E445F8" w:rsidRPr="00207DC2" w:rsidRDefault="00B61ED1" w:rsidP="00FB626D">
            <w:pPr>
              <w:keepNext/>
              <w:keepLines/>
              <w:spacing w:before="60" w:after="60"/>
              <w:rPr>
                <w:color w:val="auto"/>
                <w:sz w:val="20"/>
                <w:szCs w:val="20"/>
                <w:lang w:val="en-AU"/>
              </w:rPr>
            </w:pPr>
            <w:r w:rsidRPr="00207DC2">
              <w:rPr>
                <w:color w:val="auto"/>
                <w:sz w:val="20"/>
                <w:szCs w:val="20"/>
                <w:lang w:val="en-AU"/>
              </w:rPr>
              <w:t>Percentage points</w:t>
            </w:r>
          </w:p>
        </w:tc>
        <w:tc>
          <w:tcPr>
            <w:tcW w:w="1134" w:type="dxa"/>
            <w:tcBorders>
              <w:bottom w:val="single" w:sz="4" w:space="0" w:color="262626" w:themeColor="background1"/>
            </w:tcBorders>
          </w:tcPr>
          <w:p w14:paraId="7D9CF8AA" w14:textId="77777777" w:rsidR="00E445F8" w:rsidRPr="00207DC2" w:rsidRDefault="00E445F8" w:rsidP="00FB626D">
            <w:pPr>
              <w:keepNext/>
              <w:keepLines/>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Placed</w:t>
            </w:r>
          </w:p>
        </w:tc>
        <w:tc>
          <w:tcPr>
            <w:tcW w:w="1134" w:type="dxa"/>
            <w:tcBorders>
              <w:bottom w:val="single" w:sz="4" w:space="0" w:color="262626" w:themeColor="background1"/>
            </w:tcBorders>
          </w:tcPr>
          <w:p w14:paraId="09FC7F88" w14:textId="5097E48E" w:rsidR="00E445F8" w:rsidRPr="00207DC2" w:rsidRDefault="00E445F8" w:rsidP="00281CF6">
            <w:pPr>
              <w:keepNext/>
              <w:keepLines/>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13</w:t>
            </w:r>
            <w:r w:rsidR="00281CF6">
              <w:rPr>
                <w:color w:val="auto"/>
                <w:sz w:val="20"/>
                <w:szCs w:val="20"/>
                <w:lang w:val="en-AU"/>
              </w:rPr>
              <w:t xml:space="preserve"> </w:t>
            </w:r>
            <w:r w:rsidRPr="00207DC2">
              <w:rPr>
                <w:color w:val="auto"/>
                <w:sz w:val="20"/>
                <w:szCs w:val="20"/>
                <w:lang w:val="en-AU"/>
              </w:rPr>
              <w:t>week</w:t>
            </w:r>
          </w:p>
        </w:tc>
        <w:tc>
          <w:tcPr>
            <w:tcW w:w="1134" w:type="dxa"/>
            <w:tcBorders>
              <w:bottom w:val="single" w:sz="4" w:space="0" w:color="262626" w:themeColor="background1"/>
            </w:tcBorders>
          </w:tcPr>
          <w:p w14:paraId="36B53BEE" w14:textId="13686D71" w:rsidR="00E445F8" w:rsidRPr="00207DC2" w:rsidRDefault="00E445F8" w:rsidP="00281CF6">
            <w:pPr>
              <w:keepNext/>
              <w:keepLines/>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26</w:t>
            </w:r>
            <w:r w:rsidR="00281CF6">
              <w:rPr>
                <w:color w:val="auto"/>
                <w:sz w:val="20"/>
                <w:szCs w:val="20"/>
                <w:lang w:val="en-AU"/>
              </w:rPr>
              <w:t xml:space="preserve"> </w:t>
            </w:r>
            <w:r w:rsidRPr="00207DC2">
              <w:rPr>
                <w:color w:val="auto"/>
                <w:sz w:val="20"/>
                <w:szCs w:val="20"/>
                <w:lang w:val="en-AU"/>
              </w:rPr>
              <w:t>week</w:t>
            </w:r>
          </w:p>
        </w:tc>
      </w:tr>
      <w:tr w:rsidR="00E445F8" w:rsidRPr="00207DC2" w14:paraId="34447970" w14:textId="77777777" w:rsidTr="004060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37" w:type="dxa"/>
            <w:tcBorders>
              <w:bottom w:val="nil"/>
            </w:tcBorders>
          </w:tcPr>
          <w:p w14:paraId="72D79D6A"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Point in time sample</w:t>
            </w:r>
          </w:p>
        </w:tc>
        <w:tc>
          <w:tcPr>
            <w:tcW w:w="1134" w:type="dxa"/>
            <w:tcBorders>
              <w:bottom w:val="nil"/>
            </w:tcBorders>
          </w:tcPr>
          <w:p w14:paraId="54BECDF6" w14:textId="77777777" w:rsidR="00E445F8" w:rsidRPr="00207DC2" w:rsidRDefault="00E445F8" w:rsidP="00FB626D">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1.3***</w:t>
            </w:r>
          </w:p>
        </w:tc>
        <w:tc>
          <w:tcPr>
            <w:tcW w:w="1134" w:type="dxa"/>
            <w:tcBorders>
              <w:bottom w:val="nil"/>
            </w:tcBorders>
          </w:tcPr>
          <w:p w14:paraId="36F04A48" w14:textId="77777777" w:rsidR="00E445F8" w:rsidRPr="00207DC2" w:rsidRDefault="00E445F8" w:rsidP="00FB626D">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2.</w:t>
            </w:r>
            <w:r w:rsidR="00B27FEB" w:rsidRPr="00207DC2">
              <w:rPr>
                <w:color w:val="auto"/>
                <w:sz w:val="20"/>
                <w:szCs w:val="20"/>
                <w:lang w:val="en-AU"/>
              </w:rPr>
              <w:t>2</w:t>
            </w:r>
            <w:r w:rsidRPr="00207DC2">
              <w:rPr>
                <w:color w:val="auto"/>
                <w:sz w:val="20"/>
                <w:szCs w:val="20"/>
                <w:lang w:val="en-AU"/>
              </w:rPr>
              <w:t>***</w:t>
            </w:r>
          </w:p>
        </w:tc>
        <w:tc>
          <w:tcPr>
            <w:tcW w:w="1134" w:type="dxa"/>
            <w:tcBorders>
              <w:bottom w:val="nil"/>
            </w:tcBorders>
          </w:tcPr>
          <w:p w14:paraId="3B5E85EC" w14:textId="77777777" w:rsidR="00E445F8" w:rsidRPr="00207DC2" w:rsidRDefault="00E445F8" w:rsidP="00FB626D">
            <w:pPr>
              <w:keepNext/>
              <w:keepLine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1.2***</w:t>
            </w:r>
          </w:p>
        </w:tc>
      </w:tr>
      <w:tr w:rsidR="00E445F8" w:rsidRPr="00207DC2" w14:paraId="1B538DFF" w14:textId="77777777" w:rsidTr="00406010">
        <w:tc>
          <w:tcPr>
            <w:cnfStyle w:val="001000000000" w:firstRow="0" w:lastRow="0" w:firstColumn="1" w:lastColumn="0" w:oddVBand="0" w:evenVBand="0" w:oddHBand="0" w:evenHBand="0" w:firstRowFirstColumn="0" w:firstRowLastColumn="0" w:lastRowFirstColumn="0" w:lastRowLastColumn="0"/>
            <w:tcW w:w="5637" w:type="dxa"/>
            <w:tcBorders>
              <w:top w:val="nil"/>
            </w:tcBorders>
          </w:tcPr>
          <w:p w14:paraId="41F39B33"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Newly commenced</w:t>
            </w:r>
            <w:r w:rsidRPr="00207DC2" w:rsidDel="00660BF0">
              <w:rPr>
                <w:color w:val="auto"/>
                <w:sz w:val="20"/>
                <w:szCs w:val="20"/>
                <w:lang w:val="en-AU"/>
              </w:rPr>
              <w:t xml:space="preserve"> </w:t>
            </w:r>
            <w:r w:rsidRPr="00207DC2">
              <w:rPr>
                <w:color w:val="auto"/>
                <w:sz w:val="20"/>
                <w:szCs w:val="20"/>
                <w:lang w:val="en-AU"/>
              </w:rPr>
              <w:t>sample</w:t>
            </w:r>
          </w:p>
        </w:tc>
        <w:tc>
          <w:tcPr>
            <w:tcW w:w="1134" w:type="dxa"/>
            <w:tcBorders>
              <w:top w:val="nil"/>
            </w:tcBorders>
          </w:tcPr>
          <w:p w14:paraId="3995C161" w14:textId="77777777" w:rsidR="00E445F8" w:rsidRPr="00207DC2" w:rsidRDefault="00E445F8" w:rsidP="00FB626D">
            <w:pPr>
              <w:keepNext/>
              <w:keepLine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0.8</w:t>
            </w:r>
          </w:p>
        </w:tc>
        <w:tc>
          <w:tcPr>
            <w:tcW w:w="1134" w:type="dxa"/>
            <w:tcBorders>
              <w:top w:val="nil"/>
            </w:tcBorders>
          </w:tcPr>
          <w:p w14:paraId="41287583" w14:textId="77777777" w:rsidR="00E445F8" w:rsidRPr="00207DC2" w:rsidRDefault="00E445F8" w:rsidP="00FB626D">
            <w:pPr>
              <w:keepNext/>
              <w:keepLine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2.3***</w:t>
            </w:r>
          </w:p>
        </w:tc>
        <w:tc>
          <w:tcPr>
            <w:tcW w:w="1134" w:type="dxa"/>
            <w:tcBorders>
              <w:top w:val="nil"/>
            </w:tcBorders>
          </w:tcPr>
          <w:p w14:paraId="4831032C" w14:textId="77777777" w:rsidR="00E445F8" w:rsidRPr="00207DC2" w:rsidRDefault="00E445F8" w:rsidP="00FB626D">
            <w:pPr>
              <w:keepNext/>
              <w:keepLine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2.1***</w:t>
            </w:r>
          </w:p>
        </w:tc>
      </w:tr>
    </w:tbl>
    <w:p w14:paraId="6F7B2F66" w14:textId="77777777" w:rsidR="00DF7D3E" w:rsidRPr="00207DC2" w:rsidRDefault="00E445F8" w:rsidP="00FB626D">
      <w:pPr>
        <w:pStyle w:val="tablenotes"/>
      </w:pPr>
      <w:r w:rsidRPr="00207DC2">
        <w:rPr>
          <w:i/>
        </w:rPr>
        <w:t>Source:</w:t>
      </w:r>
      <w:r w:rsidRPr="00207DC2">
        <w:t xml:space="preserve"> </w:t>
      </w:r>
      <w:r w:rsidR="0057565A" w:rsidRPr="00207DC2">
        <w:t>PMC</w:t>
      </w:r>
      <w:r w:rsidRPr="00207DC2">
        <w:t xml:space="preserve"> estimates based unpublished ESS operational data (extracted on </w:t>
      </w:r>
      <w:r w:rsidR="00E538AC" w:rsidRPr="00207DC2">
        <w:t>3</w:t>
      </w:r>
      <w:r w:rsidR="002317B0" w:rsidRPr="00207DC2">
        <w:t> </w:t>
      </w:r>
      <w:r w:rsidR="00E538AC" w:rsidRPr="00207DC2">
        <w:t>Octo</w:t>
      </w:r>
      <w:r w:rsidR="002317B0" w:rsidRPr="00207DC2">
        <w:t>ber </w:t>
      </w:r>
      <w:r w:rsidR="00E538AC" w:rsidRPr="00207DC2">
        <w:t>2017) and DHS operational data (extracted on 9 October 2017</w:t>
      </w:r>
      <w:r w:rsidRPr="00207DC2">
        <w:t>).</w:t>
      </w:r>
      <w:r w:rsidR="001D2441" w:rsidRPr="00207DC2">
        <w:t xml:space="preserve"> </w:t>
      </w:r>
    </w:p>
    <w:p w14:paraId="63D64BFF" w14:textId="77777777" w:rsidR="00E445F8" w:rsidRPr="00207DC2" w:rsidRDefault="00E445F8" w:rsidP="00FB626D">
      <w:pPr>
        <w:pStyle w:val="tablenotes"/>
      </w:pPr>
      <w:r w:rsidRPr="00207DC2">
        <w:rPr>
          <w:i/>
        </w:rPr>
        <w:t>Note</w:t>
      </w:r>
      <w:r w:rsidR="001D2441" w:rsidRPr="00207DC2">
        <w:rPr>
          <w:i/>
        </w:rPr>
        <w:t>s</w:t>
      </w:r>
      <w:r w:rsidRPr="00207DC2">
        <w:rPr>
          <w:i/>
        </w:rPr>
        <w:t>:</w:t>
      </w:r>
      <w:r w:rsidRPr="00207DC2">
        <w:t xml:space="preserve"> </w:t>
      </w:r>
      <w:r w:rsidR="00E6322D" w:rsidRPr="00207DC2">
        <w:t xml:space="preserve">(a) </w:t>
      </w:r>
      <w:r w:rsidRPr="00207DC2">
        <w:t xml:space="preserve">Estimates marked as *** are statistically significant at the 0.1 per cent level, **are statistically significant at the </w:t>
      </w:r>
      <w:r w:rsidR="00CF7EFA" w:rsidRPr="00207DC2">
        <w:t>one</w:t>
      </w:r>
      <w:r w:rsidRPr="00207DC2">
        <w:t xml:space="preserve"> per cent level, and * are statistically significant at the </w:t>
      </w:r>
      <w:r w:rsidR="00CF7EFA" w:rsidRPr="00207DC2">
        <w:t>five</w:t>
      </w:r>
      <w:r w:rsidRPr="00207DC2">
        <w:t> per cent level.</w:t>
      </w:r>
      <w:r w:rsidRPr="00207DC2" w:rsidDel="00FD03CD">
        <w:t xml:space="preserve"> </w:t>
      </w:r>
    </w:p>
    <w:p w14:paraId="2F2E5DDD" w14:textId="77777777" w:rsidR="00E445F8" w:rsidRPr="00207DC2" w:rsidRDefault="00E445F8" w:rsidP="00FB626D">
      <w:pPr>
        <w:spacing w:before="240"/>
        <w:jc w:val="both"/>
        <w:rPr>
          <w:lang w:val="en-AU"/>
        </w:rPr>
      </w:pPr>
      <w:r w:rsidRPr="00207DC2">
        <w:rPr>
          <w:lang w:val="en-AU"/>
        </w:rPr>
        <w:t xml:space="preserve">While there was no significant difference in the rate of job placements for the newly commenced sample, </w:t>
      </w:r>
      <w:r w:rsidR="003468B8" w:rsidRPr="00207DC2">
        <w:rPr>
          <w:lang w:val="en-AU"/>
        </w:rPr>
        <w:t>these</w:t>
      </w:r>
      <w:r w:rsidRPr="00207DC2">
        <w:rPr>
          <w:lang w:val="en-AU"/>
        </w:rPr>
        <w:t xml:space="preserve"> participants were more likely to achieve 13</w:t>
      </w:r>
      <w:r w:rsidR="002317B0" w:rsidRPr="00207DC2">
        <w:rPr>
          <w:lang w:val="en-AU"/>
        </w:rPr>
        <w:noBreakHyphen/>
      </w:r>
      <w:r w:rsidRPr="00207DC2">
        <w:rPr>
          <w:lang w:val="en-AU"/>
        </w:rPr>
        <w:t>week and 26</w:t>
      </w:r>
      <w:r w:rsidRPr="00207DC2">
        <w:rPr>
          <w:lang w:val="en-AU"/>
        </w:rPr>
        <w:noBreakHyphen/>
        <w:t>week outcomes under</w:t>
      </w:r>
      <w:r w:rsidR="00323AA0" w:rsidRPr="00207DC2">
        <w:rPr>
          <w:lang w:val="en-AU"/>
        </w:rPr>
        <w:t xml:space="preserve"> the</w:t>
      </w:r>
      <w:r w:rsidRPr="00207DC2">
        <w:rPr>
          <w:lang w:val="en-AU"/>
        </w:rPr>
        <w:t xml:space="preserve"> CDP than under </w:t>
      </w:r>
      <w:r w:rsidR="0028792D" w:rsidRPr="00207DC2">
        <w:rPr>
          <w:lang w:val="en-AU"/>
        </w:rPr>
        <w:t xml:space="preserve">the </w:t>
      </w:r>
      <w:r w:rsidRPr="00207DC2">
        <w:rPr>
          <w:lang w:val="en-AU"/>
        </w:rPr>
        <w:t xml:space="preserve">RJCP. </w:t>
      </w:r>
    </w:p>
    <w:p w14:paraId="20D3B42A" w14:textId="0E0D5283" w:rsidR="007E6E94" w:rsidRPr="00207DC2" w:rsidRDefault="007E6E94" w:rsidP="00FB626D">
      <w:pPr>
        <w:jc w:val="both"/>
        <w:rPr>
          <w:lang w:val="en-AU"/>
        </w:rPr>
      </w:pPr>
      <w:r w:rsidRPr="00207DC2">
        <w:rPr>
          <w:lang w:val="en-AU"/>
        </w:rPr>
        <w:t>The</w:t>
      </w:r>
      <w:r w:rsidR="00E445F8" w:rsidRPr="00207DC2">
        <w:rPr>
          <w:lang w:val="en-AU"/>
        </w:rPr>
        <w:t xml:space="preserve"> increase in 26</w:t>
      </w:r>
      <w:r w:rsidR="00E445F8" w:rsidRPr="00207DC2">
        <w:rPr>
          <w:lang w:val="en-AU"/>
        </w:rPr>
        <w:noBreakHyphen/>
        <w:t>week employment outcomes was estimated to be greater for the newly commenced sample compared with the point</w:t>
      </w:r>
      <w:r w:rsidR="00E445F8" w:rsidRPr="00207DC2">
        <w:rPr>
          <w:lang w:val="en-AU"/>
        </w:rPr>
        <w:noBreakHyphen/>
        <w:t>in</w:t>
      </w:r>
      <w:r w:rsidR="00E445F8" w:rsidRPr="00207DC2">
        <w:rPr>
          <w:lang w:val="en-AU"/>
        </w:rPr>
        <w:noBreakHyphen/>
        <w:t>time sample. As noted above, the newly commenced</w:t>
      </w:r>
      <w:r w:rsidR="00E445F8" w:rsidRPr="00207DC2" w:rsidDel="00660BF0">
        <w:rPr>
          <w:lang w:val="en-AU"/>
        </w:rPr>
        <w:t xml:space="preserve"> </w:t>
      </w:r>
      <w:r w:rsidR="00E445F8" w:rsidRPr="00207DC2">
        <w:rPr>
          <w:lang w:val="en-AU"/>
        </w:rPr>
        <w:t>sample contains a larger share of low barriers participants</w:t>
      </w:r>
      <w:r w:rsidR="00396552">
        <w:rPr>
          <w:lang w:val="en-AU"/>
        </w:rPr>
        <w:t xml:space="preserve"> – </w:t>
      </w:r>
      <w:r w:rsidR="00E445F8" w:rsidRPr="00207DC2">
        <w:rPr>
          <w:lang w:val="en-AU"/>
        </w:rPr>
        <w:t xml:space="preserve">around 19 per cent, compared with </w:t>
      </w:r>
      <w:r w:rsidR="002634B6" w:rsidRPr="00207DC2">
        <w:rPr>
          <w:lang w:val="en-AU"/>
        </w:rPr>
        <w:t>nine</w:t>
      </w:r>
      <w:r w:rsidR="00E445F8" w:rsidRPr="00207DC2">
        <w:rPr>
          <w:lang w:val="en-AU"/>
        </w:rPr>
        <w:t xml:space="preserve"> per cent in the point-in-time sample </w:t>
      </w:r>
      <w:r w:rsidR="00E445F8" w:rsidRPr="00207DC2" w:rsidDel="001A4DF6">
        <w:rPr>
          <w:lang w:val="en-AU"/>
        </w:rPr>
        <w:t>(</w:t>
      </w:r>
      <w:r w:rsidR="00E445F8" w:rsidRPr="00207DC2">
        <w:rPr>
          <w:lang w:val="en-AU"/>
        </w:rPr>
        <w:t>Table C.1). Under changes to the provider payment model</w:t>
      </w:r>
      <w:r w:rsidR="00E33102" w:rsidRPr="00207DC2">
        <w:rPr>
          <w:lang w:val="en-AU"/>
        </w:rPr>
        <w:t xml:space="preserve"> (</w:t>
      </w:r>
      <w:r w:rsidR="00E445F8" w:rsidRPr="00207DC2">
        <w:rPr>
          <w:lang w:val="en-AU"/>
        </w:rPr>
        <w:t>Chapter</w:t>
      </w:r>
      <w:r w:rsidR="002317B0" w:rsidRPr="00207DC2">
        <w:rPr>
          <w:lang w:val="en-AU"/>
        </w:rPr>
        <w:t> </w:t>
      </w:r>
      <w:r w:rsidR="00E445F8" w:rsidRPr="00207DC2">
        <w:rPr>
          <w:lang w:val="en-AU"/>
        </w:rPr>
        <w:t>1</w:t>
      </w:r>
      <w:r w:rsidR="00E33102" w:rsidRPr="00207DC2">
        <w:rPr>
          <w:lang w:val="en-AU"/>
        </w:rPr>
        <w:t>)</w:t>
      </w:r>
      <w:r w:rsidR="00E445F8" w:rsidRPr="00207DC2">
        <w:rPr>
          <w:lang w:val="en-AU"/>
        </w:rPr>
        <w:t>, CDP providers face a greate</w:t>
      </w:r>
      <w:r w:rsidR="00CC7DF4" w:rsidRPr="00207DC2">
        <w:rPr>
          <w:lang w:val="en-AU"/>
        </w:rPr>
        <w:t>r</w:t>
      </w:r>
      <w:r w:rsidR="00E445F8" w:rsidRPr="00207DC2">
        <w:rPr>
          <w:lang w:val="en-AU"/>
        </w:rPr>
        <w:t xml:space="preserve"> incentive to keep participants in Work for the Dole whe</w:t>
      </w:r>
      <w:r w:rsidR="00CF7EFA" w:rsidRPr="00207DC2">
        <w:rPr>
          <w:lang w:val="en-AU"/>
        </w:rPr>
        <w:t>n</w:t>
      </w:r>
      <w:r w:rsidR="00E445F8" w:rsidRPr="00207DC2">
        <w:rPr>
          <w:lang w:val="en-AU"/>
        </w:rPr>
        <w:t xml:space="preserve"> there is little likelihood of a job placement being sustained for 26</w:t>
      </w:r>
      <w:r w:rsidR="002317B0" w:rsidRPr="00207DC2">
        <w:rPr>
          <w:lang w:val="en-AU"/>
        </w:rPr>
        <w:t> </w:t>
      </w:r>
      <w:r w:rsidR="00E445F8" w:rsidRPr="00207DC2">
        <w:rPr>
          <w:lang w:val="en-AU"/>
        </w:rPr>
        <w:t>weeks</w:t>
      </w:r>
      <w:r w:rsidR="003A502E" w:rsidRPr="00207DC2">
        <w:rPr>
          <w:lang w:val="en-AU"/>
        </w:rPr>
        <w:t xml:space="preserve"> (ANAO 2017)</w:t>
      </w:r>
      <w:r w:rsidR="00E445F8" w:rsidRPr="00207DC2">
        <w:rPr>
          <w:lang w:val="en-AU"/>
        </w:rPr>
        <w:t xml:space="preserve">. </w:t>
      </w:r>
      <w:r w:rsidR="00E33102" w:rsidRPr="00207DC2">
        <w:rPr>
          <w:lang w:val="en-AU"/>
        </w:rPr>
        <w:t>To the extent that participants</w:t>
      </w:r>
      <w:r w:rsidR="002F3438" w:rsidRPr="00207DC2">
        <w:rPr>
          <w:lang w:val="en-AU"/>
        </w:rPr>
        <w:t xml:space="preserve"> with low employment barriers</w:t>
      </w:r>
      <w:r w:rsidR="00E33102" w:rsidRPr="00207DC2">
        <w:rPr>
          <w:lang w:val="en-AU"/>
        </w:rPr>
        <w:t xml:space="preserve"> are more likely to achieve </w:t>
      </w:r>
      <w:r w:rsidR="00971F5F">
        <w:rPr>
          <w:lang w:val="en-AU"/>
        </w:rPr>
        <w:t>longer-</w:t>
      </w:r>
      <w:r w:rsidR="002F3438" w:rsidRPr="00207DC2">
        <w:rPr>
          <w:lang w:val="en-AU"/>
        </w:rPr>
        <w:t>term employment</w:t>
      </w:r>
      <w:r w:rsidR="00E33102" w:rsidRPr="00207DC2">
        <w:rPr>
          <w:lang w:val="en-AU"/>
        </w:rPr>
        <w:t xml:space="preserve"> placement</w:t>
      </w:r>
      <w:r w:rsidR="00B7089D">
        <w:rPr>
          <w:lang w:val="en-AU"/>
        </w:rPr>
        <w:t>s</w:t>
      </w:r>
      <w:r w:rsidR="00E33102" w:rsidRPr="00207DC2">
        <w:rPr>
          <w:lang w:val="en-AU"/>
        </w:rPr>
        <w:t>, the</w:t>
      </w:r>
      <w:r w:rsidRPr="00207DC2">
        <w:rPr>
          <w:lang w:val="en-AU"/>
        </w:rPr>
        <w:t xml:space="preserve"> change </w:t>
      </w:r>
      <w:r w:rsidR="00E33102" w:rsidRPr="00207DC2">
        <w:rPr>
          <w:lang w:val="en-AU"/>
        </w:rPr>
        <w:t>in the payment model could help explain the relatively large estimated increase in</w:t>
      </w:r>
      <w:r w:rsidRPr="00207DC2">
        <w:rPr>
          <w:lang w:val="en-AU"/>
        </w:rPr>
        <w:t xml:space="preserve"> 26-week outcomes for the </w:t>
      </w:r>
      <w:r w:rsidR="00E33102" w:rsidRPr="00207DC2">
        <w:rPr>
          <w:lang w:val="en-AU"/>
        </w:rPr>
        <w:t>newly commenced sample</w:t>
      </w:r>
      <w:r w:rsidRPr="00207DC2">
        <w:rPr>
          <w:lang w:val="en-AU"/>
        </w:rPr>
        <w:t xml:space="preserve">. </w:t>
      </w:r>
    </w:p>
    <w:p w14:paraId="74B370AB" w14:textId="77777777" w:rsidR="00E445F8" w:rsidRPr="00207DC2" w:rsidRDefault="00E445F8" w:rsidP="00F35F78">
      <w:pPr>
        <w:pStyle w:val="ZED5"/>
        <w:outlineLvl w:val="3"/>
      </w:pPr>
      <w:bookmarkStart w:id="532" w:name="_Toc509587048"/>
      <w:bookmarkStart w:id="533" w:name="_Toc509588074"/>
      <w:bookmarkStart w:id="534" w:name="_Toc509588337"/>
      <w:bookmarkStart w:id="535" w:name="_Toc509589485"/>
      <w:bookmarkStart w:id="536" w:name="_Toc509926903"/>
      <w:bookmarkStart w:id="537" w:name="_Toc511661253"/>
      <w:bookmarkStart w:id="538" w:name="_Toc511826304"/>
      <w:bookmarkStart w:id="539" w:name="_Toc511940621"/>
      <w:bookmarkStart w:id="540" w:name="_Toc515185471"/>
      <w:bookmarkStart w:id="541" w:name="_Toc516219844"/>
      <w:bookmarkStart w:id="542" w:name="_Toc516220485"/>
      <w:bookmarkStart w:id="543" w:name="_Toc516223305"/>
      <w:bookmarkStart w:id="544" w:name="_Toc516225213"/>
      <w:bookmarkStart w:id="545" w:name="_Toc516228989"/>
      <w:bookmarkStart w:id="546" w:name="_Toc535935061"/>
      <w:r w:rsidRPr="00207DC2">
        <w:t>Comparison with neighbouring mainstream regions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2F63FEB" w14:textId="2B7E78FB" w:rsidR="00E445F8" w:rsidRPr="00207DC2" w:rsidRDefault="00E445F8" w:rsidP="00E445F8">
      <w:pPr>
        <w:jc w:val="both"/>
        <w:rPr>
          <w:lang w:val="en-AU"/>
        </w:rPr>
      </w:pPr>
      <w:r w:rsidRPr="00207DC2">
        <w:rPr>
          <w:lang w:val="en-AU"/>
        </w:rPr>
        <w:t xml:space="preserve">Changes in economic conditions </w:t>
      </w:r>
      <w:r w:rsidR="00C15469" w:rsidRPr="00207DC2">
        <w:rPr>
          <w:lang w:val="en-AU"/>
        </w:rPr>
        <w:t>are likely to</w:t>
      </w:r>
      <w:r w:rsidRPr="00207DC2">
        <w:rPr>
          <w:lang w:val="en-AU"/>
        </w:rPr>
        <w:t xml:space="preserve"> </w:t>
      </w:r>
      <w:r w:rsidR="00EA3E5A" w:rsidRPr="00207DC2">
        <w:rPr>
          <w:lang w:val="en-AU"/>
        </w:rPr>
        <w:t>a</w:t>
      </w:r>
      <w:r w:rsidRPr="00207DC2">
        <w:rPr>
          <w:lang w:val="en-AU"/>
        </w:rPr>
        <w:t xml:space="preserve">ffect labour market outcomes in a region. </w:t>
      </w:r>
      <w:r w:rsidR="00CF7EFA" w:rsidRPr="00207DC2">
        <w:rPr>
          <w:lang w:val="en-AU"/>
        </w:rPr>
        <w:t>Unemployment rates</w:t>
      </w:r>
      <w:r w:rsidRPr="00207DC2">
        <w:rPr>
          <w:lang w:val="en-AU"/>
        </w:rPr>
        <w:t xml:space="preserve"> can change over a two-year period</w:t>
      </w:r>
      <w:r w:rsidR="00CF7EFA" w:rsidRPr="00207DC2">
        <w:rPr>
          <w:lang w:val="en-AU"/>
        </w:rPr>
        <w:t xml:space="preserve"> due to shifting economic conditions.</w:t>
      </w:r>
      <w:r w:rsidRPr="00207DC2">
        <w:rPr>
          <w:lang w:val="en-AU"/>
        </w:rPr>
        <w:t xml:space="preserve"> Controlling for these changes is important in identifying the true employment effect of the introduction of the CDP.</w:t>
      </w:r>
    </w:p>
    <w:p w14:paraId="20D21039" w14:textId="70DF3465" w:rsidR="00FE2E5A" w:rsidRPr="00207DC2" w:rsidRDefault="00FE2E5A" w:rsidP="00FE2E5A">
      <w:pPr>
        <w:pStyle w:val="Figures"/>
      </w:pPr>
      <w:r w:rsidRPr="00207DC2">
        <w:t>Figure</w:t>
      </w:r>
      <w:r w:rsidR="00905D1A">
        <w:t xml:space="preserve"> 4</w:t>
      </w:r>
      <w:r w:rsidRPr="00207DC2">
        <w:t>.</w:t>
      </w:r>
      <w:r w:rsidR="00905D1A">
        <w:t>1</w:t>
      </w:r>
      <w:r w:rsidRPr="00207DC2">
        <w:t xml:space="preserve"> Proportion of the working age population who were employed in CDP and neighbouring regions, 2016</w:t>
      </w:r>
      <w:r w:rsidRPr="00207DC2">
        <w:rPr>
          <w:vertAlign w:val="superscript"/>
        </w:rPr>
        <w:t>a</w:t>
      </w:r>
      <w:r w:rsidRPr="00207DC2">
        <w:t xml:space="preserve"> </w:t>
      </w:r>
    </w:p>
    <w:p w14:paraId="7044E9EF" w14:textId="23DC2DFD" w:rsidR="005D59FC" w:rsidRPr="00207DC2" w:rsidRDefault="00B225BF" w:rsidP="00305160">
      <w:pPr>
        <w:pStyle w:val="TableofFigures"/>
        <w:keepNext/>
        <w:rPr>
          <w:noProof/>
          <w:lang w:val="en-AU" w:eastAsia="en-AU"/>
        </w:rPr>
      </w:pPr>
      <w:r>
        <w:rPr>
          <w:lang w:val="en-AU"/>
        </w:rPr>
        <w:pict w14:anchorId="6F79847A">
          <v:rect id="_x0000_i1043" style="width:0;height:1.5pt" o:hralign="center" o:hrstd="t" o:hr="t" fillcolor="#a0a0a0" stroked="f"/>
        </w:pict>
      </w:r>
    </w:p>
    <w:p w14:paraId="6B67C60D" w14:textId="5B8A52A5" w:rsidR="005D59FC" w:rsidRPr="00207DC2" w:rsidRDefault="005D59FC" w:rsidP="005D59FC">
      <w:pPr>
        <w:pStyle w:val="TableofFigures"/>
        <w:rPr>
          <w:lang w:val="en-AU" w:eastAsia="en-AU"/>
        </w:rPr>
      </w:pPr>
      <w:r w:rsidRPr="00207DC2">
        <w:rPr>
          <w:noProof/>
          <w:lang w:val="en-AU" w:eastAsia="en-AU"/>
        </w:rPr>
        <w:drawing>
          <wp:inline distT="0" distB="0" distL="0" distR="0" wp14:anchorId="2D0853A2" wp14:editId="227D028F">
            <wp:extent cx="5638403" cy="3635828"/>
            <wp:effectExtent l="0" t="0" r="635" b="3175"/>
            <wp:docPr id="9" name="Picture 6" descr="The map of Australia identifies the boundaries for the CDP regions and neighbouring regions of mainstream employment services (jobactive). &#10;&#10;The map also shows the variation in employment rates between these regions in 2016. Employment rates ranged from: between 20 and 50 per cent of the working age population in some regions; to between 80 and 90 per cent in other regions. " title="Proportion of the working age population who were employed, in CDP and neighbouring region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2_2016_CDPplusJAmarches_Emp2WApop v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008" b="5667"/>
                    <a:stretch/>
                  </pic:blipFill>
                  <pic:spPr bwMode="auto">
                    <a:xfrm>
                      <a:off x="0" y="0"/>
                      <a:ext cx="5638800" cy="3636084"/>
                    </a:xfrm>
                    <a:prstGeom prst="rect">
                      <a:avLst/>
                    </a:prstGeom>
                    <a:noFill/>
                    <a:ln>
                      <a:noFill/>
                    </a:ln>
                    <a:extLst>
                      <a:ext uri="{53640926-AAD7-44D8-BBD7-CCE9431645EC}">
                        <a14:shadowObscured xmlns:a14="http://schemas.microsoft.com/office/drawing/2010/main"/>
                      </a:ext>
                    </a:extLst>
                  </pic:spPr>
                </pic:pic>
              </a:graphicData>
            </a:graphic>
          </wp:inline>
        </w:drawing>
      </w:r>
    </w:p>
    <w:p w14:paraId="1F38B74C" w14:textId="3C1B5A53" w:rsidR="005D59FC" w:rsidRPr="00207DC2" w:rsidRDefault="00B225BF" w:rsidP="00FE2E5A">
      <w:pPr>
        <w:pStyle w:val="tablenotes"/>
        <w:rPr>
          <w:i/>
        </w:rPr>
      </w:pPr>
      <w:r>
        <w:pict w14:anchorId="67838893">
          <v:rect id="_x0000_i1044" style="width:0;height:1.5pt" o:hralign="center" o:hrstd="t" o:hr="t" fillcolor="#a0a0a0" stroked="f"/>
        </w:pict>
      </w:r>
    </w:p>
    <w:p w14:paraId="16E313A7" w14:textId="2A4B20DE" w:rsidR="00FE2E5A" w:rsidRPr="00207DC2" w:rsidRDefault="00FE2E5A" w:rsidP="00FE2E5A">
      <w:pPr>
        <w:pStyle w:val="tablenotes"/>
      </w:pPr>
      <w:r w:rsidRPr="00207DC2">
        <w:rPr>
          <w:i/>
        </w:rPr>
        <w:t xml:space="preserve">Source: </w:t>
      </w:r>
      <w:r w:rsidRPr="00207DC2">
        <w:t xml:space="preserve">Census (2016) </w:t>
      </w:r>
    </w:p>
    <w:p w14:paraId="2075B8E6" w14:textId="77777777" w:rsidR="00FE2E5A" w:rsidRPr="00207DC2" w:rsidRDefault="00FE2E5A" w:rsidP="00FE2E5A">
      <w:pPr>
        <w:pStyle w:val="tablenotes"/>
        <w:rPr>
          <w:rFonts w:eastAsiaTheme="minorEastAsia"/>
        </w:rPr>
      </w:pPr>
      <w:r w:rsidRPr="00207DC2">
        <w:rPr>
          <w:i/>
        </w:rPr>
        <w:t>Notes:</w:t>
      </w:r>
      <w:r w:rsidRPr="00207DC2">
        <w:t xml:space="preserve"> (a) Excised cities and towns within the CDP region are too small to be visible on the map.</w:t>
      </w:r>
    </w:p>
    <w:p w14:paraId="76166C12" w14:textId="77777777" w:rsidR="00FE2E5A" w:rsidRPr="00207DC2" w:rsidRDefault="00FE2E5A" w:rsidP="00FE2E5A">
      <w:pPr>
        <w:jc w:val="both"/>
        <w:rPr>
          <w:lang w:val="en-AU"/>
        </w:rPr>
      </w:pPr>
      <w:r w:rsidRPr="00207DC2">
        <w:rPr>
          <w:lang w:val="en-AU"/>
        </w:rPr>
        <w:t xml:space="preserve">The RJCP to CDP modelling (presented above) uses SALM data to control for background changes in labour market conditions (Appendix C). The SALM data, however, are based on small sample sizes and as a result have potentially large standard errors. </w:t>
      </w:r>
    </w:p>
    <w:p w14:paraId="35C8BEBA" w14:textId="528007B7" w:rsidR="004E6D38" w:rsidRDefault="003D7E1C" w:rsidP="004E6D38">
      <w:pPr>
        <w:jc w:val="both"/>
        <w:rPr>
          <w:lang w:val="en-AU"/>
        </w:rPr>
      </w:pPr>
      <w:r>
        <w:rPr>
          <w:lang w:val="en-AU"/>
        </w:rPr>
        <w:t>D</w:t>
      </w:r>
      <w:r w:rsidRPr="00207DC2">
        <w:rPr>
          <w:lang w:val="en-AU"/>
        </w:rPr>
        <w:t>ifference</w:t>
      </w:r>
      <w:r w:rsidRPr="00207DC2">
        <w:rPr>
          <w:lang w:val="en-AU"/>
        </w:rPr>
        <w:noBreakHyphen/>
        <w:t>in</w:t>
      </w:r>
      <w:r w:rsidRPr="00207DC2">
        <w:rPr>
          <w:lang w:val="en-AU"/>
        </w:rPr>
        <w:noBreakHyphen/>
        <w:t xml:space="preserve">difference modelling </w:t>
      </w:r>
      <w:r w:rsidR="00FE2E5A" w:rsidRPr="00207DC2">
        <w:rPr>
          <w:lang w:val="en-AU"/>
        </w:rPr>
        <w:t>was undertaken</w:t>
      </w:r>
      <w:r w:rsidR="00F8193F" w:rsidRPr="00207DC2">
        <w:rPr>
          <w:lang w:val="en-AU"/>
        </w:rPr>
        <w:t xml:space="preserve"> </w:t>
      </w:r>
      <w:r>
        <w:rPr>
          <w:lang w:val="en-AU"/>
        </w:rPr>
        <w:t xml:space="preserve">as an alternative </w:t>
      </w:r>
      <w:r w:rsidR="00F858DE">
        <w:rPr>
          <w:lang w:val="en-AU"/>
        </w:rPr>
        <w:t>approach</w:t>
      </w:r>
      <w:r w:rsidR="0081349F">
        <w:rPr>
          <w:lang w:val="en-AU"/>
        </w:rPr>
        <w:t xml:space="preserve"> </w:t>
      </w:r>
      <w:r w:rsidR="00EA3E5A" w:rsidRPr="00207DC2">
        <w:rPr>
          <w:lang w:val="en-AU"/>
        </w:rPr>
        <w:t>t</w:t>
      </w:r>
      <w:r w:rsidR="00FE2E5A" w:rsidRPr="00207DC2">
        <w:rPr>
          <w:lang w:val="en-AU"/>
        </w:rPr>
        <w:t>o control for the effects of labour market conditions</w:t>
      </w:r>
      <w:r w:rsidR="004E6D38">
        <w:rPr>
          <w:lang w:val="en-AU"/>
        </w:rPr>
        <w:t xml:space="preserve">. </w:t>
      </w:r>
      <w:r>
        <w:rPr>
          <w:lang w:val="en-AU"/>
        </w:rPr>
        <w:t>T</w:t>
      </w:r>
      <w:r w:rsidR="00FE2E5A" w:rsidRPr="00207DC2">
        <w:rPr>
          <w:lang w:val="en-AU"/>
        </w:rPr>
        <w:t>his</w:t>
      </w:r>
      <w:r w:rsidR="00F858DE">
        <w:rPr>
          <w:lang w:val="en-AU"/>
        </w:rPr>
        <w:t xml:space="preserve"> model</w:t>
      </w:r>
      <w:r w:rsidR="00FE2E5A" w:rsidRPr="00207DC2">
        <w:rPr>
          <w:lang w:val="en-AU"/>
        </w:rPr>
        <w:t xml:space="preserve"> uses the changes in the employment outcomes for neighbouring mainstream regions</w:t>
      </w:r>
      <w:r>
        <w:rPr>
          <w:lang w:val="en-AU"/>
        </w:rPr>
        <w:t xml:space="preserve"> (</w:t>
      </w:r>
      <w:r w:rsidRPr="00207DC2">
        <w:rPr>
          <w:lang w:val="en-AU"/>
        </w:rPr>
        <w:t>along the boundaries of the CDP region</w:t>
      </w:r>
      <w:r>
        <w:rPr>
          <w:lang w:val="en-AU"/>
        </w:rPr>
        <w:t>s)</w:t>
      </w:r>
      <w:r w:rsidR="00FE2E5A" w:rsidRPr="00207DC2">
        <w:rPr>
          <w:lang w:val="en-AU"/>
        </w:rPr>
        <w:t xml:space="preserve"> as a proxy f</w:t>
      </w:r>
      <w:r w:rsidR="00B11C5C">
        <w:rPr>
          <w:lang w:val="en-AU"/>
        </w:rPr>
        <w:t xml:space="preserve">or </w:t>
      </w:r>
      <w:r w:rsidR="00FE2E5A" w:rsidRPr="00207DC2">
        <w:rPr>
          <w:lang w:val="en-AU"/>
        </w:rPr>
        <w:t>change</w:t>
      </w:r>
      <w:r w:rsidR="00305160">
        <w:rPr>
          <w:lang w:val="en-AU"/>
        </w:rPr>
        <w:t>s</w:t>
      </w:r>
      <w:r w:rsidR="00FE2E5A" w:rsidRPr="00207DC2">
        <w:rPr>
          <w:lang w:val="en-AU"/>
        </w:rPr>
        <w:t xml:space="preserve"> in labour market conditions in CDP regions</w:t>
      </w:r>
      <w:r>
        <w:rPr>
          <w:lang w:val="en-AU"/>
        </w:rPr>
        <w:t xml:space="preserve"> </w:t>
      </w:r>
      <w:r w:rsidRPr="00207DC2">
        <w:rPr>
          <w:lang w:val="en-AU"/>
        </w:rPr>
        <w:t>(Figure 4.1)</w:t>
      </w:r>
      <w:r>
        <w:rPr>
          <w:lang w:val="en-AU"/>
        </w:rPr>
        <w:t>.</w:t>
      </w:r>
      <w:r w:rsidR="00FE2E5A" w:rsidRPr="00207DC2">
        <w:rPr>
          <w:lang w:val="en-AU"/>
        </w:rPr>
        <w:t xml:space="preserve"> </w:t>
      </w:r>
      <w:r w:rsidR="004E6D38">
        <w:rPr>
          <w:lang w:val="en-AU"/>
        </w:rPr>
        <w:t xml:space="preserve">(As outlined in Appendic C, the model </w:t>
      </w:r>
      <w:r w:rsidR="004E6D38" w:rsidRPr="00207DC2">
        <w:rPr>
          <w:lang w:val="en-AU"/>
        </w:rPr>
        <w:t>control</w:t>
      </w:r>
      <w:r w:rsidR="004E6D38">
        <w:rPr>
          <w:lang w:val="en-AU"/>
        </w:rPr>
        <w:t>s</w:t>
      </w:r>
      <w:r w:rsidR="004E6D38" w:rsidRPr="00207DC2">
        <w:rPr>
          <w:lang w:val="en-AU"/>
        </w:rPr>
        <w:t xml:space="preserve"> for the same demographic factors as in the before and after model.</w:t>
      </w:r>
      <w:r w:rsidR="004E6D38">
        <w:rPr>
          <w:lang w:val="en-AU"/>
        </w:rPr>
        <w:t>)</w:t>
      </w:r>
      <w:r w:rsidR="004E6D38" w:rsidRPr="00207DC2">
        <w:rPr>
          <w:lang w:val="en-AU"/>
        </w:rPr>
        <w:t xml:space="preserve"> </w:t>
      </w:r>
    </w:p>
    <w:p w14:paraId="52FF674C" w14:textId="34C1F969" w:rsidR="004E6D38" w:rsidRDefault="00FE2E5A" w:rsidP="004E6D38">
      <w:pPr>
        <w:jc w:val="both"/>
        <w:rPr>
          <w:lang w:val="en-AU"/>
        </w:rPr>
      </w:pPr>
      <w:r w:rsidRPr="00207DC2">
        <w:rPr>
          <w:lang w:val="en-AU"/>
        </w:rPr>
        <w:t xml:space="preserve">By controlling for the change in employment outcomes in the neighbouring mainstream regions, the </w:t>
      </w:r>
      <w:r w:rsidR="004E6D38">
        <w:rPr>
          <w:lang w:val="en-AU"/>
        </w:rPr>
        <w:t>d</w:t>
      </w:r>
      <w:r w:rsidR="004E6D38" w:rsidRPr="00207DC2">
        <w:rPr>
          <w:lang w:val="en-AU"/>
        </w:rPr>
        <w:t>ifference</w:t>
      </w:r>
      <w:r w:rsidR="004E6D38" w:rsidRPr="00207DC2">
        <w:rPr>
          <w:lang w:val="en-AU"/>
        </w:rPr>
        <w:noBreakHyphen/>
        <w:t>in</w:t>
      </w:r>
      <w:r w:rsidR="004E6D38" w:rsidRPr="00207DC2">
        <w:rPr>
          <w:lang w:val="en-AU"/>
        </w:rPr>
        <w:noBreakHyphen/>
        <w:t xml:space="preserve">difference </w:t>
      </w:r>
      <w:r w:rsidR="00F858DE">
        <w:rPr>
          <w:lang w:val="en-AU"/>
        </w:rPr>
        <w:t>model</w:t>
      </w:r>
      <w:r w:rsidRPr="00207DC2">
        <w:rPr>
          <w:lang w:val="en-AU"/>
        </w:rPr>
        <w:t xml:space="preserve"> attempts to identify the true employment effect </w:t>
      </w:r>
      <w:r w:rsidR="00B11C5C">
        <w:rPr>
          <w:lang w:val="en-AU"/>
        </w:rPr>
        <w:t>of</w:t>
      </w:r>
      <w:r w:rsidR="00B11C5C" w:rsidRPr="00207DC2">
        <w:rPr>
          <w:lang w:val="en-AU"/>
        </w:rPr>
        <w:t xml:space="preserve"> </w:t>
      </w:r>
      <w:r w:rsidRPr="00207DC2">
        <w:rPr>
          <w:lang w:val="en-AU"/>
        </w:rPr>
        <w:t>the CDP. This analysis assumes that changes in employment outcomes for mainstream employment programs</w:t>
      </w:r>
      <w:r w:rsidR="003D7E1C">
        <w:rPr>
          <w:lang w:val="en-AU"/>
        </w:rPr>
        <w:t xml:space="preserve"> </w:t>
      </w:r>
      <w:r w:rsidR="003D7E1C" w:rsidRPr="00207DC2">
        <w:rPr>
          <w:lang w:val="en-AU"/>
        </w:rPr>
        <w:t>(Job Services Australia (JSA) in 2014 and jobactive in 2016)</w:t>
      </w:r>
      <w:r w:rsidR="00F858DE">
        <w:rPr>
          <w:lang w:val="en-AU"/>
        </w:rPr>
        <w:t xml:space="preserve"> reflect </w:t>
      </w:r>
      <w:r w:rsidRPr="00207DC2">
        <w:rPr>
          <w:lang w:val="en-AU"/>
        </w:rPr>
        <w:t xml:space="preserve">changes in labour market conditions (and not changes in policy). </w:t>
      </w:r>
    </w:p>
    <w:p w14:paraId="0837D8D7" w14:textId="6F7D7B67" w:rsidR="00FE2E5A" w:rsidRPr="00207DC2" w:rsidRDefault="00FE2E5A" w:rsidP="004B4A41">
      <w:pPr>
        <w:jc w:val="both"/>
        <w:rPr>
          <w:lang w:val="en-AU"/>
        </w:rPr>
      </w:pPr>
      <w:r w:rsidRPr="00207DC2">
        <w:rPr>
          <w:lang w:val="en-AU"/>
        </w:rPr>
        <w:t>The estimated results (Table 4.4) suggest that, after controlling for labour market conditions using changes in employment outcomes in neighbouring mainstream regions, the CDP had no significant effect on job placements, but a significant effect on 26</w:t>
      </w:r>
      <w:r w:rsidRPr="00207DC2">
        <w:rPr>
          <w:lang w:val="en-AU"/>
        </w:rPr>
        <w:noBreakHyphen/>
        <w:t xml:space="preserve">week outcomes (1.2 </w:t>
      </w:r>
      <w:r w:rsidR="00602420" w:rsidRPr="00207DC2">
        <w:rPr>
          <w:lang w:val="en-AU"/>
        </w:rPr>
        <w:t>percentage points</w:t>
      </w:r>
      <w:r w:rsidRPr="00207DC2">
        <w:rPr>
          <w:lang w:val="en-AU"/>
        </w:rPr>
        <w:t xml:space="preserve">). The latter result is consistent with the changed emphasis of provider payments under the CDP on 26-week outcomes (Chapter 1, Figure 1.2). </w:t>
      </w:r>
    </w:p>
    <w:p w14:paraId="7F43E188" w14:textId="14AB3486" w:rsidR="00E445F8" w:rsidRPr="00207DC2" w:rsidRDefault="00E445F8" w:rsidP="00FB626D">
      <w:pPr>
        <w:pStyle w:val="Table"/>
        <w:outlineLvl w:val="9"/>
      </w:pPr>
      <w:r w:rsidRPr="00207DC2">
        <w:t xml:space="preserve">Table </w:t>
      </w:r>
      <w:r w:rsidR="00905D1A">
        <w:t>4</w:t>
      </w:r>
      <w:r w:rsidR="00581320" w:rsidRPr="00207DC2">
        <w:t>.</w:t>
      </w:r>
      <w:r w:rsidR="00905D1A">
        <w:t>4</w:t>
      </w:r>
      <w:r w:rsidR="00905D1A" w:rsidRPr="00207DC2">
        <w:t xml:space="preserve"> </w:t>
      </w:r>
      <w:r w:rsidRPr="00207DC2">
        <w:t>Estimated employment effects of the CDP after accounting for labour market conditions in neighbouring mainstream regions</w:t>
      </w:r>
      <w:r w:rsidR="000F1333" w:rsidRPr="00207DC2">
        <w:rPr>
          <w:vertAlign w:val="superscript"/>
        </w:rPr>
        <w:t>a</w:t>
      </w:r>
      <w:r w:rsidRPr="00207DC2">
        <w:t xml:space="preserve"> </w:t>
      </w:r>
    </w:p>
    <w:tbl>
      <w:tblPr>
        <w:tblStyle w:val="PlainTable21"/>
        <w:tblW w:w="9039" w:type="dxa"/>
        <w:tblBorders>
          <w:top w:val="single" w:sz="4" w:space="0" w:color="262626" w:themeColor="background1"/>
          <w:bottom w:val="single" w:sz="4" w:space="0" w:color="262626" w:themeColor="background1"/>
          <w:insideH w:val="single" w:sz="4" w:space="0" w:color="262626" w:themeColor="background1"/>
        </w:tblBorders>
        <w:tblLook w:val="04A0" w:firstRow="1" w:lastRow="0" w:firstColumn="1" w:lastColumn="0" w:noHBand="0" w:noVBand="1"/>
        <w:tblCaption w:val="Estimated employment effects of the CDP after accounting for labour market conditions in neighbouring mainstream regions"/>
        <w:tblDescription w:val="This table presents the estimated percentage point change in employment outcomes (placements, 13- and 26-week outcomes) from the difference-in-difference modelling."/>
      </w:tblPr>
      <w:tblGrid>
        <w:gridCol w:w="4219"/>
        <w:gridCol w:w="4820"/>
      </w:tblGrid>
      <w:tr w:rsidR="00E445F8" w:rsidRPr="00207DC2" w14:paraId="36683ADA"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262626" w:themeColor="background1"/>
            </w:tcBorders>
          </w:tcPr>
          <w:p w14:paraId="6A301803" w14:textId="15F2F910" w:rsidR="00E445F8" w:rsidRPr="00207DC2" w:rsidRDefault="005631B4" w:rsidP="00FB626D">
            <w:pPr>
              <w:spacing w:before="60" w:after="60"/>
              <w:rPr>
                <w:color w:val="auto"/>
                <w:sz w:val="20"/>
                <w:szCs w:val="20"/>
                <w:lang w:val="en-AU"/>
              </w:rPr>
            </w:pPr>
            <w:r>
              <w:rPr>
                <w:color w:val="auto"/>
                <w:sz w:val="20"/>
                <w:szCs w:val="20"/>
                <w:lang w:val="en-AU"/>
              </w:rPr>
              <w:t>Difference-in-D</w:t>
            </w:r>
            <w:r w:rsidR="00E445F8" w:rsidRPr="00207DC2">
              <w:rPr>
                <w:color w:val="auto"/>
                <w:sz w:val="20"/>
                <w:szCs w:val="20"/>
                <w:lang w:val="en-AU"/>
              </w:rPr>
              <w:t>ifference results</w:t>
            </w:r>
          </w:p>
        </w:tc>
        <w:tc>
          <w:tcPr>
            <w:tcW w:w="4820" w:type="dxa"/>
            <w:tcBorders>
              <w:bottom w:val="single" w:sz="4" w:space="0" w:color="262626" w:themeColor="background1"/>
            </w:tcBorders>
          </w:tcPr>
          <w:p w14:paraId="521623CC" w14:textId="4D08595C" w:rsidR="00E445F8" w:rsidRPr="00207DC2" w:rsidRDefault="008B5AF6" w:rsidP="00FB626D">
            <w:pPr>
              <w:spacing w:before="60" w:after="60"/>
              <w:ind w:right="-74"/>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Per</w:t>
            </w:r>
            <w:r w:rsidR="00381A29" w:rsidRPr="00207DC2">
              <w:rPr>
                <w:color w:val="auto"/>
                <w:sz w:val="20"/>
                <w:szCs w:val="20"/>
                <w:lang w:val="en-AU"/>
              </w:rPr>
              <w:t>centage</w:t>
            </w:r>
            <w:r w:rsidRPr="00207DC2">
              <w:rPr>
                <w:color w:val="auto"/>
                <w:sz w:val="20"/>
                <w:szCs w:val="20"/>
                <w:lang w:val="en-AU"/>
              </w:rPr>
              <w:t xml:space="preserve"> </w:t>
            </w:r>
            <w:r w:rsidR="00381A29" w:rsidRPr="00207DC2">
              <w:rPr>
                <w:color w:val="auto"/>
                <w:sz w:val="20"/>
                <w:szCs w:val="20"/>
                <w:lang w:val="en-AU"/>
              </w:rPr>
              <w:t>point</w:t>
            </w:r>
            <w:r w:rsidR="00381A29" w:rsidRPr="00207DC2" w:rsidDel="00816E24">
              <w:rPr>
                <w:color w:val="auto"/>
                <w:sz w:val="20"/>
                <w:szCs w:val="20"/>
                <w:lang w:val="en-AU"/>
              </w:rPr>
              <w:t xml:space="preserve"> </w:t>
            </w:r>
            <w:r w:rsidR="00381A29" w:rsidRPr="00207DC2">
              <w:rPr>
                <w:color w:val="auto"/>
                <w:sz w:val="20"/>
                <w:szCs w:val="20"/>
                <w:lang w:val="en-AU"/>
              </w:rPr>
              <w:t xml:space="preserve">change </w:t>
            </w:r>
            <w:r w:rsidRPr="00207DC2">
              <w:rPr>
                <w:color w:val="auto"/>
                <w:sz w:val="20"/>
                <w:szCs w:val="20"/>
                <w:lang w:val="en-AU"/>
              </w:rPr>
              <w:t>in employment outcome</w:t>
            </w:r>
          </w:p>
        </w:tc>
      </w:tr>
      <w:tr w:rsidR="00E445F8" w:rsidRPr="00207DC2" w14:paraId="0FE4B308" w14:textId="77777777" w:rsidTr="008B5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nil"/>
            </w:tcBorders>
          </w:tcPr>
          <w:p w14:paraId="57A68CB1" w14:textId="77777777" w:rsidR="00E445F8" w:rsidRPr="00207DC2" w:rsidRDefault="00E445F8" w:rsidP="00FB626D">
            <w:pPr>
              <w:spacing w:before="60" w:after="60"/>
              <w:jc w:val="both"/>
              <w:rPr>
                <w:color w:val="auto"/>
                <w:sz w:val="20"/>
                <w:szCs w:val="20"/>
                <w:lang w:val="en-AU"/>
              </w:rPr>
            </w:pPr>
            <w:r w:rsidRPr="00207DC2">
              <w:rPr>
                <w:color w:val="auto"/>
                <w:sz w:val="20"/>
                <w:szCs w:val="20"/>
                <w:lang w:val="en-AU"/>
              </w:rPr>
              <w:t>Placed in a job</w:t>
            </w:r>
          </w:p>
        </w:tc>
        <w:tc>
          <w:tcPr>
            <w:tcW w:w="4820" w:type="dxa"/>
            <w:tcBorders>
              <w:bottom w:val="nil"/>
            </w:tcBorders>
          </w:tcPr>
          <w:p w14:paraId="2B7057CA" w14:textId="77777777" w:rsidR="00E445F8" w:rsidRPr="00207DC2" w:rsidRDefault="00E445F8" w:rsidP="00FB626D">
            <w:pPr>
              <w:tabs>
                <w:tab w:val="decimal" w:pos="1440"/>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0.9</w:t>
            </w:r>
          </w:p>
        </w:tc>
      </w:tr>
      <w:tr w:rsidR="00E445F8" w:rsidRPr="00207DC2" w14:paraId="437E533F" w14:textId="77777777" w:rsidTr="008B5AF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3B4FACB" w14:textId="77777777" w:rsidR="00E445F8" w:rsidRPr="00207DC2" w:rsidRDefault="00E445F8" w:rsidP="00FB626D">
            <w:pPr>
              <w:spacing w:before="60" w:after="60"/>
              <w:jc w:val="both"/>
              <w:rPr>
                <w:color w:val="auto"/>
                <w:sz w:val="20"/>
                <w:szCs w:val="20"/>
                <w:lang w:val="en-AU"/>
              </w:rPr>
            </w:pPr>
            <w:r w:rsidRPr="00207DC2">
              <w:rPr>
                <w:color w:val="auto"/>
                <w:sz w:val="20"/>
                <w:szCs w:val="20"/>
                <w:lang w:val="en-AU"/>
              </w:rPr>
              <w:t>12/13-week outcome</w:t>
            </w:r>
          </w:p>
        </w:tc>
        <w:tc>
          <w:tcPr>
            <w:tcW w:w="4820" w:type="dxa"/>
            <w:tcBorders>
              <w:top w:val="nil"/>
              <w:bottom w:val="nil"/>
            </w:tcBorders>
          </w:tcPr>
          <w:p w14:paraId="6106231F" w14:textId="77777777" w:rsidR="00E445F8" w:rsidRPr="00207DC2" w:rsidRDefault="00E445F8" w:rsidP="00FB626D">
            <w:pPr>
              <w:tabs>
                <w:tab w:val="decimal" w:pos="1440"/>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-1.5***</w:t>
            </w:r>
          </w:p>
        </w:tc>
      </w:tr>
      <w:tr w:rsidR="00E445F8" w:rsidRPr="00207DC2" w14:paraId="144C78FD" w14:textId="77777777" w:rsidTr="008B5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single" w:sz="4" w:space="0" w:color="auto"/>
            </w:tcBorders>
          </w:tcPr>
          <w:p w14:paraId="604C82CF" w14:textId="77777777" w:rsidR="00E445F8" w:rsidRPr="00207DC2" w:rsidRDefault="00E445F8" w:rsidP="00FB626D">
            <w:pPr>
              <w:spacing w:before="60" w:after="60"/>
              <w:jc w:val="both"/>
              <w:rPr>
                <w:color w:val="auto"/>
                <w:sz w:val="20"/>
                <w:szCs w:val="20"/>
                <w:lang w:val="en-AU"/>
              </w:rPr>
            </w:pPr>
            <w:r w:rsidRPr="00207DC2">
              <w:rPr>
                <w:color w:val="auto"/>
                <w:sz w:val="20"/>
                <w:szCs w:val="20"/>
                <w:lang w:val="en-AU"/>
              </w:rPr>
              <w:t xml:space="preserve">26-week outcome </w:t>
            </w:r>
          </w:p>
        </w:tc>
        <w:tc>
          <w:tcPr>
            <w:tcW w:w="4820" w:type="dxa"/>
            <w:tcBorders>
              <w:top w:val="nil"/>
              <w:bottom w:val="single" w:sz="4" w:space="0" w:color="auto"/>
            </w:tcBorders>
          </w:tcPr>
          <w:p w14:paraId="724320C1" w14:textId="77777777" w:rsidR="00E445F8" w:rsidRPr="00207DC2" w:rsidRDefault="00E445F8" w:rsidP="00FB626D">
            <w:pPr>
              <w:tabs>
                <w:tab w:val="decimal" w:pos="1440"/>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1.2***</w:t>
            </w:r>
          </w:p>
        </w:tc>
      </w:tr>
    </w:tbl>
    <w:p w14:paraId="54CA328A" w14:textId="77777777" w:rsidR="00DF7D3E" w:rsidRPr="00207DC2" w:rsidRDefault="00E445F8" w:rsidP="00FB626D">
      <w:pPr>
        <w:pStyle w:val="tablenotes"/>
      </w:pPr>
      <w:r w:rsidRPr="00207DC2">
        <w:rPr>
          <w:i/>
        </w:rPr>
        <w:t>Source:</w:t>
      </w:r>
      <w:r w:rsidRPr="00207DC2">
        <w:t xml:space="preserve"> </w:t>
      </w:r>
      <w:r w:rsidR="0057565A" w:rsidRPr="00207DC2">
        <w:t>PMC</w:t>
      </w:r>
      <w:r w:rsidRPr="00207DC2">
        <w:t xml:space="preserve"> estimates based </w:t>
      </w:r>
      <w:r w:rsidR="003468B8" w:rsidRPr="00207DC2">
        <w:t xml:space="preserve">on </w:t>
      </w:r>
      <w:r w:rsidRPr="00207DC2">
        <w:t xml:space="preserve">unpublished ESS operational data (extracted on </w:t>
      </w:r>
      <w:r w:rsidRPr="00207DC2" w:rsidDel="002C0870">
        <w:t>5</w:t>
      </w:r>
      <w:r w:rsidR="002317B0" w:rsidRPr="00207DC2">
        <w:t> September </w:t>
      </w:r>
      <w:r w:rsidRPr="00207DC2" w:rsidDel="002C0870">
        <w:t>2017</w:t>
      </w:r>
      <w:r w:rsidR="002F0289" w:rsidRPr="00207DC2">
        <w:t xml:space="preserve">). </w:t>
      </w:r>
    </w:p>
    <w:p w14:paraId="6C01AD8C" w14:textId="77777777" w:rsidR="00E445F8" w:rsidRPr="00207DC2" w:rsidRDefault="00E445F8" w:rsidP="00FB626D">
      <w:pPr>
        <w:pStyle w:val="tablenotes"/>
      </w:pPr>
      <w:r w:rsidRPr="00207DC2">
        <w:rPr>
          <w:i/>
        </w:rPr>
        <w:t>Note</w:t>
      </w:r>
      <w:r w:rsidR="002F0289" w:rsidRPr="00207DC2">
        <w:rPr>
          <w:i/>
        </w:rPr>
        <w:t>s</w:t>
      </w:r>
      <w:r w:rsidRPr="00207DC2">
        <w:rPr>
          <w:i/>
        </w:rPr>
        <w:t>:</w:t>
      </w:r>
      <w:r w:rsidRPr="00207DC2">
        <w:t xml:space="preserve"> </w:t>
      </w:r>
      <w:r w:rsidR="000F1333" w:rsidRPr="00207DC2">
        <w:t>(a)</w:t>
      </w:r>
      <w:r w:rsidRPr="00207DC2">
        <w:t xml:space="preserve"> Estimates marked as *** are statistically significant at the 0.1</w:t>
      </w:r>
      <w:r w:rsidR="002317B0" w:rsidRPr="00207DC2">
        <w:t> </w:t>
      </w:r>
      <w:r w:rsidRPr="00207DC2">
        <w:t xml:space="preserve">per cent level, **are statistically significant at the </w:t>
      </w:r>
      <w:r w:rsidR="003D3CC4" w:rsidRPr="00207DC2">
        <w:t>one</w:t>
      </w:r>
      <w:r w:rsidRPr="00207DC2">
        <w:t xml:space="preserve"> per cent level, and * are statistically significant at the </w:t>
      </w:r>
      <w:r w:rsidR="003D3CC4" w:rsidRPr="00207DC2">
        <w:t>five</w:t>
      </w:r>
      <w:r w:rsidRPr="00207DC2">
        <w:t> per cent level.</w:t>
      </w:r>
    </w:p>
    <w:p w14:paraId="176BD6C3" w14:textId="18625188" w:rsidR="00E445F8" w:rsidRPr="00207DC2" w:rsidRDefault="00320C0B" w:rsidP="00FB626D">
      <w:pPr>
        <w:tabs>
          <w:tab w:val="left" w:pos="4962"/>
        </w:tabs>
        <w:spacing w:before="240"/>
        <w:jc w:val="both"/>
        <w:rPr>
          <w:lang w:val="en-AU"/>
        </w:rPr>
      </w:pPr>
      <w:r w:rsidRPr="00207DC2" w:rsidDel="000A45D9">
        <w:rPr>
          <w:lang w:val="en-AU"/>
        </w:rPr>
        <w:t>A</w:t>
      </w:r>
      <w:r w:rsidRPr="00207DC2">
        <w:rPr>
          <w:lang w:val="en-AU"/>
        </w:rPr>
        <w:t xml:space="preserve"> negative effect was estimated for 13-week outcomes. However, it is important to note that between 2014 and 2016</w:t>
      </w:r>
      <w:r w:rsidR="00396552">
        <w:rPr>
          <w:lang w:val="en-AU"/>
        </w:rPr>
        <w:t xml:space="preserve"> – </w:t>
      </w:r>
      <w:r w:rsidRPr="00207DC2">
        <w:rPr>
          <w:lang w:val="en-AU"/>
        </w:rPr>
        <w:t>in the change from JSA to jobactive</w:t>
      </w:r>
      <w:r w:rsidR="00396552">
        <w:rPr>
          <w:lang w:val="en-AU"/>
        </w:rPr>
        <w:t xml:space="preserve"> – </w:t>
      </w:r>
      <w:r w:rsidRPr="00207DC2">
        <w:rPr>
          <w:lang w:val="en-AU"/>
        </w:rPr>
        <w:t>payments for employment outcomes for mainstream services changed from 13</w:t>
      </w:r>
      <w:r w:rsidR="00281CF6">
        <w:rPr>
          <w:lang w:val="en-AU"/>
        </w:rPr>
        <w:t xml:space="preserve"> </w:t>
      </w:r>
      <w:r w:rsidRPr="00207DC2">
        <w:rPr>
          <w:lang w:val="en-AU"/>
        </w:rPr>
        <w:t>weeks to 12</w:t>
      </w:r>
      <w:r w:rsidR="00281CF6">
        <w:rPr>
          <w:lang w:val="en-AU"/>
        </w:rPr>
        <w:t xml:space="preserve"> </w:t>
      </w:r>
      <w:r w:rsidRPr="00207DC2">
        <w:rPr>
          <w:lang w:val="en-AU"/>
        </w:rPr>
        <w:t xml:space="preserve">weeks (Appendix A, Table A.2). </w:t>
      </w:r>
      <w:r w:rsidR="00A36F50" w:rsidRPr="00207DC2">
        <w:rPr>
          <w:lang w:val="en-AU"/>
        </w:rPr>
        <w:t xml:space="preserve">This definitional change in the mainstream program </w:t>
      </w:r>
      <w:r w:rsidR="000F1D71" w:rsidRPr="00207DC2">
        <w:rPr>
          <w:lang w:val="en-AU"/>
        </w:rPr>
        <w:t>w</w:t>
      </w:r>
      <w:r w:rsidR="00A36F50" w:rsidRPr="00207DC2">
        <w:rPr>
          <w:lang w:val="en-AU"/>
        </w:rPr>
        <w:t>ould be expected to le</w:t>
      </w:r>
      <w:r w:rsidR="003A4754" w:rsidRPr="00207DC2">
        <w:rPr>
          <w:lang w:val="en-AU"/>
        </w:rPr>
        <w:t>a</w:t>
      </w:r>
      <w:r w:rsidR="00A36F50" w:rsidRPr="00207DC2">
        <w:rPr>
          <w:lang w:val="en-AU"/>
        </w:rPr>
        <w:t>d to an increase in 12-week employment outcomes in 2016</w:t>
      </w:r>
      <w:r w:rsidR="00461AF9">
        <w:rPr>
          <w:lang w:val="en-AU"/>
        </w:rPr>
        <w:t>.</w:t>
      </w:r>
      <w:r w:rsidR="00E445F8" w:rsidRPr="00207DC2">
        <w:rPr>
          <w:lang w:val="en-AU"/>
        </w:rPr>
        <w:t xml:space="preserve"> </w:t>
      </w:r>
    </w:p>
    <w:p w14:paraId="1F1AB6E8" w14:textId="7A15A146" w:rsidR="00E445F8" w:rsidRPr="00207DC2" w:rsidRDefault="00E445F8" w:rsidP="00FB626D">
      <w:pPr>
        <w:pStyle w:val="Table"/>
        <w:outlineLvl w:val="9"/>
        <w:rPr>
          <w:vertAlign w:val="superscript"/>
        </w:rPr>
      </w:pPr>
      <w:r w:rsidRPr="00207DC2">
        <w:t xml:space="preserve">Table </w:t>
      </w:r>
      <w:r w:rsidR="00905D1A">
        <w:t>4</w:t>
      </w:r>
      <w:r w:rsidR="00581320" w:rsidRPr="00207DC2">
        <w:t>.</w:t>
      </w:r>
      <w:r w:rsidR="00905D1A">
        <w:t>5</w:t>
      </w:r>
      <w:r w:rsidR="00905D1A" w:rsidRPr="00207DC2">
        <w:t xml:space="preserve"> </w:t>
      </w:r>
      <w:r w:rsidR="00251F57" w:rsidRPr="00207DC2">
        <w:t>Comparing remote and mainstream employment regions with before to after modelling</w:t>
      </w:r>
      <w:r w:rsidR="000F1333" w:rsidRPr="00207DC2">
        <w:rPr>
          <w:vertAlign w:val="superscript"/>
        </w:rPr>
        <w:t>a</w:t>
      </w:r>
    </w:p>
    <w:tbl>
      <w:tblPr>
        <w:tblStyle w:val="PlainTable21"/>
        <w:tblW w:w="9039" w:type="dxa"/>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Before to after results for remote and neighbouring mainstream regions"/>
        <w:tblDescription w:val="This table presents the estimated percentage point change in employment outcomes (placements, 12/13-week and 26-week outcomes) Before to after modelling results for sub-groups of participants"/>
      </w:tblPr>
      <w:tblGrid>
        <w:gridCol w:w="3085"/>
        <w:gridCol w:w="1985"/>
        <w:gridCol w:w="3969"/>
      </w:tblGrid>
      <w:tr w:rsidR="00E445F8" w:rsidRPr="00207DC2" w14:paraId="23CD47D2" w14:textId="77777777" w:rsidTr="000A3951">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3085" w:type="dxa"/>
            <w:tcBorders>
              <w:bottom w:val="single" w:sz="4" w:space="0" w:color="262626" w:themeColor="background1"/>
            </w:tcBorders>
            <w:vAlign w:val="center"/>
          </w:tcPr>
          <w:p w14:paraId="5EE7A15F" w14:textId="17B6310D" w:rsidR="00E445F8" w:rsidRPr="00207DC2" w:rsidRDefault="008B5AF6" w:rsidP="00FB626D">
            <w:pPr>
              <w:keepNext/>
              <w:keepLines/>
              <w:spacing w:before="60" w:after="60"/>
              <w:rPr>
                <w:color w:val="auto"/>
                <w:sz w:val="20"/>
                <w:szCs w:val="20"/>
                <w:lang w:val="en-AU"/>
              </w:rPr>
            </w:pPr>
            <w:r w:rsidRPr="00207DC2">
              <w:rPr>
                <w:color w:val="auto"/>
                <w:sz w:val="20"/>
                <w:szCs w:val="20"/>
                <w:lang w:val="en-AU"/>
              </w:rPr>
              <w:t>Percent</w:t>
            </w:r>
            <w:r w:rsidR="00381A29" w:rsidRPr="00207DC2">
              <w:rPr>
                <w:color w:val="auto"/>
                <w:sz w:val="20"/>
                <w:szCs w:val="20"/>
                <w:lang w:val="en-AU"/>
              </w:rPr>
              <w:t>age point</w:t>
            </w:r>
            <w:r w:rsidR="00E445F8" w:rsidRPr="00207DC2">
              <w:rPr>
                <w:color w:val="auto"/>
                <w:sz w:val="20"/>
                <w:szCs w:val="20"/>
                <w:lang w:val="en-AU"/>
              </w:rPr>
              <w:t xml:space="preserve"> </w:t>
            </w:r>
            <w:r w:rsidR="00381A29" w:rsidRPr="00207DC2">
              <w:rPr>
                <w:color w:val="auto"/>
                <w:sz w:val="20"/>
                <w:szCs w:val="20"/>
                <w:lang w:val="en-AU"/>
              </w:rPr>
              <w:t>change</w:t>
            </w:r>
          </w:p>
        </w:tc>
        <w:tc>
          <w:tcPr>
            <w:tcW w:w="1985" w:type="dxa"/>
            <w:tcBorders>
              <w:bottom w:val="single" w:sz="4" w:space="0" w:color="262626" w:themeColor="background1"/>
            </w:tcBorders>
            <w:vAlign w:val="center"/>
          </w:tcPr>
          <w:p w14:paraId="7726911A" w14:textId="77777777" w:rsidR="00E445F8" w:rsidRPr="00207DC2" w:rsidRDefault="00E445F8" w:rsidP="00FB626D">
            <w:pPr>
              <w:keepNext/>
              <w:keepLines/>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RJCP/CDP</w:t>
            </w:r>
          </w:p>
        </w:tc>
        <w:tc>
          <w:tcPr>
            <w:tcW w:w="3969" w:type="dxa"/>
            <w:tcBorders>
              <w:bottom w:val="single" w:sz="4" w:space="0" w:color="262626" w:themeColor="background1"/>
            </w:tcBorders>
            <w:vAlign w:val="center"/>
          </w:tcPr>
          <w:p w14:paraId="1D997940" w14:textId="77777777" w:rsidR="00E445F8" w:rsidRPr="00207DC2" w:rsidRDefault="008B5AF6" w:rsidP="00FB626D">
            <w:pPr>
              <w:keepNext/>
              <w:keepLines/>
              <w:spacing w:before="60" w:after="60"/>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N</w:t>
            </w:r>
            <w:r w:rsidR="00E445F8" w:rsidRPr="00207DC2">
              <w:rPr>
                <w:color w:val="auto"/>
                <w:sz w:val="20"/>
                <w:szCs w:val="20"/>
                <w:lang w:val="en-AU"/>
              </w:rPr>
              <w:t>eighbouring mainstream regions</w:t>
            </w:r>
          </w:p>
        </w:tc>
      </w:tr>
      <w:tr w:rsidR="00E445F8" w:rsidRPr="00207DC2" w14:paraId="7FA40766" w14:textId="77777777" w:rsidTr="008B5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bottom w:val="nil"/>
            </w:tcBorders>
          </w:tcPr>
          <w:p w14:paraId="15490647"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 xml:space="preserve">Placed </w:t>
            </w:r>
          </w:p>
        </w:tc>
        <w:tc>
          <w:tcPr>
            <w:tcW w:w="1985" w:type="dxa"/>
            <w:tcBorders>
              <w:bottom w:val="nil"/>
            </w:tcBorders>
            <w:vAlign w:val="center"/>
          </w:tcPr>
          <w:p w14:paraId="2D82941B" w14:textId="77777777" w:rsidR="00E445F8" w:rsidRPr="00207DC2" w:rsidRDefault="00E445F8" w:rsidP="00FB626D">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1.3***</w:t>
            </w:r>
          </w:p>
        </w:tc>
        <w:tc>
          <w:tcPr>
            <w:tcW w:w="3969" w:type="dxa"/>
            <w:tcBorders>
              <w:bottom w:val="nil"/>
            </w:tcBorders>
          </w:tcPr>
          <w:p w14:paraId="0578A023" w14:textId="77777777" w:rsidR="00E445F8" w:rsidRPr="00207DC2" w:rsidRDefault="00E445F8" w:rsidP="00FB626D">
            <w:pPr>
              <w:keepNext/>
              <w:keepLines/>
              <w:tabs>
                <w:tab w:val="decimal" w:pos="2609"/>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0.9</w:t>
            </w:r>
          </w:p>
        </w:tc>
      </w:tr>
      <w:tr w:rsidR="00E445F8" w:rsidRPr="00207DC2" w14:paraId="714C8E58" w14:textId="77777777" w:rsidTr="008B5AF6">
        <w:tc>
          <w:tcPr>
            <w:cnfStyle w:val="001000000000" w:firstRow="0" w:lastRow="0" w:firstColumn="1" w:lastColumn="0" w:oddVBand="0" w:evenVBand="0" w:oddHBand="0" w:evenHBand="0" w:firstRowFirstColumn="0" w:firstRowLastColumn="0" w:lastRowFirstColumn="0" w:lastRowLastColumn="0"/>
            <w:tcW w:w="3085" w:type="dxa"/>
            <w:tcBorders>
              <w:top w:val="nil"/>
              <w:bottom w:val="nil"/>
            </w:tcBorders>
          </w:tcPr>
          <w:p w14:paraId="52BCC618"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 xml:space="preserve">12/13-week outcome </w:t>
            </w:r>
          </w:p>
        </w:tc>
        <w:tc>
          <w:tcPr>
            <w:tcW w:w="1985" w:type="dxa"/>
            <w:tcBorders>
              <w:top w:val="nil"/>
              <w:bottom w:val="nil"/>
            </w:tcBorders>
            <w:vAlign w:val="center"/>
          </w:tcPr>
          <w:p w14:paraId="2F08723E" w14:textId="77777777" w:rsidR="00E445F8" w:rsidRPr="00207DC2" w:rsidRDefault="00E445F8" w:rsidP="00FB626D">
            <w:pPr>
              <w:keepNext/>
              <w:keepLines/>
              <w:spacing w:before="60" w:after="60"/>
              <w:jc w:val="center"/>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2.1***</w:t>
            </w:r>
          </w:p>
        </w:tc>
        <w:tc>
          <w:tcPr>
            <w:tcW w:w="3969" w:type="dxa"/>
            <w:tcBorders>
              <w:top w:val="nil"/>
              <w:bottom w:val="nil"/>
            </w:tcBorders>
          </w:tcPr>
          <w:p w14:paraId="72138119" w14:textId="77777777" w:rsidR="00E445F8" w:rsidRPr="00207DC2" w:rsidRDefault="00E445F8" w:rsidP="00FB626D">
            <w:pPr>
              <w:keepNext/>
              <w:keepLines/>
              <w:tabs>
                <w:tab w:val="decimal" w:pos="2609"/>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3.2***</w:t>
            </w:r>
          </w:p>
        </w:tc>
      </w:tr>
      <w:tr w:rsidR="00E445F8" w:rsidRPr="00207DC2" w14:paraId="191784C2" w14:textId="77777777" w:rsidTr="008B5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Borders>
              <w:top w:val="nil"/>
              <w:bottom w:val="single" w:sz="4" w:space="0" w:color="000000"/>
            </w:tcBorders>
          </w:tcPr>
          <w:p w14:paraId="20FDC653"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26-week outcome</w:t>
            </w:r>
          </w:p>
        </w:tc>
        <w:tc>
          <w:tcPr>
            <w:tcW w:w="1985" w:type="dxa"/>
            <w:tcBorders>
              <w:top w:val="nil"/>
              <w:bottom w:val="single" w:sz="4" w:space="0" w:color="000000"/>
            </w:tcBorders>
            <w:vAlign w:val="center"/>
          </w:tcPr>
          <w:p w14:paraId="42AE1779" w14:textId="77777777" w:rsidR="00E445F8" w:rsidRPr="00207DC2" w:rsidRDefault="00E445F8" w:rsidP="00FB626D">
            <w:pPr>
              <w:keepNext/>
              <w:keepLines/>
              <w:spacing w:before="60" w:after="60"/>
              <w:jc w:val="center"/>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1.2***</w:t>
            </w:r>
          </w:p>
        </w:tc>
        <w:tc>
          <w:tcPr>
            <w:tcW w:w="3969" w:type="dxa"/>
            <w:tcBorders>
              <w:top w:val="nil"/>
              <w:bottom w:val="single" w:sz="4" w:space="0" w:color="000000"/>
            </w:tcBorders>
          </w:tcPr>
          <w:p w14:paraId="2BC75513" w14:textId="77777777" w:rsidR="00E445F8" w:rsidRPr="00207DC2" w:rsidRDefault="00E445F8" w:rsidP="00FB626D">
            <w:pPr>
              <w:keepNext/>
              <w:keepLines/>
              <w:tabs>
                <w:tab w:val="decimal" w:pos="2609"/>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-1.1*</w:t>
            </w:r>
          </w:p>
        </w:tc>
      </w:tr>
    </w:tbl>
    <w:p w14:paraId="364CCB90" w14:textId="77777777" w:rsidR="00DF7D3E" w:rsidRPr="00207DC2" w:rsidRDefault="00E445F8" w:rsidP="00FB626D">
      <w:pPr>
        <w:pStyle w:val="tablenotes"/>
      </w:pPr>
      <w:r w:rsidRPr="00207DC2">
        <w:rPr>
          <w:i/>
        </w:rPr>
        <w:t>Source:</w:t>
      </w:r>
      <w:r w:rsidRPr="00207DC2">
        <w:t xml:space="preserve"> </w:t>
      </w:r>
      <w:r w:rsidR="0057565A" w:rsidRPr="00207DC2">
        <w:t>PMC</w:t>
      </w:r>
      <w:r w:rsidRPr="00207DC2">
        <w:t xml:space="preserve"> estimates based unpublished ESS operational data (extracted on </w:t>
      </w:r>
      <w:r w:rsidRPr="00207DC2" w:rsidDel="002C0870">
        <w:t>5</w:t>
      </w:r>
      <w:r w:rsidR="002317B0" w:rsidRPr="00207DC2">
        <w:t> September </w:t>
      </w:r>
      <w:r w:rsidRPr="00207DC2" w:rsidDel="002C0870">
        <w:t>2017</w:t>
      </w:r>
      <w:r w:rsidR="002F0289" w:rsidRPr="00207DC2">
        <w:t xml:space="preserve">). </w:t>
      </w:r>
    </w:p>
    <w:p w14:paraId="3B2A18EC" w14:textId="617C05A3" w:rsidR="00E445F8" w:rsidRPr="00207DC2" w:rsidRDefault="00E445F8" w:rsidP="00FB626D">
      <w:pPr>
        <w:pStyle w:val="tablenotes"/>
      </w:pPr>
      <w:r w:rsidRPr="00207DC2">
        <w:rPr>
          <w:i/>
        </w:rPr>
        <w:t>Note</w:t>
      </w:r>
      <w:r w:rsidR="002F0289" w:rsidRPr="00207DC2">
        <w:rPr>
          <w:i/>
        </w:rPr>
        <w:t>s</w:t>
      </w:r>
      <w:r w:rsidRPr="00207DC2">
        <w:rPr>
          <w:i/>
        </w:rPr>
        <w:t>:</w:t>
      </w:r>
      <w:r w:rsidRPr="00207DC2">
        <w:t xml:space="preserve"> </w:t>
      </w:r>
      <w:r w:rsidR="000F1333" w:rsidRPr="00207DC2">
        <w:t>(a)</w:t>
      </w:r>
      <w:r w:rsidRPr="00207DC2">
        <w:t xml:space="preserve"> Estimates marked as *** are statistically significant at the 0.1 per cent level, and *</w:t>
      </w:r>
      <w:r w:rsidR="002D3B27" w:rsidRPr="00207DC2">
        <w:t> </w:t>
      </w:r>
      <w:r w:rsidRPr="00207DC2">
        <w:t xml:space="preserve">are statistically significant at the </w:t>
      </w:r>
      <w:r w:rsidR="003D3CC4" w:rsidRPr="00207DC2">
        <w:t>five</w:t>
      </w:r>
      <w:r w:rsidRPr="00207DC2">
        <w:t> per cent level.</w:t>
      </w:r>
    </w:p>
    <w:p w14:paraId="6C097397" w14:textId="77777777" w:rsidR="001A0E43" w:rsidRPr="00207DC2" w:rsidRDefault="001A0E43" w:rsidP="00FB626D">
      <w:pPr>
        <w:spacing w:before="240"/>
        <w:jc w:val="both"/>
        <w:rPr>
          <w:lang w:val="en-AU"/>
        </w:rPr>
      </w:pPr>
      <w:r w:rsidRPr="00207DC2">
        <w:rPr>
          <w:lang w:val="en-AU"/>
        </w:rPr>
        <w:t>These modelling results suggest that, at least for the 13</w:t>
      </w:r>
      <w:r w:rsidRPr="00207DC2">
        <w:rPr>
          <w:lang w:val="en-AU"/>
        </w:rPr>
        <w:noBreakHyphen/>
        <w:t>week employment outcomes, the neighbouring mainstream regions may not provide a suitable control for the change in labour market conditions between the RJCP and the CDP. That said, both the before and after and difference-in-difference modelling estimate a statistically significant one percentage point increase in 26</w:t>
      </w:r>
      <w:r w:rsidRPr="00207DC2">
        <w:rPr>
          <w:lang w:val="en-AU"/>
        </w:rPr>
        <w:noBreakHyphen/>
        <w:t>week employment outcomes following the introduction of the CDP.</w:t>
      </w:r>
    </w:p>
    <w:p w14:paraId="7491001A" w14:textId="4EB75CD3" w:rsidR="00346D5A" w:rsidRPr="00207DC2" w:rsidRDefault="00E445F8" w:rsidP="00FB626D">
      <w:pPr>
        <w:jc w:val="both"/>
        <w:rPr>
          <w:lang w:val="en-AU"/>
        </w:rPr>
      </w:pPr>
      <w:r w:rsidRPr="00207DC2">
        <w:rPr>
          <w:lang w:val="en-AU"/>
        </w:rPr>
        <w:t xml:space="preserve">A number of </w:t>
      </w:r>
      <w:r w:rsidR="003B7CF5" w:rsidRPr="00207DC2">
        <w:rPr>
          <w:lang w:val="en-AU"/>
        </w:rPr>
        <w:t>sensitivity</w:t>
      </w:r>
      <w:r w:rsidR="001A0E43" w:rsidRPr="00207DC2">
        <w:rPr>
          <w:lang w:val="en-AU"/>
        </w:rPr>
        <w:t xml:space="preserve"> tests</w:t>
      </w:r>
      <w:r w:rsidRPr="00207DC2">
        <w:rPr>
          <w:lang w:val="en-AU"/>
        </w:rPr>
        <w:t xml:space="preserve"> were used to </w:t>
      </w:r>
      <w:r w:rsidR="00DD60F2" w:rsidRPr="00207DC2">
        <w:rPr>
          <w:lang w:val="en-AU"/>
        </w:rPr>
        <w:t xml:space="preserve">examine </w:t>
      </w:r>
      <w:r w:rsidRPr="00207DC2">
        <w:rPr>
          <w:lang w:val="en-AU"/>
        </w:rPr>
        <w:t xml:space="preserve">the robustness of the results. Replicating the analysis </w:t>
      </w:r>
      <w:r w:rsidR="003468B8" w:rsidRPr="00207DC2">
        <w:rPr>
          <w:lang w:val="en-AU"/>
        </w:rPr>
        <w:t xml:space="preserve">and </w:t>
      </w:r>
      <w:r w:rsidRPr="00207DC2">
        <w:rPr>
          <w:lang w:val="en-AU"/>
        </w:rPr>
        <w:t xml:space="preserve">limiting the CDP regions to </w:t>
      </w:r>
      <w:r w:rsidR="00E1764B" w:rsidRPr="00207DC2">
        <w:rPr>
          <w:lang w:val="en-AU"/>
        </w:rPr>
        <w:t xml:space="preserve">only those </w:t>
      </w:r>
      <w:r w:rsidR="003C45D2" w:rsidRPr="00207DC2">
        <w:rPr>
          <w:lang w:val="en-AU"/>
        </w:rPr>
        <w:t>areas</w:t>
      </w:r>
      <w:r w:rsidR="00E1764B" w:rsidRPr="00207DC2">
        <w:rPr>
          <w:lang w:val="en-AU"/>
        </w:rPr>
        <w:t xml:space="preserve"> that crossed the border with mainstream programs</w:t>
      </w:r>
      <w:r w:rsidR="00396552">
        <w:rPr>
          <w:lang w:val="en-AU"/>
        </w:rPr>
        <w:t xml:space="preserve"> – </w:t>
      </w:r>
      <w:r w:rsidRPr="00207DC2">
        <w:rPr>
          <w:lang w:val="en-AU"/>
        </w:rPr>
        <w:t>where arguably the labour market conditions are most similar (Figure 4.1)</w:t>
      </w:r>
      <w:r w:rsidR="00396552">
        <w:rPr>
          <w:lang w:val="en-AU"/>
        </w:rPr>
        <w:t xml:space="preserve"> – </w:t>
      </w:r>
      <w:r w:rsidR="003D5C13" w:rsidRPr="00207DC2">
        <w:rPr>
          <w:lang w:val="en-AU"/>
        </w:rPr>
        <w:t xml:space="preserve">also </w:t>
      </w:r>
      <w:r w:rsidR="00B54CFA" w:rsidRPr="00207DC2">
        <w:rPr>
          <w:lang w:val="en-AU"/>
        </w:rPr>
        <w:t xml:space="preserve">estimated a </w:t>
      </w:r>
      <w:r w:rsidR="00F4205E" w:rsidRPr="00207DC2">
        <w:rPr>
          <w:lang w:val="en-AU"/>
        </w:rPr>
        <w:t xml:space="preserve">nearly two </w:t>
      </w:r>
      <w:r w:rsidR="00871084" w:rsidRPr="00207DC2">
        <w:rPr>
          <w:lang w:val="en-AU"/>
        </w:rPr>
        <w:t>per</w:t>
      </w:r>
      <w:r w:rsidR="00F4205E" w:rsidRPr="00207DC2">
        <w:rPr>
          <w:lang w:val="en-AU"/>
        </w:rPr>
        <w:t>cent</w:t>
      </w:r>
      <w:r w:rsidR="00871084" w:rsidRPr="00207DC2">
        <w:rPr>
          <w:lang w:val="en-AU"/>
        </w:rPr>
        <w:t>age point</w:t>
      </w:r>
      <w:r w:rsidR="003D5C13" w:rsidRPr="00207DC2">
        <w:rPr>
          <w:lang w:val="en-AU"/>
        </w:rPr>
        <w:t xml:space="preserve"> improvement in </w:t>
      </w:r>
      <w:r w:rsidR="005B769E" w:rsidRPr="00207DC2">
        <w:rPr>
          <w:lang w:val="en-AU"/>
        </w:rPr>
        <w:t>26-week</w:t>
      </w:r>
      <w:r w:rsidR="003D5C13" w:rsidRPr="00207DC2">
        <w:rPr>
          <w:lang w:val="en-AU"/>
        </w:rPr>
        <w:t xml:space="preserve"> outcomes. Specifically</w:t>
      </w:r>
      <w:r w:rsidR="001C3A8D" w:rsidRPr="00207DC2">
        <w:rPr>
          <w:lang w:val="en-AU"/>
        </w:rPr>
        <w:t>,</w:t>
      </w:r>
      <w:r w:rsidRPr="00207DC2">
        <w:rPr>
          <w:lang w:val="en-AU"/>
        </w:rPr>
        <w:t xml:space="preserve"> job placements were estimated to</w:t>
      </w:r>
      <w:r w:rsidR="00346D5A" w:rsidRPr="00207DC2">
        <w:rPr>
          <w:lang w:val="en-AU"/>
        </w:rPr>
        <w:t>:</w:t>
      </w:r>
      <w:r w:rsidRPr="00207DC2">
        <w:rPr>
          <w:lang w:val="en-AU"/>
        </w:rPr>
        <w:t xml:space="preserve"> </w:t>
      </w:r>
    </w:p>
    <w:p w14:paraId="4109DCEE" w14:textId="4328FC9B" w:rsidR="00346D5A" w:rsidRPr="00207DC2" w:rsidRDefault="00E445F8" w:rsidP="00F90446">
      <w:pPr>
        <w:pStyle w:val="ListParagraph"/>
        <w:numPr>
          <w:ilvl w:val="0"/>
          <w:numId w:val="35"/>
        </w:numPr>
        <w:jc w:val="both"/>
        <w:rPr>
          <w:lang w:val="en-AU"/>
        </w:rPr>
      </w:pPr>
      <w:r w:rsidRPr="00207DC2">
        <w:rPr>
          <w:lang w:val="en-AU"/>
        </w:rPr>
        <w:t xml:space="preserve">decline by 2.3 </w:t>
      </w:r>
      <w:r w:rsidR="00602420" w:rsidRPr="00207DC2">
        <w:rPr>
          <w:lang w:val="en-AU"/>
        </w:rPr>
        <w:t>percentage points</w:t>
      </w:r>
      <w:r w:rsidRPr="00207DC2">
        <w:rPr>
          <w:lang w:val="en-AU"/>
        </w:rPr>
        <w:t xml:space="preserve"> (significant at the </w:t>
      </w:r>
      <w:r w:rsidR="00EB4DDD" w:rsidRPr="00207DC2">
        <w:rPr>
          <w:lang w:val="en-AU"/>
        </w:rPr>
        <w:t>five</w:t>
      </w:r>
      <w:r w:rsidRPr="00207DC2">
        <w:rPr>
          <w:lang w:val="en-AU"/>
        </w:rPr>
        <w:t xml:space="preserve"> per cent level), </w:t>
      </w:r>
    </w:p>
    <w:p w14:paraId="28450034" w14:textId="52DECCC4" w:rsidR="00346D5A" w:rsidRPr="00207DC2" w:rsidRDefault="00E445F8" w:rsidP="00F90446">
      <w:pPr>
        <w:pStyle w:val="ListParagraph"/>
        <w:numPr>
          <w:ilvl w:val="0"/>
          <w:numId w:val="35"/>
        </w:numPr>
        <w:jc w:val="both"/>
        <w:rPr>
          <w:lang w:val="en-AU"/>
        </w:rPr>
      </w:pPr>
      <w:r w:rsidRPr="00207DC2">
        <w:rPr>
          <w:lang w:val="en-AU"/>
        </w:rPr>
        <w:t>13-week outcomes were estimated to decline by 2.0 </w:t>
      </w:r>
      <w:r w:rsidR="00602420" w:rsidRPr="00207DC2">
        <w:rPr>
          <w:lang w:val="en-AU"/>
        </w:rPr>
        <w:t>percentage points</w:t>
      </w:r>
      <w:r w:rsidRPr="00207DC2">
        <w:rPr>
          <w:lang w:val="en-AU"/>
        </w:rPr>
        <w:t xml:space="preserve"> (significant at the </w:t>
      </w:r>
      <w:r w:rsidR="00EB4DDD" w:rsidRPr="00207DC2">
        <w:rPr>
          <w:lang w:val="en-AU"/>
        </w:rPr>
        <w:t>five</w:t>
      </w:r>
      <w:r w:rsidRPr="00207DC2">
        <w:rPr>
          <w:lang w:val="en-AU"/>
        </w:rPr>
        <w:t> per cent level</w:t>
      </w:r>
      <w:r w:rsidR="003C45D2" w:rsidRPr="00207DC2">
        <w:rPr>
          <w:lang w:val="en-AU"/>
        </w:rPr>
        <w:t>,</w:t>
      </w:r>
      <w:r w:rsidR="00E1764B" w:rsidRPr="00207DC2">
        <w:rPr>
          <w:lang w:val="en-AU"/>
        </w:rPr>
        <w:t xml:space="preserve"> </w:t>
      </w:r>
      <w:r w:rsidR="00182441">
        <w:rPr>
          <w:lang w:val="en-AU"/>
        </w:rPr>
        <w:t>however</w:t>
      </w:r>
      <w:r w:rsidR="00E1764B" w:rsidRPr="00207DC2">
        <w:rPr>
          <w:lang w:val="en-AU"/>
        </w:rPr>
        <w:t xml:space="preserve"> </w:t>
      </w:r>
      <w:r w:rsidR="003C45D2" w:rsidRPr="00207DC2">
        <w:rPr>
          <w:lang w:val="en-AU"/>
        </w:rPr>
        <w:t>as noted</w:t>
      </w:r>
      <w:r w:rsidR="00E63A19" w:rsidRPr="00207DC2">
        <w:rPr>
          <w:lang w:val="en-AU"/>
        </w:rPr>
        <w:t xml:space="preserve"> above,</w:t>
      </w:r>
      <w:r w:rsidR="003C45D2" w:rsidRPr="00207DC2">
        <w:rPr>
          <w:lang w:val="en-AU"/>
        </w:rPr>
        <w:t xml:space="preserve"> this result is lik</w:t>
      </w:r>
      <w:r w:rsidR="003A4754" w:rsidRPr="00207DC2">
        <w:rPr>
          <w:lang w:val="en-AU"/>
        </w:rPr>
        <w:t>e</w:t>
      </w:r>
      <w:r w:rsidR="003C45D2" w:rsidRPr="00207DC2">
        <w:rPr>
          <w:lang w:val="en-AU"/>
        </w:rPr>
        <w:t xml:space="preserve">ly to be </w:t>
      </w:r>
      <w:r w:rsidR="00346D5A" w:rsidRPr="00207DC2">
        <w:rPr>
          <w:lang w:val="en-AU"/>
        </w:rPr>
        <w:t>a</w:t>
      </w:r>
      <w:r w:rsidR="003C45D2" w:rsidRPr="00207DC2">
        <w:rPr>
          <w:lang w:val="en-AU"/>
        </w:rPr>
        <w:t>ffected by the definitio</w:t>
      </w:r>
      <w:r w:rsidR="003A4754" w:rsidRPr="00207DC2">
        <w:rPr>
          <w:lang w:val="en-AU"/>
        </w:rPr>
        <w:t>n</w:t>
      </w:r>
      <w:r w:rsidR="003C45D2" w:rsidRPr="00207DC2">
        <w:rPr>
          <w:lang w:val="en-AU"/>
        </w:rPr>
        <w:t>al change in 12</w:t>
      </w:r>
      <w:r w:rsidR="002317B0" w:rsidRPr="00207DC2">
        <w:rPr>
          <w:lang w:val="en-AU"/>
        </w:rPr>
        <w:noBreakHyphen/>
      </w:r>
      <w:r w:rsidR="003C45D2" w:rsidRPr="00207DC2">
        <w:rPr>
          <w:lang w:val="en-AU"/>
        </w:rPr>
        <w:t xml:space="preserve">week employment outcomes in </w:t>
      </w:r>
      <w:r w:rsidR="00E1764B" w:rsidRPr="00207DC2">
        <w:rPr>
          <w:lang w:val="en-AU"/>
        </w:rPr>
        <w:t>mainstream program</w:t>
      </w:r>
      <w:r w:rsidRPr="00207DC2">
        <w:rPr>
          <w:lang w:val="en-AU"/>
        </w:rPr>
        <w:t xml:space="preserve">) </w:t>
      </w:r>
    </w:p>
    <w:p w14:paraId="121D1D05" w14:textId="41A720CC" w:rsidR="00E445F8" w:rsidRPr="00207DC2" w:rsidRDefault="00E445F8" w:rsidP="00F90446">
      <w:pPr>
        <w:pStyle w:val="ListParagraph"/>
        <w:numPr>
          <w:ilvl w:val="0"/>
          <w:numId w:val="35"/>
        </w:numPr>
        <w:jc w:val="both"/>
        <w:rPr>
          <w:lang w:val="en-AU"/>
        </w:rPr>
      </w:pPr>
      <w:r w:rsidRPr="00207DC2">
        <w:rPr>
          <w:lang w:val="en-AU"/>
        </w:rPr>
        <w:t xml:space="preserve">26-week outcomes increased </w:t>
      </w:r>
      <w:r w:rsidR="00971F5F">
        <w:rPr>
          <w:lang w:val="en-AU"/>
        </w:rPr>
        <w:t>by</w:t>
      </w:r>
      <w:r w:rsidRPr="00207DC2" w:rsidDel="00816E24">
        <w:rPr>
          <w:lang w:val="en-AU"/>
        </w:rPr>
        <w:t xml:space="preserve"> </w:t>
      </w:r>
      <w:r w:rsidRPr="00207DC2">
        <w:rPr>
          <w:lang w:val="en-AU"/>
        </w:rPr>
        <w:t>1.8 </w:t>
      </w:r>
      <w:r w:rsidR="00602420" w:rsidRPr="00207DC2">
        <w:rPr>
          <w:lang w:val="en-AU"/>
        </w:rPr>
        <w:t>percentage points</w:t>
      </w:r>
      <w:r w:rsidRPr="00207DC2">
        <w:rPr>
          <w:lang w:val="en-AU"/>
        </w:rPr>
        <w:t xml:space="preserve"> (significant at the </w:t>
      </w:r>
      <w:r w:rsidR="00EB4DDD" w:rsidRPr="00207DC2">
        <w:rPr>
          <w:lang w:val="en-AU"/>
        </w:rPr>
        <w:t>one</w:t>
      </w:r>
      <w:r w:rsidRPr="00207DC2">
        <w:rPr>
          <w:lang w:val="en-AU"/>
        </w:rPr>
        <w:t> per cent level).</w:t>
      </w:r>
    </w:p>
    <w:p w14:paraId="33D2B320" w14:textId="77777777" w:rsidR="001A0E43" w:rsidRPr="00207DC2" w:rsidRDefault="00E445F8" w:rsidP="00FB626D">
      <w:pPr>
        <w:jc w:val="both"/>
        <w:rPr>
          <w:lang w:val="en-AU"/>
        </w:rPr>
      </w:pPr>
      <w:r w:rsidRPr="00207DC2">
        <w:rPr>
          <w:lang w:val="en-AU"/>
        </w:rPr>
        <w:t xml:space="preserve">Alternative measures to the </w:t>
      </w:r>
      <w:r w:rsidR="000D6162" w:rsidRPr="00207DC2">
        <w:rPr>
          <w:lang w:val="en-AU"/>
        </w:rPr>
        <w:t>SALM</w:t>
      </w:r>
      <w:r w:rsidRPr="00207DC2">
        <w:rPr>
          <w:lang w:val="en-AU"/>
        </w:rPr>
        <w:t xml:space="preserve"> unemployment rate of labour market conditions were also considered. </w:t>
      </w:r>
      <w:r w:rsidR="00DF18C7" w:rsidRPr="00207DC2">
        <w:rPr>
          <w:lang w:val="en-AU"/>
        </w:rPr>
        <w:t>In particular, the model was estimated with: the share of the population in a region receiving government income support payments</w:t>
      </w:r>
      <w:r w:rsidR="00B94414" w:rsidRPr="00207DC2">
        <w:rPr>
          <w:lang w:val="en-AU"/>
        </w:rPr>
        <w:t xml:space="preserve"> </w:t>
      </w:r>
      <w:r w:rsidR="003468B8" w:rsidRPr="00207DC2">
        <w:rPr>
          <w:lang w:val="en-AU"/>
        </w:rPr>
        <w:t>(at the SA2 level)</w:t>
      </w:r>
      <w:r w:rsidR="00DF18C7" w:rsidRPr="00207DC2">
        <w:rPr>
          <w:lang w:val="en-AU"/>
        </w:rPr>
        <w:t xml:space="preserve">; and a detailed measure of remoteness based on the location of </w:t>
      </w:r>
      <w:r w:rsidR="00D50CED" w:rsidRPr="00207DC2">
        <w:rPr>
          <w:lang w:val="en-AU"/>
        </w:rPr>
        <w:t xml:space="preserve">the participant’s </w:t>
      </w:r>
      <w:r w:rsidR="00DF18C7" w:rsidRPr="00207DC2">
        <w:rPr>
          <w:lang w:val="en-AU"/>
        </w:rPr>
        <w:t xml:space="preserve">home address. </w:t>
      </w:r>
    </w:p>
    <w:p w14:paraId="243C3F7D" w14:textId="1F379EC5" w:rsidR="006950D7" w:rsidRPr="00207DC2" w:rsidRDefault="00235BF0" w:rsidP="00FB626D">
      <w:pPr>
        <w:jc w:val="both"/>
        <w:rPr>
          <w:lang w:val="en-AU"/>
        </w:rPr>
      </w:pPr>
      <w:r w:rsidRPr="00207DC2">
        <w:rPr>
          <w:lang w:val="en-AU"/>
        </w:rPr>
        <w:t>T</w:t>
      </w:r>
      <w:r w:rsidR="00E445F8" w:rsidRPr="00207DC2">
        <w:rPr>
          <w:lang w:val="en-AU"/>
        </w:rPr>
        <w:t xml:space="preserve">he estimated </w:t>
      </w:r>
      <w:r w:rsidRPr="00207DC2">
        <w:rPr>
          <w:lang w:val="en-AU"/>
        </w:rPr>
        <w:t xml:space="preserve">effect </w:t>
      </w:r>
      <w:r w:rsidR="00143FE6" w:rsidRPr="00207DC2">
        <w:rPr>
          <w:lang w:val="en-AU"/>
        </w:rPr>
        <w:t>for 26</w:t>
      </w:r>
      <w:r w:rsidR="00143FE6" w:rsidRPr="00207DC2">
        <w:rPr>
          <w:lang w:val="en-AU"/>
        </w:rPr>
        <w:noBreakHyphen/>
        <w:t xml:space="preserve">week outcomes </w:t>
      </w:r>
      <w:r w:rsidRPr="00207DC2">
        <w:rPr>
          <w:lang w:val="en-AU"/>
        </w:rPr>
        <w:t xml:space="preserve">were </w:t>
      </w:r>
      <w:r w:rsidR="0089590B" w:rsidRPr="00207DC2">
        <w:rPr>
          <w:lang w:val="en-AU"/>
        </w:rPr>
        <w:t>broadly</w:t>
      </w:r>
      <w:r w:rsidRPr="00207DC2">
        <w:rPr>
          <w:lang w:val="en-AU"/>
        </w:rPr>
        <w:t xml:space="preserve"> similar between the</w:t>
      </w:r>
      <w:r w:rsidR="00143FE6" w:rsidRPr="00207DC2">
        <w:rPr>
          <w:lang w:val="en-AU"/>
        </w:rPr>
        <w:t xml:space="preserve"> </w:t>
      </w:r>
      <w:r w:rsidRPr="00207DC2">
        <w:rPr>
          <w:lang w:val="en-AU"/>
        </w:rPr>
        <w:t xml:space="preserve">alternative specifications for labour market </w:t>
      </w:r>
      <w:r w:rsidR="0089590B" w:rsidRPr="00207DC2">
        <w:rPr>
          <w:lang w:val="en-AU"/>
        </w:rPr>
        <w:t>conditions</w:t>
      </w:r>
      <w:r w:rsidR="003001E3" w:rsidRPr="00207DC2">
        <w:rPr>
          <w:lang w:val="en-AU"/>
        </w:rPr>
        <w:t>.</w:t>
      </w:r>
      <w:r w:rsidR="00E445F8" w:rsidRPr="00207DC2">
        <w:rPr>
          <w:lang w:val="en-AU"/>
        </w:rPr>
        <w:t xml:space="preserve"> </w:t>
      </w:r>
      <w:r w:rsidR="003001E3" w:rsidRPr="00207DC2">
        <w:rPr>
          <w:lang w:val="en-AU"/>
        </w:rPr>
        <w:t xml:space="preserve">However, </w:t>
      </w:r>
      <w:r w:rsidR="003D7CE6" w:rsidRPr="00207DC2">
        <w:rPr>
          <w:lang w:val="en-AU"/>
        </w:rPr>
        <w:t xml:space="preserve">between the alternative specifications, </w:t>
      </w:r>
      <w:r w:rsidRPr="00207DC2">
        <w:rPr>
          <w:lang w:val="en-AU"/>
        </w:rPr>
        <w:t xml:space="preserve">there </w:t>
      </w:r>
      <w:r w:rsidR="003D7CE6" w:rsidRPr="00207DC2">
        <w:rPr>
          <w:lang w:val="en-AU"/>
        </w:rPr>
        <w:t xml:space="preserve">was </w:t>
      </w:r>
      <w:r w:rsidR="000F1D71" w:rsidRPr="00207DC2">
        <w:rPr>
          <w:lang w:val="en-AU"/>
        </w:rPr>
        <w:t>in</w:t>
      </w:r>
      <w:r w:rsidRPr="00207DC2">
        <w:rPr>
          <w:lang w:val="en-AU"/>
        </w:rPr>
        <w:t>consisten</w:t>
      </w:r>
      <w:r w:rsidR="000F1D71" w:rsidRPr="00207DC2">
        <w:rPr>
          <w:lang w:val="en-AU"/>
        </w:rPr>
        <w:t>cy</w:t>
      </w:r>
      <w:r w:rsidRPr="00207DC2">
        <w:rPr>
          <w:lang w:val="en-AU"/>
        </w:rPr>
        <w:t xml:space="preserve"> </w:t>
      </w:r>
      <w:r w:rsidR="0089590B" w:rsidRPr="00207DC2">
        <w:rPr>
          <w:lang w:val="en-AU"/>
        </w:rPr>
        <w:t>in the size, direction and significance of the</w:t>
      </w:r>
      <w:r w:rsidRPr="00207DC2">
        <w:rPr>
          <w:lang w:val="en-AU"/>
        </w:rPr>
        <w:t xml:space="preserve"> results </w:t>
      </w:r>
      <w:r w:rsidR="003D7CE6" w:rsidRPr="00207DC2">
        <w:rPr>
          <w:lang w:val="en-AU"/>
        </w:rPr>
        <w:t>for</w:t>
      </w:r>
      <w:r w:rsidR="002406A9" w:rsidRPr="00207DC2">
        <w:rPr>
          <w:lang w:val="en-AU"/>
        </w:rPr>
        <w:t xml:space="preserve"> placements and 13</w:t>
      </w:r>
      <w:r w:rsidR="002406A9" w:rsidRPr="00207DC2">
        <w:rPr>
          <w:lang w:val="en-AU"/>
        </w:rPr>
        <w:noBreakHyphen/>
        <w:t xml:space="preserve">weeks </w:t>
      </w:r>
      <w:r w:rsidR="00561FD2" w:rsidRPr="00207DC2">
        <w:rPr>
          <w:lang w:val="en-AU"/>
        </w:rPr>
        <w:t>outcomes</w:t>
      </w:r>
      <w:r w:rsidR="00DB255E" w:rsidRPr="00207DC2">
        <w:rPr>
          <w:lang w:val="en-AU"/>
        </w:rPr>
        <w:t xml:space="preserve"> (Appendix C, Table C.6)</w:t>
      </w:r>
      <w:r w:rsidR="00E445F8" w:rsidRPr="00207DC2">
        <w:rPr>
          <w:lang w:val="en-AU"/>
        </w:rPr>
        <w:t xml:space="preserve">. </w:t>
      </w:r>
    </w:p>
    <w:p w14:paraId="48AAB6E9" w14:textId="77777777" w:rsidR="00E445F8" w:rsidRPr="00207DC2" w:rsidRDefault="00E445F8" w:rsidP="00F35F78">
      <w:pPr>
        <w:pStyle w:val="ZED5"/>
        <w:outlineLvl w:val="3"/>
      </w:pPr>
      <w:bookmarkStart w:id="547" w:name="_Toc509587049"/>
      <w:bookmarkStart w:id="548" w:name="_Toc509588075"/>
      <w:bookmarkStart w:id="549" w:name="_Toc509588338"/>
      <w:bookmarkStart w:id="550" w:name="_Toc509589486"/>
      <w:bookmarkStart w:id="551" w:name="_Toc509926904"/>
      <w:bookmarkStart w:id="552" w:name="_Toc511661254"/>
      <w:bookmarkStart w:id="553" w:name="_Toc511826305"/>
      <w:bookmarkStart w:id="554" w:name="_Toc511940622"/>
      <w:bookmarkStart w:id="555" w:name="_Toc515185472"/>
      <w:bookmarkStart w:id="556" w:name="_Toc516219845"/>
      <w:bookmarkStart w:id="557" w:name="_Toc516220486"/>
      <w:bookmarkStart w:id="558" w:name="_Toc516223306"/>
      <w:bookmarkStart w:id="559" w:name="_Toc516225214"/>
      <w:bookmarkStart w:id="560" w:name="_Toc516228990"/>
      <w:bookmarkStart w:id="561" w:name="_Toc535935062"/>
      <w:r w:rsidRPr="00207DC2">
        <w:t xml:space="preserve">Employment effects for </w:t>
      </w:r>
      <w:r w:rsidR="00694972" w:rsidRPr="00207DC2">
        <w:t xml:space="preserve">selected </w:t>
      </w:r>
      <w:r w:rsidRPr="00207DC2">
        <w:t xml:space="preserve">subgroups of </w:t>
      </w:r>
      <w:bookmarkEnd w:id="547"/>
      <w:bookmarkEnd w:id="548"/>
      <w:bookmarkEnd w:id="549"/>
      <w:bookmarkEnd w:id="550"/>
      <w:bookmarkEnd w:id="551"/>
      <w:bookmarkEnd w:id="552"/>
      <w:bookmarkEnd w:id="553"/>
      <w:r w:rsidRPr="00207DC2">
        <w:t>participants</w:t>
      </w:r>
      <w:bookmarkEnd w:id="554"/>
      <w:bookmarkEnd w:id="555"/>
      <w:bookmarkEnd w:id="556"/>
      <w:bookmarkEnd w:id="557"/>
      <w:bookmarkEnd w:id="558"/>
      <w:bookmarkEnd w:id="559"/>
      <w:bookmarkEnd w:id="560"/>
      <w:bookmarkEnd w:id="561"/>
    </w:p>
    <w:p w14:paraId="5837D55F" w14:textId="4BE293E9" w:rsidR="00E445F8" w:rsidRPr="00207DC2" w:rsidRDefault="00631AF2" w:rsidP="00E445F8">
      <w:pPr>
        <w:jc w:val="both"/>
        <w:rPr>
          <w:lang w:val="en-AU"/>
        </w:rPr>
      </w:pPr>
      <w:r w:rsidRPr="00207DC2">
        <w:rPr>
          <w:lang w:val="en-AU"/>
        </w:rPr>
        <w:t>Across the different models estimated and sensitivity tests, t</w:t>
      </w:r>
      <w:r w:rsidR="00E445F8" w:rsidRPr="00207DC2">
        <w:rPr>
          <w:lang w:val="en-AU"/>
        </w:rPr>
        <w:t>he before to after analysis estimated a</w:t>
      </w:r>
      <w:r w:rsidR="00631215" w:rsidRPr="00207DC2">
        <w:rPr>
          <w:lang w:val="en-AU"/>
        </w:rPr>
        <w:t xml:space="preserve"> statistically significant</w:t>
      </w:r>
      <w:r w:rsidR="00E445F8" w:rsidRPr="00207DC2">
        <w:rPr>
          <w:lang w:val="en-AU"/>
        </w:rPr>
        <w:t xml:space="preserve"> </w:t>
      </w:r>
      <w:r w:rsidR="00631215" w:rsidRPr="00207DC2">
        <w:rPr>
          <w:lang w:val="en-AU"/>
        </w:rPr>
        <w:t>one percentage point increase in 26</w:t>
      </w:r>
      <w:r w:rsidR="00631215" w:rsidRPr="00207DC2">
        <w:rPr>
          <w:lang w:val="en-AU"/>
        </w:rPr>
        <w:noBreakHyphen/>
        <w:t xml:space="preserve">week </w:t>
      </w:r>
      <w:r w:rsidR="00E445F8" w:rsidRPr="00207DC2">
        <w:rPr>
          <w:lang w:val="en-AU"/>
        </w:rPr>
        <w:t xml:space="preserve">employment outcomes following the introduction of the CDP. However, there </w:t>
      </w:r>
      <w:r w:rsidR="00816E24" w:rsidRPr="00207DC2">
        <w:rPr>
          <w:lang w:val="en-AU"/>
        </w:rPr>
        <w:t>wa</w:t>
      </w:r>
      <w:r w:rsidR="00E445F8" w:rsidRPr="00207DC2">
        <w:rPr>
          <w:lang w:val="en-AU"/>
        </w:rPr>
        <w:t xml:space="preserve">s a lot of diversity in employment outcomes among participants. </w:t>
      </w:r>
    </w:p>
    <w:p w14:paraId="71018E5A" w14:textId="238F205A" w:rsidR="00E445F8" w:rsidRPr="00207DC2" w:rsidRDefault="00E445F8" w:rsidP="00E445F8">
      <w:pPr>
        <w:jc w:val="both"/>
        <w:rPr>
          <w:lang w:val="en-AU"/>
        </w:rPr>
      </w:pPr>
      <w:r w:rsidRPr="00207DC2">
        <w:rPr>
          <w:lang w:val="en-AU"/>
        </w:rPr>
        <w:t>Replicating the before to after</w:t>
      </w:r>
      <w:r w:rsidR="00396552">
        <w:rPr>
          <w:lang w:val="en-AU"/>
        </w:rPr>
        <w:t xml:space="preserve"> – </w:t>
      </w:r>
      <w:r w:rsidRPr="00207DC2">
        <w:rPr>
          <w:lang w:val="en-AU"/>
        </w:rPr>
        <w:t>RJCP to CDP</w:t>
      </w:r>
      <w:r w:rsidR="00396552">
        <w:rPr>
          <w:lang w:val="en-AU"/>
        </w:rPr>
        <w:t xml:space="preserve"> – </w:t>
      </w:r>
      <w:r w:rsidRPr="00207DC2">
        <w:rPr>
          <w:lang w:val="en-AU"/>
        </w:rPr>
        <w:t>modelling for certain sub</w:t>
      </w:r>
      <w:r w:rsidRPr="00207DC2" w:rsidDel="001F5B53">
        <w:rPr>
          <w:lang w:val="en-AU"/>
        </w:rPr>
        <w:t>-</w:t>
      </w:r>
      <w:r w:rsidRPr="00207DC2">
        <w:rPr>
          <w:lang w:val="en-AU"/>
        </w:rPr>
        <w:t xml:space="preserve">groups, suggests that compared to </w:t>
      </w:r>
      <w:r w:rsidR="0028792D" w:rsidRPr="00207DC2">
        <w:rPr>
          <w:lang w:val="en-AU"/>
        </w:rPr>
        <w:t xml:space="preserve">the </w:t>
      </w:r>
      <w:r w:rsidRPr="00207DC2">
        <w:rPr>
          <w:lang w:val="en-AU"/>
        </w:rPr>
        <w:t xml:space="preserve">RJCP, 25 to 34 year old remote participants had </w:t>
      </w:r>
      <w:r w:rsidR="000F1D71" w:rsidRPr="00207DC2">
        <w:rPr>
          <w:lang w:val="en-AU"/>
        </w:rPr>
        <w:t xml:space="preserve">a </w:t>
      </w:r>
      <w:r w:rsidRPr="00207DC2">
        <w:rPr>
          <w:lang w:val="en-AU"/>
        </w:rPr>
        <w:t xml:space="preserve">higher probability of being placed </w:t>
      </w:r>
      <w:r w:rsidR="00B71BA2" w:rsidRPr="00207DC2">
        <w:rPr>
          <w:lang w:val="en-AU"/>
        </w:rPr>
        <w:t>in any job</w:t>
      </w:r>
      <w:r w:rsidRPr="00207DC2">
        <w:rPr>
          <w:lang w:val="en-AU"/>
        </w:rPr>
        <w:t xml:space="preserve"> (a 3.2 </w:t>
      </w:r>
      <w:r w:rsidR="00602420" w:rsidRPr="00207DC2">
        <w:rPr>
          <w:lang w:val="en-AU"/>
        </w:rPr>
        <w:t>percentage points</w:t>
      </w:r>
      <w:r w:rsidRPr="00207DC2">
        <w:rPr>
          <w:lang w:val="en-AU"/>
        </w:rPr>
        <w:t xml:space="preserve"> increase), achieving a 13</w:t>
      </w:r>
      <w:r w:rsidRPr="00207DC2">
        <w:rPr>
          <w:lang w:val="en-AU"/>
        </w:rPr>
        <w:noBreakHyphen/>
        <w:t>week outcome (2.8 </w:t>
      </w:r>
      <w:r w:rsidR="00602420" w:rsidRPr="00207DC2">
        <w:rPr>
          <w:lang w:val="en-AU"/>
        </w:rPr>
        <w:t>percentage points</w:t>
      </w:r>
      <w:r w:rsidR="003468B8" w:rsidRPr="00207DC2">
        <w:rPr>
          <w:lang w:val="en-AU"/>
        </w:rPr>
        <w:t xml:space="preserve"> increase</w:t>
      </w:r>
      <w:r w:rsidRPr="00207DC2">
        <w:rPr>
          <w:lang w:val="en-AU"/>
        </w:rPr>
        <w:t>) and a 26</w:t>
      </w:r>
      <w:r w:rsidRPr="00207DC2">
        <w:rPr>
          <w:lang w:val="en-AU"/>
        </w:rPr>
        <w:noBreakHyphen/>
        <w:t>week outcome (1.5</w:t>
      </w:r>
      <w:r w:rsidR="002317B0" w:rsidRPr="00207DC2">
        <w:rPr>
          <w:lang w:val="en-AU"/>
        </w:rPr>
        <w:t> </w:t>
      </w:r>
      <w:r w:rsidR="00602420" w:rsidRPr="00207DC2">
        <w:rPr>
          <w:lang w:val="en-AU"/>
        </w:rPr>
        <w:t>percentage points</w:t>
      </w:r>
      <w:r w:rsidR="003468B8" w:rsidRPr="00207DC2">
        <w:rPr>
          <w:lang w:val="en-AU"/>
        </w:rPr>
        <w:t xml:space="preserve"> increase</w:t>
      </w:r>
      <w:r w:rsidRPr="00207DC2">
        <w:rPr>
          <w:lang w:val="en-AU"/>
        </w:rPr>
        <w:t xml:space="preserve">). Remote participants recorded as having low barriers to employment by the JSCI were estimated to have no change in their placement rate as a result of the CDP, </w:t>
      </w:r>
      <w:r w:rsidR="00182441">
        <w:rPr>
          <w:lang w:val="en-AU"/>
        </w:rPr>
        <w:t>however</w:t>
      </w:r>
      <w:r w:rsidRPr="00207DC2">
        <w:rPr>
          <w:lang w:val="en-AU"/>
        </w:rPr>
        <w:t xml:space="preserve"> were estimated to be </w:t>
      </w:r>
      <w:r w:rsidR="002634B6" w:rsidRPr="00207DC2">
        <w:rPr>
          <w:lang w:val="en-AU"/>
        </w:rPr>
        <w:t>three</w:t>
      </w:r>
      <w:r w:rsidRPr="00207DC2">
        <w:rPr>
          <w:lang w:val="en-AU"/>
        </w:rPr>
        <w:t> </w:t>
      </w:r>
      <w:r w:rsidR="00602420" w:rsidRPr="00207DC2">
        <w:rPr>
          <w:lang w:val="en-AU"/>
        </w:rPr>
        <w:t>percentage points</w:t>
      </w:r>
      <w:r w:rsidRPr="00207DC2">
        <w:rPr>
          <w:lang w:val="en-AU"/>
        </w:rPr>
        <w:t xml:space="preserve"> more likely to achieve a 26</w:t>
      </w:r>
      <w:r w:rsidR="002317B0" w:rsidRPr="00207DC2">
        <w:rPr>
          <w:lang w:val="en-AU"/>
        </w:rPr>
        <w:noBreakHyphen/>
      </w:r>
      <w:r w:rsidRPr="00207DC2">
        <w:rPr>
          <w:lang w:val="en-AU"/>
        </w:rPr>
        <w:t xml:space="preserve">week employment outcome. </w:t>
      </w:r>
    </w:p>
    <w:p w14:paraId="63BF01AA" w14:textId="0EB50C90" w:rsidR="005C083A" w:rsidRPr="00207DC2" w:rsidRDefault="00E445F8" w:rsidP="00E445F8">
      <w:pPr>
        <w:jc w:val="both"/>
        <w:rPr>
          <w:lang w:val="en-AU"/>
        </w:rPr>
      </w:pPr>
      <w:r w:rsidRPr="00207DC2">
        <w:rPr>
          <w:lang w:val="en-AU"/>
        </w:rPr>
        <w:t>Participants in the ‘low barriers</w:t>
      </w:r>
      <w:r w:rsidR="00F80E55" w:rsidRPr="00207DC2">
        <w:rPr>
          <w:lang w:val="en-AU"/>
        </w:rPr>
        <w:t xml:space="preserve"> to employment</w:t>
      </w:r>
      <w:r w:rsidRPr="00207DC2">
        <w:rPr>
          <w:lang w:val="en-AU"/>
        </w:rPr>
        <w:t xml:space="preserve">’ JSCI </w:t>
      </w:r>
      <w:r w:rsidR="00F80E55" w:rsidRPr="00207DC2">
        <w:rPr>
          <w:lang w:val="en-AU"/>
        </w:rPr>
        <w:t>group </w:t>
      </w:r>
      <w:r w:rsidRPr="00207DC2">
        <w:rPr>
          <w:lang w:val="en-AU"/>
        </w:rPr>
        <w:t xml:space="preserve">and, to a lesser extent, those aged 25 to 34 years had the highest increase in 26-week outcomes under the CDP. This was achieved with seemingly no </w:t>
      </w:r>
      <w:r w:rsidR="00182441">
        <w:rPr>
          <w:lang w:val="en-AU"/>
        </w:rPr>
        <w:t>additional</w:t>
      </w:r>
      <w:r w:rsidR="00182441" w:rsidRPr="00207DC2">
        <w:rPr>
          <w:lang w:val="en-AU"/>
        </w:rPr>
        <w:t xml:space="preserve"> </w:t>
      </w:r>
      <w:r w:rsidRPr="00207DC2">
        <w:rPr>
          <w:lang w:val="en-AU"/>
        </w:rPr>
        <w:t xml:space="preserve">placements for the </w:t>
      </w:r>
      <w:r w:rsidR="00783DA5" w:rsidRPr="00207DC2">
        <w:rPr>
          <w:lang w:val="en-AU"/>
        </w:rPr>
        <w:t>low-barriers</w:t>
      </w:r>
      <w:r w:rsidRPr="00207DC2">
        <w:rPr>
          <w:lang w:val="en-AU"/>
        </w:rPr>
        <w:t xml:space="preserve"> cohort, but with a marked increase in placement rate for the </w:t>
      </w:r>
      <w:r w:rsidR="00631AF2" w:rsidRPr="00207DC2">
        <w:rPr>
          <w:lang w:val="en-AU"/>
        </w:rPr>
        <w:t xml:space="preserve">25 to 34 years </w:t>
      </w:r>
      <w:r w:rsidRPr="00207DC2">
        <w:rPr>
          <w:lang w:val="en-AU"/>
        </w:rPr>
        <w:t xml:space="preserve">group. This is consistent with earlier results on the newly commenced group. </w:t>
      </w:r>
    </w:p>
    <w:p w14:paraId="31AFB10C" w14:textId="7093518E" w:rsidR="003F69B2" w:rsidRPr="00207DC2" w:rsidRDefault="00E445F8" w:rsidP="00E445F8">
      <w:pPr>
        <w:jc w:val="both"/>
        <w:rPr>
          <w:lang w:val="en-AU"/>
        </w:rPr>
      </w:pPr>
      <w:r w:rsidRPr="00207DC2">
        <w:rPr>
          <w:lang w:val="en-AU"/>
        </w:rPr>
        <w:t>Finally,</w:t>
      </w:r>
      <w:r w:rsidR="00694972" w:rsidRPr="00207DC2">
        <w:rPr>
          <w:lang w:val="en-AU"/>
        </w:rPr>
        <w:t xml:space="preserve"> as a proxy for long-term unemployment,</w:t>
      </w:r>
      <w:r w:rsidRPr="00207DC2">
        <w:rPr>
          <w:lang w:val="en-AU"/>
        </w:rPr>
        <w:t xml:space="preserve"> the analysis looked </w:t>
      </w:r>
      <w:r w:rsidR="00816E24" w:rsidRPr="00207DC2">
        <w:rPr>
          <w:lang w:val="en-AU"/>
        </w:rPr>
        <w:t xml:space="preserve">at </w:t>
      </w:r>
      <w:r w:rsidRPr="00207DC2">
        <w:rPr>
          <w:lang w:val="en-AU"/>
        </w:rPr>
        <w:t xml:space="preserve">changes in employment outcomes and the proportion of </w:t>
      </w:r>
      <w:r w:rsidR="00F051C0" w:rsidRPr="00207DC2">
        <w:rPr>
          <w:lang w:val="en-AU"/>
        </w:rPr>
        <w:t>the p</w:t>
      </w:r>
      <w:r w:rsidR="00783DA5" w:rsidRPr="00207DC2">
        <w:rPr>
          <w:lang w:val="en-AU"/>
        </w:rPr>
        <w:t>ast 20 years that</w:t>
      </w:r>
      <w:r w:rsidRPr="00207DC2">
        <w:rPr>
          <w:lang w:val="en-AU"/>
        </w:rPr>
        <w:t xml:space="preserve"> participants had been on income support payments.</w:t>
      </w:r>
      <w:r w:rsidRPr="00207DC2">
        <w:rPr>
          <w:rStyle w:val="FootnoteReference"/>
          <w:lang w:val="en-AU"/>
        </w:rPr>
        <w:footnoteReference w:id="29"/>
      </w:r>
      <w:r w:rsidRPr="00207DC2">
        <w:rPr>
          <w:lang w:val="en-AU"/>
        </w:rPr>
        <w:t xml:space="preserve"> The group who had been on income support payments for the gre</w:t>
      </w:r>
      <w:r w:rsidR="00E13BF3" w:rsidRPr="00207DC2">
        <w:rPr>
          <w:lang w:val="en-AU"/>
        </w:rPr>
        <w:t>atest share of their life were two</w:t>
      </w:r>
      <w:r w:rsidRPr="00207DC2">
        <w:rPr>
          <w:lang w:val="en-AU"/>
        </w:rPr>
        <w:t> </w:t>
      </w:r>
      <w:r w:rsidR="00602420" w:rsidRPr="00207DC2">
        <w:rPr>
          <w:lang w:val="en-AU"/>
        </w:rPr>
        <w:t>percentage points</w:t>
      </w:r>
      <w:r w:rsidRPr="00207DC2">
        <w:rPr>
          <w:lang w:val="en-AU"/>
        </w:rPr>
        <w:t xml:space="preserve"> more likely to achieve job placements under</w:t>
      </w:r>
      <w:r w:rsidR="006B26C5" w:rsidRPr="00207DC2">
        <w:rPr>
          <w:lang w:val="en-AU"/>
        </w:rPr>
        <w:t xml:space="preserve"> the</w:t>
      </w:r>
      <w:r w:rsidRPr="00207DC2">
        <w:rPr>
          <w:lang w:val="en-AU"/>
        </w:rPr>
        <w:t xml:space="preserve"> CDP</w:t>
      </w:r>
      <w:r w:rsidR="003F69B2" w:rsidRPr="00207DC2">
        <w:rPr>
          <w:lang w:val="en-AU"/>
        </w:rPr>
        <w:t xml:space="preserve"> (compared to </w:t>
      </w:r>
      <w:r w:rsidR="0028792D" w:rsidRPr="00207DC2">
        <w:rPr>
          <w:lang w:val="en-AU"/>
        </w:rPr>
        <w:t xml:space="preserve">the </w:t>
      </w:r>
      <w:r w:rsidR="003F69B2" w:rsidRPr="00207DC2">
        <w:rPr>
          <w:lang w:val="en-AU"/>
        </w:rPr>
        <w:t>RJCP)</w:t>
      </w:r>
      <w:r w:rsidRPr="00207DC2">
        <w:rPr>
          <w:lang w:val="en-AU"/>
        </w:rPr>
        <w:t xml:space="preserve">, which is a bigger improvement than for the remaining </w:t>
      </w:r>
      <w:r w:rsidR="00C07BBA" w:rsidRPr="00207DC2">
        <w:rPr>
          <w:lang w:val="en-AU"/>
        </w:rPr>
        <w:t xml:space="preserve">participants </w:t>
      </w:r>
      <w:r w:rsidR="003F69B2" w:rsidRPr="00207DC2">
        <w:rPr>
          <w:lang w:val="en-AU"/>
        </w:rPr>
        <w:t xml:space="preserve">(those participants who had not been on income support </w:t>
      </w:r>
      <w:r w:rsidR="005B769E" w:rsidRPr="00207DC2">
        <w:rPr>
          <w:lang w:val="en-AU"/>
        </w:rPr>
        <w:t>payments</w:t>
      </w:r>
      <w:r w:rsidR="003F69B2" w:rsidRPr="00207DC2">
        <w:rPr>
          <w:lang w:val="en-AU"/>
        </w:rPr>
        <w:t xml:space="preserve"> for as long)</w:t>
      </w:r>
      <w:r w:rsidRPr="00207DC2">
        <w:rPr>
          <w:lang w:val="en-AU"/>
        </w:rPr>
        <w:t xml:space="preserve">. </w:t>
      </w:r>
      <w:r w:rsidR="003F69B2" w:rsidRPr="00207DC2">
        <w:rPr>
          <w:lang w:val="en-AU"/>
        </w:rPr>
        <w:t xml:space="preserve">A similar improvement was found for 13-week outcomes under </w:t>
      </w:r>
      <w:r w:rsidR="006B26C5" w:rsidRPr="00207DC2">
        <w:rPr>
          <w:lang w:val="en-AU"/>
        </w:rPr>
        <w:t xml:space="preserve">the </w:t>
      </w:r>
      <w:r w:rsidR="003F69B2" w:rsidRPr="00207DC2">
        <w:rPr>
          <w:lang w:val="en-AU"/>
        </w:rPr>
        <w:t xml:space="preserve">CDP compared to </w:t>
      </w:r>
      <w:r w:rsidR="0028792D" w:rsidRPr="00207DC2">
        <w:rPr>
          <w:lang w:val="en-AU"/>
        </w:rPr>
        <w:t xml:space="preserve">the </w:t>
      </w:r>
      <w:r w:rsidR="003F69B2" w:rsidRPr="00207DC2">
        <w:rPr>
          <w:lang w:val="en-AU"/>
        </w:rPr>
        <w:t xml:space="preserve">RJCP, with an estimated 1.9 </w:t>
      </w:r>
      <w:r w:rsidR="00602420" w:rsidRPr="00207DC2">
        <w:rPr>
          <w:lang w:val="en-AU"/>
        </w:rPr>
        <w:t>percentage points</w:t>
      </w:r>
      <w:r w:rsidR="003F69B2" w:rsidRPr="00207DC2">
        <w:rPr>
          <w:lang w:val="en-AU"/>
        </w:rPr>
        <w:t xml:space="preserve"> improvement for </w:t>
      </w:r>
      <w:r w:rsidR="006B26C5" w:rsidRPr="00207DC2">
        <w:rPr>
          <w:lang w:val="en-AU"/>
        </w:rPr>
        <w:t xml:space="preserve">the </w:t>
      </w:r>
      <w:r w:rsidR="003F69B2" w:rsidRPr="00207DC2">
        <w:rPr>
          <w:lang w:val="en-AU"/>
        </w:rPr>
        <w:t xml:space="preserve">CDP. This is a smaller improvement than for the remainder of the </w:t>
      </w:r>
      <w:r w:rsidR="00B71BA2" w:rsidRPr="00207DC2">
        <w:rPr>
          <w:lang w:val="en-AU"/>
        </w:rPr>
        <w:t>CDP participants</w:t>
      </w:r>
      <w:r w:rsidR="003F69B2" w:rsidRPr="00207DC2">
        <w:rPr>
          <w:lang w:val="en-AU"/>
        </w:rPr>
        <w:t>. No improvements were found for this longest</w:t>
      </w:r>
      <w:r w:rsidR="00A04483" w:rsidRPr="00207DC2">
        <w:rPr>
          <w:lang w:val="en-AU"/>
        </w:rPr>
        <w:noBreakHyphen/>
      </w:r>
      <w:r w:rsidR="003F69B2" w:rsidRPr="00207DC2">
        <w:rPr>
          <w:lang w:val="en-AU"/>
        </w:rPr>
        <w:t>on-income-support group with regards to 26</w:t>
      </w:r>
      <w:r w:rsidR="002317B0" w:rsidRPr="00207DC2">
        <w:rPr>
          <w:lang w:val="en-AU"/>
        </w:rPr>
        <w:noBreakHyphen/>
      </w:r>
      <w:r w:rsidR="003F69B2" w:rsidRPr="00207DC2">
        <w:rPr>
          <w:lang w:val="en-AU"/>
        </w:rPr>
        <w:t>week outcomes</w:t>
      </w:r>
      <w:r w:rsidR="00C55BEC" w:rsidRPr="00207DC2">
        <w:rPr>
          <w:lang w:val="en-AU"/>
        </w:rPr>
        <w:t xml:space="preserve">. </w:t>
      </w:r>
    </w:p>
    <w:p w14:paraId="3C27EE7A" w14:textId="331C0403" w:rsidR="00E13BF3" w:rsidRPr="00207DC2" w:rsidRDefault="00E445F8" w:rsidP="002F0289">
      <w:pPr>
        <w:tabs>
          <w:tab w:val="left" w:pos="7655"/>
        </w:tabs>
        <w:jc w:val="both"/>
        <w:rPr>
          <w:lang w:val="en-AU"/>
        </w:rPr>
      </w:pPr>
      <w:r w:rsidRPr="00207DC2">
        <w:rPr>
          <w:lang w:val="en-AU"/>
        </w:rPr>
        <w:t xml:space="preserve">Achieving </w:t>
      </w:r>
      <w:r w:rsidR="00816E24" w:rsidRPr="00207DC2">
        <w:rPr>
          <w:lang w:val="en-AU"/>
        </w:rPr>
        <w:t xml:space="preserve">a </w:t>
      </w:r>
      <w:r w:rsidRPr="00207DC2">
        <w:rPr>
          <w:lang w:val="en-AU"/>
        </w:rPr>
        <w:t>longer</w:t>
      </w:r>
      <w:r w:rsidRPr="00207DC2">
        <w:rPr>
          <w:lang w:val="en-AU"/>
        </w:rPr>
        <w:noBreakHyphen/>
        <w:t>term employment outcome for those who have been on income support for a substantial part of their adult life, is likely to require significant investment to address the severity of employment barriers.</w:t>
      </w:r>
      <w:r w:rsidR="009B0C55" w:rsidRPr="00207DC2">
        <w:rPr>
          <w:lang w:val="en-AU"/>
        </w:rPr>
        <w:t xml:space="preserve"> </w:t>
      </w:r>
      <w:r w:rsidR="00E63A19" w:rsidRPr="00207DC2">
        <w:rPr>
          <w:lang w:val="en-AU"/>
        </w:rPr>
        <w:t xml:space="preserve">Of those participating in the CDP on 1 January 2016, one in five had spent at least 70 per cent of their adult life on income support </w:t>
      </w:r>
      <w:r w:rsidR="000C11BE" w:rsidRPr="00207DC2">
        <w:rPr>
          <w:lang w:val="en-AU"/>
        </w:rPr>
        <w:t>(</w:t>
      </w:r>
      <w:r w:rsidR="00E63A19" w:rsidRPr="00207DC2">
        <w:rPr>
          <w:lang w:val="en-AU"/>
        </w:rPr>
        <w:t>over the past 20 years</w:t>
      </w:r>
      <w:r w:rsidR="000C11BE" w:rsidRPr="00207DC2">
        <w:rPr>
          <w:lang w:val="en-AU"/>
        </w:rPr>
        <w:t>)</w:t>
      </w:r>
      <w:r w:rsidR="00E63A19" w:rsidRPr="00207DC2">
        <w:rPr>
          <w:lang w:val="en-AU"/>
        </w:rPr>
        <w:t xml:space="preserve">. </w:t>
      </w:r>
      <w:r w:rsidR="00571800" w:rsidRPr="00207DC2">
        <w:rPr>
          <w:lang w:val="en-AU"/>
        </w:rPr>
        <w:t>For these participants (the quintile of CDP participants on income support payments for the longest) it may be expected that measurable increases in 13</w:t>
      </w:r>
      <w:r w:rsidR="00571800" w:rsidRPr="00207DC2">
        <w:rPr>
          <w:lang w:val="en-AU"/>
        </w:rPr>
        <w:noBreakHyphen/>
        <w:t>week, and particularly, 26</w:t>
      </w:r>
      <w:r w:rsidR="00571800" w:rsidRPr="00207DC2">
        <w:rPr>
          <w:lang w:val="en-AU"/>
        </w:rPr>
        <w:noBreakHyphen/>
        <w:t>week outcomes would not be observed in the initial two years of a</w:t>
      </w:r>
      <w:r w:rsidR="00901065" w:rsidRPr="00207DC2">
        <w:rPr>
          <w:lang w:val="en-AU"/>
        </w:rPr>
        <w:t>n</w:t>
      </w:r>
      <w:r w:rsidR="00571800" w:rsidRPr="00207DC2">
        <w:rPr>
          <w:lang w:val="en-AU"/>
        </w:rPr>
        <w:t xml:space="preserve"> </w:t>
      </w:r>
      <w:r w:rsidR="00901065" w:rsidRPr="00207DC2">
        <w:rPr>
          <w:lang w:val="en-AU"/>
        </w:rPr>
        <w:t>employment</w:t>
      </w:r>
      <w:r w:rsidR="000F1D71" w:rsidRPr="00207DC2">
        <w:rPr>
          <w:lang w:val="en-AU"/>
        </w:rPr>
        <w:t xml:space="preserve"> </w:t>
      </w:r>
      <w:r w:rsidR="00571800" w:rsidRPr="00207DC2">
        <w:rPr>
          <w:lang w:val="en-AU"/>
        </w:rPr>
        <w:t>program.</w:t>
      </w:r>
    </w:p>
    <w:p w14:paraId="62F4A558" w14:textId="008E5AE6" w:rsidR="00E445F8" w:rsidRPr="00207DC2" w:rsidRDefault="00E445F8" w:rsidP="00FB626D">
      <w:pPr>
        <w:pStyle w:val="Table"/>
        <w:tabs>
          <w:tab w:val="left" w:pos="6379"/>
        </w:tabs>
        <w:outlineLvl w:val="9"/>
        <w:rPr>
          <w:vertAlign w:val="superscript"/>
        </w:rPr>
      </w:pPr>
      <w:r w:rsidRPr="00207DC2">
        <w:t xml:space="preserve">Table </w:t>
      </w:r>
      <w:r w:rsidR="00036CCB">
        <w:t>4</w:t>
      </w:r>
      <w:r w:rsidR="00581320" w:rsidRPr="00207DC2">
        <w:t>.</w:t>
      </w:r>
      <w:r w:rsidR="00036CCB">
        <w:t>6</w:t>
      </w:r>
      <w:r w:rsidR="00036CCB" w:rsidRPr="00207DC2">
        <w:t xml:space="preserve"> </w:t>
      </w:r>
      <w:r w:rsidRPr="00207DC2">
        <w:t>Before to after modelling results for sub-groups of participants</w:t>
      </w:r>
      <w:r w:rsidR="000F1333" w:rsidRPr="00207DC2">
        <w:rPr>
          <w:vertAlign w:val="superscript"/>
        </w:rPr>
        <w:t>a</w:t>
      </w:r>
    </w:p>
    <w:p w14:paraId="5E7817CE" w14:textId="77777777" w:rsidR="00E445F8" w:rsidRPr="00207DC2" w:rsidRDefault="00E445F8" w:rsidP="00FB626D">
      <w:pPr>
        <w:pStyle w:val="TableText"/>
        <w:keepNext/>
        <w:keepLines/>
        <w:ind w:left="0"/>
        <w:rPr>
          <w:lang w:val="en-AU"/>
        </w:rPr>
      </w:pPr>
      <w:r w:rsidRPr="00207DC2">
        <w:rPr>
          <w:lang w:val="en-AU"/>
        </w:rPr>
        <w:t>For the point-in-time sample of program participants</w:t>
      </w:r>
    </w:p>
    <w:tbl>
      <w:tblPr>
        <w:tblStyle w:val="PlainTable21"/>
        <w:tblW w:w="9039" w:type="dxa"/>
        <w:tblLayout w:type="fixed"/>
        <w:tblLook w:val="04A0" w:firstRow="1" w:lastRow="0" w:firstColumn="1" w:lastColumn="0" w:noHBand="0" w:noVBand="1"/>
        <w:tblCaption w:val="Before to after modelling results for sub-groups of participants"/>
        <w:tblDescription w:val="This table presents the estimated percentage point change in employment outcomes (placements, 13-week and 26-week outcomes) from the before to after modelling results for broken down:&#10;- age groups;&#10;- barriers to employment; and&#10;- income support quintile.&#10;"/>
      </w:tblPr>
      <w:tblGrid>
        <w:gridCol w:w="4928"/>
        <w:gridCol w:w="1370"/>
        <w:gridCol w:w="1370"/>
        <w:gridCol w:w="1371"/>
      </w:tblGrid>
      <w:tr w:rsidR="00E445F8" w:rsidRPr="00207DC2" w14:paraId="68EB2F4D" w14:textId="77777777" w:rsidTr="000A39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928" w:type="dxa"/>
            <w:tcBorders>
              <w:top w:val="single" w:sz="8" w:space="0" w:color="auto"/>
              <w:bottom w:val="single" w:sz="8" w:space="0" w:color="auto"/>
            </w:tcBorders>
            <w:noWrap/>
            <w:hideMark/>
          </w:tcPr>
          <w:p w14:paraId="403616D2" w14:textId="37FF86CA" w:rsidR="00E445F8" w:rsidRPr="00207DC2" w:rsidRDefault="008B5AF6" w:rsidP="00FB626D">
            <w:pPr>
              <w:keepNext/>
              <w:keepLines/>
              <w:spacing w:before="60" w:after="60"/>
              <w:jc w:val="both"/>
              <w:rPr>
                <w:color w:val="auto"/>
                <w:sz w:val="20"/>
                <w:szCs w:val="20"/>
                <w:lang w:val="en-AU"/>
              </w:rPr>
            </w:pPr>
            <w:r w:rsidRPr="00207DC2">
              <w:rPr>
                <w:color w:val="auto"/>
                <w:sz w:val="20"/>
                <w:szCs w:val="20"/>
                <w:lang w:val="en-AU"/>
              </w:rPr>
              <w:t>Percent</w:t>
            </w:r>
            <w:r w:rsidR="00381A29" w:rsidRPr="00207DC2">
              <w:rPr>
                <w:color w:val="auto"/>
                <w:sz w:val="20"/>
                <w:szCs w:val="20"/>
                <w:lang w:val="en-AU"/>
              </w:rPr>
              <w:t>age point change</w:t>
            </w:r>
          </w:p>
        </w:tc>
        <w:tc>
          <w:tcPr>
            <w:tcW w:w="1370" w:type="dxa"/>
            <w:tcBorders>
              <w:top w:val="single" w:sz="8" w:space="0" w:color="auto"/>
              <w:bottom w:val="single" w:sz="8" w:space="0" w:color="auto"/>
            </w:tcBorders>
            <w:noWrap/>
            <w:hideMark/>
          </w:tcPr>
          <w:p w14:paraId="76166016" w14:textId="77777777" w:rsidR="00E445F8" w:rsidRPr="00207DC2" w:rsidRDefault="00E445F8" w:rsidP="00FB626D">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Placed</w:t>
            </w:r>
          </w:p>
        </w:tc>
        <w:tc>
          <w:tcPr>
            <w:tcW w:w="1370" w:type="dxa"/>
            <w:tcBorders>
              <w:top w:val="single" w:sz="8" w:space="0" w:color="auto"/>
              <w:bottom w:val="single" w:sz="8" w:space="0" w:color="auto"/>
            </w:tcBorders>
            <w:noWrap/>
            <w:hideMark/>
          </w:tcPr>
          <w:p w14:paraId="5371181D" w14:textId="3A3E8B90" w:rsidR="00E445F8" w:rsidRPr="00207DC2" w:rsidRDefault="00E445F8" w:rsidP="00281CF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13</w:t>
            </w:r>
            <w:r w:rsidR="00281CF6">
              <w:rPr>
                <w:color w:val="auto"/>
                <w:sz w:val="20"/>
                <w:szCs w:val="20"/>
                <w:lang w:val="en-AU"/>
              </w:rPr>
              <w:t xml:space="preserve"> </w:t>
            </w:r>
            <w:r w:rsidRPr="00207DC2">
              <w:rPr>
                <w:color w:val="auto"/>
                <w:sz w:val="20"/>
                <w:szCs w:val="20"/>
                <w:lang w:val="en-AU"/>
              </w:rPr>
              <w:t>week</w:t>
            </w:r>
          </w:p>
        </w:tc>
        <w:tc>
          <w:tcPr>
            <w:tcW w:w="1371" w:type="dxa"/>
            <w:tcBorders>
              <w:top w:val="single" w:sz="8" w:space="0" w:color="auto"/>
              <w:bottom w:val="single" w:sz="8" w:space="0" w:color="auto"/>
            </w:tcBorders>
            <w:noWrap/>
            <w:hideMark/>
          </w:tcPr>
          <w:p w14:paraId="34B6EE92" w14:textId="13970FA6" w:rsidR="00E445F8" w:rsidRPr="00207DC2" w:rsidRDefault="00E445F8" w:rsidP="00281CF6">
            <w:pPr>
              <w:keepNext/>
              <w:keepLines/>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26</w:t>
            </w:r>
            <w:r w:rsidR="00281CF6">
              <w:rPr>
                <w:color w:val="auto"/>
                <w:sz w:val="20"/>
                <w:szCs w:val="20"/>
                <w:lang w:val="en-AU"/>
              </w:rPr>
              <w:t xml:space="preserve"> </w:t>
            </w:r>
            <w:r w:rsidRPr="00207DC2">
              <w:rPr>
                <w:color w:val="auto"/>
                <w:sz w:val="20"/>
                <w:szCs w:val="20"/>
                <w:lang w:val="en-AU"/>
              </w:rPr>
              <w:t>week</w:t>
            </w:r>
          </w:p>
        </w:tc>
      </w:tr>
      <w:tr w:rsidR="00E445F8" w:rsidRPr="00207DC2" w14:paraId="2087F446" w14:textId="77777777" w:rsidTr="008B5A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single" w:sz="8" w:space="0" w:color="auto"/>
              <w:bottom w:val="dashSmallGap" w:sz="4" w:space="0" w:color="auto"/>
            </w:tcBorders>
            <w:noWrap/>
          </w:tcPr>
          <w:p w14:paraId="21829C21"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Outcomes for all point-in-time participants</w:t>
            </w:r>
          </w:p>
        </w:tc>
        <w:tc>
          <w:tcPr>
            <w:tcW w:w="1370" w:type="dxa"/>
            <w:tcBorders>
              <w:top w:val="single" w:sz="8" w:space="0" w:color="auto"/>
              <w:bottom w:val="dashSmallGap" w:sz="4" w:space="0" w:color="auto"/>
            </w:tcBorders>
            <w:noWrap/>
          </w:tcPr>
          <w:p w14:paraId="2AAC5AD5" w14:textId="77777777" w:rsidR="00E445F8" w:rsidRPr="00207DC2" w:rsidRDefault="00E445F8" w:rsidP="00FB626D">
            <w:pPr>
              <w:keepNext/>
              <w:keepLines/>
              <w:tabs>
                <w:tab w:val="decimal" w:pos="454"/>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1.3***</w:t>
            </w:r>
          </w:p>
        </w:tc>
        <w:tc>
          <w:tcPr>
            <w:tcW w:w="1370" w:type="dxa"/>
            <w:tcBorders>
              <w:top w:val="single" w:sz="8" w:space="0" w:color="auto"/>
              <w:bottom w:val="dashSmallGap" w:sz="4" w:space="0" w:color="auto"/>
            </w:tcBorders>
            <w:noWrap/>
          </w:tcPr>
          <w:p w14:paraId="312563BD" w14:textId="77777777" w:rsidR="00E445F8" w:rsidRPr="00207DC2" w:rsidRDefault="00E445F8" w:rsidP="00FB626D">
            <w:pPr>
              <w:keepNext/>
              <w:keepLines/>
              <w:tabs>
                <w:tab w:val="decimal" w:pos="462"/>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2.1***</w:t>
            </w:r>
          </w:p>
        </w:tc>
        <w:tc>
          <w:tcPr>
            <w:tcW w:w="1371" w:type="dxa"/>
            <w:tcBorders>
              <w:top w:val="single" w:sz="8" w:space="0" w:color="auto"/>
              <w:bottom w:val="dashSmallGap" w:sz="4" w:space="0" w:color="auto"/>
            </w:tcBorders>
            <w:noWrap/>
          </w:tcPr>
          <w:p w14:paraId="027012A5" w14:textId="77777777" w:rsidR="00E445F8" w:rsidRPr="00207DC2" w:rsidRDefault="00E445F8" w:rsidP="00FB626D">
            <w:pPr>
              <w:keepNext/>
              <w:keepLines/>
              <w:tabs>
                <w:tab w:val="decimal" w:pos="467"/>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1.2***</w:t>
            </w:r>
          </w:p>
        </w:tc>
      </w:tr>
      <w:tr w:rsidR="00E445F8" w:rsidRPr="00207DC2" w14:paraId="3E65CB3E" w14:textId="77777777" w:rsidTr="008B5AF6">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dashSmallGap" w:sz="4" w:space="0" w:color="auto"/>
              <w:bottom w:val="nil"/>
            </w:tcBorders>
            <w:noWrap/>
            <w:hideMark/>
          </w:tcPr>
          <w:p w14:paraId="1AB2DAFB" w14:textId="77777777" w:rsidR="00E445F8" w:rsidRPr="00207DC2" w:rsidRDefault="00E445F8" w:rsidP="00FB626D">
            <w:pPr>
              <w:keepNext/>
              <w:keepLines/>
              <w:spacing w:before="60" w:after="60"/>
              <w:jc w:val="both"/>
              <w:rPr>
                <w:color w:val="auto"/>
                <w:sz w:val="20"/>
                <w:szCs w:val="20"/>
                <w:lang w:val="en-AU"/>
              </w:rPr>
            </w:pPr>
            <w:r w:rsidRPr="00207DC2">
              <w:rPr>
                <w:color w:val="auto"/>
                <w:sz w:val="20"/>
                <w:szCs w:val="20"/>
                <w:lang w:val="en-AU"/>
              </w:rPr>
              <w:t>15 to 24 years</w:t>
            </w:r>
          </w:p>
        </w:tc>
        <w:tc>
          <w:tcPr>
            <w:tcW w:w="1370" w:type="dxa"/>
            <w:tcBorders>
              <w:top w:val="dashSmallGap" w:sz="4" w:space="0" w:color="auto"/>
              <w:bottom w:val="nil"/>
            </w:tcBorders>
            <w:noWrap/>
            <w:hideMark/>
          </w:tcPr>
          <w:p w14:paraId="5A87867B" w14:textId="77777777" w:rsidR="00E445F8" w:rsidRPr="00207DC2" w:rsidRDefault="00E445F8" w:rsidP="00FB626D">
            <w:pPr>
              <w:keepNext/>
              <w:keepLines/>
              <w:tabs>
                <w:tab w:val="decimal" w:pos="454"/>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0.8</w:t>
            </w:r>
          </w:p>
        </w:tc>
        <w:tc>
          <w:tcPr>
            <w:tcW w:w="1370" w:type="dxa"/>
            <w:tcBorders>
              <w:top w:val="dashSmallGap" w:sz="4" w:space="0" w:color="auto"/>
              <w:bottom w:val="nil"/>
            </w:tcBorders>
            <w:noWrap/>
            <w:hideMark/>
          </w:tcPr>
          <w:p w14:paraId="1C3EF879" w14:textId="77777777" w:rsidR="00E445F8" w:rsidRPr="00207DC2" w:rsidRDefault="00E445F8" w:rsidP="00FB626D">
            <w:pPr>
              <w:keepNext/>
              <w:keepLines/>
              <w:tabs>
                <w:tab w:val="decimal" w:pos="462"/>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2.1***</w:t>
            </w:r>
          </w:p>
        </w:tc>
        <w:tc>
          <w:tcPr>
            <w:tcW w:w="1371" w:type="dxa"/>
            <w:tcBorders>
              <w:top w:val="dashSmallGap" w:sz="4" w:space="0" w:color="auto"/>
              <w:bottom w:val="nil"/>
            </w:tcBorders>
            <w:noWrap/>
            <w:hideMark/>
          </w:tcPr>
          <w:p w14:paraId="36CF00FD" w14:textId="77777777" w:rsidR="00E445F8" w:rsidRPr="00207DC2" w:rsidRDefault="00E445F8" w:rsidP="00FB626D">
            <w:pPr>
              <w:keepNext/>
              <w:keepLines/>
              <w:tabs>
                <w:tab w:val="decimal" w:pos="467"/>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1.4***</w:t>
            </w:r>
          </w:p>
        </w:tc>
      </w:tr>
      <w:tr w:rsidR="00E445F8" w:rsidRPr="00207DC2" w14:paraId="71C55065" w14:textId="77777777" w:rsidTr="008B5A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nil"/>
            </w:tcBorders>
            <w:noWrap/>
            <w:hideMark/>
          </w:tcPr>
          <w:p w14:paraId="6232E17D" w14:textId="77777777" w:rsidR="00E445F8" w:rsidRPr="00207DC2" w:rsidRDefault="00E445F8" w:rsidP="00FB626D">
            <w:pPr>
              <w:keepNext/>
              <w:keepLines/>
              <w:spacing w:before="60" w:after="60"/>
              <w:jc w:val="both"/>
              <w:rPr>
                <w:color w:val="auto"/>
                <w:sz w:val="20"/>
                <w:szCs w:val="20"/>
                <w:lang w:val="en-AU"/>
              </w:rPr>
            </w:pPr>
            <w:r w:rsidRPr="00207DC2">
              <w:rPr>
                <w:color w:val="auto"/>
                <w:sz w:val="20"/>
                <w:szCs w:val="20"/>
                <w:lang w:val="en-AU"/>
              </w:rPr>
              <w:t>25 to 34 years</w:t>
            </w:r>
            <w:r w:rsidRPr="00207DC2">
              <w:rPr>
                <w:color w:val="auto"/>
                <w:sz w:val="20"/>
                <w:szCs w:val="20"/>
                <w:lang w:val="en-AU"/>
              </w:rPr>
              <w:tab/>
            </w:r>
          </w:p>
        </w:tc>
        <w:tc>
          <w:tcPr>
            <w:tcW w:w="1370" w:type="dxa"/>
            <w:tcBorders>
              <w:top w:val="nil"/>
              <w:bottom w:val="nil"/>
            </w:tcBorders>
            <w:noWrap/>
          </w:tcPr>
          <w:p w14:paraId="55015BB0" w14:textId="77777777" w:rsidR="00E445F8" w:rsidRPr="00207DC2" w:rsidRDefault="00E445F8" w:rsidP="00FB626D">
            <w:pPr>
              <w:keepNext/>
              <w:keepLines/>
              <w:tabs>
                <w:tab w:val="decimal" w:pos="454"/>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3.2***</w:t>
            </w:r>
          </w:p>
        </w:tc>
        <w:tc>
          <w:tcPr>
            <w:tcW w:w="1370" w:type="dxa"/>
            <w:tcBorders>
              <w:top w:val="nil"/>
              <w:bottom w:val="nil"/>
            </w:tcBorders>
            <w:noWrap/>
          </w:tcPr>
          <w:p w14:paraId="302762A1" w14:textId="77777777" w:rsidR="00E445F8" w:rsidRPr="00207DC2" w:rsidRDefault="00E445F8" w:rsidP="00FB626D">
            <w:pPr>
              <w:keepNext/>
              <w:keepLines/>
              <w:tabs>
                <w:tab w:val="decimal" w:pos="462"/>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2.8***</w:t>
            </w:r>
          </w:p>
        </w:tc>
        <w:tc>
          <w:tcPr>
            <w:tcW w:w="1371" w:type="dxa"/>
            <w:tcBorders>
              <w:top w:val="nil"/>
              <w:bottom w:val="nil"/>
            </w:tcBorders>
            <w:noWrap/>
          </w:tcPr>
          <w:p w14:paraId="71FF7F58" w14:textId="77777777" w:rsidR="00E445F8" w:rsidRPr="00207DC2" w:rsidRDefault="00E445F8" w:rsidP="00FB626D">
            <w:pPr>
              <w:keepNext/>
              <w:keepLines/>
              <w:tabs>
                <w:tab w:val="decimal" w:pos="467"/>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1.5***</w:t>
            </w:r>
          </w:p>
        </w:tc>
      </w:tr>
      <w:tr w:rsidR="00E445F8" w:rsidRPr="00207DC2" w14:paraId="67CC9824" w14:textId="77777777" w:rsidTr="008B5AF6">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dashSmallGap" w:sz="4" w:space="0" w:color="auto"/>
            </w:tcBorders>
            <w:noWrap/>
          </w:tcPr>
          <w:p w14:paraId="39AA3598" w14:textId="77777777" w:rsidR="00E445F8" w:rsidRPr="00207DC2" w:rsidRDefault="00E445F8" w:rsidP="00FB626D">
            <w:pPr>
              <w:keepNext/>
              <w:keepLines/>
              <w:spacing w:before="60" w:after="60"/>
              <w:jc w:val="both"/>
              <w:rPr>
                <w:color w:val="auto"/>
                <w:sz w:val="20"/>
                <w:szCs w:val="20"/>
                <w:lang w:val="en-AU"/>
              </w:rPr>
            </w:pPr>
            <w:r w:rsidRPr="00207DC2">
              <w:rPr>
                <w:color w:val="auto"/>
                <w:sz w:val="20"/>
                <w:szCs w:val="20"/>
                <w:lang w:val="en-AU"/>
              </w:rPr>
              <w:t>35 years and over</w:t>
            </w:r>
          </w:p>
        </w:tc>
        <w:tc>
          <w:tcPr>
            <w:tcW w:w="1370" w:type="dxa"/>
            <w:tcBorders>
              <w:top w:val="nil"/>
              <w:bottom w:val="dashSmallGap" w:sz="4" w:space="0" w:color="auto"/>
            </w:tcBorders>
            <w:noWrap/>
          </w:tcPr>
          <w:p w14:paraId="51D6C848" w14:textId="77777777" w:rsidR="00E445F8" w:rsidRPr="00207DC2" w:rsidRDefault="00E445F8" w:rsidP="00FB626D">
            <w:pPr>
              <w:keepNext/>
              <w:keepLines/>
              <w:tabs>
                <w:tab w:val="decimal" w:pos="454"/>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0.6</w:t>
            </w:r>
          </w:p>
        </w:tc>
        <w:tc>
          <w:tcPr>
            <w:tcW w:w="1370" w:type="dxa"/>
            <w:tcBorders>
              <w:top w:val="nil"/>
              <w:bottom w:val="dashSmallGap" w:sz="4" w:space="0" w:color="auto"/>
            </w:tcBorders>
            <w:noWrap/>
          </w:tcPr>
          <w:p w14:paraId="37CE579C" w14:textId="77777777" w:rsidR="00E445F8" w:rsidRPr="00207DC2" w:rsidRDefault="00E445F8" w:rsidP="00FB626D">
            <w:pPr>
              <w:keepNext/>
              <w:keepLines/>
              <w:tabs>
                <w:tab w:val="decimal" w:pos="462"/>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1.8***</w:t>
            </w:r>
          </w:p>
        </w:tc>
        <w:tc>
          <w:tcPr>
            <w:tcW w:w="1371" w:type="dxa"/>
            <w:tcBorders>
              <w:top w:val="nil"/>
              <w:bottom w:val="dashSmallGap" w:sz="4" w:space="0" w:color="auto"/>
            </w:tcBorders>
            <w:noWrap/>
          </w:tcPr>
          <w:p w14:paraId="0203D344" w14:textId="77777777" w:rsidR="00E445F8" w:rsidRPr="00207DC2" w:rsidRDefault="00E445F8" w:rsidP="00FB626D">
            <w:pPr>
              <w:keepNext/>
              <w:keepLines/>
              <w:tabs>
                <w:tab w:val="decimal" w:pos="467"/>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0.9**</w:t>
            </w:r>
          </w:p>
        </w:tc>
      </w:tr>
      <w:tr w:rsidR="00E445F8" w:rsidRPr="00207DC2" w14:paraId="54D1FBA7" w14:textId="77777777" w:rsidTr="008B5A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dashSmallGap" w:sz="4" w:space="0" w:color="auto"/>
              <w:bottom w:val="nil"/>
            </w:tcBorders>
            <w:noWrap/>
            <w:hideMark/>
          </w:tcPr>
          <w:p w14:paraId="2EF57F03" w14:textId="7777777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 xml:space="preserve">Low barriers to employment </w:t>
            </w:r>
          </w:p>
        </w:tc>
        <w:tc>
          <w:tcPr>
            <w:tcW w:w="1370" w:type="dxa"/>
            <w:tcBorders>
              <w:top w:val="dashSmallGap" w:sz="4" w:space="0" w:color="auto"/>
              <w:bottom w:val="nil"/>
            </w:tcBorders>
            <w:noWrap/>
            <w:hideMark/>
          </w:tcPr>
          <w:p w14:paraId="1B167015" w14:textId="77777777" w:rsidR="00E445F8" w:rsidRPr="00207DC2" w:rsidRDefault="00E445F8" w:rsidP="00FB626D">
            <w:pPr>
              <w:keepNext/>
              <w:keepLines/>
              <w:tabs>
                <w:tab w:val="decimal" w:pos="454"/>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-1.9</w:t>
            </w:r>
          </w:p>
        </w:tc>
        <w:tc>
          <w:tcPr>
            <w:tcW w:w="1370" w:type="dxa"/>
            <w:tcBorders>
              <w:top w:val="dashSmallGap" w:sz="4" w:space="0" w:color="auto"/>
              <w:bottom w:val="nil"/>
            </w:tcBorders>
            <w:noWrap/>
            <w:hideMark/>
          </w:tcPr>
          <w:p w14:paraId="46D68EE0" w14:textId="77777777" w:rsidR="00E445F8" w:rsidRPr="00207DC2" w:rsidRDefault="00E445F8" w:rsidP="00FB626D">
            <w:pPr>
              <w:keepNext/>
              <w:keepLines/>
              <w:tabs>
                <w:tab w:val="decimal" w:pos="462"/>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2.6*</w:t>
            </w:r>
          </w:p>
        </w:tc>
        <w:tc>
          <w:tcPr>
            <w:tcW w:w="1371" w:type="dxa"/>
            <w:tcBorders>
              <w:top w:val="dashSmallGap" w:sz="4" w:space="0" w:color="auto"/>
              <w:bottom w:val="nil"/>
            </w:tcBorders>
            <w:noWrap/>
            <w:hideMark/>
          </w:tcPr>
          <w:p w14:paraId="3033F886" w14:textId="77777777" w:rsidR="00E445F8" w:rsidRPr="00207DC2" w:rsidRDefault="00E445F8" w:rsidP="00FB626D">
            <w:pPr>
              <w:keepNext/>
              <w:keepLines/>
              <w:tabs>
                <w:tab w:val="decimal" w:pos="467"/>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3.4***</w:t>
            </w:r>
          </w:p>
        </w:tc>
      </w:tr>
      <w:tr w:rsidR="00E445F8" w:rsidRPr="00207DC2" w14:paraId="5212A492" w14:textId="77777777" w:rsidTr="008B5AF6">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dashSmallGap" w:sz="4" w:space="0" w:color="auto"/>
            </w:tcBorders>
            <w:noWrap/>
            <w:hideMark/>
          </w:tcPr>
          <w:p w14:paraId="16B020BE" w14:textId="0E9110AD"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Mild</w:t>
            </w:r>
            <w:r w:rsidR="00105548" w:rsidRPr="00207DC2">
              <w:rPr>
                <w:color w:val="auto"/>
                <w:sz w:val="20"/>
                <w:szCs w:val="20"/>
                <w:lang w:val="en-AU"/>
              </w:rPr>
              <w:t>, moderate or</w:t>
            </w:r>
            <w:r w:rsidRPr="00207DC2">
              <w:rPr>
                <w:color w:val="auto"/>
                <w:sz w:val="20"/>
                <w:szCs w:val="20"/>
                <w:lang w:val="en-AU"/>
              </w:rPr>
              <w:t xml:space="preserve"> extreme barriers to employment</w:t>
            </w:r>
          </w:p>
        </w:tc>
        <w:tc>
          <w:tcPr>
            <w:tcW w:w="1370" w:type="dxa"/>
            <w:tcBorders>
              <w:top w:val="nil"/>
              <w:bottom w:val="dashSmallGap" w:sz="4" w:space="0" w:color="auto"/>
            </w:tcBorders>
            <w:noWrap/>
            <w:hideMark/>
          </w:tcPr>
          <w:p w14:paraId="7DE4E226" w14:textId="77777777" w:rsidR="00E445F8" w:rsidRPr="00207DC2" w:rsidRDefault="00E445F8" w:rsidP="00FB626D">
            <w:pPr>
              <w:keepNext/>
              <w:keepLines/>
              <w:tabs>
                <w:tab w:val="decimal" w:pos="454"/>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1.7***</w:t>
            </w:r>
          </w:p>
        </w:tc>
        <w:tc>
          <w:tcPr>
            <w:tcW w:w="1370" w:type="dxa"/>
            <w:tcBorders>
              <w:top w:val="nil"/>
              <w:bottom w:val="dashSmallGap" w:sz="4" w:space="0" w:color="auto"/>
            </w:tcBorders>
            <w:noWrap/>
            <w:hideMark/>
          </w:tcPr>
          <w:p w14:paraId="50C4D6CC" w14:textId="77777777" w:rsidR="00E445F8" w:rsidRPr="00207DC2" w:rsidRDefault="00E445F8" w:rsidP="00FB626D">
            <w:pPr>
              <w:keepNext/>
              <w:keepLines/>
              <w:tabs>
                <w:tab w:val="decimal" w:pos="462"/>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2.1***</w:t>
            </w:r>
          </w:p>
        </w:tc>
        <w:tc>
          <w:tcPr>
            <w:tcW w:w="1371" w:type="dxa"/>
            <w:tcBorders>
              <w:top w:val="nil"/>
              <w:bottom w:val="dashSmallGap" w:sz="4" w:space="0" w:color="auto"/>
            </w:tcBorders>
            <w:noWrap/>
            <w:hideMark/>
          </w:tcPr>
          <w:p w14:paraId="2A7127DA" w14:textId="77777777" w:rsidR="00E445F8" w:rsidRPr="00207DC2" w:rsidRDefault="00E445F8" w:rsidP="00FB626D">
            <w:pPr>
              <w:keepNext/>
              <w:keepLines/>
              <w:tabs>
                <w:tab w:val="decimal" w:pos="467"/>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1.1***</w:t>
            </w:r>
          </w:p>
        </w:tc>
      </w:tr>
      <w:tr w:rsidR="00E445F8" w:rsidRPr="00207DC2" w14:paraId="3BEF8CA7" w14:textId="77777777" w:rsidTr="008B5AF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dashSmallGap" w:sz="4" w:space="0" w:color="auto"/>
              <w:bottom w:val="nil"/>
            </w:tcBorders>
            <w:noWrap/>
            <w:hideMark/>
          </w:tcPr>
          <w:p w14:paraId="30404EBB" w14:textId="614593F6" w:rsidR="00E445F8" w:rsidRPr="00207DC2" w:rsidRDefault="002F0289" w:rsidP="00FB626D">
            <w:pPr>
              <w:keepNext/>
              <w:keepLines/>
              <w:spacing w:before="60" w:after="60"/>
              <w:rPr>
                <w:color w:val="auto"/>
                <w:sz w:val="20"/>
                <w:szCs w:val="20"/>
                <w:lang w:val="en-AU"/>
              </w:rPr>
            </w:pPr>
            <w:r w:rsidRPr="00207DC2">
              <w:rPr>
                <w:sz w:val="20"/>
                <w:szCs w:val="20"/>
                <w:lang w:val="en-AU"/>
              </w:rPr>
              <w:t>Fifth</w:t>
            </w:r>
            <w:r w:rsidR="00A04483" w:rsidRPr="00207DC2">
              <w:rPr>
                <w:color w:val="auto"/>
                <w:sz w:val="20"/>
                <w:szCs w:val="20"/>
                <w:lang w:val="en-AU"/>
              </w:rPr>
              <w:t xml:space="preserve"> income support</w:t>
            </w:r>
            <w:r w:rsidR="00E445F8" w:rsidRPr="00207DC2">
              <w:rPr>
                <w:color w:val="auto"/>
                <w:sz w:val="20"/>
                <w:szCs w:val="20"/>
                <w:lang w:val="en-AU"/>
              </w:rPr>
              <w:t xml:space="preserve"> quintile</w:t>
            </w:r>
            <w:r w:rsidR="00E445F8" w:rsidRPr="00207DC2" w:rsidDel="00C91BB1">
              <w:rPr>
                <w:color w:val="auto"/>
                <w:sz w:val="20"/>
                <w:szCs w:val="20"/>
                <w:lang w:val="en-AU"/>
              </w:rPr>
              <w:t xml:space="preserve"> </w:t>
            </w:r>
            <w:r w:rsidR="00E445F8" w:rsidRPr="00207DC2">
              <w:rPr>
                <w:color w:val="auto"/>
                <w:sz w:val="20"/>
                <w:szCs w:val="20"/>
                <w:lang w:val="en-AU"/>
              </w:rPr>
              <w:t>—the longest s</w:t>
            </w:r>
            <w:r w:rsidR="00A04483" w:rsidRPr="00207DC2">
              <w:rPr>
                <w:color w:val="auto"/>
                <w:sz w:val="20"/>
                <w:szCs w:val="20"/>
                <w:lang w:val="en-AU"/>
              </w:rPr>
              <w:t>hare of their adult lives on income support</w:t>
            </w:r>
          </w:p>
        </w:tc>
        <w:tc>
          <w:tcPr>
            <w:tcW w:w="1370" w:type="dxa"/>
            <w:tcBorders>
              <w:top w:val="dashSmallGap" w:sz="4" w:space="0" w:color="auto"/>
              <w:bottom w:val="nil"/>
            </w:tcBorders>
            <w:noWrap/>
          </w:tcPr>
          <w:p w14:paraId="2E191FAC" w14:textId="77777777" w:rsidR="00E445F8" w:rsidRPr="00207DC2" w:rsidRDefault="00E445F8" w:rsidP="00FB626D">
            <w:pPr>
              <w:keepNext/>
              <w:keepLines/>
              <w:tabs>
                <w:tab w:val="decimal" w:pos="454"/>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2.0**</w:t>
            </w:r>
          </w:p>
        </w:tc>
        <w:tc>
          <w:tcPr>
            <w:tcW w:w="1370" w:type="dxa"/>
            <w:tcBorders>
              <w:top w:val="dashSmallGap" w:sz="4" w:space="0" w:color="auto"/>
              <w:bottom w:val="nil"/>
            </w:tcBorders>
            <w:noWrap/>
          </w:tcPr>
          <w:p w14:paraId="14E0C4C1" w14:textId="77777777" w:rsidR="00E445F8" w:rsidRPr="00207DC2" w:rsidRDefault="00E445F8" w:rsidP="00FB626D">
            <w:pPr>
              <w:keepNext/>
              <w:keepLines/>
              <w:tabs>
                <w:tab w:val="decimal" w:pos="462"/>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1.9***</w:t>
            </w:r>
          </w:p>
        </w:tc>
        <w:tc>
          <w:tcPr>
            <w:tcW w:w="1371" w:type="dxa"/>
            <w:tcBorders>
              <w:top w:val="dashSmallGap" w:sz="4" w:space="0" w:color="auto"/>
              <w:bottom w:val="nil"/>
            </w:tcBorders>
            <w:noWrap/>
          </w:tcPr>
          <w:p w14:paraId="0DE8ED98" w14:textId="77777777" w:rsidR="00E445F8" w:rsidRPr="00207DC2" w:rsidRDefault="00E445F8" w:rsidP="00FB626D">
            <w:pPr>
              <w:keepNext/>
              <w:keepLines/>
              <w:tabs>
                <w:tab w:val="decimal" w:pos="467"/>
              </w:tabs>
              <w:spacing w:before="60" w:after="60"/>
              <w:cnfStyle w:val="000000100000" w:firstRow="0" w:lastRow="0" w:firstColumn="0" w:lastColumn="0" w:oddVBand="0" w:evenVBand="0" w:oddHBand="1" w:evenHBand="0" w:firstRowFirstColumn="0" w:firstRowLastColumn="0" w:lastRowFirstColumn="0" w:lastRowLastColumn="0"/>
              <w:rPr>
                <w:color w:val="auto"/>
                <w:sz w:val="20"/>
                <w:szCs w:val="20"/>
                <w:lang w:val="en-AU"/>
              </w:rPr>
            </w:pPr>
            <w:r w:rsidRPr="00207DC2">
              <w:rPr>
                <w:color w:val="auto"/>
                <w:sz w:val="20"/>
                <w:szCs w:val="20"/>
                <w:lang w:val="en-AU"/>
              </w:rPr>
              <w:t>0.6</w:t>
            </w:r>
          </w:p>
        </w:tc>
      </w:tr>
      <w:tr w:rsidR="00E445F8" w:rsidRPr="00207DC2" w14:paraId="3857215A" w14:textId="77777777" w:rsidTr="008B5AF6">
        <w:trPr>
          <w:trHeight w:val="300"/>
        </w:trPr>
        <w:tc>
          <w:tcPr>
            <w:cnfStyle w:val="001000000000" w:firstRow="0" w:lastRow="0" w:firstColumn="1" w:lastColumn="0" w:oddVBand="0" w:evenVBand="0" w:oddHBand="0" w:evenHBand="0" w:firstRowFirstColumn="0" w:firstRowLastColumn="0" w:lastRowFirstColumn="0" w:lastRowLastColumn="0"/>
            <w:tcW w:w="4928" w:type="dxa"/>
            <w:tcBorders>
              <w:top w:val="nil"/>
              <w:bottom w:val="single" w:sz="8" w:space="0" w:color="auto"/>
            </w:tcBorders>
            <w:noWrap/>
            <w:hideMark/>
          </w:tcPr>
          <w:p w14:paraId="6FF3B17D" w14:textId="1611C737" w:rsidR="00E445F8" w:rsidRPr="00207DC2" w:rsidRDefault="00E445F8" w:rsidP="00FB626D">
            <w:pPr>
              <w:keepNext/>
              <w:keepLines/>
              <w:spacing w:before="60" w:after="60"/>
              <w:rPr>
                <w:color w:val="auto"/>
                <w:sz w:val="20"/>
                <w:szCs w:val="20"/>
                <w:lang w:val="en-AU"/>
              </w:rPr>
            </w:pPr>
            <w:r w:rsidRPr="00207DC2">
              <w:rPr>
                <w:color w:val="auto"/>
                <w:sz w:val="20"/>
                <w:szCs w:val="20"/>
                <w:lang w:val="en-AU"/>
              </w:rPr>
              <w:t>Re</w:t>
            </w:r>
            <w:r w:rsidR="00A04483" w:rsidRPr="00207DC2">
              <w:rPr>
                <w:color w:val="auto"/>
                <w:sz w:val="20"/>
                <w:szCs w:val="20"/>
                <w:lang w:val="en-AU"/>
              </w:rPr>
              <w:t>maining income support</w:t>
            </w:r>
            <w:r w:rsidRPr="00207DC2">
              <w:rPr>
                <w:color w:val="auto"/>
                <w:sz w:val="20"/>
                <w:szCs w:val="20"/>
                <w:lang w:val="en-AU"/>
              </w:rPr>
              <w:t xml:space="preserve"> quintiles</w:t>
            </w:r>
            <w:r w:rsidRPr="00207DC2" w:rsidDel="00C91BB1">
              <w:rPr>
                <w:color w:val="auto"/>
                <w:sz w:val="20"/>
                <w:szCs w:val="20"/>
                <w:lang w:val="en-AU"/>
              </w:rPr>
              <w:t xml:space="preserve"> </w:t>
            </w:r>
            <w:r w:rsidR="00A04483" w:rsidRPr="00207DC2">
              <w:rPr>
                <w:color w:val="auto"/>
                <w:sz w:val="20"/>
                <w:szCs w:val="20"/>
                <w:lang w:val="en-AU"/>
              </w:rPr>
              <w:t>(quintiles </w:t>
            </w:r>
            <w:r w:rsidRPr="00207DC2">
              <w:rPr>
                <w:color w:val="auto"/>
                <w:sz w:val="20"/>
                <w:szCs w:val="20"/>
                <w:lang w:val="en-AU"/>
              </w:rPr>
              <w:t>1-4)</w:t>
            </w:r>
          </w:p>
        </w:tc>
        <w:tc>
          <w:tcPr>
            <w:tcW w:w="1370" w:type="dxa"/>
            <w:tcBorders>
              <w:top w:val="nil"/>
              <w:bottom w:val="single" w:sz="8" w:space="0" w:color="auto"/>
            </w:tcBorders>
            <w:noWrap/>
          </w:tcPr>
          <w:p w14:paraId="72ED0BE8" w14:textId="77777777" w:rsidR="00E445F8" w:rsidRPr="00207DC2" w:rsidRDefault="00E445F8" w:rsidP="00FB626D">
            <w:pPr>
              <w:keepNext/>
              <w:keepLines/>
              <w:tabs>
                <w:tab w:val="decimal" w:pos="454"/>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1.2***</w:t>
            </w:r>
          </w:p>
        </w:tc>
        <w:tc>
          <w:tcPr>
            <w:tcW w:w="1370" w:type="dxa"/>
            <w:tcBorders>
              <w:top w:val="nil"/>
              <w:bottom w:val="single" w:sz="8" w:space="0" w:color="auto"/>
            </w:tcBorders>
            <w:noWrap/>
          </w:tcPr>
          <w:p w14:paraId="0AEEBB18" w14:textId="77777777" w:rsidR="00E445F8" w:rsidRPr="00207DC2" w:rsidRDefault="00E445F8" w:rsidP="00FB626D">
            <w:pPr>
              <w:keepNext/>
              <w:keepLines/>
              <w:tabs>
                <w:tab w:val="decimal" w:pos="462"/>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2.2***</w:t>
            </w:r>
          </w:p>
        </w:tc>
        <w:tc>
          <w:tcPr>
            <w:tcW w:w="1371" w:type="dxa"/>
            <w:tcBorders>
              <w:top w:val="nil"/>
              <w:bottom w:val="single" w:sz="8" w:space="0" w:color="auto"/>
            </w:tcBorders>
            <w:noWrap/>
          </w:tcPr>
          <w:p w14:paraId="038C4C48" w14:textId="77777777" w:rsidR="00E445F8" w:rsidRPr="00207DC2" w:rsidRDefault="00E445F8" w:rsidP="00FB626D">
            <w:pPr>
              <w:keepNext/>
              <w:keepLines/>
              <w:tabs>
                <w:tab w:val="decimal" w:pos="467"/>
              </w:tabs>
              <w:spacing w:before="60" w:after="60"/>
              <w:cnfStyle w:val="000000000000" w:firstRow="0" w:lastRow="0" w:firstColumn="0" w:lastColumn="0" w:oddVBand="0" w:evenVBand="0" w:oddHBand="0" w:evenHBand="0" w:firstRowFirstColumn="0" w:firstRowLastColumn="0" w:lastRowFirstColumn="0" w:lastRowLastColumn="0"/>
              <w:rPr>
                <w:color w:val="auto"/>
                <w:sz w:val="20"/>
                <w:szCs w:val="20"/>
                <w:lang w:val="en-AU"/>
              </w:rPr>
            </w:pPr>
            <w:r w:rsidRPr="00207DC2">
              <w:rPr>
                <w:color w:val="auto"/>
                <w:sz w:val="20"/>
                <w:szCs w:val="20"/>
                <w:lang w:val="en-AU"/>
              </w:rPr>
              <w:t>1.4***</w:t>
            </w:r>
          </w:p>
        </w:tc>
      </w:tr>
    </w:tbl>
    <w:p w14:paraId="01A74035" w14:textId="77777777" w:rsidR="00DF7D3E" w:rsidRPr="00207DC2" w:rsidRDefault="00E445F8" w:rsidP="00FB626D">
      <w:pPr>
        <w:pStyle w:val="tablenotes"/>
      </w:pPr>
      <w:r w:rsidRPr="00207DC2">
        <w:rPr>
          <w:i/>
        </w:rPr>
        <w:t>Source:</w:t>
      </w:r>
      <w:r w:rsidRPr="00207DC2">
        <w:t xml:space="preserve"> </w:t>
      </w:r>
      <w:r w:rsidR="0057565A" w:rsidRPr="00207DC2">
        <w:t>PMC</w:t>
      </w:r>
      <w:r w:rsidRPr="00207DC2">
        <w:t xml:space="preserve"> estimates based unpublished ESS operational data (extracted on </w:t>
      </w:r>
      <w:r w:rsidRPr="00207DC2" w:rsidDel="003C5258">
        <w:t>5</w:t>
      </w:r>
      <w:r w:rsidR="002317B0" w:rsidRPr="00207DC2">
        <w:t> </w:t>
      </w:r>
      <w:r w:rsidRPr="00207DC2" w:rsidDel="003C5258">
        <w:t>September</w:t>
      </w:r>
      <w:r w:rsidR="002317B0" w:rsidRPr="00207DC2">
        <w:t> </w:t>
      </w:r>
      <w:r w:rsidRPr="00207DC2" w:rsidDel="003C5258">
        <w:t>2017</w:t>
      </w:r>
      <w:r w:rsidRPr="00207DC2">
        <w:t>).</w:t>
      </w:r>
      <w:r w:rsidR="002F0289" w:rsidRPr="00207DC2">
        <w:t xml:space="preserve"> </w:t>
      </w:r>
    </w:p>
    <w:p w14:paraId="0856E1D0" w14:textId="77777777" w:rsidR="00E445F8" w:rsidRPr="00207DC2" w:rsidRDefault="00E445F8" w:rsidP="00FB626D">
      <w:pPr>
        <w:pStyle w:val="tablenotes"/>
      </w:pPr>
      <w:r w:rsidRPr="00207DC2">
        <w:rPr>
          <w:i/>
        </w:rPr>
        <w:t>Note</w:t>
      </w:r>
      <w:r w:rsidR="002F0289" w:rsidRPr="00207DC2">
        <w:rPr>
          <w:i/>
        </w:rPr>
        <w:t>s</w:t>
      </w:r>
      <w:r w:rsidRPr="00207DC2">
        <w:rPr>
          <w:i/>
        </w:rPr>
        <w:t>:</w:t>
      </w:r>
      <w:r w:rsidRPr="00207DC2">
        <w:t xml:space="preserve"> </w:t>
      </w:r>
      <w:r w:rsidR="000F1333" w:rsidRPr="00207DC2">
        <w:t>(a)</w:t>
      </w:r>
      <w:r w:rsidRPr="00207DC2">
        <w:t xml:space="preserve"> Estimates marked as *** are statistically significant at the 0.1 per cent level, **are statistically significant at the </w:t>
      </w:r>
      <w:r w:rsidR="00EB4DDD" w:rsidRPr="00207DC2">
        <w:t>one</w:t>
      </w:r>
      <w:r w:rsidRPr="00207DC2">
        <w:t xml:space="preserve"> per cent level, and * are statistically significant at the </w:t>
      </w:r>
      <w:r w:rsidR="00EB4DDD" w:rsidRPr="00207DC2">
        <w:t>five</w:t>
      </w:r>
      <w:r w:rsidRPr="00207DC2">
        <w:t> per cent level.</w:t>
      </w:r>
    </w:p>
    <w:p w14:paraId="082190A7" w14:textId="77777777" w:rsidR="002B1917" w:rsidRPr="00207DC2" w:rsidRDefault="002B1917" w:rsidP="00FB626D">
      <w:pPr>
        <w:pStyle w:val="tablenotes"/>
      </w:pPr>
    </w:p>
    <w:p w14:paraId="0AB71C78" w14:textId="46392011" w:rsidR="00E445F8" w:rsidRPr="00207DC2" w:rsidRDefault="00C04ED6" w:rsidP="00F35F78">
      <w:pPr>
        <w:pStyle w:val="ZED5"/>
        <w:outlineLvl w:val="3"/>
      </w:pPr>
      <w:bookmarkStart w:id="562" w:name="_Toc509587050"/>
      <w:bookmarkStart w:id="563" w:name="_Toc509588076"/>
      <w:bookmarkStart w:id="564" w:name="_Toc509588339"/>
      <w:bookmarkStart w:id="565" w:name="_Toc509589487"/>
      <w:bookmarkStart w:id="566" w:name="_Toc509926905"/>
      <w:bookmarkStart w:id="567" w:name="_Toc515185473"/>
      <w:bookmarkStart w:id="568" w:name="_Toc516219846"/>
      <w:bookmarkStart w:id="569" w:name="_Toc516220487"/>
      <w:bookmarkStart w:id="570" w:name="_Toc516223307"/>
      <w:bookmarkStart w:id="571" w:name="_Toc516225215"/>
      <w:bookmarkStart w:id="572" w:name="_Toc516228991"/>
      <w:bookmarkStart w:id="573" w:name="_Toc535935063"/>
      <w:r w:rsidRPr="00207DC2">
        <w:t>The estimated change in e</w:t>
      </w:r>
      <w:r w:rsidR="00E445F8" w:rsidRPr="00207DC2" w:rsidDel="00515990">
        <w:t xml:space="preserve">mployment </w:t>
      </w:r>
      <w:r w:rsidRPr="00207DC2">
        <w:t>outcomes</w:t>
      </w:r>
      <w:r w:rsidRPr="00207DC2" w:rsidDel="00515990">
        <w:t xml:space="preserve"> </w:t>
      </w:r>
      <w:r w:rsidR="00B11C5C">
        <w:t>in</w:t>
      </w:r>
      <w:r w:rsidR="00E445F8" w:rsidRPr="00207DC2" w:rsidDel="00515990">
        <w:t xml:space="preserve"> the first two years of the CDP</w:t>
      </w:r>
      <w:bookmarkEnd w:id="562"/>
      <w:bookmarkEnd w:id="563"/>
      <w:bookmarkEnd w:id="564"/>
      <w:bookmarkEnd w:id="565"/>
      <w:bookmarkEnd w:id="566"/>
      <w:bookmarkEnd w:id="567"/>
      <w:bookmarkEnd w:id="568"/>
      <w:bookmarkEnd w:id="569"/>
      <w:bookmarkEnd w:id="570"/>
      <w:bookmarkEnd w:id="571"/>
      <w:bookmarkEnd w:id="572"/>
      <w:bookmarkEnd w:id="573"/>
    </w:p>
    <w:p w14:paraId="6E60ED5C" w14:textId="7C483E4A" w:rsidR="005C750E" w:rsidRPr="00207DC2" w:rsidRDefault="009160ED" w:rsidP="00CE32FB">
      <w:pPr>
        <w:jc w:val="both"/>
        <w:rPr>
          <w:rFonts w:eastAsiaTheme="minorEastAsia"/>
          <w:lang w:val="en-AU"/>
        </w:rPr>
      </w:pPr>
      <w:r w:rsidRPr="00207DC2">
        <w:rPr>
          <w:lang w:val="en-AU"/>
        </w:rPr>
        <w:t>Two different modelling approaches were considered to help obtain robust estimate</w:t>
      </w:r>
      <w:r w:rsidR="000F1D71" w:rsidRPr="00207DC2">
        <w:rPr>
          <w:lang w:val="en-AU"/>
        </w:rPr>
        <w:t>s of</w:t>
      </w:r>
      <w:r w:rsidRPr="00207DC2">
        <w:rPr>
          <w:lang w:val="en-AU"/>
        </w:rPr>
        <w:t xml:space="preserve"> the effect of the introduction of the CDP on employment outcomes</w:t>
      </w:r>
      <w:r w:rsidR="00B47993" w:rsidRPr="00207DC2">
        <w:rPr>
          <w:lang w:val="en-AU"/>
        </w:rPr>
        <w:t xml:space="preserve"> after controlling for the characteristics of participants and changes in labour market conditions</w:t>
      </w:r>
      <w:r w:rsidRPr="00207DC2">
        <w:rPr>
          <w:lang w:val="en-AU"/>
        </w:rPr>
        <w:t>. In addition to before to after modelling, alternative quasi</w:t>
      </w:r>
      <w:r w:rsidRPr="00207DC2">
        <w:rPr>
          <w:lang w:val="en-AU"/>
        </w:rPr>
        <w:noBreakHyphen/>
        <w:t xml:space="preserve">experimental difference-in-difference </w:t>
      </w:r>
      <w:r w:rsidR="00064985" w:rsidRPr="00207DC2">
        <w:rPr>
          <w:lang w:val="en-AU"/>
        </w:rPr>
        <w:t>modelling</w:t>
      </w:r>
      <w:r w:rsidRPr="00207DC2">
        <w:rPr>
          <w:lang w:val="en-AU"/>
        </w:rPr>
        <w:t xml:space="preserve"> </w:t>
      </w:r>
      <w:r w:rsidRPr="00207DC2">
        <w:rPr>
          <w:rFonts w:eastAsiaTheme="minorEastAsia"/>
          <w:lang w:val="en-AU"/>
        </w:rPr>
        <w:t>compar</w:t>
      </w:r>
      <w:r w:rsidR="00753F46" w:rsidRPr="00207DC2">
        <w:rPr>
          <w:rFonts w:eastAsiaTheme="minorEastAsia"/>
          <w:lang w:val="en-AU"/>
        </w:rPr>
        <w:t>ed</w:t>
      </w:r>
      <w:r w:rsidRPr="00207DC2">
        <w:rPr>
          <w:rFonts w:eastAsiaTheme="minorEastAsia"/>
          <w:lang w:val="en-AU"/>
        </w:rPr>
        <w:t xml:space="preserve"> </w:t>
      </w:r>
      <w:r w:rsidRPr="00207DC2">
        <w:rPr>
          <w:lang w:val="en-AU"/>
        </w:rPr>
        <w:t>changes in employment outcomes for participants in remote regions (treatment group) with changes for jobseekers in neighbouring jobactive regions (comparison group)</w:t>
      </w:r>
      <w:r w:rsidR="00753F46" w:rsidRPr="00207DC2">
        <w:rPr>
          <w:rFonts w:eastAsiaTheme="minorEastAsia"/>
          <w:lang w:val="en-AU"/>
        </w:rPr>
        <w:t>.</w:t>
      </w:r>
    </w:p>
    <w:p w14:paraId="43AFAFCB" w14:textId="71C6124A" w:rsidR="00D30EAD" w:rsidRPr="00207DC2" w:rsidRDefault="005C750E" w:rsidP="008172FD">
      <w:pPr>
        <w:jc w:val="both"/>
        <w:rPr>
          <w:lang w:val="en-AU"/>
        </w:rPr>
      </w:pPr>
      <w:r w:rsidRPr="00207DC2">
        <w:rPr>
          <w:lang w:val="en-AU"/>
        </w:rPr>
        <w:t xml:space="preserve">Across the </w:t>
      </w:r>
      <w:r w:rsidR="00DC4597" w:rsidRPr="00207DC2">
        <w:rPr>
          <w:lang w:val="en-AU"/>
        </w:rPr>
        <w:t>different model</w:t>
      </w:r>
      <w:r w:rsidR="008509D7" w:rsidRPr="00207DC2">
        <w:rPr>
          <w:lang w:val="en-AU"/>
        </w:rPr>
        <w:t>s</w:t>
      </w:r>
      <w:r w:rsidR="00DC4597" w:rsidRPr="00207DC2">
        <w:rPr>
          <w:lang w:val="en-AU"/>
        </w:rPr>
        <w:t xml:space="preserve"> estimated</w:t>
      </w:r>
      <w:r w:rsidRPr="00207DC2">
        <w:rPr>
          <w:lang w:val="en-AU"/>
        </w:rPr>
        <w:t xml:space="preserve"> and sensitivity tests, </w:t>
      </w:r>
      <w:r w:rsidR="00812B88" w:rsidRPr="00207DC2">
        <w:rPr>
          <w:lang w:val="en-AU"/>
        </w:rPr>
        <w:t>no conclusive re</w:t>
      </w:r>
      <w:r w:rsidR="00B65765" w:rsidRPr="00207DC2">
        <w:rPr>
          <w:lang w:val="en-AU"/>
        </w:rPr>
        <w:t>sult</w:t>
      </w:r>
      <w:r w:rsidR="000F1D71" w:rsidRPr="00207DC2">
        <w:rPr>
          <w:lang w:val="en-AU"/>
        </w:rPr>
        <w:t>s</w:t>
      </w:r>
      <w:r w:rsidR="00B65765" w:rsidRPr="00207DC2">
        <w:rPr>
          <w:lang w:val="en-AU"/>
        </w:rPr>
        <w:t xml:space="preserve"> were</w:t>
      </w:r>
      <w:r w:rsidR="00812B88" w:rsidRPr="00207DC2">
        <w:rPr>
          <w:lang w:val="en-AU"/>
        </w:rPr>
        <w:t xml:space="preserve"> found for the effect of the introduction of the CDP on </w:t>
      </w:r>
      <w:r w:rsidRPr="00207DC2">
        <w:rPr>
          <w:lang w:val="en-AU"/>
        </w:rPr>
        <w:t>job placements and 13-week outcomes</w:t>
      </w:r>
      <w:r w:rsidR="00812B88" w:rsidRPr="00207DC2">
        <w:rPr>
          <w:lang w:val="en-AU"/>
        </w:rPr>
        <w:t xml:space="preserve">. </w:t>
      </w:r>
    </w:p>
    <w:p w14:paraId="7D590976" w14:textId="4F175E44" w:rsidR="00BA246B" w:rsidRPr="00207DC2" w:rsidRDefault="00B65765" w:rsidP="008172FD">
      <w:pPr>
        <w:jc w:val="both"/>
        <w:rPr>
          <w:lang w:val="en-AU"/>
        </w:rPr>
      </w:pPr>
      <w:r w:rsidRPr="00207DC2">
        <w:rPr>
          <w:lang w:val="en-AU"/>
        </w:rPr>
        <w:t>However,</w:t>
      </w:r>
      <w:r w:rsidR="001D417B" w:rsidRPr="00207DC2">
        <w:rPr>
          <w:lang w:val="en-AU"/>
        </w:rPr>
        <w:t xml:space="preserve"> a statistically significant </w:t>
      </w:r>
      <w:r w:rsidR="00861FC9" w:rsidRPr="00207DC2">
        <w:rPr>
          <w:lang w:val="en-AU"/>
        </w:rPr>
        <w:t xml:space="preserve">improvement </w:t>
      </w:r>
      <w:r w:rsidR="001D417B" w:rsidRPr="00207DC2">
        <w:rPr>
          <w:lang w:val="en-AU"/>
        </w:rPr>
        <w:t>of</w:t>
      </w:r>
      <w:r w:rsidR="00861FC9" w:rsidRPr="00207DC2">
        <w:rPr>
          <w:lang w:val="en-AU"/>
        </w:rPr>
        <w:t xml:space="preserve"> around</w:t>
      </w:r>
      <w:r w:rsidR="001D417B" w:rsidRPr="00207DC2">
        <w:rPr>
          <w:lang w:val="en-AU"/>
        </w:rPr>
        <w:t xml:space="preserve"> one percentage point </w:t>
      </w:r>
      <w:r w:rsidR="00861FC9" w:rsidRPr="00207DC2">
        <w:rPr>
          <w:lang w:val="en-AU"/>
        </w:rPr>
        <w:t>was estimated for</w:t>
      </w:r>
      <w:r w:rsidR="001D417B" w:rsidRPr="00207DC2">
        <w:rPr>
          <w:lang w:val="en-AU"/>
        </w:rPr>
        <w:t xml:space="preserve"> 26</w:t>
      </w:r>
      <w:r w:rsidR="001D417B" w:rsidRPr="00207DC2">
        <w:rPr>
          <w:lang w:val="en-AU"/>
        </w:rPr>
        <w:noBreakHyphen/>
        <w:t>week outcomes</w:t>
      </w:r>
      <w:r w:rsidR="00861FC9" w:rsidRPr="00207DC2">
        <w:rPr>
          <w:lang w:val="en-AU"/>
        </w:rPr>
        <w:t xml:space="preserve">. </w:t>
      </w:r>
      <w:r w:rsidR="00F770AC" w:rsidRPr="00207DC2">
        <w:rPr>
          <w:lang w:val="en-AU"/>
        </w:rPr>
        <w:t xml:space="preserve">This result is consistent with the greater weight placed </w:t>
      </w:r>
      <w:r w:rsidR="008509D7" w:rsidRPr="00207DC2">
        <w:rPr>
          <w:lang w:val="en-AU"/>
        </w:rPr>
        <w:t xml:space="preserve">in provider payments </w:t>
      </w:r>
      <w:r w:rsidR="00F770AC" w:rsidRPr="00207DC2">
        <w:rPr>
          <w:lang w:val="en-AU"/>
        </w:rPr>
        <w:t xml:space="preserve">on </w:t>
      </w:r>
      <w:r w:rsidR="004129D6">
        <w:rPr>
          <w:lang w:val="en-AU"/>
        </w:rPr>
        <w:t>26 consecutive-week</w:t>
      </w:r>
      <w:r w:rsidR="00F770AC" w:rsidRPr="00207DC2">
        <w:rPr>
          <w:lang w:val="en-AU"/>
        </w:rPr>
        <w:t xml:space="preserve"> employment outcomes over shorter employment outcomes (including placements and 13-week outcomes)</w:t>
      </w:r>
      <w:r w:rsidR="00CF07B5" w:rsidRPr="00207DC2">
        <w:rPr>
          <w:lang w:val="en-AU"/>
        </w:rPr>
        <w:t>,</w:t>
      </w:r>
      <w:r w:rsidR="00BA246B" w:rsidRPr="00207DC2">
        <w:rPr>
          <w:lang w:val="en-AU"/>
        </w:rPr>
        <w:t xml:space="preserve"> and the introduction</w:t>
      </w:r>
      <w:r w:rsidR="00CF07B5" w:rsidRPr="00207DC2">
        <w:rPr>
          <w:lang w:val="en-AU"/>
        </w:rPr>
        <w:t xml:space="preserve"> of</w:t>
      </w:r>
      <w:r w:rsidR="00BA246B" w:rsidRPr="00207DC2">
        <w:rPr>
          <w:lang w:val="en-AU"/>
        </w:rPr>
        <w:t xml:space="preserve"> </w:t>
      </w:r>
      <w:r w:rsidR="00BA246B" w:rsidRPr="00207DC2">
        <w:rPr>
          <w:i/>
          <w:lang w:val="en-AU"/>
        </w:rPr>
        <w:t>Employer incentive Payments</w:t>
      </w:r>
      <w:r w:rsidR="008454BA" w:rsidRPr="00207DC2">
        <w:rPr>
          <w:lang w:val="en-AU"/>
        </w:rPr>
        <w:t xml:space="preserve"> for</w:t>
      </w:r>
      <w:r w:rsidR="00BA246B" w:rsidRPr="00207DC2">
        <w:rPr>
          <w:lang w:val="en-AU"/>
        </w:rPr>
        <w:t xml:space="preserve"> employers who employ a CDP participant for 26 consecutive weeks</w:t>
      </w:r>
      <w:r w:rsidR="00F770AC" w:rsidRPr="00207DC2">
        <w:rPr>
          <w:lang w:val="en-AU"/>
        </w:rPr>
        <w:t xml:space="preserve"> (Chapter 1).</w:t>
      </w:r>
      <w:r w:rsidR="00A979E3" w:rsidRPr="00207DC2">
        <w:rPr>
          <w:lang w:val="en-AU"/>
        </w:rPr>
        <w:t xml:space="preserve"> In the before to after modelling, for example, 26</w:t>
      </w:r>
      <w:r w:rsidR="00A979E3" w:rsidRPr="00207DC2">
        <w:rPr>
          <w:lang w:val="en-AU"/>
        </w:rPr>
        <w:noBreakHyphen/>
        <w:t xml:space="preserve">week employment outcomes increased by 1.2 percentage points </w:t>
      </w:r>
      <w:r w:rsidR="00213DCB" w:rsidRPr="00207DC2">
        <w:rPr>
          <w:lang w:val="en-AU"/>
        </w:rPr>
        <w:t>under the CDP</w:t>
      </w:r>
      <w:r w:rsidR="00A979E3" w:rsidRPr="00207DC2">
        <w:rPr>
          <w:lang w:val="en-AU"/>
        </w:rPr>
        <w:t>. This is up from a base of 5.7 per cent of participants obtainin</w:t>
      </w:r>
      <w:r w:rsidR="00971F5F">
        <w:rPr>
          <w:lang w:val="en-AU"/>
        </w:rPr>
        <w:t>g a 26-week outcome (over an 18-</w:t>
      </w:r>
      <w:r w:rsidR="00A979E3" w:rsidRPr="00207DC2">
        <w:rPr>
          <w:lang w:val="en-AU"/>
        </w:rPr>
        <w:t>month period) under the RJCP.</w:t>
      </w:r>
    </w:p>
    <w:p w14:paraId="28A13CC0" w14:textId="4A4CD9A9" w:rsidR="00321ECE" w:rsidRPr="00465F23" w:rsidRDefault="00321ECE" w:rsidP="00221CB8">
      <w:pPr>
        <w:pStyle w:val="zed66"/>
        <w:outlineLvl w:val="4"/>
      </w:pPr>
      <w:r w:rsidRPr="00465F23">
        <w:t>Employment effects for subgroups of participants</w:t>
      </w:r>
    </w:p>
    <w:p w14:paraId="0ED80DD0" w14:textId="5F433611" w:rsidR="00816422" w:rsidRPr="00207DC2" w:rsidRDefault="009C7F7B" w:rsidP="00816422">
      <w:pPr>
        <w:jc w:val="both"/>
        <w:rPr>
          <w:lang w:val="en-AU"/>
        </w:rPr>
      </w:pPr>
      <w:r w:rsidRPr="00207DC2">
        <w:rPr>
          <w:lang w:val="en-AU"/>
        </w:rPr>
        <w:t xml:space="preserve">Close to three in four CDP participants were classified as having </w:t>
      </w:r>
      <w:r w:rsidRPr="00207DC2">
        <w:rPr>
          <w:i/>
          <w:lang w:val="en-AU"/>
        </w:rPr>
        <w:t>moderate to extreme</w:t>
      </w:r>
      <w:r w:rsidRPr="00207DC2">
        <w:rPr>
          <w:lang w:val="en-AU"/>
        </w:rPr>
        <w:t xml:space="preserve"> barriers to employment based on the Job Seeker Classification Instrument (Chapter 2). </w:t>
      </w:r>
      <w:r w:rsidR="00816422" w:rsidRPr="00207DC2">
        <w:rPr>
          <w:lang w:val="en-AU"/>
        </w:rPr>
        <w:t>Th</w:t>
      </w:r>
      <w:r w:rsidR="00971F5F">
        <w:rPr>
          <w:lang w:val="en-AU"/>
        </w:rPr>
        <w:t>is</w:t>
      </w:r>
      <w:r w:rsidR="00816422" w:rsidRPr="00207DC2">
        <w:rPr>
          <w:lang w:val="en-AU"/>
        </w:rPr>
        <w:t xml:space="preserve"> reflects, in part, the limited experience many participants have had in the labour market</w:t>
      </w:r>
      <w:r w:rsidR="00396552">
        <w:rPr>
          <w:lang w:val="en-AU"/>
        </w:rPr>
        <w:t xml:space="preserve"> – </w:t>
      </w:r>
      <w:r w:rsidR="00816422" w:rsidRPr="00207DC2">
        <w:rPr>
          <w:lang w:val="en-AU"/>
        </w:rPr>
        <w:t xml:space="preserve">of those participating in the CDP on 1 January 2016, one in five had spent at least 70 per cent of their adult life on income support </w:t>
      </w:r>
      <w:r w:rsidR="000C11BE" w:rsidRPr="00207DC2">
        <w:rPr>
          <w:lang w:val="en-AU"/>
        </w:rPr>
        <w:t>(</w:t>
      </w:r>
      <w:r w:rsidR="00816422" w:rsidRPr="00207DC2">
        <w:rPr>
          <w:lang w:val="en-AU"/>
        </w:rPr>
        <w:t>over the past 20 years</w:t>
      </w:r>
      <w:r w:rsidR="000C11BE" w:rsidRPr="00207DC2">
        <w:rPr>
          <w:lang w:val="en-AU"/>
        </w:rPr>
        <w:t>)</w:t>
      </w:r>
      <w:r w:rsidR="00816422" w:rsidRPr="00207DC2">
        <w:rPr>
          <w:lang w:val="en-AU"/>
        </w:rPr>
        <w:t xml:space="preserve">. </w:t>
      </w:r>
      <w:r w:rsidR="005344B9" w:rsidRPr="00207DC2">
        <w:rPr>
          <w:lang w:val="en-AU"/>
        </w:rPr>
        <w:t>The h</w:t>
      </w:r>
      <w:r w:rsidR="00EA61C8" w:rsidRPr="00207DC2">
        <w:rPr>
          <w:lang w:val="en-AU"/>
        </w:rPr>
        <w:t xml:space="preserve">igh </w:t>
      </w:r>
      <w:r w:rsidR="005344B9" w:rsidRPr="00207DC2">
        <w:rPr>
          <w:lang w:val="en-AU"/>
        </w:rPr>
        <w:t xml:space="preserve">prevalence of moderate to extreme </w:t>
      </w:r>
      <w:r w:rsidR="00EA61C8" w:rsidRPr="00207DC2">
        <w:rPr>
          <w:lang w:val="en-AU"/>
        </w:rPr>
        <w:t xml:space="preserve">employment barrier are also a reflection of </w:t>
      </w:r>
      <w:r w:rsidR="00816422" w:rsidRPr="00207DC2">
        <w:rPr>
          <w:lang w:val="en-AU"/>
        </w:rPr>
        <w:t xml:space="preserve">the high share of participants living in very remote areas with </w:t>
      </w:r>
      <w:r w:rsidR="00EA61C8" w:rsidRPr="00207DC2">
        <w:rPr>
          <w:lang w:val="en-AU"/>
        </w:rPr>
        <w:t xml:space="preserve">more </w:t>
      </w:r>
      <w:r w:rsidR="00816422" w:rsidRPr="00207DC2">
        <w:rPr>
          <w:lang w:val="en-AU"/>
        </w:rPr>
        <w:t>limited labour market opportunities</w:t>
      </w:r>
      <w:r w:rsidR="005344B9" w:rsidRPr="00207DC2">
        <w:rPr>
          <w:lang w:val="en-AU"/>
        </w:rPr>
        <w:t xml:space="preserve"> (Chapter 2)</w:t>
      </w:r>
      <w:r w:rsidR="00816422" w:rsidRPr="00207DC2">
        <w:rPr>
          <w:lang w:val="en-AU"/>
        </w:rPr>
        <w:t xml:space="preserve">. </w:t>
      </w:r>
    </w:p>
    <w:p w14:paraId="4A82A784" w14:textId="1EF782E5" w:rsidR="00B54B46" w:rsidRPr="00207DC2" w:rsidRDefault="009C7F7B" w:rsidP="009C7F7B">
      <w:pPr>
        <w:jc w:val="both"/>
        <w:rPr>
          <w:lang w:val="en-AU"/>
        </w:rPr>
      </w:pPr>
      <w:r w:rsidRPr="00207DC2">
        <w:rPr>
          <w:lang w:val="en-AU"/>
        </w:rPr>
        <w:t>Achieving employment outcomes for participants</w:t>
      </w:r>
      <w:r w:rsidR="00297B2E" w:rsidRPr="00207DC2">
        <w:rPr>
          <w:lang w:val="en-AU"/>
        </w:rPr>
        <w:t xml:space="preserve"> with </w:t>
      </w:r>
      <w:r w:rsidR="003E652D" w:rsidRPr="00207DC2">
        <w:rPr>
          <w:i/>
          <w:lang w:val="en-AU"/>
        </w:rPr>
        <w:t>extreme</w:t>
      </w:r>
      <w:r w:rsidR="003E652D" w:rsidRPr="00207DC2">
        <w:rPr>
          <w:lang w:val="en-AU"/>
        </w:rPr>
        <w:t xml:space="preserve"> </w:t>
      </w:r>
      <w:r w:rsidR="003E652D" w:rsidRPr="00207DC2">
        <w:rPr>
          <w:i/>
          <w:lang w:val="en-AU"/>
        </w:rPr>
        <w:t>barriers</w:t>
      </w:r>
      <w:r w:rsidR="003E652D" w:rsidRPr="00207DC2">
        <w:rPr>
          <w:lang w:val="en-AU"/>
        </w:rPr>
        <w:t xml:space="preserve"> to employment</w:t>
      </w:r>
      <w:r w:rsidR="00561433" w:rsidRPr="00207DC2">
        <w:rPr>
          <w:lang w:val="en-AU"/>
        </w:rPr>
        <w:t xml:space="preserve"> </w:t>
      </w:r>
      <w:r w:rsidRPr="00207DC2">
        <w:rPr>
          <w:lang w:val="en-AU"/>
        </w:rPr>
        <w:t>is likely to require an investment over time to address the severity of barriers they face.</w:t>
      </w:r>
      <w:r w:rsidRPr="00207DC2" w:rsidDel="007365EA">
        <w:rPr>
          <w:lang w:val="en-AU"/>
        </w:rPr>
        <w:t xml:space="preserve"> </w:t>
      </w:r>
    </w:p>
    <w:p w14:paraId="18DFE906" w14:textId="3A4A51CA" w:rsidR="003E652D" w:rsidRPr="00207DC2" w:rsidRDefault="009C7F7B" w:rsidP="003E652D">
      <w:pPr>
        <w:jc w:val="both"/>
        <w:rPr>
          <w:lang w:val="en-AU"/>
        </w:rPr>
      </w:pPr>
      <w:r w:rsidRPr="00207DC2">
        <w:rPr>
          <w:lang w:val="en-AU"/>
        </w:rPr>
        <w:t>The CDP, however, has only been operating for a short time and the estimated employment effects will therefore not capture any long-term changes in employment outcomes. As may be expected, in the first two years of the program</w:t>
      </w:r>
      <w:r w:rsidR="002171E7" w:rsidRPr="00207DC2">
        <w:rPr>
          <w:lang w:val="en-AU"/>
        </w:rPr>
        <w:t xml:space="preserve">, </w:t>
      </w:r>
      <w:r w:rsidR="00CE32FB" w:rsidRPr="00207DC2">
        <w:rPr>
          <w:lang w:val="en-AU"/>
        </w:rPr>
        <w:t xml:space="preserve">the increase in </w:t>
      </w:r>
      <w:r w:rsidR="002171E7" w:rsidRPr="00207DC2">
        <w:rPr>
          <w:lang w:val="en-AU"/>
        </w:rPr>
        <w:t>26</w:t>
      </w:r>
      <w:r w:rsidR="002171E7" w:rsidRPr="00207DC2">
        <w:rPr>
          <w:lang w:val="en-AU"/>
        </w:rPr>
        <w:noBreakHyphen/>
        <w:t xml:space="preserve">week outcomes </w:t>
      </w:r>
      <w:r w:rsidR="00CE32FB" w:rsidRPr="00207DC2">
        <w:rPr>
          <w:lang w:val="en-AU"/>
        </w:rPr>
        <w:t xml:space="preserve">was highest for participants with </w:t>
      </w:r>
      <w:r w:rsidR="00CE32FB" w:rsidRPr="00207DC2">
        <w:rPr>
          <w:i/>
          <w:lang w:val="en-AU"/>
        </w:rPr>
        <w:t>low barriers</w:t>
      </w:r>
      <w:r w:rsidR="00CE32FB" w:rsidRPr="00207DC2">
        <w:rPr>
          <w:lang w:val="en-AU"/>
        </w:rPr>
        <w:t xml:space="preserve"> to employment </w:t>
      </w:r>
      <w:r w:rsidR="007A0820" w:rsidRPr="00207DC2">
        <w:rPr>
          <w:lang w:val="en-AU"/>
        </w:rPr>
        <w:t>increasing by an estimated 3.4 percentage points)</w:t>
      </w:r>
      <w:r w:rsidR="00E46CF8" w:rsidRPr="00207DC2">
        <w:rPr>
          <w:lang w:val="en-AU"/>
        </w:rPr>
        <w:t xml:space="preserve"> (Table 4.6)</w:t>
      </w:r>
      <w:r w:rsidR="00CE32FB" w:rsidRPr="00207DC2">
        <w:rPr>
          <w:lang w:val="en-AU"/>
        </w:rPr>
        <w:t>.</w:t>
      </w:r>
      <w:r w:rsidR="008766E6" w:rsidRPr="00207DC2">
        <w:rPr>
          <w:lang w:val="en-AU"/>
        </w:rPr>
        <w:t xml:space="preserve"> Those aged 25 to 34 years also ha</w:t>
      </w:r>
      <w:r w:rsidR="00B11C5C">
        <w:rPr>
          <w:lang w:val="en-AU"/>
        </w:rPr>
        <w:t>d a</w:t>
      </w:r>
      <w:r w:rsidR="008766E6" w:rsidRPr="00207DC2">
        <w:rPr>
          <w:lang w:val="en-AU"/>
        </w:rPr>
        <w:t xml:space="preserve"> relatively large estimated increase in placements and 13</w:t>
      </w:r>
      <w:r w:rsidR="008766E6" w:rsidRPr="00207DC2">
        <w:rPr>
          <w:lang w:val="en-AU"/>
        </w:rPr>
        <w:noBreakHyphen/>
        <w:t>week outcomes</w:t>
      </w:r>
      <w:r w:rsidR="00396552">
        <w:rPr>
          <w:lang w:val="en-AU"/>
        </w:rPr>
        <w:t xml:space="preserve"> – </w:t>
      </w:r>
      <w:r w:rsidR="008766E6" w:rsidRPr="00207DC2">
        <w:rPr>
          <w:lang w:val="en-AU"/>
        </w:rPr>
        <w:t xml:space="preserve">increasing by an estimated 3.2 </w:t>
      </w:r>
      <w:r w:rsidR="007A0820" w:rsidRPr="00207DC2">
        <w:rPr>
          <w:lang w:val="en-AU"/>
        </w:rPr>
        <w:t xml:space="preserve">and </w:t>
      </w:r>
      <w:r w:rsidR="008766E6" w:rsidRPr="00207DC2">
        <w:rPr>
          <w:lang w:val="en-AU"/>
        </w:rPr>
        <w:t xml:space="preserve">2.8 </w:t>
      </w:r>
      <w:r w:rsidR="007A0820" w:rsidRPr="00207DC2">
        <w:rPr>
          <w:lang w:val="en-AU"/>
        </w:rPr>
        <w:t>percentage points respectively</w:t>
      </w:r>
      <w:r w:rsidR="008766E6" w:rsidRPr="00207DC2">
        <w:rPr>
          <w:lang w:val="en-AU"/>
        </w:rPr>
        <w:t>.</w:t>
      </w:r>
    </w:p>
    <w:p w14:paraId="6D482B64" w14:textId="4302256F" w:rsidR="00321ECE" w:rsidRPr="00465F23" w:rsidRDefault="00321ECE" w:rsidP="001E19CC">
      <w:pPr>
        <w:pStyle w:val="zed66"/>
        <w:outlineLvl w:val="4"/>
        <w:rPr>
          <w:b/>
          <w:i w:val="0"/>
        </w:rPr>
      </w:pPr>
      <w:r w:rsidRPr="00465F23">
        <w:rPr>
          <w:b/>
          <w:i w:val="0"/>
        </w:rPr>
        <w:t xml:space="preserve">Data </w:t>
      </w:r>
      <w:r w:rsidRPr="001E19CC">
        <w:t>limitation</w:t>
      </w:r>
      <w:r w:rsidRPr="00465F23">
        <w:rPr>
          <w:b/>
          <w:i w:val="0"/>
        </w:rPr>
        <w:t xml:space="preserve"> and future work</w:t>
      </w:r>
    </w:p>
    <w:p w14:paraId="58FC8724" w14:textId="49DCD583" w:rsidR="00BE6895" w:rsidRPr="00207DC2" w:rsidRDefault="00BE6895" w:rsidP="00A65AAA">
      <w:pPr>
        <w:jc w:val="both"/>
        <w:rPr>
          <w:lang w:val="en-AU"/>
        </w:rPr>
      </w:pPr>
      <w:r w:rsidRPr="00207DC2">
        <w:rPr>
          <w:lang w:val="en-AU"/>
        </w:rPr>
        <w:t xml:space="preserve">The administrative data used in the analysis of employment outcomes provide rich information on the individual characteristics of program participants. However, data </w:t>
      </w:r>
      <w:r w:rsidR="00480D31" w:rsidRPr="00207DC2">
        <w:rPr>
          <w:lang w:val="en-AU"/>
        </w:rPr>
        <w:t xml:space="preserve">are </w:t>
      </w:r>
      <w:r w:rsidRPr="00207DC2">
        <w:rPr>
          <w:lang w:val="en-AU"/>
        </w:rPr>
        <w:t>not available on a number of factors</w:t>
      </w:r>
      <w:r w:rsidR="00396552">
        <w:rPr>
          <w:lang w:val="en-AU"/>
        </w:rPr>
        <w:t xml:space="preserve"> – </w:t>
      </w:r>
      <w:r w:rsidRPr="00207DC2">
        <w:rPr>
          <w:lang w:val="en-AU"/>
        </w:rPr>
        <w:t>such as participants’ innate ability and attitudes to work</w:t>
      </w:r>
      <w:r w:rsidR="00396552">
        <w:rPr>
          <w:lang w:val="en-AU"/>
        </w:rPr>
        <w:t xml:space="preserve"> – </w:t>
      </w:r>
      <w:r w:rsidRPr="00207DC2">
        <w:rPr>
          <w:lang w:val="en-AU"/>
        </w:rPr>
        <w:t xml:space="preserve">that may </w:t>
      </w:r>
      <w:r w:rsidR="00064985" w:rsidRPr="00207DC2">
        <w:rPr>
          <w:lang w:val="en-AU"/>
        </w:rPr>
        <w:t>affect</w:t>
      </w:r>
      <w:r w:rsidRPr="00207DC2">
        <w:rPr>
          <w:lang w:val="en-AU"/>
        </w:rPr>
        <w:t xml:space="preserve"> employment outcomes. To the extent that these unobserved characteristics effect employment outcomes, the estimated employment effect of the CDP could be biased. </w:t>
      </w:r>
    </w:p>
    <w:p w14:paraId="6AD94B57" w14:textId="611C24E9" w:rsidR="00BE6895" w:rsidRPr="00207DC2" w:rsidRDefault="00BE6895" w:rsidP="00BE6895">
      <w:pPr>
        <w:tabs>
          <w:tab w:val="left" w:pos="5245"/>
        </w:tabs>
        <w:jc w:val="both"/>
        <w:rPr>
          <w:lang w:val="en-AU"/>
        </w:rPr>
      </w:pPr>
      <w:r w:rsidRPr="00207DC2">
        <w:rPr>
          <w:lang w:val="en-AU"/>
        </w:rPr>
        <w:t xml:space="preserve">The administrative data are also limited in the information available to isolate the effect of different aspects of the CDP changes on employment outcomes. </w:t>
      </w:r>
      <w:r w:rsidR="00CE5791" w:rsidRPr="00207DC2">
        <w:rPr>
          <w:lang w:val="en-AU"/>
        </w:rPr>
        <w:t>In particular,</w:t>
      </w:r>
      <w:r w:rsidR="000B7099" w:rsidRPr="00207DC2">
        <w:rPr>
          <w:lang w:val="en-AU"/>
        </w:rPr>
        <w:t xml:space="preserve"> </w:t>
      </w:r>
      <w:r w:rsidR="00B035CB" w:rsidRPr="00207DC2">
        <w:rPr>
          <w:lang w:val="en-AU"/>
        </w:rPr>
        <w:t xml:space="preserve">while </w:t>
      </w:r>
      <w:r w:rsidR="000B7099" w:rsidRPr="00207DC2">
        <w:rPr>
          <w:lang w:val="en-AU"/>
        </w:rPr>
        <w:t>the introduction of the CDP is estimated to have increased 26</w:t>
      </w:r>
      <w:r w:rsidR="000B7099" w:rsidRPr="00207DC2">
        <w:rPr>
          <w:lang w:val="en-AU"/>
        </w:rPr>
        <w:noBreakHyphen/>
        <w:t xml:space="preserve">week outcomes, </w:t>
      </w:r>
      <w:r w:rsidR="00CE5791" w:rsidRPr="00207DC2">
        <w:rPr>
          <w:lang w:val="en-AU"/>
        </w:rPr>
        <w:t>i</w:t>
      </w:r>
      <w:r w:rsidR="000F7194" w:rsidRPr="00207DC2">
        <w:rPr>
          <w:lang w:val="en-AU"/>
        </w:rPr>
        <w:t>t</w:t>
      </w:r>
      <w:r w:rsidRPr="00207DC2">
        <w:rPr>
          <w:lang w:val="en-AU"/>
        </w:rPr>
        <w:t xml:space="preserve"> is not </w:t>
      </w:r>
      <w:r w:rsidR="000F7194" w:rsidRPr="00207DC2">
        <w:rPr>
          <w:lang w:val="en-AU"/>
        </w:rPr>
        <w:t xml:space="preserve">possible to </w:t>
      </w:r>
      <w:r w:rsidR="00CE5791" w:rsidRPr="00207DC2">
        <w:rPr>
          <w:lang w:val="en-AU"/>
        </w:rPr>
        <w:t>estimate the extent to which</w:t>
      </w:r>
      <w:r w:rsidRPr="00207DC2">
        <w:rPr>
          <w:lang w:val="en-AU"/>
        </w:rPr>
        <w:t xml:space="preserve"> the increase </w:t>
      </w:r>
      <w:r w:rsidR="000B7099" w:rsidRPr="00207DC2">
        <w:rPr>
          <w:lang w:val="en-AU"/>
        </w:rPr>
        <w:t>was</w:t>
      </w:r>
      <w:r w:rsidRPr="00207DC2">
        <w:rPr>
          <w:lang w:val="en-AU"/>
        </w:rPr>
        <w:t xml:space="preserve"> driven by changes to the provider incentive payments (Chapter 1)</w:t>
      </w:r>
      <w:r w:rsidR="005432D2" w:rsidRPr="00207DC2">
        <w:rPr>
          <w:lang w:val="en-AU"/>
        </w:rPr>
        <w:t>, penalty regime (Chapter 3), and/or the introduction of auto</w:t>
      </w:r>
      <w:r w:rsidR="005432D2" w:rsidRPr="00207DC2">
        <w:rPr>
          <w:lang w:val="en-AU"/>
        </w:rPr>
        <w:noBreakHyphen/>
        <w:t>claim processing of employment outcome payments (Appendix C).</w:t>
      </w:r>
      <w:r w:rsidR="00CE5791" w:rsidRPr="00207DC2">
        <w:rPr>
          <w:lang w:val="en-AU"/>
        </w:rPr>
        <w:t xml:space="preserve"> That said</w:t>
      </w:r>
      <w:r w:rsidRPr="00207DC2">
        <w:rPr>
          <w:lang w:val="en-AU"/>
        </w:rPr>
        <w:t xml:space="preserve">, </w:t>
      </w:r>
      <w:r w:rsidR="00F770AC" w:rsidRPr="00207DC2">
        <w:rPr>
          <w:lang w:val="en-AU"/>
        </w:rPr>
        <w:t>as noted above</w:t>
      </w:r>
      <w:r w:rsidRPr="00207DC2">
        <w:rPr>
          <w:lang w:val="en-AU"/>
        </w:rPr>
        <w:t xml:space="preserve">, the modelling results are consistent with the greater </w:t>
      </w:r>
      <w:r w:rsidR="00F770AC" w:rsidRPr="00207DC2">
        <w:rPr>
          <w:lang w:val="en-AU"/>
        </w:rPr>
        <w:t>focus on</w:t>
      </w:r>
      <w:r w:rsidRPr="00207DC2">
        <w:rPr>
          <w:lang w:val="en-AU"/>
        </w:rPr>
        <w:t xml:space="preserve"> 26</w:t>
      </w:r>
      <w:r w:rsidRPr="00207DC2">
        <w:rPr>
          <w:lang w:val="en-AU"/>
        </w:rPr>
        <w:noBreakHyphen/>
        <w:t xml:space="preserve">week employment outcomes over shorter employment outcomes. </w:t>
      </w:r>
    </w:p>
    <w:p w14:paraId="2418BBB1" w14:textId="13104EF7" w:rsidR="00ED2A49" w:rsidRPr="00207DC2" w:rsidRDefault="00516648" w:rsidP="00FD2163">
      <w:pPr>
        <w:jc w:val="both"/>
        <w:rPr>
          <w:lang w:val="en-AU"/>
        </w:rPr>
      </w:pPr>
      <w:r w:rsidRPr="00207DC2">
        <w:rPr>
          <w:lang w:val="en-AU"/>
        </w:rPr>
        <w:t>Future research and evaluations examining remote employment outcomes could improve on the current analysis by linking administrative datasets to develop a measure of long</w:t>
      </w:r>
      <w:r w:rsidR="000F7194" w:rsidRPr="00207DC2">
        <w:rPr>
          <w:lang w:val="en-AU"/>
        </w:rPr>
        <w:t>er</w:t>
      </w:r>
      <w:r w:rsidRPr="00207DC2">
        <w:rPr>
          <w:lang w:val="en-AU"/>
        </w:rPr>
        <w:noBreakHyphen/>
        <w:t>term employment outcome</w:t>
      </w:r>
      <w:r w:rsidR="000F7194" w:rsidRPr="00207DC2">
        <w:rPr>
          <w:lang w:val="en-AU"/>
        </w:rPr>
        <w:t>s</w:t>
      </w:r>
      <w:r w:rsidRPr="00207DC2">
        <w:rPr>
          <w:lang w:val="en-AU"/>
        </w:rPr>
        <w:t xml:space="preserve"> (beyond 26 weeks). This </w:t>
      </w:r>
      <w:r w:rsidR="00411755">
        <w:rPr>
          <w:lang w:val="en-AU"/>
        </w:rPr>
        <w:t xml:space="preserve">could </w:t>
      </w:r>
      <w:r w:rsidRPr="00207DC2">
        <w:rPr>
          <w:lang w:val="en-AU"/>
        </w:rPr>
        <w:t xml:space="preserve">also improve </w:t>
      </w:r>
      <w:r w:rsidR="00B11C5C">
        <w:rPr>
          <w:lang w:val="en-AU"/>
        </w:rPr>
        <w:t>understanding</w:t>
      </w:r>
      <w:r w:rsidRPr="00207DC2">
        <w:rPr>
          <w:lang w:val="en-AU"/>
        </w:rPr>
        <w:t xml:space="preserve"> of </w:t>
      </w:r>
      <w:r w:rsidR="00411755">
        <w:rPr>
          <w:lang w:val="en-AU"/>
        </w:rPr>
        <w:t>why</w:t>
      </w:r>
      <w:r w:rsidRPr="00207DC2">
        <w:rPr>
          <w:lang w:val="en-AU"/>
        </w:rPr>
        <w:t xml:space="preserve"> participants exit </w:t>
      </w:r>
      <w:r w:rsidR="000B5A13" w:rsidRPr="00207DC2">
        <w:rPr>
          <w:lang w:val="en-AU"/>
        </w:rPr>
        <w:t>income support payments</w:t>
      </w:r>
      <w:r w:rsidRPr="00207DC2">
        <w:rPr>
          <w:lang w:val="en-AU"/>
        </w:rPr>
        <w:t>.</w:t>
      </w:r>
      <w:r w:rsidR="00F739E3" w:rsidRPr="00207DC2">
        <w:rPr>
          <w:lang w:val="en-AU"/>
        </w:rPr>
        <w:t xml:space="preserve"> Currently, when CDP participants </w:t>
      </w:r>
      <w:r w:rsidR="000F7194" w:rsidRPr="00207DC2">
        <w:rPr>
          <w:lang w:val="en-AU"/>
        </w:rPr>
        <w:t>cease</w:t>
      </w:r>
      <w:r w:rsidR="00F739E3" w:rsidRPr="00207DC2">
        <w:rPr>
          <w:lang w:val="en-AU"/>
        </w:rPr>
        <w:t xml:space="preserve"> income support payments it is difficult to determine if </w:t>
      </w:r>
      <w:r w:rsidR="000F7194" w:rsidRPr="00207DC2">
        <w:rPr>
          <w:lang w:val="en-AU"/>
        </w:rPr>
        <w:t>this is</w:t>
      </w:r>
      <w:r w:rsidR="00F739E3" w:rsidRPr="00207DC2">
        <w:rPr>
          <w:lang w:val="en-AU"/>
        </w:rPr>
        <w:t xml:space="preserve"> because they have found employment (but have not reported this to their provider or DHS) or if they have disengaged </w:t>
      </w:r>
      <w:r w:rsidR="000F7194" w:rsidRPr="00207DC2">
        <w:rPr>
          <w:lang w:val="en-AU"/>
        </w:rPr>
        <w:t>for other reason</w:t>
      </w:r>
      <w:r w:rsidR="00411755">
        <w:rPr>
          <w:lang w:val="en-AU"/>
        </w:rPr>
        <w:t>s</w:t>
      </w:r>
      <w:r w:rsidR="00F739E3" w:rsidRPr="00207DC2">
        <w:rPr>
          <w:lang w:val="en-AU"/>
        </w:rPr>
        <w:t xml:space="preserve"> (Chapter 3).</w:t>
      </w:r>
    </w:p>
    <w:p w14:paraId="6C008D71" w14:textId="77777777" w:rsidR="007947C7" w:rsidRPr="00207DC2" w:rsidRDefault="00173DEF" w:rsidP="00F35F78">
      <w:pPr>
        <w:pStyle w:val="ZED5"/>
        <w:outlineLvl w:val="3"/>
      </w:pPr>
      <w:bookmarkStart w:id="574" w:name="_Toc511826306"/>
      <w:bookmarkStart w:id="575" w:name="_Toc511940623"/>
      <w:bookmarkStart w:id="576" w:name="_Toc515185474"/>
      <w:bookmarkStart w:id="577" w:name="_Toc516219847"/>
      <w:bookmarkStart w:id="578" w:name="_Toc516220488"/>
      <w:bookmarkStart w:id="579" w:name="_Toc516223308"/>
      <w:bookmarkStart w:id="580" w:name="_Toc516225216"/>
      <w:bookmarkStart w:id="581" w:name="_Toc516228992"/>
      <w:bookmarkStart w:id="582" w:name="_Toc535935064"/>
      <w:bookmarkEnd w:id="574"/>
      <w:bookmarkEnd w:id="575"/>
      <w:r w:rsidRPr="00207DC2">
        <w:t>Programs to support labour markets</w:t>
      </w:r>
      <w:bookmarkEnd w:id="576"/>
      <w:bookmarkEnd w:id="577"/>
      <w:bookmarkEnd w:id="578"/>
      <w:bookmarkEnd w:id="579"/>
      <w:bookmarkEnd w:id="580"/>
      <w:bookmarkEnd w:id="581"/>
      <w:bookmarkEnd w:id="582"/>
    </w:p>
    <w:p w14:paraId="70654B86" w14:textId="7A418174" w:rsidR="001E3FDB" w:rsidRPr="00207DC2" w:rsidRDefault="00915FAC" w:rsidP="001E3FDB">
      <w:pPr>
        <w:jc w:val="both"/>
        <w:rPr>
          <w:lang w:val="en-AU"/>
        </w:rPr>
      </w:pPr>
      <w:r>
        <w:rPr>
          <w:lang w:val="en-AU"/>
        </w:rPr>
        <w:t>L</w:t>
      </w:r>
      <w:r w:rsidR="00B40357" w:rsidRPr="00207DC2">
        <w:rPr>
          <w:lang w:val="en-AU"/>
        </w:rPr>
        <w:t>ong</w:t>
      </w:r>
      <w:r w:rsidR="00B40357" w:rsidRPr="00207DC2">
        <w:rPr>
          <w:lang w:val="en-AU"/>
        </w:rPr>
        <w:noBreakHyphen/>
        <w:t xml:space="preserve">term </w:t>
      </w:r>
      <w:r w:rsidR="001E3FDB" w:rsidRPr="00207DC2">
        <w:rPr>
          <w:lang w:val="en-AU"/>
        </w:rPr>
        <w:t>employment outcomes for CDP participants</w:t>
      </w:r>
      <w:r w:rsidR="00396552">
        <w:rPr>
          <w:lang w:val="en-AU"/>
        </w:rPr>
        <w:t xml:space="preserve"> – </w:t>
      </w:r>
      <w:r w:rsidR="001E3FDB" w:rsidRPr="00207DC2">
        <w:rPr>
          <w:lang w:val="en-AU"/>
        </w:rPr>
        <w:t xml:space="preserve">particularly those </w:t>
      </w:r>
      <w:r w:rsidR="00D10F57" w:rsidRPr="00207DC2">
        <w:rPr>
          <w:lang w:val="en-AU"/>
        </w:rPr>
        <w:t xml:space="preserve">with </w:t>
      </w:r>
      <w:r w:rsidR="00917154" w:rsidRPr="00207DC2">
        <w:rPr>
          <w:i/>
          <w:lang w:val="en-AU"/>
        </w:rPr>
        <w:t>extreme</w:t>
      </w:r>
      <w:r w:rsidR="00D10F57" w:rsidRPr="00207DC2">
        <w:rPr>
          <w:i/>
          <w:lang w:val="en-AU"/>
        </w:rPr>
        <w:t xml:space="preserve"> barriers</w:t>
      </w:r>
      <w:r w:rsidR="00D10F57" w:rsidRPr="00207DC2">
        <w:rPr>
          <w:lang w:val="en-AU"/>
        </w:rPr>
        <w:t xml:space="preserve"> to employment</w:t>
      </w:r>
      <w:r w:rsidR="00396552">
        <w:rPr>
          <w:lang w:val="en-AU"/>
        </w:rPr>
        <w:t xml:space="preserve"> – </w:t>
      </w:r>
      <w:r w:rsidR="001E3FDB" w:rsidRPr="00207DC2">
        <w:rPr>
          <w:lang w:val="en-AU"/>
        </w:rPr>
        <w:t>could benefit</w:t>
      </w:r>
      <w:r w:rsidR="00D10F57" w:rsidRPr="00207DC2">
        <w:rPr>
          <w:lang w:val="en-AU"/>
        </w:rPr>
        <w:t xml:space="preserve"> from</w:t>
      </w:r>
      <w:r w:rsidR="001E3FDB" w:rsidRPr="00207DC2">
        <w:rPr>
          <w:lang w:val="en-AU"/>
        </w:rPr>
        <w:t xml:space="preserve"> </w:t>
      </w:r>
      <w:r w:rsidR="001E3FDB" w:rsidRPr="00207DC2">
        <w:rPr>
          <w:szCs w:val="20"/>
          <w:lang w:val="en-AU"/>
        </w:rPr>
        <w:t xml:space="preserve">assistance to </w:t>
      </w:r>
      <w:r w:rsidR="00CA0E32" w:rsidRPr="00207DC2">
        <w:rPr>
          <w:szCs w:val="20"/>
          <w:lang w:val="en-AU"/>
        </w:rPr>
        <w:t xml:space="preserve">build </w:t>
      </w:r>
      <w:r w:rsidR="003A3E00">
        <w:rPr>
          <w:szCs w:val="20"/>
          <w:lang w:val="en-AU"/>
        </w:rPr>
        <w:t>participant’s</w:t>
      </w:r>
      <w:r w:rsidR="003A3E00" w:rsidRPr="00207DC2">
        <w:rPr>
          <w:szCs w:val="20"/>
          <w:lang w:val="en-AU"/>
        </w:rPr>
        <w:t xml:space="preserve"> </w:t>
      </w:r>
      <w:r w:rsidR="00D10F57" w:rsidRPr="00207DC2">
        <w:rPr>
          <w:szCs w:val="20"/>
          <w:lang w:val="en-AU"/>
        </w:rPr>
        <w:t>skill</w:t>
      </w:r>
      <w:r w:rsidR="003A3E00">
        <w:rPr>
          <w:szCs w:val="20"/>
          <w:lang w:val="en-AU"/>
        </w:rPr>
        <w:t>s</w:t>
      </w:r>
      <w:r w:rsidR="001E3FDB" w:rsidRPr="00207DC2">
        <w:rPr>
          <w:szCs w:val="20"/>
          <w:lang w:val="en-AU"/>
        </w:rPr>
        <w:t xml:space="preserve"> </w:t>
      </w:r>
      <w:r w:rsidR="003A3E00">
        <w:rPr>
          <w:szCs w:val="20"/>
          <w:lang w:val="en-AU"/>
        </w:rPr>
        <w:t>and</w:t>
      </w:r>
      <w:r w:rsidR="001E3FDB" w:rsidRPr="00207DC2">
        <w:rPr>
          <w:szCs w:val="20"/>
          <w:lang w:val="en-AU"/>
        </w:rPr>
        <w:t xml:space="preserve"> </w:t>
      </w:r>
      <w:r w:rsidR="00CA0E32" w:rsidRPr="00207DC2">
        <w:rPr>
          <w:szCs w:val="20"/>
          <w:lang w:val="en-AU"/>
        </w:rPr>
        <w:t xml:space="preserve">complementary </w:t>
      </w:r>
      <w:r w:rsidR="001E3FDB" w:rsidRPr="00207DC2">
        <w:rPr>
          <w:lang w:val="en-AU"/>
        </w:rPr>
        <w:t xml:space="preserve">employment policies </w:t>
      </w:r>
      <w:r w:rsidR="00B40357" w:rsidRPr="00207DC2">
        <w:rPr>
          <w:lang w:val="en-AU"/>
        </w:rPr>
        <w:t xml:space="preserve">that </w:t>
      </w:r>
      <w:r w:rsidR="001E3FDB" w:rsidRPr="00207DC2">
        <w:rPr>
          <w:lang w:val="en-AU"/>
        </w:rPr>
        <w:t>promot</w:t>
      </w:r>
      <w:r w:rsidR="003A3E00">
        <w:rPr>
          <w:lang w:val="en-AU"/>
        </w:rPr>
        <w:t>e</w:t>
      </w:r>
      <w:r w:rsidR="001E3FDB" w:rsidRPr="00207DC2">
        <w:rPr>
          <w:lang w:val="en-AU"/>
        </w:rPr>
        <w:t xml:space="preserve"> local </w:t>
      </w:r>
      <w:r w:rsidR="00233CD5" w:rsidRPr="00207DC2">
        <w:rPr>
          <w:lang w:val="en-AU"/>
        </w:rPr>
        <w:t xml:space="preserve">labour market </w:t>
      </w:r>
      <w:r w:rsidR="001E3FDB" w:rsidRPr="00207DC2">
        <w:rPr>
          <w:lang w:val="en-AU"/>
        </w:rPr>
        <w:t>opportunities (Dockery and Lovell 2016).</w:t>
      </w:r>
    </w:p>
    <w:p w14:paraId="248F3B1B" w14:textId="29755AF7" w:rsidR="00423528" w:rsidRPr="00207DC2" w:rsidRDefault="001F70F9" w:rsidP="00F039B0">
      <w:pPr>
        <w:jc w:val="both"/>
        <w:rPr>
          <w:lang w:val="en-AU"/>
        </w:rPr>
      </w:pPr>
      <w:r w:rsidRPr="00207DC2">
        <w:rPr>
          <w:szCs w:val="20"/>
          <w:lang w:val="en-AU"/>
        </w:rPr>
        <w:t>As</w:t>
      </w:r>
      <w:r w:rsidR="001660B0" w:rsidRPr="00207DC2">
        <w:rPr>
          <w:szCs w:val="20"/>
          <w:lang w:val="en-AU"/>
        </w:rPr>
        <w:t xml:space="preserve"> noted in </w:t>
      </w:r>
      <w:r w:rsidRPr="00207DC2">
        <w:rPr>
          <w:szCs w:val="20"/>
          <w:lang w:val="en-AU"/>
        </w:rPr>
        <w:t>Chapter</w:t>
      </w:r>
      <w:r w:rsidR="001660B0" w:rsidRPr="00207DC2">
        <w:rPr>
          <w:szCs w:val="20"/>
          <w:lang w:val="en-AU"/>
        </w:rPr>
        <w:t xml:space="preserve"> 1, the introduction of the CDP included funding for </w:t>
      </w:r>
      <w:r w:rsidR="006E69F8" w:rsidRPr="00207DC2">
        <w:rPr>
          <w:lang w:val="en-AU"/>
        </w:rPr>
        <w:t>E</w:t>
      </w:r>
      <w:r w:rsidR="00516DFB" w:rsidRPr="00207DC2">
        <w:rPr>
          <w:lang w:val="en-AU"/>
        </w:rPr>
        <w:t xml:space="preserve">mployer </w:t>
      </w:r>
      <w:r w:rsidR="006E69F8" w:rsidRPr="00207DC2">
        <w:rPr>
          <w:lang w:val="en-AU"/>
        </w:rPr>
        <w:t>I</w:t>
      </w:r>
      <w:r w:rsidR="00516DFB" w:rsidRPr="00207DC2">
        <w:rPr>
          <w:lang w:val="en-AU"/>
        </w:rPr>
        <w:t xml:space="preserve">ncentive </w:t>
      </w:r>
      <w:r w:rsidR="006E69F8" w:rsidRPr="00207DC2">
        <w:rPr>
          <w:lang w:val="en-AU"/>
        </w:rPr>
        <w:t>P</w:t>
      </w:r>
      <w:r w:rsidR="00516DFB" w:rsidRPr="00207DC2">
        <w:rPr>
          <w:lang w:val="en-AU"/>
        </w:rPr>
        <w:t>ayments</w:t>
      </w:r>
      <w:r w:rsidR="00D5117A" w:rsidRPr="00207DC2">
        <w:rPr>
          <w:lang w:val="en-AU"/>
        </w:rPr>
        <w:t xml:space="preserve"> (a one-off payment that providers pass on to eligible employers for employing a CDP participant for 26 weeks)</w:t>
      </w:r>
      <w:r w:rsidR="001660B0" w:rsidRPr="00207DC2">
        <w:rPr>
          <w:szCs w:val="20"/>
          <w:lang w:val="en-AU"/>
        </w:rPr>
        <w:t xml:space="preserve">. </w:t>
      </w:r>
      <w:r w:rsidR="00D5117A" w:rsidRPr="00207DC2">
        <w:rPr>
          <w:lang w:val="en-AU"/>
        </w:rPr>
        <w:t>Wage subsides can</w:t>
      </w:r>
      <w:r w:rsidR="00516DFB" w:rsidRPr="00207DC2">
        <w:rPr>
          <w:lang w:val="en-AU"/>
        </w:rPr>
        <w:t xml:space="preserve"> boost employment by reducing the cost o</w:t>
      </w:r>
      <w:r w:rsidR="00D5117A" w:rsidRPr="00207DC2">
        <w:rPr>
          <w:lang w:val="en-AU"/>
        </w:rPr>
        <w:t xml:space="preserve">f hiring CDP participants. </w:t>
      </w:r>
      <w:r w:rsidR="00202AF4" w:rsidRPr="00207DC2">
        <w:rPr>
          <w:lang w:val="en-AU"/>
        </w:rPr>
        <w:t>A</w:t>
      </w:r>
      <w:r w:rsidR="00F9039A" w:rsidRPr="00207DC2">
        <w:rPr>
          <w:lang w:val="en-AU"/>
        </w:rPr>
        <w:t xml:space="preserve"> person’s employment barriers </w:t>
      </w:r>
      <w:r w:rsidR="00202AF4" w:rsidRPr="00207DC2">
        <w:rPr>
          <w:lang w:val="en-AU"/>
        </w:rPr>
        <w:t xml:space="preserve">are likely to </w:t>
      </w:r>
      <w:r w:rsidR="00341DB6" w:rsidRPr="00207DC2">
        <w:rPr>
          <w:lang w:val="en-AU"/>
        </w:rPr>
        <w:t>affect</w:t>
      </w:r>
      <w:r w:rsidR="00F9039A" w:rsidRPr="00207DC2">
        <w:rPr>
          <w:lang w:val="en-AU"/>
        </w:rPr>
        <w:t xml:space="preserve"> how well a wage subsidy program will work for them</w:t>
      </w:r>
      <w:r w:rsidR="00202AF4" w:rsidRPr="00207DC2">
        <w:rPr>
          <w:lang w:val="en-AU"/>
        </w:rPr>
        <w:t xml:space="preserve">. </w:t>
      </w:r>
      <w:r w:rsidR="00B71BA2" w:rsidRPr="00207DC2">
        <w:rPr>
          <w:lang w:val="en-AU"/>
        </w:rPr>
        <w:t>T</w:t>
      </w:r>
      <w:r w:rsidR="00F9039A" w:rsidRPr="00207DC2">
        <w:rPr>
          <w:lang w:val="en-AU"/>
        </w:rPr>
        <w:t xml:space="preserve">hose with low barriers may not need a wage subsidy program, while </w:t>
      </w:r>
      <w:r w:rsidR="00DA05DF" w:rsidRPr="00207DC2">
        <w:rPr>
          <w:lang w:val="en-AU"/>
        </w:rPr>
        <w:t>j</w:t>
      </w:r>
      <w:r w:rsidR="003F1976" w:rsidRPr="00207DC2">
        <w:rPr>
          <w:lang w:val="en-AU"/>
        </w:rPr>
        <w:t xml:space="preserve">obseekers with high barriers </w:t>
      </w:r>
      <w:r w:rsidR="00DA05DF" w:rsidRPr="00207DC2">
        <w:rPr>
          <w:lang w:val="en-AU"/>
        </w:rPr>
        <w:t xml:space="preserve">may ‘require more substantial assistance than a wage subsidy program’ (Borland 2016, p. 140). </w:t>
      </w:r>
    </w:p>
    <w:p w14:paraId="227C1532" w14:textId="0CAF8214" w:rsidR="00E77A14" w:rsidRPr="00207DC2" w:rsidRDefault="00202AF4" w:rsidP="00F039B0">
      <w:pPr>
        <w:jc w:val="both"/>
        <w:rPr>
          <w:szCs w:val="20"/>
          <w:lang w:val="en-AU"/>
        </w:rPr>
      </w:pPr>
      <w:r w:rsidRPr="00207DC2">
        <w:rPr>
          <w:lang w:val="en-AU"/>
        </w:rPr>
        <w:t>This suggest</w:t>
      </w:r>
      <w:r w:rsidR="003F1976" w:rsidRPr="00207DC2">
        <w:rPr>
          <w:lang w:val="en-AU"/>
        </w:rPr>
        <w:t>s</w:t>
      </w:r>
      <w:r w:rsidRPr="00207DC2">
        <w:rPr>
          <w:lang w:val="en-AU"/>
        </w:rPr>
        <w:t xml:space="preserve"> </w:t>
      </w:r>
      <w:r w:rsidR="00FA3A03" w:rsidRPr="00207DC2">
        <w:rPr>
          <w:lang w:val="en-AU"/>
        </w:rPr>
        <w:t>that pe</w:t>
      </w:r>
      <w:r w:rsidR="003F1976" w:rsidRPr="00207DC2">
        <w:rPr>
          <w:lang w:val="en-AU"/>
        </w:rPr>
        <w:t>ople</w:t>
      </w:r>
      <w:r w:rsidR="00FA3A03" w:rsidRPr="00207DC2">
        <w:rPr>
          <w:lang w:val="en-AU"/>
        </w:rPr>
        <w:t xml:space="preserve"> with moderate employment barriers are the best candidates for a wage subsidy program.</w:t>
      </w:r>
      <w:r w:rsidRPr="00207DC2">
        <w:rPr>
          <w:lang w:val="en-AU"/>
        </w:rPr>
        <w:t xml:space="preserve"> </w:t>
      </w:r>
      <w:r w:rsidR="00423528" w:rsidRPr="00207DC2">
        <w:rPr>
          <w:lang w:val="en-AU"/>
        </w:rPr>
        <w:t>People</w:t>
      </w:r>
      <w:r w:rsidR="003F1976" w:rsidRPr="00207DC2">
        <w:rPr>
          <w:lang w:val="en-AU"/>
        </w:rPr>
        <w:t xml:space="preserve"> with high barriers may need additional assistance, such as</w:t>
      </w:r>
      <w:r w:rsidR="007D0F03" w:rsidRPr="00207DC2">
        <w:rPr>
          <w:lang w:val="en-AU"/>
        </w:rPr>
        <w:t xml:space="preserve"> training to increase their skills and job readiness, and monitoring and support in any job placement</w:t>
      </w:r>
      <w:r w:rsidR="003F1976" w:rsidRPr="00207DC2">
        <w:rPr>
          <w:lang w:val="en-AU"/>
        </w:rPr>
        <w:t xml:space="preserve">, in addition to wage subsidy programs </w:t>
      </w:r>
      <w:r w:rsidR="007D0F03" w:rsidRPr="00207DC2">
        <w:rPr>
          <w:lang w:val="en-AU"/>
        </w:rPr>
        <w:t>(Borland 2016).</w:t>
      </w:r>
    </w:p>
    <w:p w14:paraId="0D45D0EB" w14:textId="4B2D0C1F" w:rsidR="0055319D" w:rsidRPr="00207DC2" w:rsidRDefault="00363ED8" w:rsidP="0055319D">
      <w:pPr>
        <w:jc w:val="both"/>
        <w:rPr>
          <w:lang w:val="en-AU"/>
        </w:rPr>
      </w:pPr>
      <w:r w:rsidRPr="00207DC2">
        <w:rPr>
          <w:lang w:val="en-AU"/>
        </w:rPr>
        <w:t>In addition to w</w:t>
      </w:r>
      <w:r w:rsidR="0001630E" w:rsidRPr="00207DC2">
        <w:rPr>
          <w:lang w:val="en-AU"/>
        </w:rPr>
        <w:t>age subsidies</w:t>
      </w:r>
      <w:r w:rsidRPr="00207DC2">
        <w:rPr>
          <w:lang w:val="en-AU"/>
        </w:rPr>
        <w:t>, a number of other</w:t>
      </w:r>
      <w:r w:rsidR="0001630E" w:rsidRPr="00207DC2">
        <w:rPr>
          <w:lang w:val="en-AU"/>
        </w:rPr>
        <w:t xml:space="preserve"> employment program</w:t>
      </w:r>
      <w:r w:rsidR="00B11C5C">
        <w:rPr>
          <w:lang w:val="en-AU"/>
        </w:rPr>
        <w:t>s</w:t>
      </w:r>
      <w:r w:rsidR="0001630E" w:rsidRPr="00207DC2">
        <w:rPr>
          <w:lang w:val="en-AU"/>
        </w:rPr>
        <w:t xml:space="preserve"> </w:t>
      </w:r>
      <w:r w:rsidRPr="00207DC2">
        <w:rPr>
          <w:lang w:val="en-AU"/>
        </w:rPr>
        <w:t>have been shown to be effective</w:t>
      </w:r>
      <w:r w:rsidR="0059664A" w:rsidRPr="00207DC2">
        <w:rPr>
          <w:lang w:val="en-AU"/>
        </w:rPr>
        <w:t xml:space="preserve"> at improving labour market outcomes</w:t>
      </w:r>
      <w:r w:rsidR="0001630E" w:rsidRPr="00207DC2">
        <w:rPr>
          <w:lang w:val="en-AU"/>
        </w:rPr>
        <w:t xml:space="preserve">. For example, programs focused on </w:t>
      </w:r>
      <w:r w:rsidR="000626C1" w:rsidRPr="00207DC2">
        <w:rPr>
          <w:lang w:val="en-AU"/>
        </w:rPr>
        <w:t>providing</w:t>
      </w:r>
      <w:r w:rsidR="0001630E" w:rsidRPr="00207DC2">
        <w:rPr>
          <w:lang w:val="en-AU"/>
        </w:rPr>
        <w:t xml:space="preserve"> capital can be a cost</w:t>
      </w:r>
      <w:r w:rsidR="00B278A3" w:rsidRPr="00207DC2">
        <w:rPr>
          <w:lang w:val="en-AU"/>
        </w:rPr>
        <w:noBreakHyphen/>
      </w:r>
      <w:r w:rsidR="0001630E" w:rsidRPr="00207DC2">
        <w:rPr>
          <w:lang w:val="en-AU"/>
        </w:rPr>
        <w:t xml:space="preserve">effective way to stimulate self-employment and raise </w:t>
      </w:r>
      <w:r w:rsidR="000626C1" w:rsidRPr="00207DC2">
        <w:rPr>
          <w:lang w:val="en-AU"/>
        </w:rPr>
        <w:t xml:space="preserve">the </w:t>
      </w:r>
      <w:r w:rsidR="0001630E" w:rsidRPr="00207DC2">
        <w:rPr>
          <w:lang w:val="en-AU"/>
        </w:rPr>
        <w:t>long</w:t>
      </w:r>
      <w:r w:rsidR="00FA3A03" w:rsidRPr="00207DC2">
        <w:rPr>
          <w:lang w:val="en-AU"/>
        </w:rPr>
        <w:t>-</w:t>
      </w:r>
      <w:r w:rsidR="0001630E" w:rsidRPr="00207DC2">
        <w:rPr>
          <w:lang w:val="en-AU"/>
        </w:rPr>
        <w:t xml:space="preserve">term earning potential </w:t>
      </w:r>
      <w:r w:rsidR="000626C1" w:rsidRPr="00207DC2">
        <w:rPr>
          <w:lang w:val="en-AU"/>
        </w:rPr>
        <w:t>of individuals</w:t>
      </w:r>
      <w:r w:rsidR="001F70F9" w:rsidRPr="00207DC2">
        <w:rPr>
          <w:lang w:val="en-AU"/>
        </w:rPr>
        <w:t xml:space="preserve"> participating in regions with limited labour markets</w:t>
      </w:r>
      <w:r w:rsidR="0055319D" w:rsidRPr="00207DC2">
        <w:rPr>
          <w:lang w:val="en-AU"/>
        </w:rPr>
        <w:t>.</w:t>
      </w:r>
      <w:r w:rsidR="000626C1" w:rsidRPr="00207DC2">
        <w:rPr>
          <w:lang w:val="en-AU"/>
        </w:rPr>
        <w:t xml:space="preserve"> </w:t>
      </w:r>
      <w:r w:rsidR="00B40357" w:rsidRPr="00207DC2">
        <w:rPr>
          <w:lang w:val="en-AU"/>
        </w:rPr>
        <w:t>Blattman and Ralston (2015, p. iii) concluded that:</w:t>
      </w:r>
    </w:p>
    <w:p w14:paraId="4A6C9239" w14:textId="18291DD8" w:rsidR="0055319D" w:rsidRPr="00207DC2" w:rsidRDefault="0055319D" w:rsidP="005F4501">
      <w:pPr>
        <w:ind w:left="720"/>
        <w:jc w:val="both"/>
        <w:rPr>
          <w:lang w:val="en-AU"/>
        </w:rPr>
      </w:pPr>
      <w:r w:rsidRPr="00207DC2">
        <w:rPr>
          <w:i/>
          <w:lang w:val="en-AU"/>
        </w:rPr>
        <w:t>A “capital</w:t>
      </w:r>
      <w:r w:rsidR="005C5A0A" w:rsidRPr="00207DC2">
        <w:rPr>
          <w:i/>
          <w:lang w:val="en-AU"/>
        </w:rPr>
        <w:t>-</w:t>
      </w:r>
      <w:r w:rsidRPr="00207DC2">
        <w:rPr>
          <w:i/>
          <w:lang w:val="en-AU"/>
        </w:rPr>
        <w:t xml:space="preserve">centric” approach </w:t>
      </w:r>
      <w:r w:rsidR="005F4501" w:rsidRPr="00207DC2">
        <w:rPr>
          <w:i/>
          <w:lang w:val="en-AU"/>
        </w:rPr>
        <w:t xml:space="preserve">… </w:t>
      </w:r>
      <w:r w:rsidRPr="00207DC2">
        <w:rPr>
          <w:i/>
          <w:lang w:val="en-AU"/>
        </w:rPr>
        <w:t>Often they cost no more than a few hundred dollars per person</w:t>
      </w:r>
      <w:r w:rsidR="00396552">
        <w:rPr>
          <w:i/>
          <w:lang w:val="en-AU"/>
        </w:rPr>
        <w:t xml:space="preserve"> – </w:t>
      </w:r>
      <w:r w:rsidRPr="00207DC2">
        <w:rPr>
          <w:i/>
          <w:lang w:val="en-AU"/>
        </w:rPr>
        <w:t>far cheaper than many of the alternatives, and deliver much needed capital directly to individuals, who may have the best knowledge about how to develop their livelihood</w:t>
      </w:r>
      <w:r w:rsidR="005C5A0A" w:rsidRPr="00207DC2">
        <w:rPr>
          <w:i/>
          <w:lang w:val="en-AU"/>
        </w:rPr>
        <w:t>s</w:t>
      </w:r>
      <w:r w:rsidRPr="00207DC2">
        <w:rPr>
          <w:i/>
          <w:lang w:val="en-AU"/>
        </w:rPr>
        <w:t xml:space="preserve"> and generate income.</w:t>
      </w:r>
      <w:r w:rsidR="0059664A" w:rsidRPr="00207DC2">
        <w:rPr>
          <w:i/>
          <w:lang w:val="en-AU"/>
        </w:rPr>
        <w:t xml:space="preserve"> </w:t>
      </w:r>
    </w:p>
    <w:p w14:paraId="266B4424" w14:textId="24AA2893" w:rsidR="0025705E" w:rsidRPr="00207DC2" w:rsidRDefault="00B40357" w:rsidP="00FF524A">
      <w:pPr>
        <w:jc w:val="both"/>
        <w:rPr>
          <w:lang w:val="en-AU"/>
        </w:rPr>
      </w:pPr>
      <w:r w:rsidRPr="00207DC2">
        <w:rPr>
          <w:lang w:val="en-AU"/>
        </w:rPr>
        <w:t>Blattman and Ralston (2015) also noted that</w:t>
      </w:r>
      <w:r w:rsidR="00BA10E3" w:rsidRPr="00207DC2">
        <w:rPr>
          <w:lang w:val="en-AU"/>
        </w:rPr>
        <w:t xml:space="preserve"> </w:t>
      </w:r>
      <w:r w:rsidR="00BA10E3" w:rsidRPr="00207DC2">
        <w:rPr>
          <w:i/>
          <w:lang w:val="en-AU"/>
        </w:rPr>
        <w:t>capital-centric</w:t>
      </w:r>
      <w:r w:rsidR="00BA10E3" w:rsidRPr="00207DC2">
        <w:rPr>
          <w:lang w:val="en-AU"/>
        </w:rPr>
        <w:t xml:space="preserve"> programs</w:t>
      </w:r>
      <w:r w:rsidR="000626C1" w:rsidRPr="00207DC2">
        <w:rPr>
          <w:lang w:val="en-AU"/>
        </w:rPr>
        <w:t xml:space="preserve"> can be </w:t>
      </w:r>
      <w:r w:rsidR="0001630E" w:rsidRPr="00207DC2">
        <w:rPr>
          <w:lang w:val="en-AU"/>
        </w:rPr>
        <w:t xml:space="preserve">particularly </w:t>
      </w:r>
      <w:r w:rsidR="00BA10E3" w:rsidRPr="00207DC2">
        <w:rPr>
          <w:lang w:val="en-AU"/>
        </w:rPr>
        <w:t>effective</w:t>
      </w:r>
      <w:r w:rsidR="000626C1" w:rsidRPr="00207DC2">
        <w:rPr>
          <w:lang w:val="en-AU"/>
        </w:rPr>
        <w:t xml:space="preserve"> </w:t>
      </w:r>
      <w:r w:rsidR="0001630E" w:rsidRPr="00207DC2">
        <w:rPr>
          <w:lang w:val="en-AU"/>
        </w:rPr>
        <w:t>when partnered with low</w:t>
      </w:r>
      <w:r w:rsidR="00BA10E3" w:rsidRPr="00207DC2">
        <w:rPr>
          <w:lang w:val="en-AU"/>
        </w:rPr>
        <w:noBreakHyphen/>
      </w:r>
      <w:r w:rsidR="0001630E" w:rsidRPr="00207DC2">
        <w:rPr>
          <w:lang w:val="en-AU"/>
        </w:rPr>
        <w:t>cost complementary interventions</w:t>
      </w:r>
      <w:r w:rsidR="0063432E" w:rsidRPr="00207DC2">
        <w:rPr>
          <w:lang w:val="en-AU"/>
        </w:rPr>
        <w:t xml:space="preserve"> such as skills training in the recipient’s area of self-employment</w:t>
      </w:r>
      <w:r w:rsidR="0001630E" w:rsidRPr="00207DC2">
        <w:rPr>
          <w:lang w:val="en-AU"/>
        </w:rPr>
        <w:t>.</w:t>
      </w:r>
    </w:p>
    <w:p w14:paraId="20BE7B74" w14:textId="027190F7" w:rsidR="00BA10E3" w:rsidRPr="00207DC2" w:rsidRDefault="0015189B" w:rsidP="005A5A34">
      <w:pPr>
        <w:jc w:val="both"/>
        <w:rPr>
          <w:lang w:val="en-AU"/>
        </w:rPr>
      </w:pPr>
      <w:r w:rsidRPr="00207DC2">
        <w:rPr>
          <w:lang w:val="en-AU"/>
        </w:rPr>
        <w:t xml:space="preserve">While there is evidence that a </w:t>
      </w:r>
      <w:r w:rsidR="00BA10E3" w:rsidRPr="00207DC2">
        <w:rPr>
          <w:lang w:val="en-AU"/>
        </w:rPr>
        <w:t>range</w:t>
      </w:r>
      <w:r w:rsidRPr="00207DC2">
        <w:rPr>
          <w:lang w:val="en-AU"/>
        </w:rPr>
        <w:t xml:space="preserve"> of complementary labour market programs may be effective at improving labour market opportunities, how</w:t>
      </w:r>
      <w:r w:rsidR="00BA10E3" w:rsidRPr="00207DC2">
        <w:rPr>
          <w:lang w:val="en-AU"/>
        </w:rPr>
        <w:t xml:space="preserve"> such programs</w:t>
      </w:r>
      <w:r w:rsidRPr="00207DC2">
        <w:rPr>
          <w:lang w:val="en-AU"/>
        </w:rPr>
        <w:t xml:space="preserve"> would work in the context of remote Australia is </w:t>
      </w:r>
      <w:r w:rsidR="000E5ECE" w:rsidRPr="00207DC2">
        <w:rPr>
          <w:lang w:val="en-AU"/>
        </w:rPr>
        <w:t>uncertain</w:t>
      </w:r>
      <w:r w:rsidRPr="00207DC2">
        <w:rPr>
          <w:lang w:val="en-AU"/>
        </w:rPr>
        <w:t xml:space="preserve">. </w:t>
      </w:r>
      <w:r w:rsidR="00F43DD3" w:rsidRPr="00207DC2">
        <w:rPr>
          <w:lang w:val="en-AU"/>
        </w:rPr>
        <w:t>P</w:t>
      </w:r>
      <w:r w:rsidR="005A5A34" w:rsidRPr="00207DC2">
        <w:rPr>
          <w:lang w:val="en-AU"/>
        </w:rPr>
        <w:t xml:space="preserve">iloting and evaluating </w:t>
      </w:r>
      <w:r w:rsidR="00BA10E3" w:rsidRPr="00207DC2">
        <w:rPr>
          <w:lang w:val="en-AU"/>
        </w:rPr>
        <w:t xml:space="preserve">innovative </w:t>
      </w:r>
      <w:r w:rsidR="00F43DD3" w:rsidRPr="00207DC2">
        <w:rPr>
          <w:lang w:val="en-AU"/>
        </w:rPr>
        <w:t>complementary labour market programs could assist identifying the</w:t>
      </w:r>
      <w:r w:rsidRPr="00207DC2">
        <w:rPr>
          <w:lang w:val="en-AU"/>
        </w:rPr>
        <w:t xml:space="preserve"> impacts</w:t>
      </w:r>
      <w:r w:rsidR="00396552">
        <w:rPr>
          <w:lang w:val="en-AU"/>
        </w:rPr>
        <w:t xml:space="preserve"> – </w:t>
      </w:r>
      <w:r w:rsidRPr="00207DC2">
        <w:rPr>
          <w:lang w:val="en-AU"/>
        </w:rPr>
        <w:t>intended and unintended</w:t>
      </w:r>
      <w:r w:rsidR="00396552">
        <w:rPr>
          <w:lang w:val="en-AU"/>
        </w:rPr>
        <w:t xml:space="preserve"> – </w:t>
      </w:r>
      <w:r w:rsidR="00F43DD3" w:rsidRPr="00207DC2">
        <w:rPr>
          <w:lang w:val="en-AU"/>
        </w:rPr>
        <w:t>of these program</w:t>
      </w:r>
      <w:r w:rsidR="00D055D6" w:rsidRPr="00207DC2">
        <w:rPr>
          <w:lang w:val="en-AU"/>
        </w:rPr>
        <w:t>s</w:t>
      </w:r>
      <w:r w:rsidR="00F43DD3" w:rsidRPr="00207DC2">
        <w:rPr>
          <w:lang w:val="en-AU"/>
        </w:rPr>
        <w:t xml:space="preserve"> and </w:t>
      </w:r>
      <w:r w:rsidR="00BA10E3" w:rsidRPr="00207DC2">
        <w:rPr>
          <w:lang w:val="en-AU"/>
        </w:rPr>
        <w:t xml:space="preserve">what </w:t>
      </w:r>
      <w:r w:rsidR="00F43DD3" w:rsidRPr="00207DC2">
        <w:rPr>
          <w:lang w:val="en-AU"/>
        </w:rPr>
        <w:t>works</w:t>
      </w:r>
      <w:r w:rsidR="00233CD5" w:rsidRPr="00207DC2">
        <w:rPr>
          <w:lang w:val="en-AU"/>
        </w:rPr>
        <w:t>,</w:t>
      </w:r>
      <w:r w:rsidR="00F43DD3" w:rsidRPr="00207DC2">
        <w:rPr>
          <w:lang w:val="en-AU"/>
        </w:rPr>
        <w:t xml:space="preserve"> for whom</w:t>
      </w:r>
      <w:r w:rsidR="00233CD5" w:rsidRPr="00207DC2">
        <w:rPr>
          <w:lang w:val="en-AU"/>
        </w:rPr>
        <w:t>,</w:t>
      </w:r>
      <w:r w:rsidR="00F43DD3" w:rsidRPr="00207DC2">
        <w:rPr>
          <w:lang w:val="en-AU"/>
        </w:rPr>
        <w:t xml:space="preserve"> and in what circumstances.</w:t>
      </w:r>
      <w:r w:rsidR="0016610D" w:rsidRPr="00207DC2">
        <w:rPr>
          <w:lang w:val="en-AU"/>
        </w:rPr>
        <w:t xml:space="preserve"> </w:t>
      </w:r>
    </w:p>
    <w:p w14:paraId="7C21E919" w14:textId="2A55F12B" w:rsidR="00263938" w:rsidRPr="00207DC2" w:rsidRDefault="005A5A34" w:rsidP="00610095">
      <w:pPr>
        <w:jc w:val="both"/>
        <w:rPr>
          <w:lang w:val="en-AU"/>
        </w:rPr>
      </w:pPr>
      <w:r w:rsidRPr="00207DC2">
        <w:rPr>
          <w:lang w:val="en-AU"/>
        </w:rPr>
        <w:t xml:space="preserve">Pilots, however, </w:t>
      </w:r>
      <w:r w:rsidR="00C6118C" w:rsidRPr="00207DC2">
        <w:rPr>
          <w:lang w:val="en-AU"/>
        </w:rPr>
        <w:t>are</w:t>
      </w:r>
      <w:r w:rsidRPr="00207DC2">
        <w:rPr>
          <w:lang w:val="en-AU"/>
        </w:rPr>
        <w:t xml:space="preserve"> limited by the time needed for the effect of new policies to be evident</w:t>
      </w:r>
      <w:r w:rsidR="00C6118C" w:rsidRPr="00207DC2">
        <w:rPr>
          <w:lang w:val="en-AU"/>
        </w:rPr>
        <w:t>,</w:t>
      </w:r>
      <w:r w:rsidRPr="00207DC2">
        <w:rPr>
          <w:lang w:val="en-AU"/>
        </w:rPr>
        <w:t xml:space="preserve"> and for impacts to be measured and isolated from other factors (Sanderson 2002).</w:t>
      </w:r>
      <w:r w:rsidR="0015189B" w:rsidRPr="00207DC2">
        <w:rPr>
          <w:lang w:val="en-AU"/>
        </w:rPr>
        <w:t xml:space="preserve"> </w:t>
      </w:r>
      <w:r w:rsidRPr="00207DC2">
        <w:rPr>
          <w:lang w:val="en-AU"/>
        </w:rPr>
        <w:t xml:space="preserve">Where pilots require extensive time to set-up, run and evaluate, the benefits of refining policy through pilot programs needs to be balanced against the potential benefits of providing </w:t>
      </w:r>
      <w:r w:rsidR="00492D2E">
        <w:rPr>
          <w:lang w:val="en-AU"/>
        </w:rPr>
        <w:t xml:space="preserve">earlier </w:t>
      </w:r>
      <w:r w:rsidRPr="00207DC2">
        <w:rPr>
          <w:lang w:val="en-AU"/>
        </w:rPr>
        <w:t>access to new policy arrangements.</w:t>
      </w:r>
      <w:r w:rsidR="00263938" w:rsidRPr="00207DC2">
        <w:rPr>
          <w:lang w:val="en-AU"/>
        </w:rPr>
        <w:br w:type="page"/>
      </w:r>
    </w:p>
    <w:p w14:paraId="3BF863FC" w14:textId="77777777" w:rsidR="00617533" w:rsidRPr="00207DC2" w:rsidRDefault="00617533" w:rsidP="0021431F">
      <w:pPr>
        <w:pStyle w:val="ZED11"/>
        <w:ind w:left="357" w:hanging="357"/>
        <w:outlineLvl w:val="1"/>
      </w:pPr>
      <w:bookmarkStart w:id="583" w:name="_Toc511826307"/>
      <w:bookmarkStart w:id="584" w:name="_Toc511940624"/>
      <w:bookmarkStart w:id="585" w:name="_Toc515185475"/>
      <w:bookmarkStart w:id="586" w:name="_Toc516219848"/>
      <w:bookmarkStart w:id="587" w:name="_Toc516220489"/>
      <w:bookmarkStart w:id="588" w:name="_Toc516223309"/>
      <w:bookmarkStart w:id="589" w:name="_Toc516225217"/>
      <w:bookmarkStart w:id="590" w:name="_Toc516228993"/>
      <w:bookmarkStart w:id="591" w:name="_Toc518468062"/>
      <w:bookmarkStart w:id="592" w:name="_Toc518487843"/>
      <w:bookmarkStart w:id="593" w:name="_Toc518558806"/>
      <w:bookmarkStart w:id="594" w:name="_Toc518565329"/>
      <w:bookmarkStart w:id="595" w:name="_Toc518565573"/>
      <w:bookmarkStart w:id="596" w:name="_Toc519504744"/>
      <w:bookmarkStart w:id="597" w:name="_Toc519505968"/>
      <w:bookmarkStart w:id="598" w:name="_Toc519844074"/>
      <w:bookmarkStart w:id="599" w:name="_Toc521068576"/>
      <w:bookmarkStart w:id="600" w:name="_Toc521391090"/>
      <w:bookmarkStart w:id="601" w:name="_Toc522013259"/>
      <w:bookmarkStart w:id="602" w:name="_Toc534965169"/>
      <w:bookmarkStart w:id="603" w:name="_Toc535935065"/>
      <w:bookmarkStart w:id="604" w:name="_Toc509412981"/>
      <w:bookmarkStart w:id="605" w:name="_Toc509587051"/>
      <w:bookmarkStart w:id="606" w:name="_Toc509588077"/>
      <w:bookmarkStart w:id="607" w:name="_Toc509588340"/>
      <w:bookmarkStart w:id="608" w:name="_Toc509589488"/>
      <w:bookmarkStart w:id="609" w:name="_Toc509926906"/>
      <w:bookmarkStart w:id="610" w:name="_Toc511661255"/>
      <w:r w:rsidRPr="00207DC2">
        <w:t>Discussion of findings</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32096C9" w14:textId="77777777" w:rsidR="00A8323B" w:rsidRPr="00207DC2" w:rsidRDefault="0022142B" w:rsidP="00686E5C">
      <w:pPr>
        <w:tabs>
          <w:tab w:val="left" w:pos="5812"/>
        </w:tabs>
        <w:jc w:val="both"/>
        <w:rPr>
          <w:lang w:val="en-AU"/>
        </w:rPr>
      </w:pPr>
      <w:r w:rsidRPr="00207DC2">
        <w:rPr>
          <w:lang w:val="en-AU"/>
        </w:rPr>
        <w:t>Income support recipients</w:t>
      </w:r>
      <w:r w:rsidR="00491F4A" w:rsidRPr="00207DC2">
        <w:rPr>
          <w:lang w:val="en-AU"/>
        </w:rPr>
        <w:t xml:space="preserve"> living in remote and very remote areas of Australia face some of the greatest barriers to</w:t>
      </w:r>
      <w:r w:rsidR="00FD7831" w:rsidRPr="00207DC2">
        <w:rPr>
          <w:lang w:val="en-AU"/>
        </w:rPr>
        <w:t xml:space="preserve"> participation and</w:t>
      </w:r>
      <w:r w:rsidR="00491F4A" w:rsidRPr="00207DC2">
        <w:rPr>
          <w:lang w:val="en-AU"/>
        </w:rPr>
        <w:t xml:space="preserve"> employment. In many </w:t>
      </w:r>
      <w:r w:rsidR="00E40F87" w:rsidRPr="00207DC2">
        <w:rPr>
          <w:lang w:val="en-AU"/>
        </w:rPr>
        <w:t xml:space="preserve">remote </w:t>
      </w:r>
      <w:r w:rsidR="00491F4A" w:rsidRPr="00207DC2">
        <w:rPr>
          <w:lang w:val="en-AU"/>
        </w:rPr>
        <w:t xml:space="preserve">communities there are limited </w:t>
      </w:r>
      <w:r w:rsidR="00B558A5" w:rsidRPr="00207DC2">
        <w:rPr>
          <w:lang w:val="en-AU"/>
        </w:rPr>
        <w:t>labour</w:t>
      </w:r>
      <w:r w:rsidR="00491F4A" w:rsidRPr="00207DC2">
        <w:rPr>
          <w:lang w:val="en-AU"/>
        </w:rPr>
        <w:t xml:space="preserve"> market </w:t>
      </w:r>
      <w:r w:rsidR="00FD7831" w:rsidRPr="00207DC2">
        <w:rPr>
          <w:lang w:val="en-AU"/>
        </w:rPr>
        <w:t xml:space="preserve">opportunities </w:t>
      </w:r>
      <w:r w:rsidR="00A8323B" w:rsidRPr="00207DC2">
        <w:rPr>
          <w:lang w:val="en-AU"/>
        </w:rPr>
        <w:t xml:space="preserve">(Dockery and Lovell 2016) </w:t>
      </w:r>
      <w:r w:rsidR="00491F4A" w:rsidRPr="00207DC2">
        <w:rPr>
          <w:lang w:val="en-AU"/>
        </w:rPr>
        <w:t xml:space="preserve">and limited access to services. </w:t>
      </w:r>
      <w:r w:rsidR="00A35D27" w:rsidRPr="00207DC2">
        <w:rPr>
          <w:lang w:val="en-AU"/>
        </w:rPr>
        <w:t>Australians identifying as Indigenous make up a significant proportion of this population.</w:t>
      </w:r>
    </w:p>
    <w:p w14:paraId="5445677F" w14:textId="77777777" w:rsidR="00AD7FA4" w:rsidRPr="00207DC2" w:rsidRDefault="00AD7FA4" w:rsidP="000E2FFF">
      <w:pPr>
        <w:tabs>
          <w:tab w:val="left" w:pos="5812"/>
        </w:tabs>
        <w:jc w:val="both"/>
        <w:rPr>
          <w:lang w:val="en-AU"/>
        </w:rPr>
      </w:pPr>
      <w:r w:rsidRPr="00207DC2">
        <w:rPr>
          <w:lang w:val="en-AU"/>
        </w:rPr>
        <w:t xml:space="preserve">The Community Development Programme (CDP), which services those living in remote Australia, has elements of </w:t>
      </w:r>
      <w:r w:rsidR="009E3656" w:rsidRPr="00207DC2">
        <w:rPr>
          <w:lang w:val="en-AU"/>
        </w:rPr>
        <w:t xml:space="preserve">both </w:t>
      </w:r>
      <w:r w:rsidR="005A4F32" w:rsidRPr="00207DC2">
        <w:rPr>
          <w:lang w:val="en-AU"/>
        </w:rPr>
        <w:t xml:space="preserve">a </w:t>
      </w:r>
      <w:r w:rsidRPr="00207DC2">
        <w:rPr>
          <w:lang w:val="en-AU"/>
        </w:rPr>
        <w:t xml:space="preserve">community development </w:t>
      </w:r>
      <w:r w:rsidR="009E3656" w:rsidRPr="00207DC2">
        <w:rPr>
          <w:lang w:val="en-AU"/>
        </w:rPr>
        <w:t xml:space="preserve">program </w:t>
      </w:r>
      <w:r w:rsidRPr="00207DC2">
        <w:rPr>
          <w:lang w:val="en-AU"/>
        </w:rPr>
        <w:t>and</w:t>
      </w:r>
      <w:r w:rsidR="006F6326" w:rsidRPr="00207DC2">
        <w:rPr>
          <w:lang w:val="en-AU"/>
        </w:rPr>
        <w:t xml:space="preserve"> a</w:t>
      </w:r>
      <w:r w:rsidRPr="00207DC2">
        <w:rPr>
          <w:lang w:val="en-AU"/>
        </w:rPr>
        <w:t xml:space="preserve"> labour market program.</w:t>
      </w:r>
    </w:p>
    <w:p w14:paraId="05A0621C" w14:textId="0D4C5138" w:rsidR="00787309" w:rsidRPr="00207DC2" w:rsidRDefault="000E2FFF" w:rsidP="000E2FFF">
      <w:pPr>
        <w:tabs>
          <w:tab w:val="left" w:pos="5812"/>
        </w:tabs>
        <w:jc w:val="both"/>
        <w:rPr>
          <w:lang w:val="en-AU"/>
        </w:rPr>
      </w:pPr>
      <w:r w:rsidRPr="00207DC2">
        <w:rPr>
          <w:lang w:val="en-AU"/>
        </w:rPr>
        <w:t xml:space="preserve">CDP participants are recorded as having significant barriers to employment. </w:t>
      </w:r>
      <w:r w:rsidR="00316471" w:rsidRPr="00207DC2">
        <w:rPr>
          <w:lang w:val="en-AU"/>
        </w:rPr>
        <w:t xml:space="preserve">Close to three in four participants in March 2016 were classified as having </w:t>
      </w:r>
      <w:r w:rsidR="00316471" w:rsidRPr="00207DC2">
        <w:rPr>
          <w:i/>
          <w:lang w:val="en-AU"/>
        </w:rPr>
        <w:t>moderate to extreme</w:t>
      </w:r>
      <w:r w:rsidR="0007183F" w:rsidRPr="00207DC2">
        <w:rPr>
          <w:i/>
          <w:lang w:val="en-AU"/>
        </w:rPr>
        <w:t xml:space="preserve"> </w:t>
      </w:r>
      <w:r w:rsidR="00316471" w:rsidRPr="00207DC2">
        <w:rPr>
          <w:lang w:val="en-AU"/>
        </w:rPr>
        <w:t xml:space="preserve">barriers to employment based on the Job Seeker Classification Instrument </w:t>
      </w:r>
      <w:r w:rsidR="001D5ABC" w:rsidRPr="00207DC2">
        <w:rPr>
          <w:lang w:val="en-AU"/>
        </w:rPr>
        <w:t xml:space="preserve">(JSCI), </w:t>
      </w:r>
      <w:r w:rsidRPr="00207DC2">
        <w:rPr>
          <w:lang w:val="en-AU"/>
        </w:rPr>
        <w:t>a tool which identifies both</w:t>
      </w:r>
      <w:r w:rsidR="001D5ABC" w:rsidRPr="00207DC2">
        <w:rPr>
          <w:lang w:val="en-AU"/>
        </w:rPr>
        <w:t xml:space="preserve"> vocational and non-vocational </w:t>
      </w:r>
      <w:r w:rsidRPr="00207DC2">
        <w:rPr>
          <w:lang w:val="en-AU"/>
        </w:rPr>
        <w:t xml:space="preserve">barriers </w:t>
      </w:r>
      <w:r w:rsidR="001D5ABC" w:rsidRPr="00207DC2">
        <w:rPr>
          <w:lang w:val="en-AU"/>
        </w:rPr>
        <w:t>(including, for example, personal, family or health barriers)</w:t>
      </w:r>
      <w:r w:rsidR="006C7683" w:rsidRPr="00207DC2">
        <w:rPr>
          <w:lang w:val="en-AU"/>
        </w:rPr>
        <w:t>.</w:t>
      </w:r>
      <w:r w:rsidR="00316471" w:rsidRPr="00207DC2">
        <w:rPr>
          <w:lang w:val="en-AU"/>
        </w:rPr>
        <w:t xml:space="preserve"> </w:t>
      </w:r>
      <w:r w:rsidR="00F65D17" w:rsidRPr="00207DC2">
        <w:rPr>
          <w:lang w:val="en-AU"/>
        </w:rPr>
        <w:t xml:space="preserve">In part this reflects CDP participant’s geographical proximity to labour markets. </w:t>
      </w:r>
      <w:r w:rsidR="00491796" w:rsidRPr="00207DC2">
        <w:rPr>
          <w:lang w:val="en-AU"/>
        </w:rPr>
        <w:t xml:space="preserve">Close to 70 per cent of participants live in very remote </w:t>
      </w:r>
      <w:r w:rsidR="006D75CD" w:rsidRPr="00207DC2">
        <w:rPr>
          <w:lang w:val="en-AU"/>
        </w:rPr>
        <w:t>Australia.</w:t>
      </w:r>
      <w:r w:rsidR="00491796" w:rsidRPr="00207DC2">
        <w:rPr>
          <w:lang w:val="en-AU"/>
        </w:rPr>
        <w:t xml:space="preserve"> </w:t>
      </w:r>
      <w:r w:rsidR="006D75CD" w:rsidRPr="00207DC2">
        <w:rPr>
          <w:lang w:val="en-AU"/>
        </w:rPr>
        <w:t>O</w:t>
      </w:r>
      <w:r w:rsidR="00491796" w:rsidRPr="00207DC2">
        <w:rPr>
          <w:lang w:val="en-AU"/>
        </w:rPr>
        <w:t xml:space="preserve">f </w:t>
      </w:r>
      <w:r w:rsidR="006D75CD" w:rsidRPr="00207DC2">
        <w:rPr>
          <w:lang w:val="en-AU"/>
        </w:rPr>
        <w:t xml:space="preserve">those living in very remote locations, </w:t>
      </w:r>
      <w:r w:rsidR="00491796" w:rsidRPr="00207DC2">
        <w:rPr>
          <w:lang w:val="en-AU"/>
        </w:rPr>
        <w:t xml:space="preserve">over 90 per cent identified as </w:t>
      </w:r>
      <w:r w:rsidR="001D5ABC" w:rsidRPr="00207DC2">
        <w:rPr>
          <w:lang w:val="en-AU"/>
        </w:rPr>
        <w:t>Aboriginal or Torres Strait Islander</w:t>
      </w:r>
      <w:r w:rsidR="00491796" w:rsidRPr="00207DC2">
        <w:rPr>
          <w:lang w:val="en-AU"/>
        </w:rPr>
        <w:t>.</w:t>
      </w:r>
      <w:r w:rsidR="006D75CD" w:rsidRPr="00207DC2">
        <w:rPr>
          <w:lang w:val="en-AU"/>
        </w:rPr>
        <w:t xml:space="preserve"> </w:t>
      </w:r>
    </w:p>
    <w:p w14:paraId="74E08005" w14:textId="77777777" w:rsidR="000E2FFF" w:rsidRPr="008050A9" w:rsidRDefault="00A847F2" w:rsidP="00A95A36">
      <w:pPr>
        <w:pStyle w:val="ZED5"/>
        <w:rPr>
          <w:caps/>
          <w:color w:val="auto"/>
          <w:szCs w:val="28"/>
        </w:rPr>
      </w:pPr>
      <w:bookmarkStart w:id="611" w:name="_Toc511826308"/>
      <w:bookmarkStart w:id="612" w:name="_Toc511940625"/>
      <w:bookmarkStart w:id="613" w:name="_Toc515185476"/>
      <w:bookmarkStart w:id="614" w:name="_Toc516219849"/>
      <w:bookmarkStart w:id="615" w:name="_Toc516220490"/>
      <w:bookmarkStart w:id="616" w:name="_Toc516223310"/>
      <w:bookmarkStart w:id="617" w:name="_Toc516225218"/>
      <w:bookmarkStart w:id="618" w:name="_Toc516228994"/>
      <w:bookmarkStart w:id="619" w:name="_Toc533064482"/>
      <w:bookmarkStart w:id="620" w:name="_Toc534965170"/>
      <w:bookmarkStart w:id="621" w:name="_Toc535935066"/>
      <w:r w:rsidRPr="008050A9">
        <w:rPr>
          <w:color w:val="auto"/>
          <w:szCs w:val="28"/>
        </w:rPr>
        <w:t xml:space="preserve">Evaluating the </w:t>
      </w:r>
      <w:r w:rsidR="00367A3A" w:rsidRPr="00F35F78">
        <w:t>effectiveness</w:t>
      </w:r>
      <w:r w:rsidRPr="008050A9">
        <w:rPr>
          <w:color w:val="auto"/>
          <w:szCs w:val="28"/>
        </w:rPr>
        <w:t xml:space="preserve"> of</w:t>
      </w:r>
      <w:r w:rsidR="006459CD" w:rsidRPr="008050A9">
        <w:rPr>
          <w:color w:val="auto"/>
          <w:szCs w:val="28"/>
        </w:rPr>
        <w:t xml:space="preserve"> the CDP</w:t>
      </w:r>
      <w:bookmarkEnd w:id="611"/>
      <w:bookmarkEnd w:id="612"/>
      <w:bookmarkEnd w:id="613"/>
      <w:bookmarkEnd w:id="614"/>
      <w:bookmarkEnd w:id="615"/>
      <w:bookmarkEnd w:id="616"/>
      <w:bookmarkEnd w:id="617"/>
      <w:bookmarkEnd w:id="618"/>
      <w:bookmarkEnd w:id="619"/>
      <w:bookmarkEnd w:id="620"/>
      <w:bookmarkEnd w:id="621"/>
      <w:r w:rsidR="004D1E6E" w:rsidRPr="008050A9">
        <w:rPr>
          <w:color w:val="auto"/>
          <w:szCs w:val="28"/>
        </w:rPr>
        <w:t xml:space="preserve"> </w:t>
      </w:r>
    </w:p>
    <w:p w14:paraId="639C3454" w14:textId="77777777" w:rsidR="00FA1CA7" w:rsidRPr="00207DC2" w:rsidRDefault="00491F4A" w:rsidP="00686E5C">
      <w:pPr>
        <w:jc w:val="both"/>
        <w:rPr>
          <w:lang w:val="en-AU"/>
        </w:rPr>
      </w:pPr>
      <w:r w:rsidRPr="00207DC2">
        <w:rPr>
          <w:lang w:val="en-AU"/>
        </w:rPr>
        <w:t>The introduction of</w:t>
      </w:r>
      <w:r w:rsidR="006B26C5" w:rsidRPr="00207DC2">
        <w:rPr>
          <w:lang w:val="en-AU"/>
        </w:rPr>
        <w:t xml:space="preserve"> the</w:t>
      </w:r>
      <w:r w:rsidRPr="00207DC2">
        <w:rPr>
          <w:lang w:val="en-AU"/>
        </w:rPr>
        <w:t xml:space="preserve"> CDP in mid-2015 brought a range of changes to remote </w:t>
      </w:r>
      <w:r w:rsidR="00310FA3" w:rsidRPr="00207DC2">
        <w:rPr>
          <w:lang w:val="en-AU"/>
        </w:rPr>
        <w:t xml:space="preserve">community and </w:t>
      </w:r>
      <w:r w:rsidRPr="00207DC2">
        <w:rPr>
          <w:lang w:val="en-AU"/>
        </w:rPr>
        <w:t xml:space="preserve">employment services designed to increase levels of work-like activity, enhance employability and improve </w:t>
      </w:r>
      <w:r w:rsidR="00C312BC" w:rsidRPr="00207DC2">
        <w:rPr>
          <w:lang w:val="en-AU"/>
        </w:rPr>
        <w:t>longer</w:t>
      </w:r>
      <w:r w:rsidR="00C312BC" w:rsidRPr="00207DC2">
        <w:rPr>
          <w:lang w:val="en-AU"/>
        </w:rPr>
        <w:noBreakHyphen/>
        <w:t xml:space="preserve">term </w:t>
      </w:r>
      <w:r w:rsidRPr="00207DC2">
        <w:rPr>
          <w:lang w:val="en-AU"/>
        </w:rPr>
        <w:t>employment outcomes</w:t>
      </w:r>
      <w:r w:rsidR="00A847F2" w:rsidRPr="00207DC2">
        <w:rPr>
          <w:lang w:val="en-AU"/>
        </w:rPr>
        <w:t xml:space="preserve">. </w:t>
      </w:r>
      <w:r w:rsidR="00C312BC" w:rsidRPr="00207DC2">
        <w:rPr>
          <w:lang w:val="en-AU"/>
        </w:rPr>
        <w:t>Provider payment m</w:t>
      </w:r>
      <w:r w:rsidR="001D5ABC" w:rsidRPr="00207DC2">
        <w:rPr>
          <w:lang w:val="en-AU"/>
        </w:rPr>
        <w:t>odels were updated with higher Work for the Dole</w:t>
      </w:r>
      <w:r w:rsidR="00C312BC" w:rsidRPr="00207DC2">
        <w:rPr>
          <w:lang w:val="en-AU"/>
        </w:rPr>
        <w:t xml:space="preserve"> activity payments, and higher payments when a participant was in employment for 26 consecutive weeks</w:t>
      </w:r>
      <w:r w:rsidR="00367A3A" w:rsidRPr="00207DC2">
        <w:rPr>
          <w:lang w:val="en-AU"/>
        </w:rPr>
        <w:t xml:space="preserve"> (</w:t>
      </w:r>
      <w:r w:rsidR="006F795D" w:rsidRPr="00207DC2">
        <w:rPr>
          <w:lang w:val="en-AU"/>
        </w:rPr>
        <w:t>C</w:t>
      </w:r>
      <w:r w:rsidR="00367A3A" w:rsidRPr="00207DC2">
        <w:rPr>
          <w:lang w:val="en-AU"/>
        </w:rPr>
        <w:t xml:space="preserve">hapter 1, </w:t>
      </w:r>
      <w:r w:rsidR="006F795D" w:rsidRPr="00207DC2">
        <w:rPr>
          <w:lang w:val="en-AU"/>
        </w:rPr>
        <w:t>F</w:t>
      </w:r>
      <w:r w:rsidR="00367A3A" w:rsidRPr="00207DC2">
        <w:rPr>
          <w:lang w:val="en-AU"/>
        </w:rPr>
        <w:t>igure 1.2)</w:t>
      </w:r>
      <w:r w:rsidR="00B90E71" w:rsidRPr="00207DC2">
        <w:rPr>
          <w:lang w:val="en-AU"/>
        </w:rPr>
        <w:t xml:space="preserve">. </w:t>
      </w:r>
    </w:p>
    <w:p w14:paraId="7A9065BC" w14:textId="55B56CAD" w:rsidR="00BF258E" w:rsidRPr="00207DC2" w:rsidRDefault="001D5ABC" w:rsidP="00686E5C">
      <w:pPr>
        <w:jc w:val="both"/>
        <w:rPr>
          <w:lang w:val="en-AU"/>
        </w:rPr>
      </w:pPr>
      <w:r w:rsidRPr="00207DC2">
        <w:rPr>
          <w:lang w:val="en-AU"/>
        </w:rPr>
        <w:t>Under</w:t>
      </w:r>
      <w:r w:rsidR="006B26C5" w:rsidRPr="00207DC2">
        <w:rPr>
          <w:lang w:val="en-AU"/>
        </w:rPr>
        <w:t xml:space="preserve"> </w:t>
      </w:r>
      <w:r w:rsidR="00A847F2" w:rsidRPr="00207DC2">
        <w:rPr>
          <w:lang w:val="en-AU"/>
        </w:rPr>
        <w:t xml:space="preserve">CDP </w:t>
      </w:r>
      <w:r w:rsidRPr="00207DC2">
        <w:rPr>
          <w:lang w:val="en-AU"/>
        </w:rPr>
        <w:t xml:space="preserve">there was also an increased </w:t>
      </w:r>
      <w:r w:rsidR="00491F4A" w:rsidRPr="00207DC2">
        <w:rPr>
          <w:lang w:val="en-AU"/>
        </w:rPr>
        <w:t xml:space="preserve">focus on ensuring that </w:t>
      </w:r>
      <w:r w:rsidR="001279F8" w:rsidRPr="00207DC2">
        <w:rPr>
          <w:lang w:val="en-AU"/>
        </w:rPr>
        <w:t>participants</w:t>
      </w:r>
      <w:r w:rsidR="00491F4A" w:rsidRPr="00207DC2">
        <w:rPr>
          <w:lang w:val="en-AU"/>
        </w:rPr>
        <w:t xml:space="preserve"> are </w:t>
      </w:r>
      <w:r w:rsidR="00491F4A" w:rsidRPr="00207DC2" w:rsidDel="00276FF6">
        <w:rPr>
          <w:lang w:val="en-AU"/>
        </w:rPr>
        <w:t xml:space="preserve">engaged </w:t>
      </w:r>
      <w:r w:rsidR="00491F4A" w:rsidRPr="00207DC2">
        <w:rPr>
          <w:lang w:val="en-AU"/>
        </w:rPr>
        <w:t xml:space="preserve">in a routine of </w:t>
      </w:r>
      <w:r w:rsidR="000807CA" w:rsidRPr="00207DC2">
        <w:rPr>
          <w:lang w:val="en-AU"/>
        </w:rPr>
        <w:t>w</w:t>
      </w:r>
      <w:r w:rsidR="00491F4A" w:rsidRPr="00207DC2">
        <w:rPr>
          <w:lang w:val="en-AU"/>
        </w:rPr>
        <w:t>ork</w:t>
      </w:r>
      <w:r w:rsidR="009E3656" w:rsidRPr="00207DC2">
        <w:rPr>
          <w:lang w:val="en-AU"/>
        </w:rPr>
        <w:t>-</w:t>
      </w:r>
      <w:r w:rsidR="00491F4A" w:rsidRPr="00207DC2">
        <w:rPr>
          <w:lang w:val="en-AU"/>
        </w:rPr>
        <w:t xml:space="preserve">like activities. </w:t>
      </w:r>
      <w:r w:rsidR="00820C53" w:rsidRPr="00207DC2">
        <w:rPr>
          <w:lang w:val="en-AU"/>
        </w:rPr>
        <w:t xml:space="preserve">Whereas </w:t>
      </w:r>
      <w:r w:rsidR="00A6463B" w:rsidRPr="00207DC2">
        <w:rPr>
          <w:lang w:val="en-AU"/>
        </w:rPr>
        <w:t>Remote Jobs and Communities Program (</w:t>
      </w:r>
      <w:r w:rsidR="00820C53" w:rsidRPr="00207DC2">
        <w:rPr>
          <w:lang w:val="en-AU"/>
        </w:rPr>
        <w:t>RJCP</w:t>
      </w:r>
      <w:r w:rsidR="00A6463B" w:rsidRPr="00207DC2">
        <w:rPr>
          <w:lang w:val="en-AU"/>
        </w:rPr>
        <w:t>)</w:t>
      </w:r>
      <w:r w:rsidR="00820C53" w:rsidRPr="00207DC2">
        <w:rPr>
          <w:lang w:val="en-AU"/>
        </w:rPr>
        <w:t xml:space="preserve"> participants were required to undertake 20 hours of activity per week</w:t>
      </w:r>
      <w:r w:rsidR="00FA1CA7" w:rsidRPr="00207DC2">
        <w:rPr>
          <w:lang w:val="en-AU"/>
        </w:rPr>
        <w:t xml:space="preserve">, </w:t>
      </w:r>
      <w:r w:rsidR="00637642" w:rsidRPr="00207DC2">
        <w:rPr>
          <w:lang w:val="en-AU"/>
        </w:rPr>
        <w:t>under</w:t>
      </w:r>
      <w:r w:rsidR="00820C53" w:rsidRPr="00207DC2">
        <w:rPr>
          <w:lang w:val="en-AU"/>
        </w:rPr>
        <w:t xml:space="preserve"> the </w:t>
      </w:r>
      <w:r w:rsidR="00FA1CA7" w:rsidRPr="00207DC2">
        <w:rPr>
          <w:lang w:val="en-AU"/>
        </w:rPr>
        <w:t>CDP</w:t>
      </w:r>
      <w:r w:rsidR="00D10B7D" w:rsidRPr="00207DC2">
        <w:rPr>
          <w:lang w:val="en-AU"/>
        </w:rPr>
        <w:t>,</w:t>
      </w:r>
      <w:r w:rsidR="00FA1CA7" w:rsidRPr="00207DC2">
        <w:rPr>
          <w:lang w:val="en-AU"/>
        </w:rPr>
        <w:t xml:space="preserve"> </w:t>
      </w:r>
      <w:r w:rsidR="00903A7A">
        <w:rPr>
          <w:lang w:val="en-AU"/>
        </w:rPr>
        <w:t>activity-tested</w:t>
      </w:r>
      <w:r w:rsidR="00FA1CA7" w:rsidRPr="00207DC2">
        <w:rPr>
          <w:lang w:val="en-AU"/>
        </w:rPr>
        <w:t xml:space="preserve"> income support recipients aged 18 to 49 years </w:t>
      </w:r>
      <w:r w:rsidR="00820C53" w:rsidRPr="00207DC2">
        <w:rPr>
          <w:lang w:val="en-AU"/>
        </w:rPr>
        <w:t xml:space="preserve">are required to </w:t>
      </w:r>
      <w:r w:rsidR="00FA1CA7" w:rsidRPr="00207DC2">
        <w:rPr>
          <w:lang w:val="en-AU"/>
        </w:rPr>
        <w:t>undertake Work f</w:t>
      </w:r>
      <w:r w:rsidR="00820C53" w:rsidRPr="00207DC2">
        <w:rPr>
          <w:lang w:val="en-AU"/>
        </w:rPr>
        <w:t>or the Dole activities up to 25 </w:t>
      </w:r>
      <w:r w:rsidR="00FA1CA7" w:rsidRPr="00207DC2">
        <w:rPr>
          <w:lang w:val="en-AU"/>
        </w:rPr>
        <w:t>hours a week, acr</w:t>
      </w:r>
      <w:r w:rsidR="00820C53" w:rsidRPr="00207DC2">
        <w:rPr>
          <w:lang w:val="en-AU"/>
        </w:rPr>
        <w:t>oss a five day week, year round.</w:t>
      </w:r>
      <w:r w:rsidR="00FA1CA7" w:rsidRPr="00207DC2">
        <w:rPr>
          <w:lang w:val="en-AU"/>
        </w:rPr>
        <w:t xml:space="preserve"> </w:t>
      </w:r>
      <w:r w:rsidR="006E1F35" w:rsidRPr="00207DC2">
        <w:rPr>
          <w:lang w:val="en-AU"/>
        </w:rPr>
        <w:t>At the same time,</w:t>
      </w:r>
      <w:r w:rsidR="00C312BC" w:rsidRPr="00207DC2">
        <w:rPr>
          <w:lang w:val="en-AU"/>
        </w:rPr>
        <w:t xml:space="preserve"> </w:t>
      </w:r>
      <w:r w:rsidR="000807CA" w:rsidRPr="00207DC2">
        <w:rPr>
          <w:lang w:val="en-AU"/>
        </w:rPr>
        <w:t>broa</w:t>
      </w:r>
      <w:r w:rsidR="00C312BC" w:rsidRPr="00207DC2">
        <w:rPr>
          <w:lang w:val="en-AU"/>
        </w:rPr>
        <w:t>der changes to the compliance framework</w:t>
      </w:r>
      <w:r w:rsidR="00E61E59" w:rsidRPr="00207DC2">
        <w:rPr>
          <w:lang w:val="en-AU"/>
        </w:rPr>
        <w:t xml:space="preserve"> (affecting both CDP and jobactive participants)</w:t>
      </w:r>
      <w:r w:rsidR="00C312BC" w:rsidRPr="00207DC2">
        <w:rPr>
          <w:lang w:val="en-AU"/>
        </w:rPr>
        <w:t xml:space="preserve"> </w:t>
      </w:r>
      <w:r w:rsidR="000807CA" w:rsidRPr="00207DC2">
        <w:rPr>
          <w:lang w:val="en-AU"/>
        </w:rPr>
        <w:t>en</w:t>
      </w:r>
      <w:r w:rsidR="00B8270E" w:rsidRPr="00207DC2">
        <w:rPr>
          <w:lang w:val="en-AU"/>
        </w:rPr>
        <w:t>abled providers to</w:t>
      </w:r>
      <w:r w:rsidR="00491F4A" w:rsidRPr="00207DC2">
        <w:rPr>
          <w:lang w:val="en-AU"/>
        </w:rPr>
        <w:t xml:space="preserve"> use </w:t>
      </w:r>
      <w:r w:rsidR="0022699F" w:rsidRPr="00207DC2">
        <w:rPr>
          <w:lang w:val="en-AU"/>
        </w:rPr>
        <w:t xml:space="preserve">payment </w:t>
      </w:r>
      <w:r w:rsidR="00491F4A" w:rsidRPr="00207DC2">
        <w:rPr>
          <w:lang w:val="en-AU"/>
        </w:rPr>
        <w:t xml:space="preserve">suspensions and financial penalties to </w:t>
      </w:r>
      <w:r w:rsidR="00B8270E" w:rsidRPr="00207DC2">
        <w:rPr>
          <w:lang w:val="en-AU"/>
        </w:rPr>
        <w:t xml:space="preserve">try to </w:t>
      </w:r>
      <w:r w:rsidR="00491F4A" w:rsidRPr="00207DC2">
        <w:rPr>
          <w:lang w:val="en-AU"/>
        </w:rPr>
        <w:t>manage and maximi</w:t>
      </w:r>
      <w:r w:rsidR="00702E48" w:rsidRPr="00207DC2">
        <w:rPr>
          <w:lang w:val="en-AU"/>
        </w:rPr>
        <w:t>s</w:t>
      </w:r>
      <w:r w:rsidR="00491F4A" w:rsidRPr="00207DC2">
        <w:rPr>
          <w:lang w:val="en-AU"/>
        </w:rPr>
        <w:t xml:space="preserve">e </w:t>
      </w:r>
      <w:r w:rsidR="0083502E" w:rsidRPr="00207DC2">
        <w:rPr>
          <w:lang w:val="en-AU"/>
        </w:rPr>
        <w:t>attendance</w:t>
      </w:r>
      <w:r w:rsidR="00E61E59" w:rsidRPr="00207DC2">
        <w:rPr>
          <w:lang w:val="en-AU"/>
        </w:rPr>
        <w:t xml:space="preserve"> (</w:t>
      </w:r>
      <w:r w:rsidR="0087532E" w:rsidRPr="00207DC2">
        <w:rPr>
          <w:lang w:val="en-AU"/>
        </w:rPr>
        <w:t>Box 3.1)</w:t>
      </w:r>
      <w:r w:rsidR="000C33F6" w:rsidRPr="00207DC2">
        <w:rPr>
          <w:lang w:val="en-AU"/>
        </w:rPr>
        <w:t>.</w:t>
      </w:r>
      <w:r w:rsidR="00E61E59" w:rsidRPr="00207DC2" w:rsidDel="00E61E59">
        <w:rPr>
          <w:rStyle w:val="FootnoteReference"/>
          <w:lang w:val="en-AU"/>
        </w:rPr>
        <w:t xml:space="preserve"> </w:t>
      </w:r>
    </w:p>
    <w:p w14:paraId="109BDABB" w14:textId="62520330" w:rsidR="007E4D45" w:rsidRPr="00207DC2" w:rsidRDefault="00BF258E" w:rsidP="002D5479">
      <w:pPr>
        <w:tabs>
          <w:tab w:val="left" w:pos="6379"/>
          <w:tab w:val="left" w:pos="7513"/>
        </w:tabs>
        <w:jc w:val="both"/>
        <w:rPr>
          <w:szCs w:val="20"/>
          <w:lang w:val="en-AU"/>
        </w:rPr>
      </w:pPr>
      <w:r w:rsidRPr="00207DC2">
        <w:rPr>
          <w:szCs w:val="20"/>
          <w:lang w:val="en-AU"/>
        </w:rPr>
        <w:t>This report draws on administrative data to assess the effectiveness of the</w:t>
      </w:r>
      <w:r w:rsidR="004C22D6" w:rsidRPr="00207DC2">
        <w:rPr>
          <w:szCs w:val="20"/>
          <w:lang w:val="en-AU"/>
        </w:rPr>
        <w:t xml:space="preserve"> </w:t>
      </w:r>
      <w:r w:rsidRPr="00207DC2">
        <w:rPr>
          <w:szCs w:val="20"/>
          <w:lang w:val="en-AU"/>
        </w:rPr>
        <w:t xml:space="preserve">CDP in increasing participation in work-like activities, and improving employment outcomes over </w:t>
      </w:r>
      <w:r w:rsidR="00B676FC" w:rsidRPr="00207DC2">
        <w:rPr>
          <w:szCs w:val="20"/>
          <w:lang w:val="en-AU"/>
        </w:rPr>
        <w:t>its</w:t>
      </w:r>
      <w:r w:rsidRPr="00207DC2">
        <w:rPr>
          <w:szCs w:val="20"/>
          <w:lang w:val="en-AU"/>
        </w:rPr>
        <w:t xml:space="preserve"> first two years of operation. </w:t>
      </w:r>
      <w:r w:rsidR="007E4D45" w:rsidRPr="00207DC2">
        <w:rPr>
          <w:lang w:val="en-AU"/>
        </w:rPr>
        <w:t xml:space="preserve">To better understand </w:t>
      </w:r>
      <w:r w:rsidR="00D10B7D" w:rsidRPr="00207DC2">
        <w:rPr>
          <w:lang w:val="en-AU"/>
        </w:rPr>
        <w:t xml:space="preserve">community views about </w:t>
      </w:r>
      <w:r w:rsidR="00B8270E" w:rsidRPr="00207DC2">
        <w:rPr>
          <w:lang w:val="en-AU"/>
        </w:rPr>
        <w:t>the</w:t>
      </w:r>
      <w:r w:rsidR="007E4D45" w:rsidRPr="00207DC2">
        <w:rPr>
          <w:lang w:val="en-AU"/>
        </w:rPr>
        <w:t xml:space="preserve"> </w:t>
      </w:r>
      <w:r w:rsidR="00142987" w:rsidRPr="00207DC2">
        <w:rPr>
          <w:lang w:val="en-AU"/>
        </w:rPr>
        <w:t xml:space="preserve">broader </w:t>
      </w:r>
      <w:r w:rsidR="00D10B7D" w:rsidRPr="00207DC2">
        <w:rPr>
          <w:lang w:val="en-AU"/>
        </w:rPr>
        <w:t xml:space="preserve">impacts of </w:t>
      </w:r>
      <w:r w:rsidR="006B26C5" w:rsidRPr="00207DC2">
        <w:rPr>
          <w:lang w:val="en-AU"/>
        </w:rPr>
        <w:t xml:space="preserve">the </w:t>
      </w:r>
      <w:r w:rsidR="00D10B7D" w:rsidRPr="00207DC2">
        <w:rPr>
          <w:lang w:val="en-AU"/>
        </w:rPr>
        <w:t>CDP</w:t>
      </w:r>
      <w:r w:rsidR="00142987" w:rsidRPr="00207DC2">
        <w:rPr>
          <w:lang w:val="en-AU"/>
        </w:rPr>
        <w:t xml:space="preserve"> and possible contributing circumstances</w:t>
      </w:r>
      <w:r w:rsidR="007E4D45" w:rsidRPr="00207DC2">
        <w:rPr>
          <w:lang w:val="en-AU"/>
        </w:rPr>
        <w:t>, fieldwork was also undertaken in eight remote communities. The</w:t>
      </w:r>
      <w:r w:rsidR="00A44480" w:rsidRPr="00207DC2">
        <w:rPr>
          <w:lang w:val="en-AU"/>
        </w:rPr>
        <w:t xml:space="preserve"> </w:t>
      </w:r>
      <w:r w:rsidR="007E4D45" w:rsidRPr="00207DC2">
        <w:rPr>
          <w:lang w:val="en-AU"/>
        </w:rPr>
        <w:t xml:space="preserve">fieldwork report was undertaken by </w:t>
      </w:r>
      <w:r w:rsidR="00697B49" w:rsidRPr="00207DC2">
        <w:rPr>
          <w:lang w:val="en-AU"/>
        </w:rPr>
        <w:t>Winangali</w:t>
      </w:r>
      <w:r w:rsidR="007E4D45" w:rsidRPr="00207DC2">
        <w:rPr>
          <w:lang w:val="en-AU"/>
        </w:rPr>
        <w:t xml:space="preserve"> </w:t>
      </w:r>
      <w:r w:rsidR="002D5479" w:rsidRPr="00207DC2">
        <w:rPr>
          <w:lang w:val="en-AU"/>
        </w:rPr>
        <w:t>and</w:t>
      </w:r>
      <w:r w:rsidR="007E4D45" w:rsidRPr="00207DC2">
        <w:rPr>
          <w:lang w:val="en-AU"/>
        </w:rPr>
        <w:t xml:space="preserve"> Ipsos</w:t>
      </w:r>
      <w:r w:rsidR="002D02CD" w:rsidRPr="00207DC2">
        <w:rPr>
          <w:lang w:val="en-AU"/>
        </w:rPr>
        <w:t xml:space="preserve"> (2018)</w:t>
      </w:r>
      <w:r w:rsidR="007E4D45" w:rsidRPr="00207DC2">
        <w:rPr>
          <w:lang w:val="en-AU"/>
        </w:rPr>
        <w:t xml:space="preserve">. </w:t>
      </w:r>
    </w:p>
    <w:p w14:paraId="4622EE1B" w14:textId="77777777" w:rsidR="00BF258E" w:rsidRPr="008050A9" w:rsidRDefault="00BF258E" w:rsidP="00A95A36">
      <w:pPr>
        <w:pStyle w:val="ZED5"/>
        <w:rPr>
          <w:caps/>
          <w:color w:val="auto"/>
          <w:szCs w:val="28"/>
        </w:rPr>
      </w:pPr>
      <w:bookmarkStart w:id="622" w:name="_Toc511826309"/>
      <w:bookmarkStart w:id="623" w:name="_Toc511940626"/>
      <w:bookmarkStart w:id="624" w:name="_Toc515185477"/>
      <w:bookmarkStart w:id="625" w:name="_Toc516219850"/>
      <w:bookmarkStart w:id="626" w:name="_Toc516220491"/>
      <w:bookmarkStart w:id="627" w:name="_Toc516223311"/>
      <w:bookmarkStart w:id="628" w:name="_Toc516225219"/>
      <w:bookmarkStart w:id="629" w:name="_Toc516228995"/>
      <w:bookmarkStart w:id="630" w:name="_Toc533064483"/>
      <w:bookmarkStart w:id="631" w:name="_Toc534965171"/>
      <w:bookmarkStart w:id="632" w:name="_Toc535935067"/>
      <w:r w:rsidRPr="008050A9">
        <w:rPr>
          <w:color w:val="auto"/>
          <w:szCs w:val="28"/>
        </w:rPr>
        <w:t xml:space="preserve">Program </w:t>
      </w:r>
      <w:r w:rsidR="00690303" w:rsidRPr="008050A9">
        <w:rPr>
          <w:color w:val="auto"/>
          <w:szCs w:val="28"/>
        </w:rPr>
        <w:t xml:space="preserve">participation </w:t>
      </w:r>
      <w:r w:rsidRPr="008050A9">
        <w:rPr>
          <w:color w:val="auto"/>
          <w:szCs w:val="28"/>
        </w:rPr>
        <w:t>and</w:t>
      </w:r>
      <w:r w:rsidR="00B116E8" w:rsidRPr="008050A9">
        <w:rPr>
          <w:color w:val="auto"/>
          <w:szCs w:val="28"/>
        </w:rPr>
        <w:t xml:space="preserve"> the</w:t>
      </w:r>
      <w:r w:rsidRPr="008050A9">
        <w:rPr>
          <w:color w:val="auto"/>
          <w:szCs w:val="28"/>
        </w:rPr>
        <w:t xml:space="preserve"> financial consequences of non</w:t>
      </w:r>
      <w:r w:rsidR="005055EA" w:rsidRPr="008050A9">
        <w:rPr>
          <w:color w:val="auto"/>
          <w:szCs w:val="28"/>
        </w:rPr>
        <w:noBreakHyphen/>
      </w:r>
      <w:bookmarkEnd w:id="622"/>
      <w:bookmarkEnd w:id="623"/>
      <w:r w:rsidR="005055EA" w:rsidRPr="008050A9">
        <w:rPr>
          <w:color w:val="auto"/>
          <w:szCs w:val="28"/>
        </w:rPr>
        <w:t>attendance</w:t>
      </w:r>
      <w:bookmarkEnd w:id="624"/>
      <w:bookmarkEnd w:id="625"/>
      <w:bookmarkEnd w:id="626"/>
      <w:bookmarkEnd w:id="627"/>
      <w:bookmarkEnd w:id="628"/>
      <w:bookmarkEnd w:id="629"/>
      <w:bookmarkEnd w:id="630"/>
      <w:bookmarkEnd w:id="631"/>
      <w:bookmarkEnd w:id="632"/>
      <w:r w:rsidR="006E4097" w:rsidRPr="008050A9">
        <w:rPr>
          <w:color w:val="auto"/>
          <w:szCs w:val="28"/>
        </w:rPr>
        <w:t xml:space="preserve"> </w:t>
      </w:r>
    </w:p>
    <w:p w14:paraId="45156829" w14:textId="0DFF1B60" w:rsidR="009A0416" w:rsidRPr="00207DC2" w:rsidRDefault="009A0416" w:rsidP="000E6571">
      <w:pPr>
        <w:tabs>
          <w:tab w:val="left" w:pos="5812"/>
        </w:tabs>
        <w:jc w:val="both"/>
        <w:rPr>
          <w:lang w:val="en-AU"/>
        </w:rPr>
      </w:pPr>
      <w:r w:rsidRPr="00207DC2">
        <w:rPr>
          <w:lang w:val="en-AU"/>
        </w:rPr>
        <w:t>Work for the Dol</w:t>
      </w:r>
      <w:r w:rsidR="00D10B7D" w:rsidRPr="00207DC2">
        <w:rPr>
          <w:lang w:val="en-AU"/>
        </w:rPr>
        <w:t xml:space="preserve">e is the main way that </w:t>
      </w:r>
      <w:r w:rsidR="00903A7A">
        <w:rPr>
          <w:lang w:val="en-AU"/>
        </w:rPr>
        <w:t>activity-tested</w:t>
      </w:r>
      <w:r w:rsidRPr="00207DC2">
        <w:rPr>
          <w:lang w:val="en-AU"/>
        </w:rPr>
        <w:t xml:space="preserve"> CDP participants fulfil their mutual obligation</w:t>
      </w:r>
      <w:r w:rsidR="005A4F32" w:rsidRPr="00207DC2">
        <w:rPr>
          <w:lang w:val="en-AU"/>
        </w:rPr>
        <w:t xml:space="preserve"> requirements</w:t>
      </w:r>
      <w:r w:rsidRPr="00207DC2">
        <w:rPr>
          <w:lang w:val="en-AU"/>
        </w:rPr>
        <w:t xml:space="preserve">. </w:t>
      </w:r>
      <w:r w:rsidR="000E6571" w:rsidRPr="00207DC2">
        <w:rPr>
          <w:lang w:val="en-AU"/>
        </w:rPr>
        <w:t xml:space="preserve">Participation in Work for the Dole </w:t>
      </w:r>
      <w:r w:rsidR="008E37C3" w:rsidRPr="00207DC2">
        <w:rPr>
          <w:lang w:val="en-AU"/>
        </w:rPr>
        <w:t xml:space="preserve">activities </w:t>
      </w:r>
      <w:r w:rsidR="000E6571" w:rsidRPr="00207DC2">
        <w:rPr>
          <w:lang w:val="en-AU"/>
        </w:rPr>
        <w:t>is seen as both a pathway to employment (a means of building skills and a work-like routine) and of keeping people active and contributing to</w:t>
      </w:r>
      <w:r w:rsidR="008601CC" w:rsidRPr="00207DC2">
        <w:rPr>
          <w:lang w:val="en-AU"/>
        </w:rPr>
        <w:t xml:space="preserve"> the</w:t>
      </w:r>
      <w:r w:rsidR="000E6571" w:rsidRPr="00207DC2">
        <w:rPr>
          <w:lang w:val="en-AU"/>
        </w:rPr>
        <w:t xml:space="preserve"> community (</w:t>
      </w:r>
      <w:r w:rsidR="000C29D0" w:rsidRPr="00207DC2">
        <w:rPr>
          <w:lang w:val="en-AU"/>
        </w:rPr>
        <w:t>PMC</w:t>
      </w:r>
      <w:r w:rsidR="000E6571" w:rsidRPr="00207DC2">
        <w:rPr>
          <w:lang w:val="en-AU"/>
        </w:rPr>
        <w:t xml:space="preserve"> 2016).</w:t>
      </w:r>
      <w:r w:rsidRPr="00207DC2">
        <w:rPr>
          <w:lang w:val="en-AU"/>
        </w:rPr>
        <w:t xml:space="preserve"> </w:t>
      </w:r>
    </w:p>
    <w:p w14:paraId="6149CB61" w14:textId="77777777" w:rsidR="00912BE0" w:rsidRPr="00AF23A2" w:rsidRDefault="00E46C60" w:rsidP="00A95A36">
      <w:pPr>
        <w:pStyle w:val="ZED6"/>
      </w:pPr>
      <w:r w:rsidRPr="00AF23A2">
        <w:t>Enrolment</w:t>
      </w:r>
      <w:r w:rsidR="00AC51A2" w:rsidRPr="00AF23A2">
        <w:t xml:space="preserve"> and a</w:t>
      </w:r>
      <w:r w:rsidR="00912BE0" w:rsidRPr="00AF23A2">
        <w:t>ttendance at activities</w:t>
      </w:r>
    </w:p>
    <w:p w14:paraId="670C23F3" w14:textId="565F436F" w:rsidR="00403349" w:rsidRPr="00207DC2" w:rsidRDefault="00381F11" w:rsidP="00686E5C">
      <w:pPr>
        <w:jc w:val="both"/>
        <w:rPr>
          <w:lang w:val="en-AU"/>
        </w:rPr>
      </w:pPr>
      <w:r w:rsidRPr="00207DC2">
        <w:rPr>
          <w:lang w:val="en-AU"/>
        </w:rPr>
        <w:t xml:space="preserve">The proportion of program participants </w:t>
      </w:r>
      <w:r w:rsidR="000F0E95" w:rsidRPr="00207DC2">
        <w:rPr>
          <w:lang w:val="en-AU"/>
        </w:rPr>
        <w:t>enrolled</w:t>
      </w:r>
      <w:r w:rsidRPr="00207DC2">
        <w:rPr>
          <w:lang w:val="en-AU"/>
        </w:rPr>
        <w:t xml:space="preserve"> in</w:t>
      </w:r>
      <w:r w:rsidR="000F0E95" w:rsidRPr="00207DC2">
        <w:rPr>
          <w:lang w:val="en-AU"/>
        </w:rPr>
        <w:t xml:space="preserve"> activities</w:t>
      </w:r>
      <w:r w:rsidRPr="00207DC2">
        <w:rPr>
          <w:lang w:val="en-AU"/>
        </w:rPr>
        <w:t xml:space="preserve"> steadily increased under </w:t>
      </w:r>
      <w:r w:rsidR="0028792D" w:rsidRPr="00207DC2">
        <w:rPr>
          <w:lang w:val="en-AU"/>
        </w:rPr>
        <w:t xml:space="preserve">the </w:t>
      </w:r>
      <w:r w:rsidRPr="00207DC2">
        <w:rPr>
          <w:lang w:val="en-AU"/>
        </w:rPr>
        <w:t>RJCP and has further increased since</w:t>
      </w:r>
      <w:r w:rsidR="006B26C5" w:rsidRPr="00207DC2">
        <w:rPr>
          <w:lang w:val="en-AU"/>
        </w:rPr>
        <w:t xml:space="preserve"> the</w:t>
      </w:r>
      <w:r w:rsidRPr="00207DC2">
        <w:rPr>
          <w:lang w:val="en-AU"/>
        </w:rPr>
        <w:t xml:space="preserve"> CDP </w:t>
      </w:r>
      <w:r w:rsidR="0028792D" w:rsidRPr="00207DC2">
        <w:rPr>
          <w:lang w:val="en-AU"/>
        </w:rPr>
        <w:t>began</w:t>
      </w:r>
      <w:r w:rsidRPr="00207DC2">
        <w:rPr>
          <w:lang w:val="en-AU"/>
        </w:rPr>
        <w:t xml:space="preserve">. </w:t>
      </w:r>
      <w:r w:rsidR="00403349" w:rsidRPr="00207DC2">
        <w:rPr>
          <w:lang w:val="en-AU"/>
        </w:rPr>
        <w:t xml:space="preserve">This is consistent with the increased incentives under the CDP provider payment model to </w:t>
      </w:r>
      <w:r w:rsidR="00E46C60" w:rsidRPr="00207DC2">
        <w:rPr>
          <w:lang w:val="en-AU"/>
        </w:rPr>
        <w:t>enrol</w:t>
      </w:r>
      <w:r w:rsidR="00403349" w:rsidRPr="00207DC2">
        <w:rPr>
          <w:lang w:val="en-AU"/>
        </w:rPr>
        <w:t xml:space="preserve">, record and report attendance </w:t>
      </w:r>
      <w:r w:rsidR="00164395" w:rsidRPr="00207DC2">
        <w:rPr>
          <w:lang w:val="en-AU"/>
        </w:rPr>
        <w:t>at</w:t>
      </w:r>
      <w:r w:rsidR="00403349" w:rsidRPr="00207DC2">
        <w:rPr>
          <w:lang w:val="en-AU"/>
        </w:rPr>
        <w:t xml:space="preserve"> activities</w:t>
      </w:r>
      <w:r w:rsidR="00403349" w:rsidRPr="00207DC2">
        <w:rPr>
          <w:bCs/>
          <w:lang w:val="en-AU"/>
        </w:rPr>
        <w:t>.</w:t>
      </w:r>
      <w:r w:rsidR="00403349" w:rsidRPr="00207DC2">
        <w:rPr>
          <w:lang w:val="en-AU"/>
        </w:rPr>
        <w:t xml:space="preserve"> </w:t>
      </w:r>
      <w:r w:rsidR="00BF258E" w:rsidRPr="00207DC2">
        <w:rPr>
          <w:lang w:val="en-AU"/>
        </w:rPr>
        <w:t xml:space="preserve">Around 85 per cent of </w:t>
      </w:r>
      <w:r w:rsidR="007B3B50" w:rsidRPr="00207DC2">
        <w:rPr>
          <w:lang w:val="en-AU"/>
        </w:rPr>
        <w:t xml:space="preserve">participants </w:t>
      </w:r>
      <w:r w:rsidR="00B94414" w:rsidRPr="00207DC2">
        <w:rPr>
          <w:lang w:val="en-AU"/>
        </w:rPr>
        <w:t xml:space="preserve">that were </w:t>
      </w:r>
      <w:r w:rsidR="007B3B50" w:rsidRPr="00207DC2">
        <w:rPr>
          <w:lang w:val="en-AU"/>
        </w:rPr>
        <w:t>required to attend</w:t>
      </w:r>
      <w:r w:rsidR="00BF258E" w:rsidRPr="00207DC2">
        <w:rPr>
          <w:lang w:val="en-AU"/>
        </w:rPr>
        <w:t xml:space="preserve"> Work for the Dole were </w:t>
      </w:r>
      <w:r w:rsidR="000F0E95" w:rsidRPr="00207DC2">
        <w:rPr>
          <w:lang w:val="en-AU"/>
        </w:rPr>
        <w:t>enrolled</w:t>
      </w:r>
      <w:r w:rsidR="00BF258E" w:rsidRPr="00207DC2">
        <w:rPr>
          <w:lang w:val="en-AU"/>
        </w:rPr>
        <w:t xml:space="preserve"> in an activity in June 2017 compared to 58 per cent in June 2015 (before the CDP commenced). </w:t>
      </w:r>
    </w:p>
    <w:p w14:paraId="57CC07B4" w14:textId="5157EBC2" w:rsidR="00BF258E" w:rsidRPr="00207DC2" w:rsidRDefault="003D3803" w:rsidP="00686E5C">
      <w:pPr>
        <w:jc w:val="both"/>
        <w:rPr>
          <w:szCs w:val="20"/>
          <w:lang w:val="en-AU"/>
        </w:rPr>
      </w:pPr>
      <w:r w:rsidRPr="00207DC2">
        <w:rPr>
          <w:szCs w:val="20"/>
          <w:lang w:val="en-AU"/>
        </w:rPr>
        <w:t>A</w:t>
      </w:r>
      <w:r w:rsidR="00BF258E" w:rsidRPr="00207DC2">
        <w:rPr>
          <w:szCs w:val="20"/>
          <w:lang w:val="en-AU"/>
        </w:rPr>
        <w:t xml:space="preserve">ttendance </w:t>
      </w:r>
      <w:r w:rsidR="00E24EE6" w:rsidRPr="00207DC2">
        <w:rPr>
          <w:szCs w:val="20"/>
          <w:lang w:val="en-AU"/>
        </w:rPr>
        <w:t>at Work for the Dole</w:t>
      </w:r>
      <w:r w:rsidR="00D055D6" w:rsidRPr="00207DC2">
        <w:rPr>
          <w:szCs w:val="20"/>
          <w:lang w:val="en-AU"/>
        </w:rPr>
        <w:t>,</w:t>
      </w:r>
      <w:r w:rsidR="00E24EE6" w:rsidRPr="00207DC2">
        <w:rPr>
          <w:szCs w:val="20"/>
          <w:lang w:val="en-AU"/>
        </w:rPr>
        <w:t xml:space="preserve"> </w:t>
      </w:r>
      <w:r w:rsidR="00BF258E" w:rsidRPr="00207DC2">
        <w:rPr>
          <w:szCs w:val="20"/>
          <w:lang w:val="en-AU"/>
        </w:rPr>
        <w:t xml:space="preserve">among those </w:t>
      </w:r>
      <w:r w:rsidR="00D055D6" w:rsidRPr="00207DC2">
        <w:rPr>
          <w:szCs w:val="20"/>
          <w:lang w:val="en-AU"/>
        </w:rPr>
        <w:t>enrolled, has</w:t>
      </w:r>
      <w:r w:rsidR="00BF258E" w:rsidRPr="00207DC2">
        <w:rPr>
          <w:szCs w:val="20"/>
          <w:lang w:val="en-AU"/>
        </w:rPr>
        <w:t xml:space="preserve"> remained stable </w:t>
      </w:r>
      <w:r w:rsidR="007A0FCA" w:rsidRPr="00207DC2">
        <w:rPr>
          <w:szCs w:val="20"/>
          <w:lang w:val="en-AU"/>
        </w:rPr>
        <w:t xml:space="preserve">under </w:t>
      </w:r>
      <w:r w:rsidR="006B26C5" w:rsidRPr="00207DC2">
        <w:rPr>
          <w:szCs w:val="20"/>
          <w:lang w:val="en-AU"/>
        </w:rPr>
        <w:t>the</w:t>
      </w:r>
      <w:r w:rsidR="00BF258E" w:rsidRPr="00207DC2">
        <w:rPr>
          <w:szCs w:val="20"/>
          <w:lang w:val="en-AU"/>
        </w:rPr>
        <w:t xml:space="preserve"> CDP. While the majority of CDP participants either attend or provide a valid reason for non-attendance on any given day, between 20 and 30 per cent do not attend and do not provide a </w:t>
      </w:r>
      <w:r w:rsidR="00E3290D" w:rsidRPr="00207DC2">
        <w:rPr>
          <w:szCs w:val="20"/>
          <w:lang w:val="en-AU"/>
        </w:rPr>
        <w:t>valid reason for not attending.</w:t>
      </w:r>
      <w:r w:rsidR="00BF258E" w:rsidRPr="00207DC2">
        <w:rPr>
          <w:szCs w:val="20"/>
          <w:lang w:val="en-AU"/>
        </w:rPr>
        <w:t xml:space="preserve"> </w:t>
      </w:r>
      <w:r w:rsidR="007A7561" w:rsidRPr="00207DC2">
        <w:rPr>
          <w:szCs w:val="20"/>
          <w:lang w:val="en-AU"/>
        </w:rPr>
        <w:t>Based on f</w:t>
      </w:r>
      <w:r w:rsidR="00BF258E" w:rsidRPr="00207DC2">
        <w:rPr>
          <w:szCs w:val="20"/>
          <w:lang w:val="en-AU"/>
        </w:rPr>
        <w:t>ieldwork</w:t>
      </w:r>
      <w:r w:rsidR="002916BA" w:rsidRPr="00207DC2">
        <w:rPr>
          <w:szCs w:val="20"/>
          <w:lang w:val="en-AU"/>
        </w:rPr>
        <w:t>,</w:t>
      </w:r>
      <w:r w:rsidR="00BF258E" w:rsidRPr="00207DC2">
        <w:rPr>
          <w:szCs w:val="20"/>
          <w:lang w:val="en-AU"/>
        </w:rPr>
        <w:t xml:space="preserve"> </w:t>
      </w:r>
      <w:r w:rsidR="00697B49" w:rsidRPr="00207DC2">
        <w:rPr>
          <w:lang w:val="en-AU"/>
        </w:rPr>
        <w:t>Winangali</w:t>
      </w:r>
      <w:r w:rsidR="00B3061D" w:rsidRPr="00207DC2">
        <w:rPr>
          <w:lang w:val="en-AU"/>
        </w:rPr>
        <w:t xml:space="preserve"> and </w:t>
      </w:r>
      <w:r w:rsidR="00BF258E" w:rsidRPr="00207DC2">
        <w:rPr>
          <w:szCs w:val="20"/>
          <w:lang w:val="en-AU"/>
        </w:rPr>
        <w:t xml:space="preserve">Ipsos </w:t>
      </w:r>
      <w:r w:rsidR="002D02CD" w:rsidRPr="00207DC2">
        <w:rPr>
          <w:szCs w:val="20"/>
          <w:lang w:val="en-AU"/>
        </w:rPr>
        <w:t xml:space="preserve">(2018) </w:t>
      </w:r>
      <w:r w:rsidR="007A7561" w:rsidRPr="00207DC2">
        <w:rPr>
          <w:szCs w:val="20"/>
          <w:lang w:val="en-AU"/>
        </w:rPr>
        <w:t>concluded</w:t>
      </w:r>
      <w:r w:rsidR="00BF258E" w:rsidRPr="00207DC2">
        <w:rPr>
          <w:szCs w:val="20"/>
          <w:lang w:val="en-AU"/>
        </w:rPr>
        <w:t xml:space="preserve"> that there are varying levels of engagement in activities among those that do attend, with some participants turning up to meet their requirements but not engaging in activities enough to </w:t>
      </w:r>
      <w:r w:rsidR="003879AB" w:rsidRPr="00207DC2">
        <w:rPr>
          <w:szCs w:val="20"/>
          <w:lang w:val="en-AU"/>
        </w:rPr>
        <w:t>develop their job readiness o</w:t>
      </w:r>
      <w:r w:rsidR="000C29D0" w:rsidRPr="00207DC2">
        <w:rPr>
          <w:szCs w:val="20"/>
          <w:lang w:val="en-AU"/>
        </w:rPr>
        <w:t>r</w:t>
      </w:r>
      <w:r w:rsidR="00BF258E" w:rsidRPr="00207DC2">
        <w:rPr>
          <w:szCs w:val="20"/>
          <w:lang w:val="en-AU"/>
        </w:rPr>
        <w:t xml:space="preserve"> </w:t>
      </w:r>
      <w:r w:rsidR="003879AB" w:rsidRPr="00207DC2">
        <w:rPr>
          <w:szCs w:val="20"/>
          <w:lang w:val="en-AU"/>
        </w:rPr>
        <w:t>employability</w:t>
      </w:r>
      <w:r w:rsidR="00BF258E" w:rsidRPr="00207DC2">
        <w:rPr>
          <w:szCs w:val="20"/>
          <w:lang w:val="en-AU"/>
        </w:rPr>
        <w:t>.</w:t>
      </w:r>
    </w:p>
    <w:p w14:paraId="495069D8" w14:textId="1EC3503C" w:rsidR="008001A6" w:rsidRPr="00207DC2" w:rsidRDefault="008001A6" w:rsidP="00BF258E">
      <w:pPr>
        <w:jc w:val="both"/>
        <w:rPr>
          <w:lang w:val="en-AU"/>
        </w:rPr>
      </w:pPr>
      <w:r w:rsidRPr="00207DC2">
        <w:rPr>
          <w:lang w:val="en-AU"/>
        </w:rPr>
        <w:t>Being enrolled in an activity (Work for the Dole or otherwise) does not necessarily mean that participants will attend activities and, if they do attend, will actively participate in the program. A range of factors</w:t>
      </w:r>
      <w:r w:rsidR="003879AB" w:rsidRPr="00207DC2">
        <w:rPr>
          <w:lang w:val="en-AU"/>
        </w:rPr>
        <w:t>,</w:t>
      </w:r>
      <w:r w:rsidRPr="00207DC2">
        <w:rPr>
          <w:lang w:val="en-AU"/>
        </w:rPr>
        <w:t xml:space="preserve"> including t</w:t>
      </w:r>
      <w:r w:rsidRPr="00207DC2">
        <w:rPr>
          <w:bCs/>
          <w:lang w:val="en-AU"/>
        </w:rPr>
        <w:t>he quality of</w:t>
      </w:r>
      <w:r w:rsidRPr="00207DC2" w:rsidDel="00935BD1">
        <w:rPr>
          <w:bCs/>
          <w:lang w:val="en-AU"/>
        </w:rPr>
        <w:t xml:space="preserve"> </w:t>
      </w:r>
      <w:r w:rsidRPr="00207DC2">
        <w:rPr>
          <w:bCs/>
          <w:lang w:val="en-AU"/>
        </w:rPr>
        <w:t>activities</w:t>
      </w:r>
      <w:r w:rsidRPr="00207DC2" w:rsidDel="00935BD1">
        <w:rPr>
          <w:bCs/>
          <w:lang w:val="en-AU"/>
        </w:rPr>
        <w:t xml:space="preserve"> and </w:t>
      </w:r>
      <w:r w:rsidRPr="00207DC2">
        <w:rPr>
          <w:bCs/>
          <w:lang w:val="en-AU"/>
        </w:rPr>
        <w:t xml:space="preserve">how well activities are </w:t>
      </w:r>
      <w:r w:rsidRPr="00207DC2">
        <w:rPr>
          <w:lang w:val="en-AU"/>
        </w:rPr>
        <w:t xml:space="preserve">matched with participant’s skills, interests, motivations and </w:t>
      </w:r>
      <w:r w:rsidR="00B676FC" w:rsidRPr="00207DC2">
        <w:rPr>
          <w:lang w:val="en-AU"/>
        </w:rPr>
        <w:t>circumstances</w:t>
      </w:r>
      <w:r w:rsidRPr="00207DC2">
        <w:rPr>
          <w:lang w:val="en-AU"/>
        </w:rPr>
        <w:t xml:space="preserve"> are likely to affect individuals’ attendance and participation in Work for </w:t>
      </w:r>
      <w:r w:rsidR="003879AB" w:rsidRPr="00207DC2">
        <w:rPr>
          <w:lang w:val="en-AU"/>
        </w:rPr>
        <w:t xml:space="preserve">the </w:t>
      </w:r>
      <w:r w:rsidRPr="00207DC2">
        <w:rPr>
          <w:lang w:val="en-AU"/>
        </w:rPr>
        <w:t>Dole (Social Research Centre 2015</w:t>
      </w:r>
      <w:r w:rsidRPr="00207DC2">
        <w:rPr>
          <w:bCs/>
          <w:lang w:val="en-AU"/>
        </w:rPr>
        <w:t>)</w:t>
      </w:r>
      <w:r w:rsidRPr="00207DC2">
        <w:rPr>
          <w:lang w:val="en-AU"/>
        </w:rPr>
        <w:t xml:space="preserve">. </w:t>
      </w:r>
    </w:p>
    <w:p w14:paraId="2CF95B10" w14:textId="64517128" w:rsidR="00C23A13" w:rsidRPr="00207DC2" w:rsidRDefault="00BF258E" w:rsidP="00A011BB">
      <w:pPr>
        <w:tabs>
          <w:tab w:val="left" w:pos="4395"/>
        </w:tabs>
        <w:jc w:val="both"/>
        <w:rPr>
          <w:szCs w:val="20"/>
          <w:lang w:val="en-AU"/>
        </w:rPr>
      </w:pPr>
      <w:r w:rsidRPr="00207DC2">
        <w:rPr>
          <w:szCs w:val="20"/>
          <w:lang w:val="en-AU"/>
        </w:rPr>
        <w:t xml:space="preserve">Low attendance at Work for the Dole activities is more common among </w:t>
      </w:r>
      <w:r w:rsidR="00A63EB3" w:rsidRPr="00207DC2">
        <w:rPr>
          <w:szCs w:val="20"/>
          <w:lang w:val="en-AU"/>
        </w:rPr>
        <w:t>younger</w:t>
      </w:r>
      <w:r w:rsidRPr="00207DC2">
        <w:rPr>
          <w:szCs w:val="20"/>
          <w:lang w:val="en-AU"/>
        </w:rPr>
        <w:t xml:space="preserve"> CDP participants</w:t>
      </w:r>
      <w:r w:rsidR="005A4F32" w:rsidRPr="00207DC2">
        <w:rPr>
          <w:szCs w:val="20"/>
          <w:lang w:val="en-AU"/>
        </w:rPr>
        <w:t>.</w:t>
      </w:r>
      <w:r w:rsidR="00EB21D1" w:rsidRPr="00207DC2">
        <w:rPr>
          <w:szCs w:val="20"/>
          <w:lang w:val="en-AU"/>
        </w:rPr>
        <w:t xml:space="preserve"> Those who are younger, and some subgroups facing </w:t>
      </w:r>
      <w:r w:rsidR="00913227" w:rsidRPr="00207DC2">
        <w:rPr>
          <w:szCs w:val="20"/>
          <w:lang w:val="en-AU"/>
        </w:rPr>
        <w:t>participation and employment</w:t>
      </w:r>
      <w:r w:rsidR="00EB21D1" w:rsidRPr="00207DC2">
        <w:rPr>
          <w:szCs w:val="20"/>
          <w:lang w:val="en-AU"/>
        </w:rPr>
        <w:t xml:space="preserve"> barriers</w:t>
      </w:r>
      <w:r w:rsidR="000C29D0" w:rsidRPr="00207DC2">
        <w:rPr>
          <w:szCs w:val="20"/>
          <w:lang w:val="en-AU"/>
        </w:rPr>
        <w:t>,</w:t>
      </w:r>
      <w:r w:rsidR="00250807" w:rsidRPr="00207DC2">
        <w:rPr>
          <w:szCs w:val="20"/>
          <w:lang w:val="en-AU"/>
        </w:rPr>
        <w:t xml:space="preserve"> </w:t>
      </w:r>
      <w:r w:rsidR="00EB21D1" w:rsidRPr="00207DC2">
        <w:rPr>
          <w:szCs w:val="20"/>
          <w:lang w:val="en-AU"/>
        </w:rPr>
        <w:t xml:space="preserve">including those </w:t>
      </w:r>
      <w:r w:rsidR="003E6F0A" w:rsidRPr="00207DC2">
        <w:rPr>
          <w:szCs w:val="20"/>
          <w:lang w:val="en-AU"/>
        </w:rPr>
        <w:t>with no post-</w:t>
      </w:r>
      <w:r w:rsidR="00EB21D1" w:rsidRPr="00207DC2">
        <w:rPr>
          <w:szCs w:val="20"/>
          <w:lang w:val="en-AU"/>
        </w:rPr>
        <w:t>school education, those with a criminal conviction, those with no private transport, and</w:t>
      </w:r>
      <w:r w:rsidR="00883A1D" w:rsidRPr="00207DC2">
        <w:rPr>
          <w:szCs w:val="20"/>
          <w:lang w:val="en-AU"/>
        </w:rPr>
        <w:t xml:space="preserve"> those </w:t>
      </w:r>
      <w:r w:rsidR="00EB21D1" w:rsidRPr="00207DC2">
        <w:rPr>
          <w:szCs w:val="20"/>
          <w:lang w:val="en-AU"/>
        </w:rPr>
        <w:t>not contactable by phone</w:t>
      </w:r>
      <w:r w:rsidR="008E6302" w:rsidRPr="00207DC2">
        <w:rPr>
          <w:szCs w:val="20"/>
          <w:lang w:val="en-AU"/>
        </w:rPr>
        <w:t>,</w:t>
      </w:r>
      <w:r w:rsidR="00EB21D1" w:rsidRPr="00207DC2">
        <w:rPr>
          <w:szCs w:val="20"/>
          <w:lang w:val="en-AU"/>
        </w:rPr>
        <w:t xml:space="preserve"> have higher recorded rates of </w:t>
      </w:r>
      <w:r w:rsidR="00EB21D1" w:rsidRPr="00207DC2">
        <w:rPr>
          <w:i/>
          <w:szCs w:val="20"/>
          <w:lang w:val="en-AU"/>
        </w:rPr>
        <w:t>invalid non</w:t>
      </w:r>
      <w:r w:rsidR="003A4754" w:rsidRPr="00207DC2">
        <w:rPr>
          <w:i/>
          <w:szCs w:val="20"/>
          <w:lang w:val="en-AU"/>
        </w:rPr>
        <w:t>-</w:t>
      </w:r>
      <w:r w:rsidR="00EB21D1" w:rsidRPr="00207DC2">
        <w:rPr>
          <w:i/>
          <w:szCs w:val="20"/>
          <w:lang w:val="en-AU"/>
        </w:rPr>
        <w:t>attendance</w:t>
      </w:r>
      <w:r w:rsidR="00EB21D1" w:rsidRPr="00207DC2">
        <w:rPr>
          <w:szCs w:val="20"/>
          <w:lang w:val="en-AU"/>
        </w:rPr>
        <w:t xml:space="preserve">. </w:t>
      </w:r>
    </w:p>
    <w:p w14:paraId="63178FAC" w14:textId="6CAE8B7A" w:rsidR="00430B4B" w:rsidRPr="00207DC2" w:rsidRDefault="003F562F" w:rsidP="00B504BA">
      <w:pPr>
        <w:tabs>
          <w:tab w:val="left" w:pos="4395"/>
        </w:tabs>
        <w:jc w:val="both"/>
        <w:rPr>
          <w:lang w:val="en-AU"/>
        </w:rPr>
      </w:pPr>
      <w:r w:rsidRPr="00207DC2">
        <w:rPr>
          <w:lang w:val="en-AU"/>
        </w:rPr>
        <w:t xml:space="preserve">Communication </w:t>
      </w:r>
      <w:r w:rsidR="005F24D5" w:rsidRPr="00207DC2">
        <w:rPr>
          <w:lang w:val="en-AU"/>
        </w:rPr>
        <w:t xml:space="preserve">and health issues </w:t>
      </w:r>
      <w:r w:rsidR="00250807" w:rsidRPr="00207DC2">
        <w:rPr>
          <w:lang w:val="en-AU"/>
        </w:rPr>
        <w:t xml:space="preserve">may </w:t>
      </w:r>
      <w:r w:rsidRPr="00207DC2">
        <w:rPr>
          <w:lang w:val="en-AU"/>
        </w:rPr>
        <w:t>play a role in explaining invalid non</w:t>
      </w:r>
      <w:r w:rsidRPr="00207DC2">
        <w:rPr>
          <w:lang w:val="en-AU"/>
        </w:rPr>
        <w:noBreakHyphen/>
        <w:t xml:space="preserve">attendance among some, </w:t>
      </w:r>
      <w:r w:rsidR="00E46C60" w:rsidRPr="00207DC2">
        <w:rPr>
          <w:lang w:val="en-AU"/>
        </w:rPr>
        <w:t>particularly</w:t>
      </w:r>
      <w:r w:rsidRPr="00207DC2">
        <w:rPr>
          <w:lang w:val="en-AU"/>
        </w:rPr>
        <w:t xml:space="preserve"> Indigenous, CDP participants.</w:t>
      </w:r>
      <w:r w:rsidR="00411755">
        <w:rPr>
          <w:lang w:val="en-AU"/>
        </w:rPr>
        <w:t xml:space="preserve"> </w:t>
      </w:r>
      <w:r w:rsidR="003848FA" w:rsidRPr="00207DC2">
        <w:rPr>
          <w:lang w:val="en-AU"/>
        </w:rPr>
        <w:t>B</w:t>
      </w:r>
      <w:r w:rsidR="00E4635A" w:rsidRPr="00207DC2">
        <w:rPr>
          <w:lang w:val="en-AU"/>
        </w:rPr>
        <w:t xml:space="preserve">ased on </w:t>
      </w:r>
      <w:r w:rsidR="005A0935">
        <w:rPr>
          <w:lang w:val="en-AU"/>
        </w:rPr>
        <w:t>research</w:t>
      </w:r>
      <w:r w:rsidR="00E4635A" w:rsidRPr="00207DC2">
        <w:rPr>
          <w:lang w:val="en-AU"/>
        </w:rPr>
        <w:t xml:space="preserve"> in eight remote communities, Winangali and Ipsos (2018) found that health issues play a role in explaining why</w:t>
      </w:r>
      <w:r w:rsidR="00E4635A" w:rsidRPr="00207DC2" w:rsidDel="00FF5B6C">
        <w:rPr>
          <w:lang w:val="en-AU"/>
        </w:rPr>
        <w:t xml:space="preserve"> </w:t>
      </w:r>
      <w:r w:rsidR="00E4635A" w:rsidRPr="00207DC2">
        <w:rPr>
          <w:lang w:val="en-AU"/>
        </w:rPr>
        <w:t>some CDP participants</w:t>
      </w:r>
      <w:r w:rsidR="00B504BA" w:rsidRPr="00207DC2">
        <w:rPr>
          <w:lang w:val="en-AU"/>
        </w:rPr>
        <w:t xml:space="preserve"> are penalised for non</w:t>
      </w:r>
      <w:r w:rsidR="00B504BA" w:rsidRPr="00207DC2">
        <w:rPr>
          <w:lang w:val="en-AU"/>
        </w:rPr>
        <w:noBreakHyphen/>
      </w:r>
      <w:r w:rsidR="00E4635A" w:rsidRPr="00207DC2">
        <w:rPr>
          <w:lang w:val="en-AU"/>
        </w:rPr>
        <w:t>attendance. Stakeholders that participated in the fieldwork reported that some participants had undetected health barriers due to lack of adequate assessments.</w:t>
      </w:r>
      <w:r w:rsidR="003848FA" w:rsidRPr="00207DC2">
        <w:rPr>
          <w:lang w:val="en-AU"/>
        </w:rPr>
        <w:t xml:space="preserve"> </w:t>
      </w:r>
    </w:p>
    <w:p w14:paraId="73331105" w14:textId="15422E0C" w:rsidR="00B504BA" w:rsidRPr="00207DC2" w:rsidRDefault="00A63EB3" w:rsidP="00B504BA">
      <w:pPr>
        <w:tabs>
          <w:tab w:val="left" w:pos="4395"/>
        </w:tabs>
        <w:jc w:val="both"/>
        <w:rPr>
          <w:lang w:val="en-AU"/>
        </w:rPr>
      </w:pPr>
      <w:r w:rsidRPr="00207DC2">
        <w:rPr>
          <w:lang w:val="en-AU"/>
        </w:rPr>
        <w:t xml:space="preserve">This is consistent with exemptions data </w:t>
      </w:r>
      <w:r w:rsidR="00346D5A" w:rsidRPr="00207DC2">
        <w:rPr>
          <w:lang w:val="en-AU"/>
        </w:rPr>
        <w:t xml:space="preserve">that </w:t>
      </w:r>
      <w:r w:rsidRPr="00207DC2">
        <w:rPr>
          <w:lang w:val="en-AU"/>
        </w:rPr>
        <w:t>shows low</w:t>
      </w:r>
      <w:r w:rsidR="00B504BA" w:rsidRPr="00207DC2">
        <w:rPr>
          <w:lang w:val="en-AU"/>
        </w:rPr>
        <w:t>er</w:t>
      </w:r>
      <w:r w:rsidRPr="00207DC2">
        <w:rPr>
          <w:lang w:val="en-AU"/>
        </w:rPr>
        <w:t xml:space="preserve"> rates of medical exemptions among </w:t>
      </w:r>
      <w:r w:rsidR="00903A7A">
        <w:rPr>
          <w:lang w:val="en-AU"/>
        </w:rPr>
        <w:t>activity-tested</w:t>
      </w:r>
      <w:r w:rsidR="00D85702" w:rsidRPr="00207DC2">
        <w:rPr>
          <w:lang w:val="en-AU"/>
        </w:rPr>
        <w:t xml:space="preserve"> income support recipients living in remote or very remote Australia</w:t>
      </w:r>
      <w:r w:rsidR="00B504BA" w:rsidRPr="00207DC2">
        <w:rPr>
          <w:lang w:val="en-AU"/>
        </w:rPr>
        <w:t xml:space="preserve">. Despite a higher burden of disease among Indigenous people and those living in remote areas (AIHW 2016), in June 2017, five per cent of </w:t>
      </w:r>
      <w:r w:rsidR="00903A7A">
        <w:rPr>
          <w:lang w:val="en-AU"/>
        </w:rPr>
        <w:t>activity-tested</w:t>
      </w:r>
      <w:r w:rsidR="00B504BA" w:rsidRPr="00207DC2">
        <w:rPr>
          <w:lang w:val="en-AU"/>
        </w:rPr>
        <w:t xml:space="preserve"> income support recipients living in CDP regions had a medical e</w:t>
      </w:r>
      <w:r w:rsidR="006D75CD" w:rsidRPr="00207DC2">
        <w:rPr>
          <w:lang w:val="en-AU"/>
        </w:rPr>
        <w:t>xemption, compared with ten per </w:t>
      </w:r>
      <w:r w:rsidR="00B504BA" w:rsidRPr="00207DC2">
        <w:rPr>
          <w:lang w:val="en-AU"/>
        </w:rPr>
        <w:t>cent of those living in non-CDP regions (Table 2.4). The rate of medical exemptions is lower again for those living in CDP areas who identify as Indigenous</w:t>
      </w:r>
      <w:r w:rsidR="00396552">
        <w:rPr>
          <w:lang w:val="en-AU"/>
        </w:rPr>
        <w:t xml:space="preserve"> – </w:t>
      </w:r>
      <w:r w:rsidR="00B504BA" w:rsidRPr="00207DC2">
        <w:rPr>
          <w:lang w:val="en-AU"/>
        </w:rPr>
        <w:t>three per cent in June 2017</w:t>
      </w:r>
      <w:r w:rsidR="00D85702" w:rsidRPr="00207DC2">
        <w:rPr>
          <w:lang w:val="en-AU"/>
        </w:rPr>
        <w:t xml:space="preserve">. </w:t>
      </w:r>
    </w:p>
    <w:tbl>
      <w:tblPr>
        <w:tblStyle w:val="TableGrid"/>
        <w:tblW w:w="0" w:type="auto"/>
        <w:tblLook w:val="04A0" w:firstRow="1" w:lastRow="0" w:firstColumn="1" w:lastColumn="0" w:noHBand="0" w:noVBand="1"/>
        <w:tblCaption w:val="Finding 1"/>
      </w:tblPr>
      <w:tblGrid>
        <w:gridCol w:w="9016"/>
      </w:tblGrid>
      <w:tr w:rsidR="009B7979" w:rsidRPr="00207DC2" w14:paraId="0D9F81AE" w14:textId="77777777" w:rsidTr="000A3951">
        <w:trPr>
          <w:tblHeader/>
        </w:trPr>
        <w:tc>
          <w:tcPr>
            <w:tcW w:w="9016" w:type="dxa"/>
          </w:tcPr>
          <w:p w14:paraId="635A438B" w14:textId="77777777" w:rsidR="009B7979" w:rsidRPr="00207DC2" w:rsidRDefault="009B7979" w:rsidP="00C15456">
            <w:pPr>
              <w:spacing w:before="120"/>
              <w:jc w:val="both"/>
              <w:rPr>
                <w:b/>
                <w:i/>
                <w:szCs w:val="20"/>
                <w:lang w:val="en-AU"/>
              </w:rPr>
            </w:pPr>
            <w:r w:rsidRPr="00207DC2">
              <w:rPr>
                <w:b/>
                <w:i/>
                <w:szCs w:val="20"/>
                <w:lang w:val="en-AU"/>
              </w:rPr>
              <w:t>Finding 1</w:t>
            </w:r>
          </w:p>
          <w:p w14:paraId="1DD4F3F3" w14:textId="1EA65EB6" w:rsidR="009B7979" w:rsidRPr="00207DC2" w:rsidRDefault="009B7979" w:rsidP="006D75CD">
            <w:pPr>
              <w:jc w:val="both"/>
              <w:rPr>
                <w:i/>
                <w:szCs w:val="20"/>
                <w:lang w:val="en-AU"/>
              </w:rPr>
            </w:pPr>
            <w:r w:rsidRPr="00207DC2">
              <w:rPr>
                <w:i/>
                <w:szCs w:val="20"/>
                <w:lang w:val="en-AU"/>
              </w:rPr>
              <w:t xml:space="preserve">Better assessments of remote CDP participants could help to ensure that their attendance requirements match their abilities, and that potential barriers to participation are better identified. This includes increased access to medical assessments by qualified practitioners. </w:t>
            </w:r>
          </w:p>
        </w:tc>
      </w:tr>
    </w:tbl>
    <w:p w14:paraId="1EFDE812" w14:textId="77777777" w:rsidR="00B85A60" w:rsidRPr="00AF23A2" w:rsidRDefault="00912BE0" w:rsidP="00A95A36">
      <w:pPr>
        <w:pStyle w:val="ZED6"/>
      </w:pPr>
      <w:r w:rsidRPr="00AF23A2">
        <w:t>Invalid non-attendance</w:t>
      </w:r>
    </w:p>
    <w:p w14:paraId="0DBCCDB6" w14:textId="7D5A4F84" w:rsidR="00DD700B" w:rsidRPr="00207DC2" w:rsidRDefault="00BF258E" w:rsidP="00785B47">
      <w:pPr>
        <w:jc w:val="both"/>
        <w:rPr>
          <w:lang w:val="en-AU"/>
        </w:rPr>
      </w:pPr>
      <w:r w:rsidRPr="00207DC2">
        <w:rPr>
          <w:lang w:val="en-AU"/>
        </w:rPr>
        <w:t xml:space="preserve">Those who do not attend activities and do not provide a valid reason for not attending can </w:t>
      </w:r>
      <w:r w:rsidR="00DD700B" w:rsidRPr="00207DC2">
        <w:rPr>
          <w:lang w:val="en-AU"/>
        </w:rPr>
        <w:t>have their income support payment temporarily suspended (until they re</w:t>
      </w:r>
      <w:r w:rsidR="00DD700B" w:rsidRPr="00207DC2">
        <w:rPr>
          <w:lang w:val="en-AU"/>
        </w:rPr>
        <w:noBreakHyphen/>
      </w:r>
      <w:r w:rsidR="00A30B66" w:rsidRPr="00207DC2">
        <w:rPr>
          <w:lang w:val="en-AU"/>
        </w:rPr>
        <w:t>engage</w:t>
      </w:r>
      <w:r w:rsidR="00DD700B" w:rsidRPr="00207DC2">
        <w:rPr>
          <w:lang w:val="en-AU"/>
        </w:rPr>
        <w:t>)</w:t>
      </w:r>
      <w:r w:rsidR="00581595" w:rsidRPr="00207DC2">
        <w:rPr>
          <w:lang w:val="en-AU"/>
        </w:rPr>
        <w:t>,</w:t>
      </w:r>
      <w:r w:rsidR="00DD700B" w:rsidRPr="00207DC2">
        <w:rPr>
          <w:lang w:val="en-AU"/>
        </w:rPr>
        <w:t xml:space="preserve"> </w:t>
      </w:r>
      <w:r w:rsidR="00303024" w:rsidRPr="00207DC2">
        <w:rPr>
          <w:lang w:val="en-AU"/>
        </w:rPr>
        <w:t xml:space="preserve">which may also </w:t>
      </w:r>
      <w:r w:rsidR="00E57341" w:rsidRPr="00207DC2">
        <w:rPr>
          <w:lang w:val="en-AU"/>
        </w:rPr>
        <w:t>result in</w:t>
      </w:r>
      <w:r w:rsidRPr="00207DC2">
        <w:rPr>
          <w:lang w:val="en-AU"/>
        </w:rPr>
        <w:t xml:space="preserve"> </w:t>
      </w:r>
      <w:r w:rsidR="005A4F32" w:rsidRPr="00207DC2">
        <w:rPr>
          <w:lang w:val="en-AU"/>
        </w:rPr>
        <w:t>a</w:t>
      </w:r>
      <w:r w:rsidRPr="00207DC2">
        <w:rPr>
          <w:lang w:val="en-AU"/>
        </w:rPr>
        <w:t xml:space="preserve"> financial penal</w:t>
      </w:r>
      <w:r w:rsidR="005A4F32" w:rsidRPr="00207DC2">
        <w:rPr>
          <w:lang w:val="en-AU"/>
        </w:rPr>
        <w:t>ty</w:t>
      </w:r>
      <w:r w:rsidRPr="00207DC2">
        <w:rPr>
          <w:lang w:val="en-AU"/>
        </w:rPr>
        <w:t xml:space="preserve">. </w:t>
      </w:r>
    </w:p>
    <w:p w14:paraId="1F2C8A6C" w14:textId="7655A702" w:rsidR="00855158" w:rsidRPr="00207DC2" w:rsidRDefault="00BF258E" w:rsidP="00FE493F">
      <w:pPr>
        <w:tabs>
          <w:tab w:val="left" w:pos="5245"/>
        </w:tabs>
        <w:jc w:val="both"/>
        <w:rPr>
          <w:lang w:val="en-AU"/>
        </w:rPr>
      </w:pPr>
      <w:r w:rsidRPr="00207DC2">
        <w:rPr>
          <w:lang w:val="en-AU"/>
        </w:rPr>
        <w:t xml:space="preserve">While the </w:t>
      </w:r>
      <w:r w:rsidR="008E6302" w:rsidRPr="00207DC2">
        <w:rPr>
          <w:lang w:val="en-AU"/>
        </w:rPr>
        <w:t>application</w:t>
      </w:r>
      <w:r w:rsidRPr="00207DC2">
        <w:rPr>
          <w:lang w:val="en-AU"/>
        </w:rPr>
        <w:t xml:space="preserve"> of </w:t>
      </w:r>
      <w:r w:rsidR="0022699F" w:rsidRPr="00207DC2">
        <w:rPr>
          <w:lang w:val="en-AU"/>
        </w:rPr>
        <w:t>payment</w:t>
      </w:r>
      <w:r w:rsidRPr="00207DC2">
        <w:rPr>
          <w:lang w:val="en-AU"/>
        </w:rPr>
        <w:t xml:space="preserve"> suspensions and financial penalties increased in the RJCP period, they </w:t>
      </w:r>
      <w:r w:rsidR="002D5090" w:rsidRPr="00207DC2">
        <w:rPr>
          <w:lang w:val="en-AU"/>
        </w:rPr>
        <w:t xml:space="preserve">continued to </w:t>
      </w:r>
      <w:r w:rsidRPr="00207DC2">
        <w:rPr>
          <w:lang w:val="en-AU"/>
        </w:rPr>
        <w:t>increase</w:t>
      </w:r>
      <w:r w:rsidR="002D5090" w:rsidRPr="00207DC2">
        <w:rPr>
          <w:lang w:val="en-AU"/>
        </w:rPr>
        <w:t xml:space="preserve"> </w:t>
      </w:r>
      <w:r w:rsidRPr="00207DC2">
        <w:rPr>
          <w:lang w:val="en-AU"/>
        </w:rPr>
        <w:t>under</w:t>
      </w:r>
      <w:r w:rsidR="006B26C5" w:rsidRPr="00207DC2">
        <w:rPr>
          <w:lang w:val="en-AU"/>
        </w:rPr>
        <w:t xml:space="preserve"> the</w:t>
      </w:r>
      <w:r w:rsidRPr="00207DC2">
        <w:rPr>
          <w:lang w:val="en-AU"/>
        </w:rPr>
        <w:t xml:space="preserve"> CDP</w:t>
      </w:r>
      <w:r w:rsidR="002D5090" w:rsidRPr="00207DC2">
        <w:rPr>
          <w:lang w:val="en-AU"/>
        </w:rPr>
        <w:t>,</w:t>
      </w:r>
      <w:r w:rsidRPr="00207DC2">
        <w:rPr>
          <w:lang w:val="en-AU"/>
        </w:rPr>
        <w:t xml:space="preserve"> </w:t>
      </w:r>
      <w:r w:rsidR="00817963" w:rsidRPr="00207DC2">
        <w:rPr>
          <w:lang w:val="en-AU"/>
        </w:rPr>
        <w:t xml:space="preserve">with </w:t>
      </w:r>
      <w:r w:rsidRPr="00207DC2">
        <w:rPr>
          <w:lang w:val="en-AU"/>
        </w:rPr>
        <w:t>the</w:t>
      </w:r>
      <w:r w:rsidRPr="00207DC2" w:rsidDel="00837F94">
        <w:rPr>
          <w:lang w:val="en-AU"/>
        </w:rPr>
        <w:t xml:space="preserve"> </w:t>
      </w:r>
      <w:r w:rsidR="00837F94" w:rsidRPr="00207DC2">
        <w:rPr>
          <w:lang w:val="en-AU"/>
        </w:rPr>
        <w:t>expansion of Work for the Dole</w:t>
      </w:r>
      <w:r w:rsidR="008E6302" w:rsidRPr="00207DC2">
        <w:rPr>
          <w:lang w:val="en-AU"/>
        </w:rPr>
        <w:t>,</w:t>
      </w:r>
      <w:r w:rsidR="002C1B79" w:rsidRPr="00207DC2">
        <w:rPr>
          <w:lang w:val="en-AU"/>
        </w:rPr>
        <w:t xml:space="preserve"> a</w:t>
      </w:r>
      <w:r w:rsidR="00837F94" w:rsidRPr="00207DC2">
        <w:rPr>
          <w:lang w:val="en-AU"/>
        </w:rPr>
        <w:t xml:space="preserve"> </w:t>
      </w:r>
      <w:r w:rsidRPr="00207DC2">
        <w:rPr>
          <w:lang w:val="en-AU"/>
        </w:rPr>
        <w:t xml:space="preserve">new provider payment </w:t>
      </w:r>
      <w:r w:rsidR="00790539" w:rsidRPr="00207DC2">
        <w:rPr>
          <w:lang w:val="en-AU"/>
        </w:rPr>
        <w:t>model</w:t>
      </w:r>
      <w:r w:rsidR="00817963" w:rsidRPr="00207DC2">
        <w:rPr>
          <w:lang w:val="en-AU"/>
        </w:rPr>
        <w:t>, and</w:t>
      </w:r>
      <w:r w:rsidR="00837F94" w:rsidRPr="00207DC2">
        <w:rPr>
          <w:lang w:val="en-AU"/>
        </w:rPr>
        <w:t xml:space="preserve"> increased provider reporting of non</w:t>
      </w:r>
      <w:r w:rsidR="00FE493F" w:rsidRPr="00207DC2">
        <w:rPr>
          <w:lang w:val="en-AU"/>
        </w:rPr>
        <w:noBreakHyphen/>
      </w:r>
      <w:r w:rsidR="00837F94" w:rsidRPr="00207DC2">
        <w:rPr>
          <w:lang w:val="en-AU"/>
        </w:rPr>
        <w:t>compliance</w:t>
      </w:r>
      <w:r w:rsidR="004D1E6E" w:rsidRPr="00207DC2">
        <w:rPr>
          <w:lang w:val="en-AU"/>
        </w:rPr>
        <w:t xml:space="preserve">. </w:t>
      </w:r>
    </w:p>
    <w:p w14:paraId="0AC719C5" w14:textId="77777777" w:rsidR="00D64684" w:rsidRPr="00207DC2" w:rsidRDefault="001458CE" w:rsidP="00D64684">
      <w:pPr>
        <w:jc w:val="both"/>
        <w:rPr>
          <w:lang w:val="en-AU"/>
        </w:rPr>
      </w:pPr>
      <w:r w:rsidRPr="00207DC2">
        <w:rPr>
          <w:lang w:val="en-AU"/>
        </w:rPr>
        <w:t>Since January 2016, in any one quarter, approximately 60 per cent of CDP participants record</w:t>
      </w:r>
      <w:r w:rsidR="00350C59" w:rsidRPr="00207DC2">
        <w:rPr>
          <w:lang w:val="en-AU"/>
        </w:rPr>
        <w:t>ed</w:t>
      </w:r>
      <w:r w:rsidRPr="00207DC2">
        <w:rPr>
          <w:lang w:val="en-AU"/>
        </w:rPr>
        <w:t xml:space="preserve"> at least one suspension, and</w:t>
      </w:r>
      <w:r w:rsidR="00A2220B" w:rsidRPr="00207DC2">
        <w:rPr>
          <w:lang w:val="en-AU"/>
        </w:rPr>
        <w:t xml:space="preserve"> one or more penalties were applied to</w:t>
      </w:r>
      <w:r w:rsidRPr="00207DC2">
        <w:rPr>
          <w:lang w:val="en-AU"/>
        </w:rPr>
        <w:t xml:space="preserve"> </w:t>
      </w:r>
      <w:r w:rsidR="002D5090" w:rsidRPr="00207DC2">
        <w:rPr>
          <w:lang w:val="en-AU"/>
        </w:rPr>
        <w:t xml:space="preserve">about </w:t>
      </w:r>
      <w:r w:rsidRPr="00207DC2">
        <w:rPr>
          <w:lang w:val="en-AU"/>
        </w:rPr>
        <w:t xml:space="preserve">a third of CDP participants. </w:t>
      </w:r>
      <w:r w:rsidR="00D64684" w:rsidRPr="00207DC2">
        <w:rPr>
          <w:lang w:val="en-AU"/>
        </w:rPr>
        <w:t xml:space="preserve">Looking at the outcomes over the whole year for the group of participants on the CDP on 1 January 2016, the </w:t>
      </w:r>
      <w:r w:rsidR="008E6302" w:rsidRPr="00207DC2">
        <w:rPr>
          <w:lang w:val="en-AU"/>
        </w:rPr>
        <w:t>proportion</w:t>
      </w:r>
      <w:r w:rsidR="00D64684" w:rsidRPr="00207DC2">
        <w:rPr>
          <w:lang w:val="en-AU"/>
        </w:rPr>
        <w:t xml:space="preserve"> of participants penalised increases to over half.</w:t>
      </w:r>
    </w:p>
    <w:p w14:paraId="26D74130" w14:textId="2D5DDE57" w:rsidR="004A15FE" w:rsidRPr="00207DC2" w:rsidRDefault="003A7B7E" w:rsidP="0013633B">
      <w:pPr>
        <w:jc w:val="both"/>
        <w:rPr>
          <w:lang w:val="en-AU"/>
        </w:rPr>
      </w:pPr>
      <w:r w:rsidRPr="00207DC2">
        <w:rPr>
          <w:lang w:val="en-AU"/>
        </w:rPr>
        <w:t>A</w:t>
      </w:r>
      <w:r w:rsidR="00144AE5" w:rsidRPr="00207DC2">
        <w:rPr>
          <w:lang w:val="en-AU"/>
        </w:rPr>
        <w:t>veraged a</w:t>
      </w:r>
      <w:r w:rsidRPr="00207DC2">
        <w:rPr>
          <w:lang w:val="en-AU"/>
        </w:rPr>
        <w:t xml:space="preserve">cross </w:t>
      </w:r>
      <w:r w:rsidR="00144AE5" w:rsidRPr="00207DC2">
        <w:rPr>
          <w:lang w:val="en-AU"/>
        </w:rPr>
        <w:t xml:space="preserve">all </w:t>
      </w:r>
      <w:r w:rsidRPr="00207DC2">
        <w:rPr>
          <w:lang w:val="en-AU"/>
        </w:rPr>
        <w:t>CDP regions</w:t>
      </w:r>
      <w:r w:rsidR="00144AE5" w:rsidRPr="00207DC2">
        <w:rPr>
          <w:lang w:val="en-AU"/>
        </w:rPr>
        <w:t>,</w:t>
      </w:r>
      <w:r w:rsidRPr="00207DC2">
        <w:rPr>
          <w:lang w:val="en-AU"/>
        </w:rPr>
        <w:t xml:space="preserve"> </w:t>
      </w:r>
      <w:r w:rsidR="00BF258E" w:rsidRPr="00207DC2">
        <w:rPr>
          <w:lang w:val="en-AU"/>
        </w:rPr>
        <w:t xml:space="preserve">financial penalties represent less than one per cent of </w:t>
      </w:r>
      <w:r w:rsidR="00A63EB3" w:rsidRPr="00207DC2">
        <w:rPr>
          <w:lang w:val="en-AU"/>
        </w:rPr>
        <w:t xml:space="preserve">Australian </w:t>
      </w:r>
      <w:r w:rsidR="008E6302" w:rsidRPr="00207DC2">
        <w:rPr>
          <w:lang w:val="en-AU"/>
        </w:rPr>
        <w:t>Government</w:t>
      </w:r>
      <w:r w:rsidR="00D06964" w:rsidRPr="00207DC2">
        <w:rPr>
          <w:lang w:val="en-AU"/>
        </w:rPr>
        <w:t xml:space="preserve"> </w:t>
      </w:r>
      <w:r w:rsidR="00BF258E" w:rsidRPr="00207DC2">
        <w:rPr>
          <w:lang w:val="en-AU"/>
        </w:rPr>
        <w:t>payment</w:t>
      </w:r>
      <w:r w:rsidR="00D06964" w:rsidRPr="00207DC2">
        <w:rPr>
          <w:lang w:val="en-AU"/>
        </w:rPr>
        <w:t>s</w:t>
      </w:r>
      <w:r w:rsidR="00BF258E" w:rsidRPr="00207DC2">
        <w:rPr>
          <w:lang w:val="en-AU"/>
        </w:rPr>
        <w:t xml:space="preserve"> </w:t>
      </w:r>
      <w:r w:rsidRPr="00207DC2">
        <w:rPr>
          <w:lang w:val="en-AU"/>
        </w:rPr>
        <w:t xml:space="preserve">to people living in </w:t>
      </w:r>
      <w:r w:rsidR="00BF258E" w:rsidRPr="00207DC2">
        <w:rPr>
          <w:lang w:val="en-AU"/>
        </w:rPr>
        <w:t>CDP region</w:t>
      </w:r>
      <w:r w:rsidRPr="00207DC2">
        <w:rPr>
          <w:lang w:val="en-AU"/>
        </w:rPr>
        <w:t xml:space="preserve">s. </w:t>
      </w:r>
      <w:r w:rsidR="00680414" w:rsidRPr="00207DC2">
        <w:rPr>
          <w:lang w:val="en-AU"/>
        </w:rPr>
        <w:t xml:space="preserve">While the </w:t>
      </w:r>
      <w:r w:rsidR="00E5616A" w:rsidRPr="00207DC2">
        <w:rPr>
          <w:lang w:val="en-AU"/>
        </w:rPr>
        <w:t xml:space="preserve">overall </w:t>
      </w:r>
      <w:r w:rsidR="00680414" w:rsidRPr="00207DC2">
        <w:rPr>
          <w:lang w:val="en-AU"/>
        </w:rPr>
        <w:t>regional impact of penalties is small, p</w:t>
      </w:r>
      <w:r w:rsidR="00BF258E" w:rsidRPr="00207DC2">
        <w:rPr>
          <w:lang w:val="en-AU"/>
        </w:rPr>
        <w:t xml:space="preserve">enalties </w:t>
      </w:r>
      <w:r w:rsidR="00790539" w:rsidRPr="00207DC2">
        <w:rPr>
          <w:lang w:val="en-AU"/>
        </w:rPr>
        <w:t>represent a</w:t>
      </w:r>
      <w:r w:rsidR="00BF258E" w:rsidRPr="00207DC2">
        <w:rPr>
          <w:lang w:val="en-AU"/>
        </w:rPr>
        <w:t xml:space="preserve"> </w:t>
      </w:r>
      <w:r w:rsidR="00584C5C" w:rsidRPr="00207DC2">
        <w:rPr>
          <w:lang w:val="en-AU"/>
        </w:rPr>
        <w:t>larger</w:t>
      </w:r>
      <w:r w:rsidR="00580BF2" w:rsidRPr="00207DC2">
        <w:rPr>
          <w:lang w:val="en-AU"/>
        </w:rPr>
        <w:t xml:space="preserve"> </w:t>
      </w:r>
      <w:r w:rsidR="00790539" w:rsidRPr="00207DC2">
        <w:rPr>
          <w:lang w:val="en-AU"/>
        </w:rPr>
        <w:t>share of</w:t>
      </w:r>
      <w:r w:rsidR="00BF258E" w:rsidRPr="00207DC2">
        <w:rPr>
          <w:lang w:val="en-AU"/>
        </w:rPr>
        <w:t xml:space="preserve"> </w:t>
      </w:r>
      <w:r w:rsidR="009A661A" w:rsidRPr="00207DC2">
        <w:rPr>
          <w:lang w:val="en-AU"/>
        </w:rPr>
        <w:t>the</w:t>
      </w:r>
      <w:r w:rsidR="00BF258E" w:rsidRPr="00207DC2">
        <w:rPr>
          <w:lang w:val="en-AU"/>
        </w:rPr>
        <w:t xml:space="preserve"> income of </w:t>
      </w:r>
      <w:r w:rsidR="00855158" w:rsidRPr="00207DC2">
        <w:rPr>
          <w:lang w:val="en-AU"/>
        </w:rPr>
        <w:t>some groups of CDP participants</w:t>
      </w:r>
      <w:r w:rsidR="00153AA6" w:rsidRPr="00207DC2">
        <w:rPr>
          <w:lang w:val="en-AU"/>
        </w:rPr>
        <w:t>.</w:t>
      </w:r>
      <w:r w:rsidR="00855158" w:rsidRPr="00207DC2">
        <w:rPr>
          <w:lang w:val="en-AU"/>
        </w:rPr>
        <w:t xml:space="preserve"> </w:t>
      </w:r>
      <w:r w:rsidR="0013633B" w:rsidRPr="00207DC2">
        <w:rPr>
          <w:lang w:val="en-AU"/>
        </w:rPr>
        <w:t xml:space="preserve">Around half of those penalised lost less than five per cent of their quarterly Australian Government payments. Since mid-2016, however, </w:t>
      </w:r>
      <w:r w:rsidR="004A15FE" w:rsidRPr="00207DC2">
        <w:rPr>
          <w:lang w:val="en-AU"/>
        </w:rPr>
        <w:t xml:space="preserve">just under </w:t>
      </w:r>
      <w:r w:rsidR="0013633B" w:rsidRPr="00207DC2">
        <w:rPr>
          <w:lang w:val="en-AU"/>
        </w:rPr>
        <w:t>one in ten penalised participants lost twenty per cent or more of their payments over the quarter.</w:t>
      </w:r>
      <w:r w:rsidR="008E6302" w:rsidRPr="00207DC2">
        <w:rPr>
          <w:lang w:val="en-AU"/>
        </w:rPr>
        <w:t xml:space="preserve"> T</w:t>
      </w:r>
      <w:r w:rsidR="00F2031D" w:rsidRPr="00207DC2">
        <w:rPr>
          <w:lang w:val="en-AU"/>
        </w:rPr>
        <w:t xml:space="preserve">his </w:t>
      </w:r>
      <w:r w:rsidR="0013633B" w:rsidRPr="00207DC2">
        <w:rPr>
          <w:lang w:val="en-AU"/>
        </w:rPr>
        <w:t xml:space="preserve">equates to </w:t>
      </w:r>
      <w:r w:rsidR="004A15FE" w:rsidRPr="00207DC2">
        <w:rPr>
          <w:lang w:val="en-AU"/>
        </w:rPr>
        <w:t>between two and three</w:t>
      </w:r>
      <w:r w:rsidR="0038660A" w:rsidRPr="00207DC2">
        <w:rPr>
          <w:lang w:val="en-AU"/>
        </w:rPr>
        <w:t> </w:t>
      </w:r>
      <w:r w:rsidR="00F2031D" w:rsidRPr="00207DC2">
        <w:rPr>
          <w:lang w:val="en-AU"/>
        </w:rPr>
        <w:t>per</w:t>
      </w:r>
      <w:r w:rsidR="0038660A" w:rsidRPr="00207DC2">
        <w:rPr>
          <w:lang w:val="en-AU"/>
        </w:rPr>
        <w:t> </w:t>
      </w:r>
      <w:r w:rsidR="00F2031D" w:rsidRPr="00207DC2">
        <w:rPr>
          <w:lang w:val="en-AU"/>
        </w:rPr>
        <w:t>cent of all CDP participants</w:t>
      </w:r>
      <w:r w:rsidR="004D2452" w:rsidRPr="00207DC2">
        <w:rPr>
          <w:lang w:val="en-AU"/>
        </w:rPr>
        <w:t xml:space="preserve"> per quarter</w:t>
      </w:r>
      <w:r w:rsidR="00F2031D" w:rsidRPr="00207DC2">
        <w:rPr>
          <w:lang w:val="en-AU"/>
        </w:rPr>
        <w:t>.</w:t>
      </w:r>
      <w:r w:rsidR="00164395" w:rsidRPr="00207DC2">
        <w:rPr>
          <w:lang w:val="en-AU"/>
        </w:rPr>
        <w:t xml:space="preserve"> </w:t>
      </w:r>
    </w:p>
    <w:p w14:paraId="10848C23" w14:textId="51AD8379" w:rsidR="0062170C" w:rsidRPr="00207DC2" w:rsidRDefault="00BF258E" w:rsidP="00785B47">
      <w:pPr>
        <w:jc w:val="both"/>
        <w:rPr>
          <w:lang w:val="en-AU"/>
        </w:rPr>
      </w:pPr>
      <w:r w:rsidRPr="00207DC2">
        <w:rPr>
          <w:lang w:val="en-AU"/>
        </w:rPr>
        <w:t xml:space="preserve">Reflecting the patterns for </w:t>
      </w:r>
      <w:r w:rsidR="00680414" w:rsidRPr="00207DC2">
        <w:rPr>
          <w:i/>
          <w:lang w:val="en-AU"/>
        </w:rPr>
        <w:t>invalid</w:t>
      </w:r>
      <w:r w:rsidRPr="00207DC2">
        <w:rPr>
          <w:i/>
          <w:lang w:val="en-AU"/>
        </w:rPr>
        <w:t xml:space="preserve"> non-attendance</w:t>
      </w:r>
      <w:r w:rsidRPr="00207DC2">
        <w:rPr>
          <w:lang w:val="en-AU"/>
        </w:rPr>
        <w:t>, CDP participants</w:t>
      </w:r>
      <w:r w:rsidR="00AF1980" w:rsidRPr="00207DC2">
        <w:rPr>
          <w:lang w:val="en-AU"/>
        </w:rPr>
        <w:t xml:space="preserve"> aged under 35 and those </w:t>
      </w:r>
      <w:r w:rsidRPr="00207DC2">
        <w:rPr>
          <w:lang w:val="en-AU"/>
        </w:rPr>
        <w:t xml:space="preserve">with </w:t>
      </w:r>
      <w:r w:rsidR="00E5616A" w:rsidRPr="00207DC2">
        <w:rPr>
          <w:lang w:val="en-AU"/>
        </w:rPr>
        <w:t>certain</w:t>
      </w:r>
      <w:r w:rsidR="00EB21D1" w:rsidRPr="00207DC2">
        <w:rPr>
          <w:lang w:val="en-AU"/>
        </w:rPr>
        <w:t xml:space="preserve"> </w:t>
      </w:r>
      <w:r w:rsidR="00E5616A" w:rsidRPr="00207DC2">
        <w:rPr>
          <w:lang w:val="en-AU"/>
        </w:rPr>
        <w:t>participation and comm</w:t>
      </w:r>
      <w:r w:rsidR="003B61AA" w:rsidRPr="00207DC2">
        <w:rPr>
          <w:lang w:val="en-AU"/>
        </w:rPr>
        <w:t>unication</w:t>
      </w:r>
      <w:r w:rsidR="00E5616A" w:rsidRPr="00207DC2">
        <w:rPr>
          <w:lang w:val="en-AU"/>
        </w:rPr>
        <w:t xml:space="preserve"> </w:t>
      </w:r>
      <w:r w:rsidRPr="00207DC2">
        <w:rPr>
          <w:lang w:val="en-AU"/>
        </w:rPr>
        <w:t>barriers</w:t>
      </w:r>
      <w:r w:rsidR="00396552">
        <w:rPr>
          <w:lang w:val="en-AU"/>
        </w:rPr>
        <w:t xml:space="preserve"> – </w:t>
      </w:r>
      <w:r w:rsidR="00790539" w:rsidRPr="00207DC2">
        <w:rPr>
          <w:lang w:val="en-AU"/>
        </w:rPr>
        <w:t>i</w:t>
      </w:r>
      <w:r w:rsidR="00164395" w:rsidRPr="00207DC2">
        <w:rPr>
          <w:lang w:val="en-AU"/>
        </w:rPr>
        <w:t>ncluding those with poor English language proficiency as well as those with lower education levels, longer time unemployed, less access to private transport, and those who were not contactable by phone</w:t>
      </w:r>
      <w:r w:rsidR="00396552">
        <w:rPr>
          <w:lang w:val="en-AU"/>
        </w:rPr>
        <w:t xml:space="preserve"> – </w:t>
      </w:r>
      <w:r w:rsidR="00584C5C" w:rsidRPr="00207DC2">
        <w:rPr>
          <w:lang w:val="en-AU"/>
        </w:rPr>
        <w:t>we</w:t>
      </w:r>
      <w:r w:rsidRPr="00207DC2">
        <w:rPr>
          <w:lang w:val="en-AU"/>
        </w:rPr>
        <w:t xml:space="preserve">re most impacted by financial penalties in terms of the frequency of applied penalties and the total amount of </w:t>
      </w:r>
      <w:r w:rsidR="00B712F2" w:rsidRPr="00207DC2">
        <w:rPr>
          <w:lang w:val="en-AU"/>
        </w:rPr>
        <w:t>Australian Government payments</w:t>
      </w:r>
      <w:r w:rsidR="007402F4" w:rsidRPr="00207DC2">
        <w:rPr>
          <w:lang w:val="en-AU"/>
        </w:rPr>
        <w:t xml:space="preserve"> lost to penalties over a 12</w:t>
      </w:r>
      <w:r w:rsidR="00902220" w:rsidRPr="00207DC2">
        <w:rPr>
          <w:lang w:val="en-AU"/>
        </w:rPr>
        <w:t>-</w:t>
      </w:r>
      <w:r w:rsidRPr="00207DC2">
        <w:rPr>
          <w:lang w:val="en-AU"/>
        </w:rPr>
        <w:t>month period.</w:t>
      </w:r>
      <w:r w:rsidR="00680414" w:rsidRPr="00207DC2">
        <w:rPr>
          <w:lang w:val="en-AU"/>
        </w:rPr>
        <w:t xml:space="preserve"> </w:t>
      </w:r>
    </w:p>
    <w:p w14:paraId="37A1754C" w14:textId="01DC6788" w:rsidR="002C1189" w:rsidRPr="00207DC2" w:rsidRDefault="008E6302" w:rsidP="00785B47">
      <w:pPr>
        <w:jc w:val="both"/>
        <w:rPr>
          <w:lang w:val="en-AU"/>
        </w:rPr>
      </w:pPr>
      <w:r w:rsidRPr="00207DC2">
        <w:rPr>
          <w:lang w:val="en-AU"/>
        </w:rPr>
        <w:t xml:space="preserve">The evaluation fieldwork suggests </w:t>
      </w:r>
      <w:r w:rsidR="0039116F" w:rsidRPr="00207DC2">
        <w:rPr>
          <w:lang w:val="en-AU"/>
        </w:rPr>
        <w:t xml:space="preserve">that </w:t>
      </w:r>
      <w:r w:rsidR="005241AB" w:rsidRPr="00207DC2">
        <w:rPr>
          <w:lang w:val="en-AU"/>
        </w:rPr>
        <w:t xml:space="preserve">part of the reason for high rates of penalties and their concentration among particular </w:t>
      </w:r>
      <w:r w:rsidR="00E46C60" w:rsidRPr="00207DC2">
        <w:rPr>
          <w:lang w:val="en-AU"/>
        </w:rPr>
        <w:t>subgroups with</w:t>
      </w:r>
      <w:r w:rsidR="00EB21D1" w:rsidRPr="00207DC2">
        <w:rPr>
          <w:lang w:val="en-AU"/>
        </w:rPr>
        <w:t xml:space="preserve"> existing barriers to employment</w:t>
      </w:r>
      <w:r w:rsidR="005241AB" w:rsidRPr="00207DC2">
        <w:rPr>
          <w:lang w:val="en-AU"/>
        </w:rPr>
        <w:t xml:space="preserve"> </w:t>
      </w:r>
      <w:r w:rsidRPr="00207DC2">
        <w:rPr>
          <w:lang w:val="en-AU"/>
        </w:rPr>
        <w:t>is</w:t>
      </w:r>
      <w:r w:rsidR="005241AB" w:rsidRPr="00207DC2">
        <w:rPr>
          <w:lang w:val="en-AU"/>
        </w:rPr>
        <w:t xml:space="preserve"> that some CDP participants </w:t>
      </w:r>
      <w:r w:rsidR="0007183F" w:rsidRPr="00207DC2">
        <w:rPr>
          <w:lang w:val="en-AU"/>
        </w:rPr>
        <w:t xml:space="preserve">did not </w:t>
      </w:r>
      <w:r w:rsidR="005241AB" w:rsidRPr="00207DC2">
        <w:rPr>
          <w:lang w:val="en-AU"/>
        </w:rPr>
        <w:t>understand the compliance system and</w:t>
      </w:r>
      <w:r w:rsidR="0007183F" w:rsidRPr="00207DC2">
        <w:rPr>
          <w:lang w:val="en-AU"/>
        </w:rPr>
        <w:t xml:space="preserve"> had</w:t>
      </w:r>
      <w:r w:rsidR="005241AB" w:rsidRPr="00207DC2">
        <w:rPr>
          <w:lang w:val="en-AU"/>
        </w:rPr>
        <w:t xml:space="preserve"> difficulty communicating with </w:t>
      </w:r>
      <w:r w:rsidR="0007183F" w:rsidRPr="00207DC2">
        <w:rPr>
          <w:lang w:val="en-AU"/>
        </w:rPr>
        <w:t>Centrelink</w:t>
      </w:r>
      <w:r w:rsidR="00D06964" w:rsidRPr="00207DC2">
        <w:rPr>
          <w:lang w:val="en-AU"/>
        </w:rPr>
        <w:t xml:space="preserve"> </w:t>
      </w:r>
      <w:r w:rsidR="005241AB" w:rsidRPr="00207DC2">
        <w:rPr>
          <w:lang w:val="en-AU"/>
        </w:rPr>
        <w:t>or the</w:t>
      </w:r>
      <w:r w:rsidR="003B61AA" w:rsidRPr="00207DC2">
        <w:rPr>
          <w:lang w:val="en-AU"/>
        </w:rPr>
        <w:t>ir</w:t>
      </w:r>
      <w:r w:rsidR="005241AB" w:rsidRPr="00207DC2">
        <w:rPr>
          <w:lang w:val="en-AU"/>
        </w:rPr>
        <w:t xml:space="preserve"> CDP Provider</w:t>
      </w:r>
      <w:r w:rsidRPr="00207DC2">
        <w:rPr>
          <w:lang w:val="en-AU"/>
        </w:rPr>
        <w:t xml:space="preserve"> (Winangali and Ipsos 2018)</w:t>
      </w:r>
      <w:r w:rsidR="0039116F" w:rsidRPr="00207DC2">
        <w:rPr>
          <w:lang w:val="en-AU"/>
        </w:rPr>
        <w:t xml:space="preserve">. </w:t>
      </w:r>
      <w:r w:rsidR="00A63EB3" w:rsidRPr="00207DC2">
        <w:rPr>
          <w:lang w:val="en-AU"/>
        </w:rPr>
        <w:t>Winangali and Ipsos (2018)</w:t>
      </w:r>
      <w:r w:rsidR="0062170C" w:rsidRPr="00207DC2">
        <w:rPr>
          <w:lang w:val="en-AU"/>
        </w:rPr>
        <w:t xml:space="preserve"> also found that</w:t>
      </w:r>
      <w:r w:rsidR="0007183F" w:rsidRPr="00207DC2">
        <w:rPr>
          <w:lang w:val="en-AU"/>
        </w:rPr>
        <w:t xml:space="preserve"> participants</w:t>
      </w:r>
      <w:r w:rsidR="0062170C" w:rsidRPr="00207DC2">
        <w:rPr>
          <w:lang w:val="en-AU"/>
        </w:rPr>
        <w:t xml:space="preserve"> </w:t>
      </w:r>
      <w:r w:rsidR="0007183F" w:rsidRPr="00207DC2">
        <w:rPr>
          <w:lang w:val="en-AU"/>
        </w:rPr>
        <w:t xml:space="preserve">can </w:t>
      </w:r>
      <w:r w:rsidR="0062170C" w:rsidRPr="00207DC2">
        <w:rPr>
          <w:lang w:val="en-AU"/>
        </w:rPr>
        <w:t>fail to re</w:t>
      </w:r>
      <w:r w:rsidR="0062170C" w:rsidRPr="00207DC2">
        <w:rPr>
          <w:lang w:val="en-AU"/>
        </w:rPr>
        <w:noBreakHyphen/>
        <w:t xml:space="preserve">engage </w:t>
      </w:r>
      <w:r w:rsidR="00403F31" w:rsidRPr="00207DC2">
        <w:rPr>
          <w:lang w:val="en-AU"/>
        </w:rPr>
        <w:t>when they had</w:t>
      </w:r>
      <w:r w:rsidR="00CE1FF4" w:rsidRPr="00207DC2">
        <w:rPr>
          <w:lang w:val="en-AU"/>
        </w:rPr>
        <w:t xml:space="preserve"> </w:t>
      </w:r>
      <w:r w:rsidR="00A63EB3" w:rsidRPr="00207DC2">
        <w:rPr>
          <w:lang w:val="en-AU"/>
        </w:rPr>
        <w:t>difficulties communicating with Centrelink</w:t>
      </w:r>
      <w:r w:rsidR="002B7935" w:rsidRPr="00207DC2">
        <w:rPr>
          <w:lang w:val="en-AU"/>
        </w:rPr>
        <w:t xml:space="preserve"> staff</w:t>
      </w:r>
      <w:r w:rsidR="0062170C" w:rsidRPr="00207DC2">
        <w:rPr>
          <w:lang w:val="en-AU"/>
        </w:rPr>
        <w:t>.</w:t>
      </w:r>
    </w:p>
    <w:p w14:paraId="61046A34" w14:textId="09334F04" w:rsidR="009D2E0F" w:rsidRPr="00207DC2" w:rsidRDefault="00535C00" w:rsidP="009D2E0F">
      <w:pPr>
        <w:jc w:val="both"/>
        <w:rPr>
          <w:lang w:val="en-AU"/>
        </w:rPr>
      </w:pPr>
      <w:r w:rsidRPr="00207DC2">
        <w:rPr>
          <w:lang w:val="en-AU"/>
        </w:rPr>
        <w:t>Some</w:t>
      </w:r>
      <w:r w:rsidR="007D7789" w:rsidRPr="00207DC2">
        <w:rPr>
          <w:lang w:val="en-AU"/>
        </w:rPr>
        <w:t xml:space="preserve"> providers </w:t>
      </w:r>
      <w:r w:rsidR="00330DC1" w:rsidRPr="00207DC2">
        <w:rPr>
          <w:lang w:val="en-AU"/>
        </w:rPr>
        <w:t xml:space="preserve">in the fieldwork study </w:t>
      </w:r>
      <w:r w:rsidR="003A21A4" w:rsidRPr="00207DC2">
        <w:rPr>
          <w:lang w:val="en-AU"/>
        </w:rPr>
        <w:t>reported</w:t>
      </w:r>
      <w:r w:rsidR="007D7789" w:rsidRPr="00207DC2">
        <w:rPr>
          <w:lang w:val="en-AU"/>
        </w:rPr>
        <w:t xml:space="preserve"> undertaking</w:t>
      </w:r>
      <w:r w:rsidR="0039116F" w:rsidRPr="00207DC2">
        <w:rPr>
          <w:lang w:val="en-AU"/>
        </w:rPr>
        <w:t xml:space="preserve"> close case management of clients with follow up and outreach to client</w:t>
      </w:r>
      <w:r w:rsidR="007D7789" w:rsidRPr="00207DC2">
        <w:rPr>
          <w:lang w:val="en-AU"/>
        </w:rPr>
        <w:t xml:space="preserve"> homes and greater use of inter</w:t>
      </w:r>
      <w:r w:rsidR="0039116F" w:rsidRPr="00207DC2">
        <w:rPr>
          <w:lang w:val="en-AU"/>
        </w:rPr>
        <w:t>v</w:t>
      </w:r>
      <w:r w:rsidR="007D7789" w:rsidRPr="00207DC2">
        <w:rPr>
          <w:lang w:val="en-AU"/>
        </w:rPr>
        <w:t>ent</w:t>
      </w:r>
      <w:r w:rsidR="0039116F" w:rsidRPr="00207DC2">
        <w:rPr>
          <w:lang w:val="en-AU"/>
        </w:rPr>
        <w:t xml:space="preserve">ion management when participants </w:t>
      </w:r>
      <w:r w:rsidR="002268E2" w:rsidRPr="00207DC2">
        <w:rPr>
          <w:lang w:val="en-AU"/>
        </w:rPr>
        <w:t>did</w:t>
      </w:r>
      <w:r w:rsidR="0016446B" w:rsidRPr="00207DC2">
        <w:rPr>
          <w:lang w:val="en-AU"/>
        </w:rPr>
        <w:t xml:space="preserve"> </w:t>
      </w:r>
      <w:r w:rsidR="002268E2" w:rsidRPr="00207DC2">
        <w:rPr>
          <w:lang w:val="en-AU"/>
        </w:rPr>
        <w:t>n</w:t>
      </w:r>
      <w:r w:rsidR="0016446B" w:rsidRPr="00207DC2">
        <w:rPr>
          <w:lang w:val="en-AU"/>
        </w:rPr>
        <w:t>o</w:t>
      </w:r>
      <w:r w:rsidR="002268E2" w:rsidRPr="00207DC2">
        <w:rPr>
          <w:lang w:val="en-AU"/>
        </w:rPr>
        <w:t>t</w:t>
      </w:r>
      <w:r w:rsidR="0039116F" w:rsidRPr="00207DC2">
        <w:rPr>
          <w:lang w:val="en-AU"/>
        </w:rPr>
        <w:t xml:space="preserve"> attend</w:t>
      </w:r>
      <w:r w:rsidRPr="00207DC2">
        <w:rPr>
          <w:lang w:val="en-AU"/>
        </w:rPr>
        <w:t xml:space="preserve"> (Winangali and Ipsos 2018)</w:t>
      </w:r>
      <w:r w:rsidR="007D7789" w:rsidRPr="00207DC2">
        <w:rPr>
          <w:lang w:val="en-AU"/>
        </w:rPr>
        <w:t xml:space="preserve">. </w:t>
      </w:r>
      <w:r w:rsidR="00697B49" w:rsidRPr="00207DC2">
        <w:rPr>
          <w:lang w:val="en-AU"/>
        </w:rPr>
        <w:t>Winangali</w:t>
      </w:r>
      <w:r w:rsidR="003676A5" w:rsidRPr="00207DC2">
        <w:rPr>
          <w:lang w:val="en-AU"/>
        </w:rPr>
        <w:t xml:space="preserve"> and Ipsos </w:t>
      </w:r>
      <w:r w:rsidR="002D02CD" w:rsidRPr="00207DC2">
        <w:rPr>
          <w:lang w:val="en-AU"/>
        </w:rPr>
        <w:t xml:space="preserve">(2018) </w:t>
      </w:r>
      <w:r w:rsidR="003676A5" w:rsidRPr="00207DC2">
        <w:rPr>
          <w:lang w:val="en-AU"/>
        </w:rPr>
        <w:t>concluded that CDP p</w:t>
      </w:r>
      <w:r w:rsidR="007D7789" w:rsidRPr="00207DC2">
        <w:rPr>
          <w:lang w:val="en-AU"/>
        </w:rPr>
        <w:t>roviders with sufficient knowledge of participants could further help minimi</w:t>
      </w:r>
      <w:r w:rsidR="00A2220B" w:rsidRPr="00207DC2">
        <w:rPr>
          <w:lang w:val="en-AU"/>
        </w:rPr>
        <w:t>s</w:t>
      </w:r>
      <w:r w:rsidR="007D7789" w:rsidRPr="00207DC2">
        <w:rPr>
          <w:lang w:val="en-AU"/>
        </w:rPr>
        <w:t>e penalisation if they were able to take more of a role in assisting participants to contact the Department of Human Services and explain participant reasons for non-attendance</w:t>
      </w:r>
      <w:r w:rsidR="005241AB" w:rsidRPr="00207DC2" w:rsidDel="0039116F">
        <w:rPr>
          <w:lang w:val="en-AU"/>
        </w:rPr>
        <w:t>.</w:t>
      </w:r>
    </w:p>
    <w:tbl>
      <w:tblPr>
        <w:tblStyle w:val="TableGrid"/>
        <w:tblW w:w="0" w:type="auto"/>
        <w:tblLook w:val="04A0" w:firstRow="1" w:lastRow="0" w:firstColumn="1" w:lastColumn="0" w:noHBand="0" w:noVBand="1"/>
        <w:tblCaption w:val="Finding 2"/>
      </w:tblPr>
      <w:tblGrid>
        <w:gridCol w:w="9016"/>
      </w:tblGrid>
      <w:tr w:rsidR="009D2E0F" w:rsidRPr="00207DC2" w14:paraId="3AAD2EA3" w14:textId="77777777" w:rsidTr="000A3951">
        <w:trPr>
          <w:tblHeader/>
        </w:trPr>
        <w:tc>
          <w:tcPr>
            <w:tcW w:w="9016" w:type="dxa"/>
          </w:tcPr>
          <w:p w14:paraId="016B496D" w14:textId="1ADF5E7C" w:rsidR="009D2E0F" w:rsidRPr="00207DC2" w:rsidRDefault="009D2E0F" w:rsidP="0070393C">
            <w:pPr>
              <w:spacing w:before="120"/>
              <w:jc w:val="both"/>
              <w:rPr>
                <w:b/>
                <w:i/>
                <w:szCs w:val="20"/>
                <w:lang w:val="en-AU"/>
              </w:rPr>
            </w:pPr>
            <w:r w:rsidRPr="00207DC2">
              <w:rPr>
                <w:b/>
                <w:i/>
                <w:szCs w:val="20"/>
                <w:lang w:val="en-AU"/>
              </w:rPr>
              <w:t xml:space="preserve">Finding </w:t>
            </w:r>
            <w:r w:rsidR="00B504BA" w:rsidRPr="00207DC2">
              <w:rPr>
                <w:b/>
                <w:i/>
                <w:szCs w:val="20"/>
                <w:lang w:val="en-AU"/>
              </w:rPr>
              <w:t>2</w:t>
            </w:r>
          </w:p>
          <w:p w14:paraId="0C6C8814" w14:textId="4EE504B8" w:rsidR="009D2E0F" w:rsidRPr="00207DC2" w:rsidRDefault="009D2E0F" w:rsidP="0070393C">
            <w:pPr>
              <w:tabs>
                <w:tab w:val="left" w:pos="7714"/>
              </w:tabs>
              <w:jc w:val="both"/>
              <w:rPr>
                <w:i/>
                <w:szCs w:val="20"/>
                <w:lang w:val="en-AU"/>
              </w:rPr>
            </w:pPr>
            <w:r w:rsidRPr="00207DC2">
              <w:rPr>
                <w:i/>
                <w:szCs w:val="20"/>
                <w:lang w:val="en-AU"/>
              </w:rPr>
              <w:t xml:space="preserve">CDP providers could </w:t>
            </w:r>
            <w:r w:rsidRPr="00207DC2" w:rsidDel="00EC28AE">
              <w:rPr>
                <w:i/>
                <w:szCs w:val="20"/>
                <w:lang w:val="en-AU"/>
              </w:rPr>
              <w:t>ta</w:t>
            </w:r>
            <w:r w:rsidRPr="00207DC2">
              <w:rPr>
                <w:i/>
                <w:szCs w:val="20"/>
                <w:lang w:val="en-AU"/>
              </w:rPr>
              <w:t>ke more of a role in preventing and managing non-compliance. This could include co-ordinating contact between the Department of Human Services and participants, which may help ensure that</w:t>
            </w:r>
            <w:r w:rsidRPr="00207DC2" w:rsidDel="00EC28AE">
              <w:rPr>
                <w:i/>
                <w:szCs w:val="20"/>
                <w:lang w:val="en-AU"/>
              </w:rPr>
              <w:t xml:space="preserve"> </w:t>
            </w:r>
            <w:r w:rsidRPr="00207DC2">
              <w:rPr>
                <w:i/>
                <w:szCs w:val="20"/>
                <w:lang w:val="en-AU"/>
              </w:rPr>
              <w:t>participant mutual obligation requirements are reviewed and updated in a timely manner.</w:t>
            </w:r>
          </w:p>
        </w:tc>
      </w:tr>
    </w:tbl>
    <w:p w14:paraId="3C45A3FD" w14:textId="18E4EE06" w:rsidR="00C5753E" w:rsidRPr="00AF23A2" w:rsidRDefault="001E11DB" w:rsidP="00A95A36">
      <w:pPr>
        <w:pStyle w:val="ZED6"/>
      </w:pPr>
      <w:r w:rsidRPr="00AF23A2">
        <w:t>P</w:t>
      </w:r>
      <w:r w:rsidR="003C244D" w:rsidRPr="00AF23A2">
        <w:t>enalties and attendance</w:t>
      </w:r>
      <w:r w:rsidRPr="00AF23A2">
        <w:t xml:space="preserve"> for CDP participants</w:t>
      </w:r>
    </w:p>
    <w:p w14:paraId="56B0EF36" w14:textId="77777777" w:rsidR="005B1148" w:rsidRPr="00207DC2" w:rsidRDefault="006D0850" w:rsidP="00C5753E">
      <w:pPr>
        <w:spacing w:before="120" w:after="120"/>
        <w:jc w:val="both"/>
        <w:rPr>
          <w:lang w:val="en-AU"/>
        </w:rPr>
      </w:pPr>
      <w:r w:rsidRPr="00207DC2">
        <w:rPr>
          <w:lang w:val="en-AU"/>
        </w:rPr>
        <w:t>By encouraging participation in employment and community activities (</w:t>
      </w:r>
      <w:r w:rsidRPr="00207DC2">
        <w:rPr>
          <w:rFonts w:cstheme="minorHAnsi"/>
          <w:lang w:val="en-AU"/>
        </w:rPr>
        <w:t>including Work for the Dole activities</w:t>
      </w:r>
      <w:r w:rsidRPr="00207DC2">
        <w:rPr>
          <w:lang w:val="en-AU"/>
        </w:rPr>
        <w:t xml:space="preserve">), penalties have the potential to support the development of skills and confidence for </w:t>
      </w:r>
      <w:r w:rsidR="00A13ABC" w:rsidRPr="00207DC2">
        <w:rPr>
          <w:lang w:val="en-AU"/>
        </w:rPr>
        <w:t>participant</w:t>
      </w:r>
      <w:r w:rsidRPr="00207DC2">
        <w:rPr>
          <w:lang w:val="en-AU"/>
        </w:rPr>
        <w:t>s, and to improve their employment outcomes.</w:t>
      </w:r>
      <w:r w:rsidR="005B1148" w:rsidRPr="00207DC2">
        <w:rPr>
          <w:lang w:val="en-AU"/>
        </w:rPr>
        <w:t xml:space="preserve"> </w:t>
      </w:r>
    </w:p>
    <w:p w14:paraId="5CD5BD56" w14:textId="2EE823B9" w:rsidR="00A30B6C" w:rsidRPr="00207DC2" w:rsidRDefault="005B1148" w:rsidP="001D4E9E">
      <w:pPr>
        <w:spacing w:before="120" w:after="120"/>
        <w:jc w:val="both"/>
        <w:rPr>
          <w:lang w:val="en-AU"/>
        </w:rPr>
      </w:pPr>
      <w:r w:rsidRPr="00207DC2">
        <w:rPr>
          <w:lang w:val="en-AU"/>
        </w:rPr>
        <w:t xml:space="preserve">How </w:t>
      </w:r>
      <w:r w:rsidR="00A30B6C" w:rsidRPr="00207DC2">
        <w:rPr>
          <w:lang w:val="en-AU"/>
        </w:rPr>
        <w:t xml:space="preserve">CDP </w:t>
      </w:r>
      <w:r w:rsidRPr="00207DC2">
        <w:rPr>
          <w:lang w:val="en-AU"/>
        </w:rPr>
        <w:t>participa</w:t>
      </w:r>
      <w:r w:rsidR="00F54071" w:rsidRPr="00207DC2">
        <w:rPr>
          <w:lang w:val="en-AU"/>
        </w:rPr>
        <w:t>n</w:t>
      </w:r>
      <w:r w:rsidRPr="00207DC2">
        <w:rPr>
          <w:lang w:val="en-AU"/>
        </w:rPr>
        <w:t>ts respond to</w:t>
      </w:r>
      <w:r w:rsidR="00396552">
        <w:rPr>
          <w:lang w:val="en-AU"/>
        </w:rPr>
        <w:t xml:space="preserve"> – </w:t>
      </w:r>
      <w:r w:rsidRPr="00207DC2">
        <w:rPr>
          <w:lang w:val="en-AU"/>
        </w:rPr>
        <w:t xml:space="preserve">or the extent to which they </w:t>
      </w:r>
      <w:r w:rsidRPr="00207DC2">
        <w:rPr>
          <w:i/>
          <w:lang w:val="en-AU"/>
        </w:rPr>
        <w:t>comply with</w:t>
      </w:r>
      <w:r w:rsidR="00396552">
        <w:rPr>
          <w:lang w:val="en-AU"/>
        </w:rPr>
        <w:t xml:space="preserve"> – </w:t>
      </w:r>
      <w:r w:rsidRPr="00207DC2">
        <w:rPr>
          <w:lang w:val="en-AU"/>
        </w:rPr>
        <w:t xml:space="preserve">the possibility of a </w:t>
      </w:r>
      <w:r w:rsidR="00DF3314" w:rsidRPr="00207DC2">
        <w:rPr>
          <w:lang w:val="en-AU"/>
        </w:rPr>
        <w:t>penal</w:t>
      </w:r>
      <w:r w:rsidRPr="00207DC2">
        <w:rPr>
          <w:lang w:val="en-AU"/>
        </w:rPr>
        <w:t xml:space="preserve">ty is an empirical question. </w:t>
      </w:r>
      <w:r w:rsidR="003C244D" w:rsidRPr="00207DC2">
        <w:rPr>
          <w:lang w:val="en-AU"/>
        </w:rPr>
        <w:t>Without data on a</w:t>
      </w:r>
      <w:r w:rsidR="000A7712" w:rsidRPr="00207DC2">
        <w:rPr>
          <w:lang w:val="en-AU"/>
        </w:rPr>
        <w:t xml:space="preserve"> comparable group of participants that </w:t>
      </w:r>
      <w:r w:rsidR="003C244D" w:rsidRPr="00207DC2">
        <w:rPr>
          <w:lang w:val="en-AU"/>
        </w:rPr>
        <w:t>are not</w:t>
      </w:r>
      <w:r w:rsidR="000A7712" w:rsidRPr="00207DC2">
        <w:rPr>
          <w:lang w:val="en-AU"/>
        </w:rPr>
        <w:t xml:space="preserve"> exposed to</w:t>
      </w:r>
      <w:r w:rsidR="003C244D" w:rsidRPr="00207DC2">
        <w:rPr>
          <w:lang w:val="en-AU"/>
        </w:rPr>
        <w:t xml:space="preserve"> the possibility of a</w:t>
      </w:r>
      <w:r w:rsidR="000A7712" w:rsidRPr="00207DC2">
        <w:rPr>
          <w:lang w:val="en-AU"/>
        </w:rPr>
        <w:t xml:space="preserve"> penalt</w:t>
      </w:r>
      <w:r w:rsidR="00C50096" w:rsidRPr="00207DC2">
        <w:rPr>
          <w:lang w:val="en-AU"/>
        </w:rPr>
        <w:t>y</w:t>
      </w:r>
      <w:r w:rsidR="000A7712" w:rsidRPr="00207DC2">
        <w:rPr>
          <w:lang w:val="en-AU"/>
        </w:rPr>
        <w:t xml:space="preserve">, it is not possible to estimate how </w:t>
      </w:r>
      <w:r w:rsidR="00C5753E" w:rsidRPr="00207DC2">
        <w:rPr>
          <w:lang w:val="en-AU"/>
        </w:rPr>
        <w:t>remote participants change their attendance behaviour in response to the possibility</w:t>
      </w:r>
      <w:r w:rsidR="006B5175" w:rsidRPr="00207DC2">
        <w:rPr>
          <w:lang w:val="en-AU"/>
        </w:rPr>
        <w:t xml:space="preserve"> (or increased possibility)</w:t>
      </w:r>
      <w:r w:rsidR="00C5753E" w:rsidRPr="00207DC2">
        <w:rPr>
          <w:lang w:val="en-AU"/>
        </w:rPr>
        <w:t xml:space="preserve"> of a penalty.</w:t>
      </w:r>
      <w:r w:rsidR="00A30B6C" w:rsidRPr="00207DC2">
        <w:rPr>
          <w:lang w:val="en-AU"/>
        </w:rPr>
        <w:t xml:space="preserve"> </w:t>
      </w:r>
      <w:r w:rsidR="006B5175" w:rsidRPr="00207DC2">
        <w:rPr>
          <w:lang w:val="en-AU"/>
        </w:rPr>
        <w:t>That sa</w:t>
      </w:r>
      <w:r w:rsidR="00F54071" w:rsidRPr="00207DC2">
        <w:rPr>
          <w:lang w:val="en-AU"/>
        </w:rPr>
        <w:t>i</w:t>
      </w:r>
      <w:r w:rsidR="006B5175" w:rsidRPr="00207DC2">
        <w:rPr>
          <w:lang w:val="en-AU"/>
        </w:rPr>
        <w:t xml:space="preserve">d, </w:t>
      </w:r>
      <w:r w:rsidR="003C244D" w:rsidRPr="00207DC2">
        <w:rPr>
          <w:lang w:val="en-AU"/>
        </w:rPr>
        <w:t>admin</w:t>
      </w:r>
      <w:r w:rsidR="00F54071" w:rsidRPr="00207DC2">
        <w:rPr>
          <w:lang w:val="en-AU"/>
        </w:rPr>
        <w:t>i</w:t>
      </w:r>
      <w:r w:rsidR="003C244D" w:rsidRPr="00207DC2">
        <w:rPr>
          <w:lang w:val="en-AU"/>
        </w:rPr>
        <w:t>st</w:t>
      </w:r>
      <w:r w:rsidR="00F54071" w:rsidRPr="00207DC2">
        <w:rPr>
          <w:lang w:val="en-AU"/>
        </w:rPr>
        <w:t>ra</w:t>
      </w:r>
      <w:r w:rsidR="003C244D" w:rsidRPr="00207DC2">
        <w:rPr>
          <w:lang w:val="en-AU"/>
        </w:rPr>
        <w:t xml:space="preserve">tive data can track </w:t>
      </w:r>
      <w:r w:rsidR="006B5175" w:rsidRPr="00207DC2">
        <w:rPr>
          <w:lang w:val="en-AU"/>
        </w:rPr>
        <w:t xml:space="preserve">penalised </w:t>
      </w:r>
      <w:r w:rsidR="003C244D" w:rsidRPr="00207DC2">
        <w:rPr>
          <w:lang w:val="en-AU"/>
        </w:rPr>
        <w:t xml:space="preserve">CDP participants to see </w:t>
      </w:r>
      <w:r w:rsidR="00F54071" w:rsidRPr="00207DC2">
        <w:rPr>
          <w:lang w:val="en-AU"/>
        </w:rPr>
        <w:t>how</w:t>
      </w:r>
      <w:r w:rsidR="003C244D" w:rsidRPr="00207DC2">
        <w:rPr>
          <w:lang w:val="en-AU"/>
        </w:rPr>
        <w:t xml:space="preserve"> </w:t>
      </w:r>
      <w:r w:rsidR="006B5175" w:rsidRPr="00207DC2">
        <w:rPr>
          <w:lang w:val="en-AU"/>
        </w:rPr>
        <w:t xml:space="preserve">the </w:t>
      </w:r>
      <w:r w:rsidR="006B5175" w:rsidRPr="00207DC2">
        <w:rPr>
          <w:i/>
          <w:lang w:val="en-AU"/>
        </w:rPr>
        <w:t>application of a</w:t>
      </w:r>
      <w:r w:rsidR="003C244D" w:rsidRPr="00207DC2">
        <w:rPr>
          <w:i/>
          <w:lang w:val="en-AU"/>
        </w:rPr>
        <w:t xml:space="preserve"> penalty</w:t>
      </w:r>
      <w:r w:rsidR="003C244D" w:rsidRPr="00207DC2">
        <w:rPr>
          <w:lang w:val="en-AU"/>
        </w:rPr>
        <w:t xml:space="preserve"> </w:t>
      </w:r>
      <w:r w:rsidR="006B5175" w:rsidRPr="00207DC2">
        <w:rPr>
          <w:lang w:val="en-AU"/>
        </w:rPr>
        <w:t xml:space="preserve">impacts on </w:t>
      </w:r>
      <w:r w:rsidR="003C244D" w:rsidRPr="00207DC2">
        <w:rPr>
          <w:lang w:val="en-AU"/>
        </w:rPr>
        <w:t xml:space="preserve">their outcomes. </w:t>
      </w:r>
    </w:p>
    <w:p w14:paraId="0ECD7A77" w14:textId="3F70971B" w:rsidR="00944409" w:rsidRPr="00207DC2" w:rsidRDefault="007406DE" w:rsidP="007A657A">
      <w:pPr>
        <w:spacing w:before="120" w:after="120"/>
        <w:jc w:val="both"/>
        <w:rPr>
          <w:lang w:val="en-AU"/>
        </w:rPr>
      </w:pPr>
      <w:r w:rsidRPr="00207DC2">
        <w:rPr>
          <w:lang w:val="en-AU"/>
        </w:rPr>
        <w:t>T</w:t>
      </w:r>
      <w:r w:rsidR="00C111DD" w:rsidRPr="00207DC2">
        <w:rPr>
          <w:lang w:val="en-AU"/>
        </w:rPr>
        <w:t>he applicat</w:t>
      </w:r>
      <w:r w:rsidR="003B7C8B" w:rsidRPr="00207DC2">
        <w:rPr>
          <w:lang w:val="en-AU"/>
        </w:rPr>
        <w:t>i</w:t>
      </w:r>
      <w:r w:rsidR="00C111DD" w:rsidRPr="00207DC2">
        <w:rPr>
          <w:lang w:val="en-AU"/>
        </w:rPr>
        <w:t xml:space="preserve">on of a penalty </w:t>
      </w:r>
      <w:r w:rsidR="007A657A" w:rsidRPr="00207DC2">
        <w:rPr>
          <w:lang w:val="en-AU"/>
        </w:rPr>
        <w:t xml:space="preserve">may, to some </w:t>
      </w:r>
      <w:r w:rsidR="00581595" w:rsidRPr="00207DC2">
        <w:rPr>
          <w:lang w:val="en-AU"/>
        </w:rPr>
        <w:t>extent</w:t>
      </w:r>
      <w:r w:rsidR="007A657A" w:rsidRPr="00207DC2">
        <w:rPr>
          <w:lang w:val="en-AU"/>
        </w:rPr>
        <w:t>, improve subsequent attendance among some CDP participants</w:t>
      </w:r>
      <w:r w:rsidR="00293D62" w:rsidRPr="00207DC2">
        <w:rPr>
          <w:lang w:val="en-AU"/>
        </w:rPr>
        <w:t xml:space="preserve">. </w:t>
      </w:r>
      <w:r w:rsidR="007A657A" w:rsidRPr="00207DC2">
        <w:rPr>
          <w:lang w:val="en-AU"/>
        </w:rPr>
        <w:t xml:space="preserve">The most highly penalised CDP participants in the first quarter of 2016 increased their subsequent attendance rates over the year by </w:t>
      </w:r>
      <w:r w:rsidR="00D30648">
        <w:rPr>
          <w:lang w:val="en-AU"/>
        </w:rPr>
        <w:t>seven</w:t>
      </w:r>
      <w:r w:rsidR="007A657A" w:rsidRPr="00207DC2">
        <w:rPr>
          <w:lang w:val="en-AU"/>
        </w:rPr>
        <w:t> </w:t>
      </w:r>
      <w:r w:rsidR="00581595" w:rsidRPr="00207DC2">
        <w:rPr>
          <w:lang w:val="en-AU"/>
        </w:rPr>
        <w:t>percentage</w:t>
      </w:r>
      <w:r w:rsidR="007A657A" w:rsidRPr="00207DC2">
        <w:rPr>
          <w:lang w:val="en-AU"/>
        </w:rPr>
        <w:t xml:space="preserve"> points</w:t>
      </w:r>
      <w:r w:rsidR="00581595" w:rsidRPr="00207DC2">
        <w:rPr>
          <w:lang w:val="en-AU"/>
        </w:rPr>
        <w:t>;</w:t>
      </w:r>
      <w:r w:rsidR="007A657A" w:rsidRPr="00207DC2">
        <w:rPr>
          <w:lang w:val="en-AU"/>
        </w:rPr>
        <w:t xml:space="preserve"> however</w:t>
      </w:r>
      <w:r w:rsidR="00581595" w:rsidRPr="00207DC2">
        <w:rPr>
          <w:lang w:val="en-AU"/>
        </w:rPr>
        <w:t>,</w:t>
      </w:r>
      <w:r w:rsidR="007A657A" w:rsidRPr="00207DC2">
        <w:rPr>
          <w:lang w:val="en-AU"/>
        </w:rPr>
        <w:t xml:space="preserve"> attendance rates for this group were still below average. Over the year, this group was penalised an average of </w:t>
      </w:r>
      <w:r w:rsidR="00E53DB1">
        <w:rPr>
          <w:lang w:val="en-AU"/>
        </w:rPr>
        <w:t>ten</w:t>
      </w:r>
      <w:r w:rsidR="007A657A" w:rsidRPr="00207DC2">
        <w:rPr>
          <w:lang w:val="en-AU"/>
        </w:rPr>
        <w:t xml:space="preserve"> per cent of their annual income support payments, </w:t>
      </w:r>
      <w:r w:rsidR="003A2C2C" w:rsidRPr="00207DC2">
        <w:rPr>
          <w:lang w:val="en-AU"/>
        </w:rPr>
        <w:t>double the rate</w:t>
      </w:r>
      <w:r w:rsidR="00584C5C" w:rsidRPr="00207DC2">
        <w:rPr>
          <w:lang w:val="en-AU"/>
        </w:rPr>
        <w:t xml:space="preserve"> for all participants</w:t>
      </w:r>
      <w:r w:rsidR="007A657A" w:rsidRPr="00207DC2">
        <w:rPr>
          <w:lang w:val="en-AU"/>
        </w:rPr>
        <w:t xml:space="preserve">. </w:t>
      </w:r>
    </w:p>
    <w:p w14:paraId="7BDFE21F" w14:textId="77777777" w:rsidR="007C6DA9" w:rsidRPr="00207DC2" w:rsidRDefault="00924B03" w:rsidP="004266CC">
      <w:pPr>
        <w:jc w:val="both"/>
        <w:rPr>
          <w:lang w:val="en-AU"/>
        </w:rPr>
      </w:pPr>
      <w:r w:rsidRPr="00207DC2">
        <w:rPr>
          <w:lang w:val="en-AU"/>
        </w:rPr>
        <w:t>O</w:t>
      </w:r>
      <w:r w:rsidR="004266CC" w:rsidRPr="00207DC2">
        <w:rPr>
          <w:lang w:val="en-AU"/>
        </w:rPr>
        <w:t xml:space="preserve">f those CDP participants </w:t>
      </w:r>
      <w:r w:rsidR="009D7A43" w:rsidRPr="00207DC2">
        <w:rPr>
          <w:lang w:val="en-AU"/>
        </w:rPr>
        <w:t>penalised</w:t>
      </w:r>
      <w:r w:rsidR="004266CC" w:rsidRPr="00207DC2">
        <w:rPr>
          <w:lang w:val="en-AU"/>
        </w:rPr>
        <w:t xml:space="preserve"> in the first quarter of 2016</w:t>
      </w:r>
      <w:r w:rsidR="00CC79E5" w:rsidRPr="00207DC2">
        <w:rPr>
          <w:lang w:val="en-AU"/>
        </w:rPr>
        <w:t>,</w:t>
      </w:r>
      <w:r w:rsidR="004266CC" w:rsidRPr="00207DC2">
        <w:rPr>
          <w:lang w:val="en-AU"/>
        </w:rPr>
        <w:t xml:space="preserve"> </w:t>
      </w:r>
      <w:r w:rsidR="00A127FB" w:rsidRPr="00207DC2">
        <w:rPr>
          <w:lang w:val="en-AU"/>
        </w:rPr>
        <w:t>estimates</w:t>
      </w:r>
      <w:r w:rsidR="007860DF" w:rsidRPr="00207DC2">
        <w:rPr>
          <w:lang w:val="en-AU"/>
        </w:rPr>
        <w:t xml:space="preserve"> suggest that </w:t>
      </w:r>
      <w:r w:rsidR="003D07D6" w:rsidRPr="00207DC2">
        <w:rPr>
          <w:lang w:val="en-AU"/>
        </w:rPr>
        <w:t>six</w:t>
      </w:r>
      <w:r w:rsidR="004266CC" w:rsidRPr="00207DC2">
        <w:rPr>
          <w:lang w:val="en-AU"/>
        </w:rPr>
        <w:t xml:space="preserve"> per cent </w:t>
      </w:r>
      <w:r w:rsidR="004266CC" w:rsidRPr="00207DC2">
        <w:rPr>
          <w:i/>
          <w:lang w:val="en-AU"/>
        </w:rPr>
        <w:t>disengaged</w:t>
      </w:r>
      <w:r w:rsidR="004266CC" w:rsidRPr="00207DC2">
        <w:rPr>
          <w:lang w:val="en-AU"/>
        </w:rPr>
        <w:t xml:space="preserve"> from the income support </w:t>
      </w:r>
      <w:r w:rsidR="007860DF" w:rsidRPr="00207DC2">
        <w:rPr>
          <w:lang w:val="en-AU"/>
        </w:rPr>
        <w:t xml:space="preserve">system </w:t>
      </w:r>
      <w:r w:rsidR="004266CC" w:rsidRPr="00207DC2">
        <w:rPr>
          <w:lang w:val="en-AU"/>
        </w:rPr>
        <w:t>without a prior employment outcome recorded</w:t>
      </w:r>
      <w:r w:rsidR="009D7A43" w:rsidRPr="00207DC2">
        <w:rPr>
          <w:lang w:val="en-AU"/>
        </w:rPr>
        <w:t>.</w:t>
      </w:r>
      <w:r w:rsidR="00FE43ED" w:rsidRPr="00207DC2">
        <w:rPr>
          <w:lang w:val="en-AU"/>
        </w:rPr>
        <w:t xml:space="preserve"> </w:t>
      </w:r>
      <w:r w:rsidR="001448E7" w:rsidRPr="00207DC2">
        <w:rPr>
          <w:lang w:val="en-AU"/>
        </w:rPr>
        <w:t>M</w:t>
      </w:r>
      <w:r w:rsidR="004266CC" w:rsidRPr="00207DC2">
        <w:rPr>
          <w:lang w:val="en-AU"/>
        </w:rPr>
        <w:t>en under 30 years accounted for 4</w:t>
      </w:r>
      <w:r w:rsidR="00F54071" w:rsidRPr="00207DC2">
        <w:rPr>
          <w:lang w:val="en-AU"/>
        </w:rPr>
        <w:t>3</w:t>
      </w:r>
      <w:r w:rsidR="004266CC" w:rsidRPr="00207DC2">
        <w:rPr>
          <w:lang w:val="en-AU"/>
        </w:rPr>
        <w:t xml:space="preserve"> per cent of </w:t>
      </w:r>
      <w:r w:rsidR="001448E7" w:rsidRPr="00207DC2">
        <w:rPr>
          <w:lang w:val="en-AU"/>
        </w:rPr>
        <w:t>this</w:t>
      </w:r>
      <w:r w:rsidR="004266CC" w:rsidRPr="00207DC2">
        <w:rPr>
          <w:lang w:val="en-AU"/>
        </w:rPr>
        <w:t xml:space="preserve"> group.</w:t>
      </w:r>
      <w:r w:rsidR="001856D2" w:rsidRPr="00207DC2">
        <w:rPr>
          <w:lang w:val="en-AU"/>
        </w:rPr>
        <w:t xml:space="preserve"> </w:t>
      </w:r>
      <w:r w:rsidR="007860DF" w:rsidRPr="00207DC2">
        <w:rPr>
          <w:lang w:val="en-AU"/>
        </w:rPr>
        <w:t xml:space="preserve">One year after </w:t>
      </w:r>
      <w:r w:rsidR="0014407B" w:rsidRPr="00207DC2">
        <w:rPr>
          <w:lang w:val="en-AU"/>
        </w:rPr>
        <w:t>exiting</w:t>
      </w:r>
      <w:r w:rsidR="007860DF" w:rsidRPr="00207DC2">
        <w:rPr>
          <w:lang w:val="en-AU"/>
        </w:rPr>
        <w:t xml:space="preserve"> income support benefits, </w:t>
      </w:r>
      <w:r w:rsidR="00584C5C" w:rsidRPr="00207DC2">
        <w:rPr>
          <w:lang w:val="en-AU"/>
        </w:rPr>
        <w:t xml:space="preserve">14 </w:t>
      </w:r>
      <w:r w:rsidR="00E75DEA" w:rsidRPr="00207DC2">
        <w:rPr>
          <w:lang w:val="en-AU"/>
        </w:rPr>
        <w:t xml:space="preserve">per cent </w:t>
      </w:r>
      <w:r w:rsidR="007860DF" w:rsidRPr="00207DC2">
        <w:rPr>
          <w:lang w:val="en-AU"/>
        </w:rPr>
        <w:t xml:space="preserve">of the </w:t>
      </w:r>
      <w:r w:rsidR="007860DF" w:rsidRPr="00207DC2">
        <w:rPr>
          <w:i/>
          <w:lang w:val="en-AU"/>
        </w:rPr>
        <w:t>disengaged</w:t>
      </w:r>
      <w:r w:rsidR="007860DF" w:rsidRPr="00207DC2">
        <w:rPr>
          <w:lang w:val="en-AU"/>
        </w:rPr>
        <w:t xml:space="preserve"> participants had </w:t>
      </w:r>
      <w:r w:rsidR="00E75DEA" w:rsidRPr="00207DC2">
        <w:rPr>
          <w:lang w:val="en-AU"/>
        </w:rPr>
        <w:t xml:space="preserve">not </w:t>
      </w:r>
      <w:r w:rsidR="00DF3314" w:rsidRPr="00207DC2">
        <w:rPr>
          <w:lang w:val="en-AU"/>
        </w:rPr>
        <w:t>rec</w:t>
      </w:r>
      <w:r w:rsidR="009C553C" w:rsidRPr="00207DC2">
        <w:rPr>
          <w:lang w:val="en-AU"/>
        </w:rPr>
        <w:t>e</w:t>
      </w:r>
      <w:r w:rsidR="00DF3314" w:rsidRPr="00207DC2">
        <w:rPr>
          <w:lang w:val="en-AU"/>
        </w:rPr>
        <w:t>i</w:t>
      </w:r>
      <w:r w:rsidR="009C553C" w:rsidRPr="00207DC2">
        <w:rPr>
          <w:lang w:val="en-AU"/>
        </w:rPr>
        <w:t>ved any income support</w:t>
      </w:r>
      <w:r w:rsidR="007860DF" w:rsidRPr="00207DC2">
        <w:rPr>
          <w:lang w:val="en-AU"/>
        </w:rPr>
        <w:t xml:space="preserve"> payment</w:t>
      </w:r>
      <w:r w:rsidR="00E75DEA" w:rsidRPr="00207DC2">
        <w:rPr>
          <w:lang w:val="en-AU"/>
        </w:rPr>
        <w:t xml:space="preserve">. </w:t>
      </w:r>
      <w:r w:rsidR="001856D2" w:rsidRPr="00207DC2">
        <w:rPr>
          <w:lang w:val="en-AU"/>
        </w:rPr>
        <w:t xml:space="preserve">Among </w:t>
      </w:r>
      <w:r w:rsidR="007860DF" w:rsidRPr="00207DC2">
        <w:rPr>
          <w:lang w:val="en-AU"/>
        </w:rPr>
        <w:t>thos</w:t>
      </w:r>
      <w:r w:rsidR="00F54071" w:rsidRPr="00207DC2">
        <w:rPr>
          <w:lang w:val="en-AU"/>
        </w:rPr>
        <w:t>e</w:t>
      </w:r>
      <w:r w:rsidR="001856D2" w:rsidRPr="00207DC2">
        <w:rPr>
          <w:lang w:val="en-AU"/>
        </w:rPr>
        <w:t xml:space="preserve"> that </w:t>
      </w:r>
      <w:r w:rsidR="00E75DEA" w:rsidRPr="00207DC2">
        <w:rPr>
          <w:lang w:val="en-AU"/>
        </w:rPr>
        <w:t>did</w:t>
      </w:r>
      <w:r w:rsidR="00B50E7F" w:rsidRPr="00207DC2">
        <w:rPr>
          <w:lang w:val="en-AU"/>
        </w:rPr>
        <w:t xml:space="preserve"> return</w:t>
      </w:r>
      <w:r w:rsidR="001856D2" w:rsidRPr="00207DC2">
        <w:rPr>
          <w:lang w:val="en-AU"/>
        </w:rPr>
        <w:t xml:space="preserve">, </w:t>
      </w:r>
      <w:r w:rsidR="00E75DEA" w:rsidRPr="00207DC2">
        <w:rPr>
          <w:i/>
          <w:lang w:val="en-AU"/>
        </w:rPr>
        <w:t xml:space="preserve">disengaged </w:t>
      </w:r>
      <w:r w:rsidR="00E75DEA" w:rsidRPr="00207DC2">
        <w:rPr>
          <w:lang w:val="en-AU"/>
        </w:rPr>
        <w:t>participa</w:t>
      </w:r>
      <w:r w:rsidR="00B627C2" w:rsidRPr="00207DC2">
        <w:rPr>
          <w:lang w:val="en-AU"/>
        </w:rPr>
        <w:t>n</w:t>
      </w:r>
      <w:r w:rsidR="00E75DEA" w:rsidRPr="00207DC2">
        <w:rPr>
          <w:lang w:val="en-AU"/>
        </w:rPr>
        <w:t>ts</w:t>
      </w:r>
      <w:r w:rsidR="001856D2" w:rsidRPr="00207DC2">
        <w:rPr>
          <w:lang w:val="en-AU"/>
        </w:rPr>
        <w:t xml:space="preserve"> were off income support payments</w:t>
      </w:r>
      <w:r w:rsidR="00E75DEA" w:rsidRPr="00207DC2">
        <w:rPr>
          <w:lang w:val="en-AU"/>
        </w:rPr>
        <w:t xml:space="preserve"> for</w:t>
      </w:r>
      <w:r w:rsidR="00CC79E5" w:rsidRPr="00207DC2">
        <w:rPr>
          <w:lang w:val="en-AU"/>
        </w:rPr>
        <w:t xml:space="preserve">, on average, </w:t>
      </w:r>
      <w:r w:rsidR="00E7278B" w:rsidRPr="00207DC2">
        <w:rPr>
          <w:lang w:val="en-AU"/>
        </w:rPr>
        <w:t>three</w:t>
      </w:r>
      <w:r w:rsidR="00A05E92" w:rsidRPr="00207DC2">
        <w:rPr>
          <w:lang w:val="en-AU"/>
        </w:rPr>
        <w:t> months</w:t>
      </w:r>
      <w:r w:rsidR="001856D2" w:rsidRPr="00207DC2">
        <w:rPr>
          <w:lang w:val="en-AU"/>
        </w:rPr>
        <w:t xml:space="preserve">. </w:t>
      </w:r>
    </w:p>
    <w:p w14:paraId="6F05730A" w14:textId="122ED367" w:rsidR="00AA056F" w:rsidRPr="00207DC2" w:rsidRDefault="00AE2C3D" w:rsidP="0070393C">
      <w:pPr>
        <w:jc w:val="both"/>
        <w:rPr>
          <w:lang w:val="en-AU"/>
        </w:rPr>
      </w:pPr>
      <w:r w:rsidRPr="00207DC2">
        <w:rPr>
          <w:lang w:val="en-AU"/>
        </w:rPr>
        <w:t>It is not clear if</w:t>
      </w:r>
      <w:r w:rsidR="00FE43ED" w:rsidRPr="00207DC2">
        <w:rPr>
          <w:lang w:val="en-AU"/>
        </w:rPr>
        <w:t xml:space="preserve"> young men</w:t>
      </w:r>
      <w:r w:rsidR="004513A5" w:rsidRPr="00207DC2">
        <w:rPr>
          <w:lang w:val="en-AU"/>
        </w:rPr>
        <w:t>, and others,</w:t>
      </w:r>
      <w:r w:rsidR="00FE43ED" w:rsidRPr="00207DC2">
        <w:rPr>
          <w:lang w:val="en-AU"/>
        </w:rPr>
        <w:t xml:space="preserve"> </w:t>
      </w:r>
      <w:r w:rsidR="00FE43ED" w:rsidRPr="00207DC2">
        <w:rPr>
          <w:i/>
          <w:lang w:val="en-AU"/>
        </w:rPr>
        <w:t>disengag</w:t>
      </w:r>
      <w:r w:rsidR="00E76371" w:rsidRPr="00207DC2">
        <w:rPr>
          <w:i/>
          <w:lang w:val="en-AU"/>
        </w:rPr>
        <w:t>ed</w:t>
      </w:r>
      <w:r w:rsidR="00FE43ED" w:rsidRPr="00207DC2">
        <w:rPr>
          <w:lang w:val="en-AU"/>
        </w:rPr>
        <w:t xml:space="preserve"> due to issues around the quality of activities provided, as a result of penalties and </w:t>
      </w:r>
      <w:r w:rsidR="0022699F" w:rsidRPr="00207DC2">
        <w:rPr>
          <w:lang w:val="en-AU"/>
        </w:rPr>
        <w:t xml:space="preserve">payment </w:t>
      </w:r>
      <w:r w:rsidR="00FE43ED" w:rsidRPr="00207DC2">
        <w:rPr>
          <w:lang w:val="en-AU"/>
        </w:rPr>
        <w:t xml:space="preserve">suspensions, or </w:t>
      </w:r>
      <w:r w:rsidR="00DD2265" w:rsidRPr="00207DC2">
        <w:rPr>
          <w:lang w:val="en-AU"/>
        </w:rPr>
        <w:t xml:space="preserve">obtained employment but did not report this to </w:t>
      </w:r>
      <w:r w:rsidR="00971F5F">
        <w:rPr>
          <w:lang w:val="en-AU"/>
        </w:rPr>
        <w:t xml:space="preserve">either </w:t>
      </w:r>
      <w:r w:rsidR="00DD2265" w:rsidRPr="00207DC2">
        <w:rPr>
          <w:lang w:val="en-AU"/>
        </w:rPr>
        <w:t>their CDP provider or the Department of Human Services.</w:t>
      </w:r>
      <w:r w:rsidR="00940FC9" w:rsidRPr="00207DC2">
        <w:rPr>
          <w:lang w:val="en-AU"/>
        </w:rPr>
        <w:t xml:space="preserve"> </w:t>
      </w:r>
      <w:r w:rsidR="004B1105" w:rsidRPr="00207DC2">
        <w:rPr>
          <w:lang w:val="en-AU"/>
        </w:rPr>
        <w:t>F</w:t>
      </w:r>
      <w:r w:rsidR="00AA056F" w:rsidRPr="00207DC2">
        <w:rPr>
          <w:lang w:val="en-AU"/>
        </w:rPr>
        <w:t>ieldwork undertaken in eight remote communities suggests that the quality</w:t>
      </w:r>
      <w:r w:rsidR="00064194" w:rsidRPr="00207DC2">
        <w:rPr>
          <w:lang w:val="en-AU"/>
        </w:rPr>
        <w:t xml:space="preserve"> of </w:t>
      </w:r>
      <w:r w:rsidR="00AA056F" w:rsidRPr="00207DC2">
        <w:rPr>
          <w:lang w:val="en-AU"/>
        </w:rPr>
        <w:t>activities</w:t>
      </w:r>
      <w:r w:rsidR="00396552">
        <w:rPr>
          <w:lang w:val="en-AU"/>
        </w:rPr>
        <w:t xml:space="preserve"> – </w:t>
      </w:r>
      <w:r w:rsidR="00AA056F" w:rsidRPr="00207DC2">
        <w:rPr>
          <w:lang w:val="en-AU"/>
        </w:rPr>
        <w:t>that is, whether surveyed participants considered activities to be suitable and useful</w:t>
      </w:r>
      <w:r w:rsidR="00396552">
        <w:rPr>
          <w:lang w:val="en-AU"/>
        </w:rPr>
        <w:t xml:space="preserve"> – </w:t>
      </w:r>
      <w:r w:rsidR="00AA056F" w:rsidRPr="00207DC2">
        <w:rPr>
          <w:lang w:val="en-AU"/>
        </w:rPr>
        <w:t xml:space="preserve">can have an effect on attendance and </w:t>
      </w:r>
      <w:r w:rsidR="00064194" w:rsidRPr="00207DC2">
        <w:rPr>
          <w:lang w:val="en-AU"/>
        </w:rPr>
        <w:t>participation</w:t>
      </w:r>
      <w:r w:rsidR="00AA056F" w:rsidRPr="00207DC2">
        <w:rPr>
          <w:lang w:val="en-AU"/>
        </w:rPr>
        <w:t xml:space="preserve"> in activities (Winangali and Ipsos 2018).</w:t>
      </w:r>
    </w:p>
    <w:p w14:paraId="0E75D68A" w14:textId="7AAF11AC" w:rsidR="00A45F43" w:rsidRPr="00207DC2" w:rsidRDefault="00594CFD" w:rsidP="0070393C">
      <w:pPr>
        <w:jc w:val="both"/>
        <w:rPr>
          <w:lang w:val="en-AU"/>
        </w:rPr>
      </w:pPr>
      <w:r w:rsidRPr="00207DC2">
        <w:rPr>
          <w:lang w:val="en-AU"/>
        </w:rPr>
        <w:t>B</w:t>
      </w:r>
      <w:r w:rsidR="004513A5" w:rsidRPr="00207DC2">
        <w:rPr>
          <w:lang w:val="en-AU"/>
        </w:rPr>
        <w:t xml:space="preserve">etween the RJCP and CDP, the share of individuals who </w:t>
      </w:r>
      <w:r w:rsidR="004513A5" w:rsidRPr="00207DC2">
        <w:rPr>
          <w:i/>
          <w:lang w:val="en-AU"/>
        </w:rPr>
        <w:t>disengaged</w:t>
      </w:r>
      <w:r w:rsidR="004513A5" w:rsidRPr="00207DC2">
        <w:rPr>
          <w:lang w:val="en-AU"/>
        </w:rPr>
        <w:t xml:space="preserve"> </w:t>
      </w:r>
      <w:r w:rsidR="00391723" w:rsidRPr="00207DC2">
        <w:rPr>
          <w:lang w:val="en-AU"/>
        </w:rPr>
        <w:t xml:space="preserve">from income support benefits </w:t>
      </w:r>
      <w:r w:rsidR="00971F5F">
        <w:rPr>
          <w:lang w:val="en-AU"/>
        </w:rPr>
        <w:t>within a 12-</w:t>
      </w:r>
      <w:r w:rsidR="0007183F" w:rsidRPr="00207DC2">
        <w:rPr>
          <w:lang w:val="en-AU"/>
        </w:rPr>
        <w:t xml:space="preserve">month period </w:t>
      </w:r>
      <w:r w:rsidR="004513A5" w:rsidRPr="00207DC2">
        <w:rPr>
          <w:lang w:val="en-AU"/>
        </w:rPr>
        <w:t>was estimated to incr</w:t>
      </w:r>
      <w:r w:rsidR="009F4353" w:rsidRPr="00207DC2">
        <w:rPr>
          <w:lang w:val="en-AU"/>
        </w:rPr>
        <w:t>ease by one percentage point</w:t>
      </w:r>
      <w:r w:rsidR="00396552">
        <w:rPr>
          <w:lang w:val="en-AU"/>
        </w:rPr>
        <w:t xml:space="preserve"> – </w:t>
      </w:r>
      <w:r w:rsidR="009F4353" w:rsidRPr="00207DC2">
        <w:rPr>
          <w:lang w:val="en-AU"/>
        </w:rPr>
        <w:t xml:space="preserve">from 3.5 per cent of </w:t>
      </w:r>
      <w:r w:rsidR="0028792D" w:rsidRPr="00207DC2">
        <w:rPr>
          <w:lang w:val="en-AU"/>
        </w:rPr>
        <w:t xml:space="preserve">the </w:t>
      </w:r>
      <w:r w:rsidR="009F4353" w:rsidRPr="00207DC2">
        <w:rPr>
          <w:lang w:val="en-AU"/>
        </w:rPr>
        <w:t xml:space="preserve">RJCP participants who were participating in the program on 1 January 2014, to 4.5 per cent of </w:t>
      </w:r>
      <w:r w:rsidR="0028792D" w:rsidRPr="00207DC2">
        <w:rPr>
          <w:lang w:val="en-AU"/>
        </w:rPr>
        <w:t xml:space="preserve">the </w:t>
      </w:r>
      <w:r w:rsidR="009F4353" w:rsidRPr="00207DC2">
        <w:rPr>
          <w:lang w:val="en-AU"/>
        </w:rPr>
        <w:t>CDP participants in the program on 1 January 2016.</w:t>
      </w:r>
      <w:bookmarkStart w:id="633" w:name="_Toc511826310"/>
      <w:bookmarkStart w:id="634" w:name="_Toc511940627"/>
      <w:bookmarkStart w:id="635" w:name="_Toc515185478"/>
      <w:r w:rsidRPr="00207DC2">
        <w:rPr>
          <w:lang w:val="en-AU"/>
        </w:rPr>
        <w:t xml:space="preserve"> </w:t>
      </w:r>
    </w:p>
    <w:p w14:paraId="4B68A7B4" w14:textId="159F2F04" w:rsidR="00A45F43" w:rsidRPr="00207DC2" w:rsidRDefault="00594CFD" w:rsidP="0070393C">
      <w:pPr>
        <w:jc w:val="both"/>
        <w:rPr>
          <w:lang w:val="en-AU"/>
        </w:rPr>
      </w:pPr>
      <w:r w:rsidRPr="00207DC2">
        <w:rPr>
          <w:lang w:val="en-AU"/>
        </w:rPr>
        <w:t>More data are needed to better understand outcomes for these participants.</w:t>
      </w:r>
    </w:p>
    <w:tbl>
      <w:tblPr>
        <w:tblStyle w:val="TableGrid"/>
        <w:tblW w:w="0" w:type="auto"/>
        <w:tblLook w:val="04A0" w:firstRow="1" w:lastRow="0" w:firstColumn="1" w:lastColumn="0" w:noHBand="0" w:noVBand="1"/>
        <w:tblCaption w:val="Finding 3"/>
      </w:tblPr>
      <w:tblGrid>
        <w:gridCol w:w="9016"/>
      </w:tblGrid>
      <w:tr w:rsidR="00D571C6" w:rsidRPr="00207DC2" w14:paraId="7AAE62E3" w14:textId="77777777" w:rsidTr="000A3951">
        <w:trPr>
          <w:tblHeader/>
        </w:trPr>
        <w:tc>
          <w:tcPr>
            <w:tcW w:w="9016" w:type="dxa"/>
          </w:tcPr>
          <w:p w14:paraId="3854D93D" w14:textId="654EE605" w:rsidR="00D571C6" w:rsidRPr="00207DC2" w:rsidRDefault="00D571C6" w:rsidP="000317B7">
            <w:pPr>
              <w:spacing w:before="120"/>
              <w:jc w:val="both"/>
              <w:rPr>
                <w:b/>
                <w:i/>
                <w:szCs w:val="20"/>
                <w:lang w:val="en-AU"/>
              </w:rPr>
            </w:pPr>
            <w:r w:rsidRPr="00207DC2">
              <w:rPr>
                <w:b/>
                <w:i/>
                <w:szCs w:val="20"/>
                <w:lang w:val="en-AU"/>
              </w:rPr>
              <w:t xml:space="preserve">Finding </w:t>
            </w:r>
            <w:r w:rsidR="00B504BA" w:rsidRPr="00207DC2">
              <w:rPr>
                <w:b/>
                <w:i/>
                <w:szCs w:val="20"/>
                <w:lang w:val="en-AU"/>
              </w:rPr>
              <w:t>3</w:t>
            </w:r>
          </w:p>
          <w:p w14:paraId="2A1ECD15" w14:textId="0E32BF04" w:rsidR="004D66B7" w:rsidRPr="00207DC2" w:rsidRDefault="00E630B0" w:rsidP="00431835">
            <w:pPr>
              <w:tabs>
                <w:tab w:val="left" w:pos="5954"/>
                <w:tab w:val="left" w:pos="6096"/>
              </w:tabs>
              <w:jc w:val="both"/>
              <w:rPr>
                <w:i/>
                <w:szCs w:val="20"/>
                <w:lang w:val="en-AU"/>
              </w:rPr>
            </w:pPr>
            <w:r w:rsidRPr="00207DC2">
              <w:rPr>
                <w:i/>
                <w:szCs w:val="20"/>
                <w:lang w:val="en-AU"/>
              </w:rPr>
              <w:t>Measuring</w:t>
            </w:r>
            <w:r w:rsidR="004D66B7" w:rsidRPr="00207DC2">
              <w:rPr>
                <w:i/>
                <w:szCs w:val="20"/>
                <w:lang w:val="en-AU"/>
              </w:rPr>
              <w:t xml:space="preserve"> and reporting on</w:t>
            </w:r>
            <w:r w:rsidR="00925CB4" w:rsidRPr="00207DC2">
              <w:rPr>
                <w:i/>
                <w:szCs w:val="20"/>
                <w:lang w:val="en-AU"/>
              </w:rPr>
              <w:t xml:space="preserve"> the quality of activit</w:t>
            </w:r>
            <w:r w:rsidR="001A3608" w:rsidRPr="00207DC2">
              <w:rPr>
                <w:i/>
                <w:szCs w:val="20"/>
                <w:lang w:val="en-AU"/>
              </w:rPr>
              <w:t>i</w:t>
            </w:r>
            <w:r w:rsidR="00925CB4" w:rsidRPr="00207DC2">
              <w:rPr>
                <w:i/>
                <w:szCs w:val="20"/>
                <w:lang w:val="en-AU"/>
              </w:rPr>
              <w:t xml:space="preserve">es </w:t>
            </w:r>
            <w:r w:rsidRPr="00207DC2">
              <w:rPr>
                <w:i/>
                <w:szCs w:val="20"/>
                <w:lang w:val="en-AU"/>
              </w:rPr>
              <w:t xml:space="preserve">could help </w:t>
            </w:r>
            <w:r w:rsidR="00A274F2" w:rsidRPr="00207DC2">
              <w:rPr>
                <w:i/>
                <w:szCs w:val="20"/>
                <w:lang w:val="en-AU"/>
              </w:rPr>
              <w:t>identify</w:t>
            </w:r>
            <w:r w:rsidRPr="00207DC2">
              <w:rPr>
                <w:i/>
                <w:szCs w:val="20"/>
                <w:lang w:val="en-AU"/>
              </w:rPr>
              <w:t xml:space="preserve"> </w:t>
            </w:r>
            <w:r w:rsidR="00925CB4" w:rsidRPr="00207DC2">
              <w:rPr>
                <w:i/>
                <w:szCs w:val="20"/>
                <w:lang w:val="en-AU"/>
              </w:rPr>
              <w:t>the</w:t>
            </w:r>
            <w:r w:rsidR="004D66B7" w:rsidRPr="00207DC2">
              <w:rPr>
                <w:i/>
                <w:szCs w:val="20"/>
                <w:lang w:val="en-AU"/>
              </w:rPr>
              <w:t xml:space="preserve"> types of activities </w:t>
            </w:r>
            <w:r w:rsidR="00925CB4" w:rsidRPr="00207DC2">
              <w:rPr>
                <w:i/>
                <w:szCs w:val="20"/>
                <w:lang w:val="en-AU"/>
              </w:rPr>
              <w:t xml:space="preserve">that </w:t>
            </w:r>
            <w:r w:rsidR="004D66B7" w:rsidRPr="00207DC2">
              <w:rPr>
                <w:i/>
                <w:szCs w:val="20"/>
                <w:lang w:val="en-AU"/>
              </w:rPr>
              <w:t xml:space="preserve">best support </w:t>
            </w:r>
            <w:r w:rsidR="00956048" w:rsidRPr="00207DC2">
              <w:rPr>
                <w:i/>
                <w:szCs w:val="20"/>
                <w:lang w:val="en-AU"/>
              </w:rPr>
              <w:t xml:space="preserve">participation </w:t>
            </w:r>
            <w:r w:rsidR="004D66B7" w:rsidRPr="00207DC2">
              <w:rPr>
                <w:i/>
                <w:szCs w:val="20"/>
                <w:lang w:val="en-AU"/>
              </w:rPr>
              <w:t xml:space="preserve">and </w:t>
            </w:r>
            <w:r w:rsidR="00925CB4" w:rsidRPr="00207DC2">
              <w:rPr>
                <w:i/>
                <w:szCs w:val="20"/>
                <w:lang w:val="en-AU"/>
              </w:rPr>
              <w:t>outcomes</w:t>
            </w:r>
            <w:r w:rsidR="004D66B7" w:rsidRPr="00207DC2">
              <w:rPr>
                <w:i/>
                <w:szCs w:val="20"/>
                <w:lang w:val="en-AU"/>
              </w:rPr>
              <w:t xml:space="preserve"> for participants</w:t>
            </w:r>
            <w:r w:rsidR="00925CB4" w:rsidRPr="00207DC2">
              <w:rPr>
                <w:i/>
                <w:szCs w:val="20"/>
                <w:lang w:val="en-AU"/>
              </w:rPr>
              <w:t>.</w:t>
            </w:r>
            <w:r w:rsidR="00C26E79" w:rsidRPr="00207DC2">
              <w:rPr>
                <w:i/>
                <w:szCs w:val="20"/>
                <w:lang w:val="en-AU"/>
              </w:rPr>
              <w:t xml:space="preserve"> </w:t>
            </w:r>
            <w:r w:rsidR="00251916" w:rsidRPr="00207DC2">
              <w:rPr>
                <w:i/>
                <w:szCs w:val="20"/>
                <w:lang w:val="en-AU"/>
              </w:rPr>
              <w:t>This could include m</w:t>
            </w:r>
            <w:r w:rsidR="00A274F2" w:rsidRPr="00207DC2">
              <w:rPr>
                <w:i/>
                <w:szCs w:val="20"/>
                <w:lang w:val="en-AU"/>
              </w:rPr>
              <w:t>easures</w:t>
            </w:r>
            <w:r w:rsidR="00C26E79" w:rsidRPr="00207DC2">
              <w:rPr>
                <w:i/>
                <w:szCs w:val="20"/>
                <w:lang w:val="en-AU"/>
              </w:rPr>
              <w:t xml:space="preserve"> of skills</w:t>
            </w:r>
            <w:r w:rsidR="00956048" w:rsidRPr="00207DC2">
              <w:rPr>
                <w:i/>
                <w:szCs w:val="20"/>
                <w:lang w:val="en-AU"/>
              </w:rPr>
              <w:t xml:space="preserve"> attainment</w:t>
            </w:r>
            <w:r w:rsidR="00C26E79" w:rsidRPr="00207DC2">
              <w:rPr>
                <w:i/>
                <w:szCs w:val="20"/>
                <w:lang w:val="en-AU"/>
              </w:rPr>
              <w:t xml:space="preserve"> and employment </w:t>
            </w:r>
            <w:r w:rsidR="00956048" w:rsidRPr="00207DC2">
              <w:rPr>
                <w:i/>
                <w:szCs w:val="20"/>
                <w:lang w:val="en-AU"/>
              </w:rPr>
              <w:t>outcomes</w:t>
            </w:r>
            <w:r w:rsidR="00C26E79" w:rsidRPr="00207DC2">
              <w:rPr>
                <w:i/>
                <w:szCs w:val="20"/>
                <w:lang w:val="en-AU"/>
              </w:rPr>
              <w:t xml:space="preserve">, as well </w:t>
            </w:r>
            <w:r w:rsidR="00A274F2" w:rsidRPr="00207DC2">
              <w:rPr>
                <w:i/>
                <w:szCs w:val="20"/>
                <w:lang w:val="en-AU"/>
              </w:rPr>
              <w:t>as participant</w:t>
            </w:r>
            <w:r w:rsidR="00712582" w:rsidRPr="00207DC2">
              <w:rPr>
                <w:i/>
                <w:szCs w:val="20"/>
                <w:lang w:val="en-AU"/>
              </w:rPr>
              <w:t>s’</w:t>
            </w:r>
            <w:r w:rsidR="004D66B7" w:rsidRPr="00207DC2">
              <w:rPr>
                <w:i/>
                <w:szCs w:val="20"/>
                <w:lang w:val="en-AU"/>
              </w:rPr>
              <w:t xml:space="preserve"> perceptions </w:t>
            </w:r>
            <w:r w:rsidR="00C26E79" w:rsidRPr="00207DC2">
              <w:rPr>
                <w:i/>
                <w:szCs w:val="20"/>
                <w:lang w:val="en-AU"/>
              </w:rPr>
              <w:t>of the quality.</w:t>
            </w:r>
            <w:r w:rsidR="0028199E" w:rsidRPr="00207DC2">
              <w:rPr>
                <w:i/>
                <w:szCs w:val="20"/>
                <w:lang w:val="en-AU"/>
              </w:rPr>
              <w:t xml:space="preserve"> </w:t>
            </w:r>
            <w:r w:rsidR="00275CE3" w:rsidRPr="00207DC2">
              <w:rPr>
                <w:i/>
                <w:szCs w:val="20"/>
                <w:lang w:val="en-AU"/>
              </w:rPr>
              <w:t>A</w:t>
            </w:r>
            <w:r w:rsidR="006534F8" w:rsidRPr="00207DC2">
              <w:rPr>
                <w:i/>
                <w:szCs w:val="20"/>
                <w:lang w:val="en-AU"/>
              </w:rPr>
              <w:t xml:space="preserve"> combination of multiple measures </w:t>
            </w:r>
            <w:r w:rsidR="00275CE3" w:rsidRPr="00207DC2">
              <w:rPr>
                <w:i/>
                <w:szCs w:val="20"/>
                <w:lang w:val="en-AU"/>
              </w:rPr>
              <w:t>could</w:t>
            </w:r>
            <w:r w:rsidR="006534F8" w:rsidRPr="00207DC2">
              <w:rPr>
                <w:i/>
                <w:szCs w:val="20"/>
                <w:lang w:val="en-AU"/>
              </w:rPr>
              <w:t xml:space="preserve"> capture different </w:t>
            </w:r>
            <w:r w:rsidR="00275CE3" w:rsidRPr="00207DC2">
              <w:rPr>
                <w:i/>
                <w:szCs w:val="20"/>
                <w:lang w:val="en-AU"/>
              </w:rPr>
              <w:t xml:space="preserve">aspects </w:t>
            </w:r>
            <w:r w:rsidR="006534F8" w:rsidRPr="00207DC2">
              <w:rPr>
                <w:i/>
                <w:szCs w:val="20"/>
                <w:lang w:val="en-AU"/>
              </w:rPr>
              <w:t>of activity quality.</w:t>
            </w:r>
            <w:r w:rsidR="0028199E" w:rsidRPr="00207DC2">
              <w:rPr>
                <w:i/>
                <w:szCs w:val="20"/>
                <w:lang w:val="en-AU"/>
              </w:rPr>
              <w:t xml:space="preserve"> </w:t>
            </w:r>
            <w:r w:rsidR="00431835" w:rsidRPr="00207DC2">
              <w:rPr>
                <w:i/>
                <w:szCs w:val="20"/>
                <w:lang w:val="en-AU"/>
              </w:rPr>
              <w:t>Q</w:t>
            </w:r>
            <w:r w:rsidR="006515DD" w:rsidRPr="00207DC2">
              <w:rPr>
                <w:i/>
                <w:szCs w:val="20"/>
                <w:lang w:val="en-AU"/>
              </w:rPr>
              <w:t xml:space="preserve">uality measures </w:t>
            </w:r>
            <w:r w:rsidR="00431835" w:rsidRPr="00207DC2">
              <w:rPr>
                <w:i/>
                <w:szCs w:val="20"/>
                <w:lang w:val="en-AU"/>
              </w:rPr>
              <w:t xml:space="preserve">could also be linked to </w:t>
            </w:r>
            <w:r w:rsidR="001130A2" w:rsidRPr="00207DC2">
              <w:rPr>
                <w:i/>
                <w:szCs w:val="20"/>
                <w:lang w:val="en-AU"/>
              </w:rPr>
              <w:t xml:space="preserve">activity payments </w:t>
            </w:r>
            <w:r w:rsidR="004D66B7" w:rsidRPr="00207DC2">
              <w:rPr>
                <w:i/>
                <w:szCs w:val="20"/>
                <w:lang w:val="en-AU"/>
              </w:rPr>
              <w:t xml:space="preserve">as </w:t>
            </w:r>
            <w:r w:rsidR="00E22612" w:rsidRPr="00207DC2">
              <w:rPr>
                <w:i/>
                <w:szCs w:val="20"/>
                <w:lang w:val="en-AU"/>
              </w:rPr>
              <w:t>part of an outcome</w:t>
            </w:r>
            <w:r w:rsidR="00E22612" w:rsidRPr="00207DC2">
              <w:rPr>
                <w:i/>
                <w:szCs w:val="20"/>
                <w:lang w:val="en-AU"/>
              </w:rPr>
              <w:noBreakHyphen/>
            </w:r>
            <w:r w:rsidR="004D66B7" w:rsidRPr="00207DC2">
              <w:rPr>
                <w:i/>
                <w:szCs w:val="20"/>
                <w:lang w:val="en-AU"/>
              </w:rPr>
              <w:t>based provider payment model.</w:t>
            </w:r>
          </w:p>
        </w:tc>
      </w:tr>
    </w:tbl>
    <w:p w14:paraId="0F148A84" w14:textId="77777777" w:rsidR="00D571C6" w:rsidRPr="00A47E01" w:rsidRDefault="00BF258E" w:rsidP="00A47E01">
      <w:pPr>
        <w:pStyle w:val="ZED5"/>
      </w:pPr>
      <w:bookmarkStart w:id="636" w:name="_Toc516219851"/>
      <w:bookmarkStart w:id="637" w:name="_Toc516220492"/>
      <w:bookmarkStart w:id="638" w:name="_Toc516223312"/>
      <w:bookmarkStart w:id="639" w:name="_Toc516225220"/>
      <w:bookmarkStart w:id="640" w:name="_Toc516228996"/>
      <w:bookmarkStart w:id="641" w:name="_Toc533064484"/>
      <w:bookmarkStart w:id="642" w:name="_Toc534965172"/>
      <w:bookmarkStart w:id="643" w:name="_Toc535935068"/>
      <w:r w:rsidRPr="00A47E01">
        <w:t>E</w:t>
      </w:r>
      <w:r w:rsidR="00B116E8" w:rsidRPr="00A47E01">
        <w:t xml:space="preserve">mployment </w:t>
      </w:r>
      <w:r w:rsidR="00CC1C78" w:rsidRPr="00A47E01">
        <w:t>outcomes</w:t>
      </w:r>
      <w:bookmarkEnd w:id="633"/>
      <w:bookmarkEnd w:id="634"/>
      <w:bookmarkEnd w:id="635"/>
      <w:bookmarkEnd w:id="636"/>
      <w:bookmarkEnd w:id="637"/>
      <w:bookmarkEnd w:id="638"/>
      <w:bookmarkEnd w:id="639"/>
      <w:bookmarkEnd w:id="640"/>
      <w:bookmarkEnd w:id="641"/>
      <w:bookmarkEnd w:id="642"/>
      <w:bookmarkEnd w:id="643"/>
    </w:p>
    <w:p w14:paraId="22129ABC" w14:textId="1DBED552" w:rsidR="00647ABE" w:rsidRPr="00207DC2" w:rsidRDefault="00A22803" w:rsidP="00C2509E">
      <w:pPr>
        <w:jc w:val="both"/>
        <w:rPr>
          <w:lang w:val="en-AU"/>
        </w:rPr>
      </w:pPr>
      <w:r w:rsidRPr="00207DC2">
        <w:rPr>
          <w:lang w:val="en-AU"/>
        </w:rPr>
        <w:t xml:space="preserve">As with other employment programs, CDP providers receive a payment when a participant achieves a defined employment outcome. In comparison to RJCP, the CDP payment model places greater weight on </w:t>
      </w:r>
      <w:r w:rsidR="004129D6">
        <w:rPr>
          <w:lang w:val="en-AU"/>
        </w:rPr>
        <w:t>26 consecutive-week</w:t>
      </w:r>
      <w:r w:rsidRPr="00207DC2">
        <w:rPr>
          <w:lang w:val="en-AU"/>
        </w:rPr>
        <w:t xml:space="preserve"> employment outcome</w:t>
      </w:r>
      <w:r w:rsidR="001448E7" w:rsidRPr="00207DC2">
        <w:rPr>
          <w:lang w:val="en-AU"/>
        </w:rPr>
        <w:t>s</w:t>
      </w:r>
      <w:r w:rsidRPr="00207DC2">
        <w:rPr>
          <w:lang w:val="en-AU"/>
        </w:rPr>
        <w:t xml:space="preserve">, </w:t>
      </w:r>
      <w:r w:rsidR="00AD29CB" w:rsidRPr="00207DC2">
        <w:rPr>
          <w:lang w:val="en-AU"/>
        </w:rPr>
        <w:t>with the aim of encouraging</w:t>
      </w:r>
      <w:r w:rsidRPr="00207DC2">
        <w:rPr>
          <w:lang w:val="en-AU"/>
        </w:rPr>
        <w:t xml:space="preserve"> sustained employment for remote participants.</w:t>
      </w:r>
      <w:r w:rsidR="00613B22" w:rsidRPr="00207DC2">
        <w:rPr>
          <w:lang w:val="en-AU"/>
        </w:rPr>
        <w:t xml:space="preserve"> </w:t>
      </w:r>
    </w:p>
    <w:p w14:paraId="3EC6DB4A" w14:textId="42142EFF" w:rsidR="00AD7721" w:rsidRPr="00207DC2" w:rsidRDefault="00C62F7D" w:rsidP="00C2509E">
      <w:pPr>
        <w:jc w:val="both"/>
        <w:rPr>
          <w:lang w:val="en-AU"/>
        </w:rPr>
      </w:pPr>
      <w:r w:rsidRPr="00207DC2">
        <w:rPr>
          <w:lang w:val="en-AU"/>
        </w:rPr>
        <w:t>Employment outcomes</w:t>
      </w:r>
      <w:r w:rsidR="00396552">
        <w:rPr>
          <w:lang w:val="en-AU"/>
        </w:rPr>
        <w:t xml:space="preserve"> – </w:t>
      </w:r>
      <w:r w:rsidR="008A6992" w:rsidRPr="00207DC2">
        <w:rPr>
          <w:lang w:val="en-AU"/>
        </w:rPr>
        <w:t>measured here by job placements, 13</w:t>
      </w:r>
      <w:r w:rsidR="008A6992" w:rsidRPr="00207DC2">
        <w:rPr>
          <w:lang w:val="en-AU"/>
        </w:rPr>
        <w:noBreakHyphen/>
        <w:t>week and 26</w:t>
      </w:r>
      <w:r w:rsidR="008A6992" w:rsidRPr="00207DC2">
        <w:rPr>
          <w:lang w:val="en-AU"/>
        </w:rPr>
        <w:noBreakHyphen/>
        <w:t>week outcomes in the administrative data</w:t>
      </w:r>
      <w:r w:rsidR="00396552">
        <w:rPr>
          <w:lang w:val="en-AU"/>
        </w:rPr>
        <w:t xml:space="preserve"> – </w:t>
      </w:r>
      <w:r w:rsidRPr="00207DC2">
        <w:rPr>
          <w:lang w:val="en-AU"/>
        </w:rPr>
        <w:t xml:space="preserve">will reflect a range of factors, including the employment services and training </w:t>
      </w:r>
      <w:r w:rsidR="00312EC2" w:rsidRPr="00207DC2">
        <w:rPr>
          <w:lang w:val="en-AU"/>
        </w:rPr>
        <w:t>participants</w:t>
      </w:r>
      <w:r w:rsidRPr="00207DC2">
        <w:rPr>
          <w:lang w:val="en-AU"/>
        </w:rPr>
        <w:t xml:space="preserve"> receive from their employment provider, as well as the characteristics and circumstances of individuals and the prevailing labour market conditions</w:t>
      </w:r>
      <w:r w:rsidR="00613B22" w:rsidRPr="00207DC2">
        <w:rPr>
          <w:lang w:val="en-AU"/>
        </w:rPr>
        <w:t xml:space="preserve">. </w:t>
      </w:r>
    </w:p>
    <w:p w14:paraId="5DC1A3AB" w14:textId="2F694B1C" w:rsidR="00D93150" w:rsidRPr="00207DC2" w:rsidRDefault="00B14770" w:rsidP="00B14770">
      <w:pPr>
        <w:tabs>
          <w:tab w:val="left" w:pos="5245"/>
        </w:tabs>
        <w:jc w:val="both"/>
        <w:rPr>
          <w:lang w:val="en-AU"/>
        </w:rPr>
      </w:pPr>
      <w:r w:rsidRPr="00207DC2">
        <w:rPr>
          <w:lang w:val="en-AU"/>
        </w:rPr>
        <w:t xml:space="preserve">A number of modelling approaches were considered to estimate the effect of the introduction of the CDP on employment outcomes after controlling for the characteristics of participants and changes in labour market conditions. In addition to before to after modelling, quasi-experimental modelling compared changes in employment outcomes for participants in remote </w:t>
      </w:r>
      <w:r w:rsidR="00C822E5" w:rsidRPr="00207DC2">
        <w:rPr>
          <w:lang w:val="en-AU"/>
        </w:rPr>
        <w:t>regions with</w:t>
      </w:r>
      <w:r w:rsidRPr="00207DC2">
        <w:rPr>
          <w:lang w:val="en-AU"/>
        </w:rPr>
        <w:t xml:space="preserve"> changes for jobseekers in </w:t>
      </w:r>
      <w:r w:rsidR="00C822E5" w:rsidRPr="00207DC2">
        <w:rPr>
          <w:lang w:val="en-AU"/>
        </w:rPr>
        <w:t>neighbouring</w:t>
      </w:r>
      <w:r w:rsidRPr="00207DC2">
        <w:rPr>
          <w:lang w:val="en-AU"/>
        </w:rPr>
        <w:t xml:space="preserve"> jobactive regions</w:t>
      </w:r>
      <w:r w:rsidR="00D93150" w:rsidRPr="00207DC2">
        <w:rPr>
          <w:lang w:val="en-AU"/>
        </w:rPr>
        <w:t xml:space="preserve">. </w:t>
      </w:r>
    </w:p>
    <w:p w14:paraId="771F3C03" w14:textId="6A80AE45" w:rsidR="00213DCB" w:rsidRPr="00207DC2" w:rsidRDefault="00B14770" w:rsidP="00B14770">
      <w:pPr>
        <w:jc w:val="both"/>
        <w:rPr>
          <w:lang w:val="en-AU"/>
        </w:rPr>
      </w:pPr>
      <w:r w:rsidRPr="00207DC2">
        <w:rPr>
          <w:lang w:val="en-AU"/>
        </w:rPr>
        <w:t xml:space="preserve">Across the different models and sensitivity tests, </w:t>
      </w:r>
      <w:r w:rsidR="0030089F" w:rsidRPr="00207DC2">
        <w:rPr>
          <w:lang w:val="en-AU"/>
        </w:rPr>
        <w:t xml:space="preserve">modelling </w:t>
      </w:r>
      <w:r w:rsidR="00D30EAD" w:rsidRPr="00207DC2">
        <w:rPr>
          <w:lang w:val="en-AU"/>
        </w:rPr>
        <w:t xml:space="preserve">did not find </w:t>
      </w:r>
      <w:r w:rsidR="0056276D" w:rsidRPr="00207DC2">
        <w:rPr>
          <w:lang w:val="en-AU"/>
        </w:rPr>
        <w:t xml:space="preserve">conclusive </w:t>
      </w:r>
      <w:r w:rsidR="00D30EAD" w:rsidRPr="00207DC2">
        <w:rPr>
          <w:lang w:val="en-AU"/>
        </w:rPr>
        <w:t xml:space="preserve">evidence that the introduction of the CDP had an effect </w:t>
      </w:r>
      <w:r w:rsidR="0056276D" w:rsidRPr="00207DC2">
        <w:rPr>
          <w:lang w:val="en-AU"/>
        </w:rPr>
        <w:t xml:space="preserve">on the share of participants obtaining a </w:t>
      </w:r>
      <w:r w:rsidR="0030089F" w:rsidRPr="00207DC2">
        <w:rPr>
          <w:lang w:val="en-AU"/>
        </w:rPr>
        <w:t>job placement</w:t>
      </w:r>
      <w:r w:rsidR="0056276D" w:rsidRPr="00207DC2">
        <w:rPr>
          <w:lang w:val="en-AU"/>
        </w:rPr>
        <w:t xml:space="preserve"> or </w:t>
      </w:r>
      <w:r w:rsidR="0030089F" w:rsidRPr="00207DC2">
        <w:rPr>
          <w:lang w:val="en-AU"/>
        </w:rPr>
        <w:t xml:space="preserve">13-week outcome. However, modelling </w:t>
      </w:r>
      <w:r w:rsidR="00334C87" w:rsidRPr="00207DC2">
        <w:rPr>
          <w:lang w:val="en-AU"/>
        </w:rPr>
        <w:t xml:space="preserve">suggests that the </w:t>
      </w:r>
      <w:r w:rsidR="0056276D" w:rsidRPr="00207DC2">
        <w:rPr>
          <w:lang w:val="en-AU"/>
        </w:rPr>
        <w:t xml:space="preserve">CDP </w:t>
      </w:r>
      <w:r w:rsidR="00334C87" w:rsidRPr="00207DC2">
        <w:rPr>
          <w:lang w:val="en-AU"/>
        </w:rPr>
        <w:t xml:space="preserve">has led to </w:t>
      </w:r>
      <w:r w:rsidR="00357E0D" w:rsidRPr="00207DC2">
        <w:rPr>
          <w:lang w:val="en-AU"/>
        </w:rPr>
        <w:t>around a one </w:t>
      </w:r>
      <w:r w:rsidR="00334C87" w:rsidRPr="00207DC2">
        <w:rPr>
          <w:lang w:val="en-AU"/>
        </w:rPr>
        <w:t xml:space="preserve">percentage point increase </w:t>
      </w:r>
      <w:r w:rsidR="0056276D" w:rsidRPr="00207DC2">
        <w:rPr>
          <w:lang w:val="en-AU"/>
        </w:rPr>
        <w:t xml:space="preserve">in the share of participants obtaining a </w:t>
      </w:r>
      <w:r w:rsidR="00334C87" w:rsidRPr="00207DC2">
        <w:rPr>
          <w:lang w:val="en-AU"/>
        </w:rPr>
        <w:t>26</w:t>
      </w:r>
      <w:r w:rsidR="00334C87" w:rsidRPr="00207DC2">
        <w:rPr>
          <w:lang w:val="en-AU"/>
        </w:rPr>
        <w:noBreakHyphen/>
        <w:t>week outcome.</w:t>
      </w:r>
      <w:r w:rsidR="004E45A4" w:rsidRPr="00207DC2">
        <w:rPr>
          <w:lang w:val="en-AU"/>
        </w:rPr>
        <w:t xml:space="preserve"> </w:t>
      </w:r>
      <w:r w:rsidR="00357E0D" w:rsidRPr="00207DC2">
        <w:rPr>
          <w:lang w:val="en-AU"/>
        </w:rPr>
        <w:t xml:space="preserve">This </w:t>
      </w:r>
      <w:r w:rsidR="00D30EAD" w:rsidRPr="00207DC2">
        <w:rPr>
          <w:lang w:val="en-AU"/>
        </w:rPr>
        <w:t xml:space="preserve">result </w:t>
      </w:r>
      <w:r w:rsidR="00357E0D" w:rsidRPr="00207DC2">
        <w:rPr>
          <w:lang w:val="en-AU"/>
        </w:rPr>
        <w:t xml:space="preserve">is consistent with the greater weight placed on </w:t>
      </w:r>
      <w:r w:rsidR="004129D6">
        <w:rPr>
          <w:lang w:val="en-AU"/>
        </w:rPr>
        <w:t>26 consecutive-week</w:t>
      </w:r>
      <w:r w:rsidR="00357E0D" w:rsidRPr="00207DC2">
        <w:rPr>
          <w:lang w:val="en-AU"/>
        </w:rPr>
        <w:t xml:space="preserve"> employment outcomes in provider </w:t>
      </w:r>
      <w:r w:rsidR="00E21BEF" w:rsidRPr="00207DC2">
        <w:rPr>
          <w:lang w:val="en-AU"/>
        </w:rPr>
        <w:t>and employer</w:t>
      </w:r>
      <w:r w:rsidR="00357E0D" w:rsidRPr="00207DC2">
        <w:rPr>
          <w:lang w:val="en-AU"/>
        </w:rPr>
        <w:t xml:space="preserve"> payment</w:t>
      </w:r>
      <w:r w:rsidR="00E21BEF" w:rsidRPr="00207DC2">
        <w:rPr>
          <w:lang w:val="en-AU"/>
        </w:rPr>
        <w:t>s</w:t>
      </w:r>
      <w:r w:rsidR="00357E0D" w:rsidRPr="00207DC2">
        <w:rPr>
          <w:lang w:val="en-AU"/>
        </w:rPr>
        <w:t>.</w:t>
      </w:r>
      <w:r w:rsidR="00BF16CD" w:rsidRPr="00207DC2">
        <w:rPr>
          <w:lang w:val="en-AU"/>
        </w:rPr>
        <w:t xml:space="preserve"> In the before to after modelling, for example, 26-week employment outcomes increased by 1.2 percentage points under CDP. </w:t>
      </w:r>
      <w:r w:rsidR="00213DCB" w:rsidRPr="00207DC2">
        <w:rPr>
          <w:lang w:val="en-AU"/>
        </w:rPr>
        <w:t>This is up from a base of 5.7 per cent</w:t>
      </w:r>
      <w:r w:rsidR="00971F5F">
        <w:rPr>
          <w:lang w:val="en-AU"/>
        </w:rPr>
        <w:t xml:space="preserve"> of participants obtaining a 26-</w:t>
      </w:r>
      <w:r w:rsidR="00213DCB" w:rsidRPr="00207DC2">
        <w:rPr>
          <w:lang w:val="en-AU"/>
        </w:rPr>
        <w:t>week outcome (over an 18</w:t>
      </w:r>
      <w:r w:rsidR="00971F5F">
        <w:rPr>
          <w:lang w:val="en-AU"/>
        </w:rPr>
        <w:t>-</w:t>
      </w:r>
      <w:r w:rsidR="00213DCB" w:rsidRPr="00207DC2">
        <w:rPr>
          <w:lang w:val="en-AU"/>
        </w:rPr>
        <w:t>month period) under the RJCP.</w:t>
      </w:r>
    </w:p>
    <w:p w14:paraId="4A1B56FF" w14:textId="03C56E71" w:rsidR="00D30EAD" w:rsidRPr="00207DC2" w:rsidRDefault="00873506" w:rsidP="00357E0D">
      <w:pPr>
        <w:jc w:val="both"/>
        <w:rPr>
          <w:lang w:val="en-AU"/>
        </w:rPr>
      </w:pPr>
      <w:r w:rsidRPr="00207DC2">
        <w:rPr>
          <w:lang w:val="en-AU"/>
        </w:rPr>
        <w:t xml:space="preserve">As noted above, </w:t>
      </w:r>
      <w:r w:rsidR="00802AC2" w:rsidRPr="00207DC2">
        <w:rPr>
          <w:lang w:val="en-AU"/>
        </w:rPr>
        <w:t>based on the JSC</w:t>
      </w:r>
      <w:r w:rsidR="008E7C32" w:rsidRPr="00207DC2">
        <w:rPr>
          <w:lang w:val="en-AU"/>
        </w:rPr>
        <w:t>I</w:t>
      </w:r>
      <w:r w:rsidR="00802AC2" w:rsidRPr="00207DC2">
        <w:rPr>
          <w:lang w:val="en-AU"/>
        </w:rPr>
        <w:t xml:space="preserve">, </w:t>
      </w:r>
      <w:r w:rsidRPr="00207DC2">
        <w:rPr>
          <w:lang w:val="en-AU"/>
        </w:rPr>
        <w:t xml:space="preserve">close to three in four CDP participants have </w:t>
      </w:r>
      <w:r w:rsidRPr="00207DC2">
        <w:rPr>
          <w:i/>
          <w:lang w:val="en-AU"/>
        </w:rPr>
        <w:t>moderate to extreme barriers</w:t>
      </w:r>
      <w:r w:rsidRPr="00207DC2">
        <w:rPr>
          <w:lang w:val="en-AU"/>
        </w:rPr>
        <w:t xml:space="preserve"> to employment. This reflects, in part, </w:t>
      </w:r>
      <w:r w:rsidR="008E7C32" w:rsidRPr="00207DC2">
        <w:rPr>
          <w:lang w:val="en-AU"/>
        </w:rPr>
        <w:t xml:space="preserve">the </w:t>
      </w:r>
      <w:r w:rsidR="00802AC2" w:rsidRPr="00207DC2">
        <w:rPr>
          <w:lang w:val="en-AU"/>
        </w:rPr>
        <w:t xml:space="preserve">high share of participants living in very remote areas with more limited labour market opportunities, and </w:t>
      </w:r>
      <w:r w:rsidRPr="00207DC2">
        <w:rPr>
          <w:lang w:val="en-AU"/>
        </w:rPr>
        <w:t>the limited experience many CDP participants have in the labour market</w:t>
      </w:r>
      <w:r w:rsidR="00802AC2" w:rsidRPr="00207DC2">
        <w:rPr>
          <w:lang w:val="en-AU"/>
        </w:rPr>
        <w:t>. O</w:t>
      </w:r>
      <w:r w:rsidRPr="00207DC2">
        <w:rPr>
          <w:lang w:val="en-AU"/>
        </w:rPr>
        <w:t xml:space="preserve">f those participating on 1 January 2016, one in five had spent at least 70 per cent of their adult life on income support </w:t>
      </w:r>
      <w:r w:rsidR="000C11BE" w:rsidRPr="00207DC2">
        <w:rPr>
          <w:lang w:val="en-AU"/>
        </w:rPr>
        <w:t>(</w:t>
      </w:r>
      <w:r w:rsidRPr="00207DC2">
        <w:rPr>
          <w:lang w:val="en-AU"/>
        </w:rPr>
        <w:t>over the past 20 years</w:t>
      </w:r>
      <w:r w:rsidR="000C11BE" w:rsidRPr="00207DC2">
        <w:rPr>
          <w:lang w:val="en-AU"/>
        </w:rPr>
        <w:t>)</w:t>
      </w:r>
      <w:r w:rsidRPr="00207DC2">
        <w:rPr>
          <w:lang w:val="en-AU"/>
        </w:rPr>
        <w:t xml:space="preserve">. Achieving employment outcomes for CDP participants with </w:t>
      </w:r>
      <w:r w:rsidRPr="00207DC2">
        <w:rPr>
          <w:i/>
          <w:lang w:val="en-AU"/>
        </w:rPr>
        <w:t>extreme</w:t>
      </w:r>
      <w:r w:rsidRPr="00207DC2">
        <w:rPr>
          <w:lang w:val="en-AU"/>
        </w:rPr>
        <w:t xml:space="preserve"> employment barriers is likely to require an investment over time.</w:t>
      </w:r>
      <w:r w:rsidR="00802AC2" w:rsidRPr="00207DC2">
        <w:rPr>
          <w:lang w:val="en-AU"/>
        </w:rPr>
        <w:t xml:space="preserve"> </w:t>
      </w:r>
    </w:p>
    <w:p w14:paraId="06138064" w14:textId="639CFED8" w:rsidR="00357E0D" w:rsidRPr="00207DC2" w:rsidRDefault="00357E0D" w:rsidP="00357E0D">
      <w:pPr>
        <w:jc w:val="both"/>
        <w:rPr>
          <w:szCs w:val="20"/>
          <w:lang w:val="en-AU"/>
        </w:rPr>
      </w:pPr>
      <w:r w:rsidRPr="00207DC2">
        <w:rPr>
          <w:lang w:val="en-AU"/>
        </w:rPr>
        <w:t>The CDP has only been operating for a short time and the estimated employment effects will therefore not capture any long</w:t>
      </w:r>
      <w:r w:rsidRPr="00207DC2">
        <w:rPr>
          <w:lang w:val="en-AU"/>
        </w:rPr>
        <w:noBreakHyphen/>
        <w:t xml:space="preserve">term changes in employment outcomes. In the first two years of the program, as </w:t>
      </w:r>
      <w:r w:rsidR="0030089F" w:rsidRPr="00207DC2">
        <w:rPr>
          <w:lang w:val="en-AU"/>
        </w:rPr>
        <w:t>may</w:t>
      </w:r>
      <w:r w:rsidRPr="00207DC2">
        <w:rPr>
          <w:lang w:val="en-AU"/>
        </w:rPr>
        <w:t xml:space="preserve"> be expected, participants with </w:t>
      </w:r>
      <w:r w:rsidRPr="00207DC2">
        <w:rPr>
          <w:i/>
          <w:lang w:val="en-AU"/>
        </w:rPr>
        <w:t>low barriers</w:t>
      </w:r>
      <w:r w:rsidRPr="00207DC2">
        <w:rPr>
          <w:lang w:val="en-AU"/>
        </w:rPr>
        <w:t xml:space="preserve"> to employment had the highest estimated increase in 26</w:t>
      </w:r>
      <w:r w:rsidRPr="00207DC2">
        <w:rPr>
          <w:lang w:val="en-AU"/>
        </w:rPr>
        <w:noBreakHyphen/>
        <w:t>week outcomes under the CDP (up 3.4 percentage points based on the before to after modelling).</w:t>
      </w:r>
    </w:p>
    <w:p w14:paraId="54971348" w14:textId="77777777" w:rsidR="00BA2123" w:rsidRPr="00AF23A2" w:rsidRDefault="00BA2123" w:rsidP="00A95A36">
      <w:pPr>
        <w:pStyle w:val="ZED6"/>
        <w:rPr>
          <w:rFonts w:cstheme="minorHAnsi"/>
        </w:rPr>
      </w:pPr>
      <w:r w:rsidRPr="00AF23A2">
        <w:t>Improving employment outcomes over the long term</w:t>
      </w:r>
    </w:p>
    <w:p w14:paraId="42CBA24C" w14:textId="5A5A285E" w:rsidR="00756D30" w:rsidRPr="00207DC2" w:rsidRDefault="00184C63" w:rsidP="00BA32C5">
      <w:pPr>
        <w:jc w:val="both"/>
        <w:rPr>
          <w:lang w:val="en-AU"/>
        </w:rPr>
      </w:pPr>
      <w:r w:rsidRPr="00207DC2">
        <w:rPr>
          <w:lang w:val="en-AU"/>
        </w:rPr>
        <w:t>I</w:t>
      </w:r>
      <w:r w:rsidR="00E90EA3" w:rsidRPr="00207DC2">
        <w:rPr>
          <w:lang w:val="en-AU"/>
        </w:rPr>
        <w:t>mproving the livelihoods of those living in remote communities</w:t>
      </w:r>
      <w:r w:rsidRPr="00207DC2">
        <w:rPr>
          <w:lang w:val="en-AU"/>
        </w:rPr>
        <w:t xml:space="preserve"> would benefit from </w:t>
      </w:r>
      <w:r w:rsidR="00E90EA3" w:rsidRPr="00207DC2">
        <w:rPr>
          <w:lang w:val="en-AU"/>
        </w:rPr>
        <w:t xml:space="preserve">employment policies focused on promoting local employment opportunities </w:t>
      </w:r>
      <w:r w:rsidRPr="00207DC2">
        <w:rPr>
          <w:lang w:val="en-AU"/>
        </w:rPr>
        <w:t>(Dockery and Lovell 2016)</w:t>
      </w:r>
      <w:r w:rsidR="0075799E" w:rsidRPr="00207DC2">
        <w:rPr>
          <w:lang w:val="en-AU"/>
        </w:rPr>
        <w:t xml:space="preserve"> and building the skills of</w:t>
      </w:r>
      <w:r w:rsidR="00C6118C" w:rsidRPr="00207DC2">
        <w:rPr>
          <w:lang w:val="en-AU"/>
        </w:rPr>
        <w:t xml:space="preserve"> CDP</w:t>
      </w:r>
      <w:r w:rsidR="0075799E" w:rsidRPr="00207DC2">
        <w:rPr>
          <w:lang w:val="en-AU"/>
        </w:rPr>
        <w:t xml:space="preserve"> </w:t>
      </w:r>
      <w:r w:rsidR="00C6118C" w:rsidRPr="00207DC2">
        <w:rPr>
          <w:lang w:val="en-AU"/>
        </w:rPr>
        <w:t>participants</w:t>
      </w:r>
      <w:r w:rsidRPr="00207DC2">
        <w:rPr>
          <w:lang w:val="en-AU"/>
        </w:rPr>
        <w:t xml:space="preserve">. </w:t>
      </w:r>
    </w:p>
    <w:p w14:paraId="623305A3" w14:textId="698BB662" w:rsidR="000B6AB2" w:rsidRPr="00207DC2" w:rsidRDefault="00DF6A51" w:rsidP="00997937">
      <w:pPr>
        <w:jc w:val="both"/>
        <w:rPr>
          <w:lang w:val="en-AU"/>
        </w:rPr>
      </w:pPr>
      <w:r w:rsidRPr="00207DC2">
        <w:rPr>
          <w:lang w:val="en-AU"/>
        </w:rPr>
        <w:t>Local employment opportunities vary across CDP regions (Figure 1.1), and sometimes within regions, and are likely to change over time</w:t>
      </w:r>
      <w:r w:rsidRPr="00207DC2" w:rsidDel="00592B77">
        <w:rPr>
          <w:lang w:val="en-AU"/>
        </w:rPr>
        <w:t xml:space="preserve">. </w:t>
      </w:r>
      <w:r w:rsidR="00971F5F">
        <w:rPr>
          <w:lang w:val="en-AU"/>
        </w:rPr>
        <w:t>E</w:t>
      </w:r>
      <w:r w:rsidR="000B6AB2" w:rsidRPr="00207DC2">
        <w:rPr>
          <w:lang w:val="en-AU"/>
        </w:rPr>
        <w:t xml:space="preserve">mployment </w:t>
      </w:r>
      <w:r w:rsidR="009E7D68" w:rsidRPr="00207DC2">
        <w:rPr>
          <w:lang w:val="en-AU"/>
        </w:rPr>
        <w:t xml:space="preserve">outcome </w:t>
      </w:r>
      <w:r w:rsidR="000B6AB2" w:rsidRPr="00207DC2">
        <w:rPr>
          <w:lang w:val="en-AU"/>
        </w:rPr>
        <w:t xml:space="preserve">payments </w:t>
      </w:r>
      <w:r w:rsidR="00971F5F">
        <w:rPr>
          <w:lang w:val="en-AU"/>
        </w:rPr>
        <w:t xml:space="preserve">for 13 and 26 consecutive-week outcomes </w:t>
      </w:r>
      <w:r w:rsidR="000B6AB2" w:rsidRPr="00207DC2">
        <w:rPr>
          <w:lang w:val="en-AU"/>
        </w:rPr>
        <w:t xml:space="preserve">may not be suitable in communities </w:t>
      </w:r>
      <w:r w:rsidR="002013DE" w:rsidRPr="00207DC2">
        <w:rPr>
          <w:lang w:val="en-AU"/>
        </w:rPr>
        <w:t xml:space="preserve">where </w:t>
      </w:r>
      <w:r w:rsidR="000B6AB2" w:rsidRPr="00207DC2">
        <w:rPr>
          <w:lang w:val="en-AU"/>
        </w:rPr>
        <w:t xml:space="preserve">seasonal work is an important part of the labour market. As part of </w:t>
      </w:r>
      <w:r w:rsidR="008B2B5B" w:rsidRPr="00207DC2">
        <w:rPr>
          <w:lang w:val="en-AU"/>
        </w:rPr>
        <w:t>the ANAO (2017)</w:t>
      </w:r>
      <w:r w:rsidR="000B6AB2" w:rsidRPr="00207DC2">
        <w:rPr>
          <w:lang w:val="en-AU"/>
        </w:rPr>
        <w:t xml:space="preserve"> review of the design and implementation of the CDP, </w:t>
      </w:r>
      <w:r w:rsidR="008B2B5B" w:rsidRPr="00207DC2">
        <w:rPr>
          <w:lang w:val="en-AU"/>
        </w:rPr>
        <w:t>other Government entities raised</w:t>
      </w:r>
      <w:r w:rsidR="000B6AB2" w:rsidRPr="00207DC2">
        <w:rPr>
          <w:lang w:val="en-AU"/>
        </w:rPr>
        <w:t xml:space="preserve"> concern</w:t>
      </w:r>
      <w:r w:rsidR="008B2B5B" w:rsidRPr="00207DC2">
        <w:rPr>
          <w:lang w:val="en-AU"/>
        </w:rPr>
        <w:t xml:space="preserve">s </w:t>
      </w:r>
      <w:r w:rsidR="000B6AB2" w:rsidRPr="00207DC2">
        <w:rPr>
          <w:lang w:val="en-AU"/>
        </w:rPr>
        <w:t>a</w:t>
      </w:r>
      <w:r w:rsidR="008B2B5B" w:rsidRPr="00207DC2">
        <w:rPr>
          <w:lang w:val="en-AU"/>
        </w:rPr>
        <w:t>bout</w:t>
      </w:r>
      <w:r w:rsidR="000B6AB2" w:rsidRPr="00207DC2">
        <w:rPr>
          <w:lang w:val="en-AU"/>
        </w:rPr>
        <w:t xml:space="preserve"> the timing of the 13</w:t>
      </w:r>
      <w:r w:rsidR="000B6AB2" w:rsidRPr="00207DC2">
        <w:rPr>
          <w:lang w:val="en-AU"/>
        </w:rPr>
        <w:noBreakHyphen/>
        <w:t>week and 26</w:t>
      </w:r>
      <w:r w:rsidR="000B6AB2" w:rsidRPr="00207DC2">
        <w:rPr>
          <w:lang w:val="en-AU"/>
        </w:rPr>
        <w:noBreakHyphen/>
        <w:t>week outcome payments and the</w:t>
      </w:r>
      <w:r w:rsidR="00EC4A10" w:rsidRPr="00207DC2">
        <w:rPr>
          <w:lang w:val="en-AU"/>
        </w:rPr>
        <w:t xml:space="preserve"> availability of </w:t>
      </w:r>
      <w:r w:rsidR="000B6AB2" w:rsidRPr="00207DC2">
        <w:rPr>
          <w:lang w:val="en-AU"/>
        </w:rPr>
        <w:t xml:space="preserve">seasonal and casual work in remote labour markets. </w:t>
      </w:r>
    </w:p>
    <w:p w14:paraId="28815B9D" w14:textId="17F502EF" w:rsidR="00756D30" w:rsidRPr="00207DC2" w:rsidRDefault="00613B22" w:rsidP="00613B22">
      <w:pPr>
        <w:jc w:val="both"/>
        <w:rPr>
          <w:lang w:val="en-AU"/>
        </w:rPr>
      </w:pPr>
      <w:r w:rsidRPr="00207DC2">
        <w:rPr>
          <w:lang w:val="en-AU"/>
        </w:rPr>
        <w:t xml:space="preserve">Designing </w:t>
      </w:r>
      <w:r w:rsidR="00B44BCC" w:rsidRPr="00207DC2">
        <w:rPr>
          <w:lang w:val="en-AU"/>
        </w:rPr>
        <w:t xml:space="preserve">measures of </w:t>
      </w:r>
      <w:r w:rsidRPr="00207DC2">
        <w:rPr>
          <w:lang w:val="en-AU"/>
        </w:rPr>
        <w:t>em</w:t>
      </w:r>
      <w:r w:rsidR="00B44BCC" w:rsidRPr="00207DC2">
        <w:rPr>
          <w:lang w:val="en-AU"/>
        </w:rPr>
        <w:t>ployment outcomes that match</w:t>
      </w:r>
      <w:r w:rsidRPr="00207DC2">
        <w:rPr>
          <w:lang w:val="en-AU"/>
        </w:rPr>
        <w:t xml:space="preserve"> local labour market conditions could improve incentives for CDP providers to make the most of current and emerging opportunities and ultimately, </w:t>
      </w:r>
      <w:r w:rsidR="000038B8" w:rsidRPr="00207DC2">
        <w:rPr>
          <w:lang w:val="en-AU"/>
        </w:rPr>
        <w:t xml:space="preserve">to </w:t>
      </w:r>
      <w:r w:rsidRPr="00207DC2">
        <w:rPr>
          <w:lang w:val="en-AU"/>
        </w:rPr>
        <w:t>improve the long</w:t>
      </w:r>
      <w:r w:rsidRPr="00207DC2">
        <w:rPr>
          <w:lang w:val="en-AU"/>
        </w:rPr>
        <w:noBreakHyphen/>
        <w:t>term employment outcomes and wellbeing of participants.</w:t>
      </w:r>
      <w:r w:rsidR="00B44BCC" w:rsidRPr="00207DC2">
        <w:rPr>
          <w:lang w:val="en-AU"/>
        </w:rPr>
        <w:t xml:space="preserve"> </w:t>
      </w:r>
      <w:r w:rsidR="00F71686" w:rsidRPr="00207DC2">
        <w:rPr>
          <w:lang w:val="en-AU"/>
        </w:rPr>
        <w:t xml:space="preserve">To be effective, the implementation of this would need to ensure that the employment </w:t>
      </w:r>
      <w:r w:rsidR="008F6B07" w:rsidRPr="00207DC2">
        <w:rPr>
          <w:lang w:val="en-AU"/>
        </w:rPr>
        <w:t>measures used</w:t>
      </w:r>
      <w:r w:rsidR="00F71686" w:rsidRPr="00207DC2">
        <w:rPr>
          <w:lang w:val="en-AU"/>
        </w:rPr>
        <w:t xml:space="preserve"> lead to a genuine improvement in the lives of participants.</w:t>
      </w:r>
    </w:p>
    <w:p w14:paraId="5A6C2EFB" w14:textId="685E1565" w:rsidR="00B44BCC" w:rsidRPr="00207DC2" w:rsidRDefault="00756D30" w:rsidP="00613B22">
      <w:pPr>
        <w:jc w:val="both"/>
        <w:rPr>
          <w:lang w:val="en-AU"/>
        </w:rPr>
      </w:pPr>
      <w:r w:rsidRPr="00207DC2">
        <w:rPr>
          <w:lang w:val="en-AU"/>
        </w:rPr>
        <w:t xml:space="preserve">Under the CDP, providers </w:t>
      </w:r>
      <w:r w:rsidR="00BD1EFD" w:rsidRPr="00207DC2">
        <w:rPr>
          <w:lang w:val="en-AU"/>
        </w:rPr>
        <w:t xml:space="preserve">can be </w:t>
      </w:r>
      <w:r w:rsidRPr="00207DC2">
        <w:rPr>
          <w:lang w:val="en-AU"/>
        </w:rPr>
        <w:t xml:space="preserve">paid a higher amount for participants attending Work for the Dole activities </w:t>
      </w:r>
      <w:r w:rsidR="00476D53" w:rsidRPr="00207DC2">
        <w:rPr>
          <w:lang w:val="en-AU"/>
        </w:rPr>
        <w:t xml:space="preserve">throughout the year </w:t>
      </w:r>
      <w:r w:rsidRPr="00207DC2">
        <w:rPr>
          <w:lang w:val="en-AU"/>
        </w:rPr>
        <w:t xml:space="preserve">than for </w:t>
      </w:r>
      <w:r w:rsidR="00476D53" w:rsidRPr="00207DC2">
        <w:rPr>
          <w:lang w:val="en-AU"/>
        </w:rPr>
        <w:t>achieving a 26</w:t>
      </w:r>
      <w:r w:rsidR="00476D53" w:rsidRPr="00207DC2">
        <w:rPr>
          <w:lang w:val="en-AU"/>
        </w:rPr>
        <w:noBreakHyphen/>
        <w:t xml:space="preserve">week </w:t>
      </w:r>
      <w:r w:rsidRPr="00207DC2">
        <w:rPr>
          <w:lang w:val="en-AU"/>
        </w:rPr>
        <w:t xml:space="preserve">employment outcome (Figure 1.2). This aspect of the provider payment model may, in some circumstances, reduce provider incentives to transition individuals to employment (ANAO 2017). The incentive to place Work for the Dole participants in paid work is reduced </w:t>
      </w:r>
      <w:r w:rsidR="00C92898" w:rsidRPr="00207DC2">
        <w:rPr>
          <w:szCs w:val="20"/>
          <w:lang w:val="en-AU"/>
        </w:rPr>
        <w:t>for those who face the greatest barriers to employment</w:t>
      </w:r>
      <w:r w:rsidR="00C92898" w:rsidRPr="00207DC2">
        <w:rPr>
          <w:lang w:val="en-AU"/>
        </w:rPr>
        <w:t xml:space="preserve"> </w:t>
      </w:r>
      <w:r w:rsidRPr="00207DC2">
        <w:rPr>
          <w:lang w:val="en-AU"/>
        </w:rPr>
        <w:t>where there is a lower likelihood of an individual staying in the job for 26</w:t>
      </w:r>
      <w:r w:rsidR="008D55AE" w:rsidRPr="00207DC2">
        <w:rPr>
          <w:lang w:val="en-AU"/>
        </w:rPr>
        <w:t> </w:t>
      </w:r>
      <w:r w:rsidRPr="00207DC2">
        <w:rPr>
          <w:lang w:val="en-AU"/>
        </w:rPr>
        <w:t>weeks</w:t>
      </w:r>
      <w:r w:rsidR="00D47834" w:rsidRPr="00207DC2">
        <w:rPr>
          <w:szCs w:val="20"/>
          <w:lang w:val="en-AU"/>
        </w:rPr>
        <w:t xml:space="preserve">. </w:t>
      </w:r>
    </w:p>
    <w:p w14:paraId="3B996724" w14:textId="64DE3221" w:rsidR="000A5AE5" w:rsidRPr="00207DC2" w:rsidRDefault="00FF3CA1" w:rsidP="00D90689">
      <w:pPr>
        <w:jc w:val="both"/>
        <w:rPr>
          <w:lang w:val="en-AU"/>
        </w:rPr>
      </w:pPr>
      <w:r w:rsidRPr="00207DC2">
        <w:rPr>
          <w:lang w:val="en-AU"/>
        </w:rPr>
        <w:t>St</w:t>
      </w:r>
      <w:r w:rsidR="00485C71" w:rsidRPr="00207DC2">
        <w:rPr>
          <w:lang w:val="en-AU"/>
        </w:rPr>
        <w:t>r</w:t>
      </w:r>
      <w:r w:rsidRPr="00207DC2">
        <w:rPr>
          <w:lang w:val="en-AU"/>
        </w:rPr>
        <w:t xml:space="preserve">eaming </w:t>
      </w:r>
      <w:r w:rsidR="006651CB" w:rsidRPr="00207DC2">
        <w:rPr>
          <w:lang w:val="en-AU"/>
        </w:rPr>
        <w:t xml:space="preserve">employment </w:t>
      </w:r>
      <w:r w:rsidRPr="00207DC2">
        <w:rPr>
          <w:lang w:val="en-AU"/>
        </w:rPr>
        <w:t>outcome payments</w:t>
      </w:r>
      <w:r w:rsidR="00396552">
        <w:rPr>
          <w:lang w:val="en-AU"/>
        </w:rPr>
        <w:t xml:space="preserve"> – </w:t>
      </w:r>
      <w:r w:rsidR="00921181" w:rsidRPr="00207DC2">
        <w:rPr>
          <w:lang w:val="en-AU"/>
        </w:rPr>
        <w:t xml:space="preserve">based </w:t>
      </w:r>
      <w:r w:rsidR="007A0435" w:rsidRPr="00207DC2">
        <w:rPr>
          <w:lang w:val="en-AU"/>
        </w:rPr>
        <w:t xml:space="preserve">on </w:t>
      </w:r>
      <w:r w:rsidR="00921181" w:rsidRPr="00207DC2">
        <w:rPr>
          <w:lang w:val="en-AU"/>
        </w:rPr>
        <w:t xml:space="preserve">the </w:t>
      </w:r>
      <w:r w:rsidR="00A01C32" w:rsidRPr="00207DC2">
        <w:rPr>
          <w:lang w:val="en-AU"/>
        </w:rPr>
        <w:t xml:space="preserve">individual’s </w:t>
      </w:r>
      <w:r w:rsidR="00921181" w:rsidRPr="00207DC2">
        <w:rPr>
          <w:lang w:val="en-AU"/>
        </w:rPr>
        <w:t>employment</w:t>
      </w:r>
      <w:r w:rsidR="007A0435" w:rsidRPr="00207DC2">
        <w:rPr>
          <w:lang w:val="en-AU"/>
        </w:rPr>
        <w:t xml:space="preserve"> barriers</w:t>
      </w:r>
      <w:r w:rsidR="00396552">
        <w:rPr>
          <w:lang w:val="en-AU"/>
        </w:rPr>
        <w:t xml:space="preserve"> – </w:t>
      </w:r>
      <w:r w:rsidR="00E253B2" w:rsidRPr="00207DC2">
        <w:rPr>
          <w:lang w:val="en-AU"/>
        </w:rPr>
        <w:t>could improve the long</w:t>
      </w:r>
      <w:r w:rsidR="00E253B2" w:rsidRPr="00207DC2">
        <w:rPr>
          <w:lang w:val="en-AU"/>
        </w:rPr>
        <w:noBreakHyphen/>
        <w:t>term outcomes for CDP participants. Steaming</w:t>
      </w:r>
      <w:r w:rsidR="007A0435" w:rsidRPr="00207DC2">
        <w:rPr>
          <w:lang w:val="en-AU"/>
        </w:rPr>
        <w:t xml:space="preserve"> </w:t>
      </w:r>
      <w:r w:rsidRPr="00207DC2">
        <w:rPr>
          <w:lang w:val="en-AU"/>
        </w:rPr>
        <w:t xml:space="preserve">is already used in </w:t>
      </w:r>
      <w:r w:rsidR="000F6701" w:rsidRPr="00207DC2">
        <w:rPr>
          <w:lang w:val="en-AU"/>
        </w:rPr>
        <w:t>mainstream employment services</w:t>
      </w:r>
      <w:r w:rsidR="000A5AE5" w:rsidRPr="00207DC2">
        <w:rPr>
          <w:lang w:val="en-AU"/>
        </w:rPr>
        <w:t xml:space="preserve"> </w:t>
      </w:r>
      <w:r w:rsidRPr="00207DC2">
        <w:rPr>
          <w:lang w:val="en-AU"/>
        </w:rPr>
        <w:t>to improve</w:t>
      </w:r>
      <w:r w:rsidR="00B01A48" w:rsidRPr="00207DC2">
        <w:rPr>
          <w:lang w:val="en-AU"/>
        </w:rPr>
        <w:t xml:space="preserve"> incentives for provide</w:t>
      </w:r>
      <w:r w:rsidR="001448E7" w:rsidRPr="00207DC2">
        <w:rPr>
          <w:lang w:val="en-AU"/>
        </w:rPr>
        <w:t>r</w:t>
      </w:r>
      <w:r w:rsidR="00B01A48" w:rsidRPr="00207DC2">
        <w:rPr>
          <w:lang w:val="en-AU"/>
        </w:rPr>
        <w:t>s to place participants with high employment barriers into jobs</w:t>
      </w:r>
      <w:r w:rsidR="00EC1FD8" w:rsidRPr="00207DC2">
        <w:rPr>
          <w:lang w:val="en-AU"/>
        </w:rPr>
        <w:t xml:space="preserve"> (</w:t>
      </w:r>
      <w:r w:rsidR="000742C3" w:rsidRPr="00207DC2">
        <w:rPr>
          <w:lang w:val="en-AU"/>
        </w:rPr>
        <w:t>Appendix A</w:t>
      </w:r>
      <w:r w:rsidR="0085309D" w:rsidRPr="00207DC2">
        <w:rPr>
          <w:lang w:val="en-AU"/>
        </w:rPr>
        <w:t xml:space="preserve">). </w:t>
      </w:r>
      <w:r w:rsidR="00086E60" w:rsidRPr="00207DC2">
        <w:rPr>
          <w:lang w:val="en-AU"/>
        </w:rPr>
        <w:t>Similarly, payments for</w:t>
      </w:r>
      <w:r w:rsidR="0055575E" w:rsidRPr="00207DC2">
        <w:rPr>
          <w:lang w:val="en-AU"/>
        </w:rPr>
        <w:t xml:space="preserve"> </w:t>
      </w:r>
      <w:r w:rsidR="000742C3" w:rsidRPr="00207DC2">
        <w:rPr>
          <w:lang w:val="en-AU"/>
        </w:rPr>
        <w:t>Disability Employment Services</w:t>
      </w:r>
      <w:r w:rsidR="0055575E" w:rsidRPr="00207DC2">
        <w:rPr>
          <w:lang w:val="en-AU"/>
        </w:rPr>
        <w:t xml:space="preserve"> </w:t>
      </w:r>
      <w:r w:rsidR="00086E60" w:rsidRPr="00207DC2">
        <w:rPr>
          <w:lang w:val="en-AU"/>
        </w:rPr>
        <w:t xml:space="preserve">(DES) providers </w:t>
      </w:r>
      <w:r w:rsidR="000A5AE5" w:rsidRPr="00207DC2">
        <w:rPr>
          <w:lang w:val="en-AU"/>
        </w:rPr>
        <w:t>are</w:t>
      </w:r>
      <w:r w:rsidR="00086E60" w:rsidRPr="00207DC2">
        <w:rPr>
          <w:lang w:val="en-AU"/>
        </w:rPr>
        <w:t xml:space="preserve"> based on a number of factors including</w:t>
      </w:r>
      <w:r w:rsidR="00352116" w:rsidRPr="00207DC2">
        <w:rPr>
          <w:lang w:val="en-AU"/>
        </w:rPr>
        <w:t xml:space="preserve"> labour market conditions, </w:t>
      </w:r>
      <w:r w:rsidR="00086E60" w:rsidRPr="00207DC2">
        <w:rPr>
          <w:lang w:val="en-AU"/>
        </w:rPr>
        <w:t xml:space="preserve">as well as </w:t>
      </w:r>
      <w:r w:rsidR="000A5AE5" w:rsidRPr="00207DC2">
        <w:rPr>
          <w:lang w:val="en-AU"/>
        </w:rPr>
        <w:t xml:space="preserve">a </w:t>
      </w:r>
      <w:r w:rsidR="00086E60" w:rsidRPr="00207DC2">
        <w:rPr>
          <w:lang w:val="en-AU"/>
        </w:rPr>
        <w:t>participant’s</w:t>
      </w:r>
      <w:r w:rsidR="000742C3" w:rsidRPr="00207DC2">
        <w:rPr>
          <w:lang w:val="en-AU"/>
        </w:rPr>
        <w:t xml:space="preserve"> demographic characteristics and</w:t>
      </w:r>
      <w:r w:rsidR="00352116" w:rsidRPr="00207DC2">
        <w:rPr>
          <w:lang w:val="en-AU"/>
        </w:rPr>
        <w:t xml:space="preserve"> disability type. </w:t>
      </w:r>
      <w:r w:rsidR="00086E60" w:rsidRPr="00207DC2">
        <w:rPr>
          <w:lang w:val="en-AU"/>
        </w:rPr>
        <w:t>This risk</w:t>
      </w:r>
      <w:r w:rsidR="00086E60" w:rsidRPr="00207DC2">
        <w:rPr>
          <w:lang w:val="en-AU"/>
        </w:rPr>
        <w:noBreakHyphen/>
      </w:r>
      <w:r w:rsidR="00352116" w:rsidRPr="00207DC2">
        <w:rPr>
          <w:lang w:val="en-AU"/>
        </w:rPr>
        <w:t>adjusted funding</w:t>
      </w:r>
      <w:r w:rsidR="00086E60" w:rsidRPr="00207DC2">
        <w:rPr>
          <w:lang w:val="en-AU"/>
        </w:rPr>
        <w:t xml:space="preserve"> is designed to</w:t>
      </w:r>
      <w:r w:rsidR="00352116" w:rsidRPr="00207DC2">
        <w:rPr>
          <w:lang w:val="en-AU"/>
        </w:rPr>
        <w:t xml:space="preserve"> </w:t>
      </w:r>
      <w:r w:rsidR="00086E60" w:rsidRPr="00207DC2">
        <w:rPr>
          <w:lang w:val="en-AU"/>
        </w:rPr>
        <w:t>encourage</w:t>
      </w:r>
      <w:r w:rsidR="00352116" w:rsidRPr="00207DC2">
        <w:rPr>
          <w:lang w:val="en-AU"/>
        </w:rPr>
        <w:t xml:space="preserve"> </w:t>
      </w:r>
      <w:r w:rsidR="00C61288" w:rsidRPr="00207DC2">
        <w:rPr>
          <w:lang w:val="en-AU"/>
        </w:rPr>
        <w:t xml:space="preserve">DES </w:t>
      </w:r>
      <w:r w:rsidR="00352116" w:rsidRPr="00207DC2">
        <w:rPr>
          <w:lang w:val="en-AU"/>
        </w:rPr>
        <w:t xml:space="preserve">providers to achieve outcomes for those participants less </w:t>
      </w:r>
      <w:r w:rsidR="00C61288" w:rsidRPr="00207DC2">
        <w:rPr>
          <w:lang w:val="en-AU"/>
        </w:rPr>
        <w:t>likely</w:t>
      </w:r>
      <w:r w:rsidR="00352116" w:rsidRPr="00207DC2">
        <w:rPr>
          <w:lang w:val="en-AU"/>
        </w:rPr>
        <w:t xml:space="preserve"> to gain employment</w:t>
      </w:r>
      <w:r w:rsidR="00126733" w:rsidRPr="00207DC2">
        <w:rPr>
          <w:lang w:val="en-AU"/>
        </w:rPr>
        <w:t xml:space="preserve"> by having </w:t>
      </w:r>
      <w:r w:rsidR="00C61288" w:rsidRPr="00207DC2">
        <w:rPr>
          <w:lang w:val="en-AU"/>
        </w:rPr>
        <w:t>proportionately</w:t>
      </w:r>
      <w:r w:rsidR="00352116" w:rsidRPr="00207DC2">
        <w:rPr>
          <w:lang w:val="en-AU"/>
        </w:rPr>
        <w:t xml:space="preserve"> higher payments available (DSS 2018b).</w:t>
      </w:r>
    </w:p>
    <w:tbl>
      <w:tblPr>
        <w:tblStyle w:val="TableGrid"/>
        <w:tblW w:w="0" w:type="auto"/>
        <w:tblLook w:val="04A0" w:firstRow="1" w:lastRow="0" w:firstColumn="1" w:lastColumn="0" w:noHBand="0" w:noVBand="1"/>
        <w:tblCaption w:val="Finding 4"/>
      </w:tblPr>
      <w:tblGrid>
        <w:gridCol w:w="9016"/>
      </w:tblGrid>
      <w:tr w:rsidR="00613B22" w:rsidRPr="00207DC2" w14:paraId="6A4AF3A2" w14:textId="77777777" w:rsidTr="000A3951">
        <w:trPr>
          <w:tblHeader/>
        </w:trPr>
        <w:tc>
          <w:tcPr>
            <w:tcW w:w="9016" w:type="dxa"/>
          </w:tcPr>
          <w:p w14:paraId="2B125869" w14:textId="47BF8901" w:rsidR="00613B22" w:rsidRPr="00207DC2" w:rsidRDefault="00085D79" w:rsidP="004D46A2">
            <w:pPr>
              <w:spacing w:before="120"/>
              <w:jc w:val="both"/>
              <w:rPr>
                <w:b/>
                <w:i/>
                <w:szCs w:val="20"/>
                <w:lang w:val="en-AU"/>
              </w:rPr>
            </w:pPr>
            <w:r w:rsidRPr="00207DC2">
              <w:rPr>
                <w:b/>
                <w:i/>
                <w:szCs w:val="20"/>
                <w:lang w:val="en-AU"/>
              </w:rPr>
              <w:t xml:space="preserve">Finding </w:t>
            </w:r>
            <w:r w:rsidR="00B504BA" w:rsidRPr="00207DC2">
              <w:rPr>
                <w:b/>
                <w:i/>
                <w:szCs w:val="20"/>
                <w:lang w:val="en-AU"/>
              </w:rPr>
              <w:t>4</w:t>
            </w:r>
          </w:p>
          <w:p w14:paraId="79D681EB" w14:textId="3F93FA66" w:rsidR="007F60C6" w:rsidRPr="00207DC2" w:rsidRDefault="006E7BE8" w:rsidP="006D3B0E">
            <w:pPr>
              <w:jc w:val="both"/>
              <w:rPr>
                <w:i/>
                <w:szCs w:val="20"/>
                <w:lang w:val="en-AU"/>
              </w:rPr>
            </w:pPr>
            <w:r w:rsidRPr="00207DC2">
              <w:rPr>
                <w:i/>
                <w:szCs w:val="20"/>
                <w:lang w:val="en-AU"/>
              </w:rPr>
              <w:t>Giving p</w:t>
            </w:r>
            <w:r w:rsidR="00613B22" w:rsidRPr="00207DC2">
              <w:rPr>
                <w:i/>
                <w:szCs w:val="20"/>
                <w:lang w:val="en-AU"/>
              </w:rPr>
              <w:t xml:space="preserve">roviders </w:t>
            </w:r>
            <w:r w:rsidRPr="00207DC2">
              <w:rPr>
                <w:i/>
                <w:szCs w:val="20"/>
                <w:lang w:val="en-AU"/>
              </w:rPr>
              <w:t xml:space="preserve">some </w:t>
            </w:r>
            <w:r w:rsidR="00613B22" w:rsidRPr="00207DC2">
              <w:rPr>
                <w:i/>
                <w:szCs w:val="20"/>
                <w:lang w:val="en-AU"/>
              </w:rPr>
              <w:t xml:space="preserve">flexibility to negotiate how employment outcomes are defined, measured and paid for </w:t>
            </w:r>
            <w:r w:rsidRPr="00207DC2">
              <w:rPr>
                <w:i/>
                <w:szCs w:val="20"/>
                <w:lang w:val="en-AU"/>
              </w:rPr>
              <w:t>could lead to better employment outcomes for participants</w:t>
            </w:r>
            <w:r w:rsidR="00613B22" w:rsidRPr="00207DC2">
              <w:rPr>
                <w:i/>
                <w:szCs w:val="20"/>
                <w:lang w:val="en-AU"/>
              </w:rPr>
              <w:t xml:space="preserve">. </w:t>
            </w:r>
            <w:r w:rsidR="006B6B65" w:rsidRPr="00207DC2">
              <w:rPr>
                <w:i/>
                <w:szCs w:val="20"/>
                <w:lang w:val="en-AU"/>
              </w:rPr>
              <w:t>E</w:t>
            </w:r>
            <w:r w:rsidR="00CB72A6" w:rsidRPr="00207DC2">
              <w:rPr>
                <w:i/>
                <w:szCs w:val="20"/>
                <w:lang w:val="en-AU"/>
              </w:rPr>
              <w:t xml:space="preserve">mployment outcomes </w:t>
            </w:r>
            <w:r w:rsidR="00A23ED3" w:rsidRPr="00207DC2">
              <w:rPr>
                <w:i/>
                <w:szCs w:val="20"/>
                <w:lang w:val="en-AU"/>
              </w:rPr>
              <w:t xml:space="preserve">could better </w:t>
            </w:r>
            <w:r w:rsidR="00613B22" w:rsidRPr="00207DC2">
              <w:rPr>
                <w:i/>
                <w:szCs w:val="20"/>
                <w:lang w:val="en-AU"/>
              </w:rPr>
              <w:t>reflect the local labour market conditions and opportunities.</w:t>
            </w:r>
            <w:r w:rsidR="00CB72A6" w:rsidRPr="00207DC2">
              <w:rPr>
                <w:i/>
                <w:szCs w:val="20"/>
                <w:lang w:val="en-AU"/>
              </w:rPr>
              <w:t xml:space="preserve"> In particular, </w:t>
            </w:r>
            <w:r w:rsidR="00E26835" w:rsidRPr="00207DC2">
              <w:rPr>
                <w:i/>
                <w:szCs w:val="20"/>
                <w:lang w:val="en-AU"/>
              </w:rPr>
              <w:t xml:space="preserve">in locations where seasonal work is a key driver of work, </w:t>
            </w:r>
            <w:r w:rsidR="00CB72A6" w:rsidRPr="00207DC2">
              <w:rPr>
                <w:i/>
                <w:szCs w:val="20"/>
                <w:lang w:val="en-AU"/>
              </w:rPr>
              <w:t>providers could</w:t>
            </w:r>
            <w:r w:rsidR="00613B22" w:rsidRPr="00207DC2">
              <w:rPr>
                <w:i/>
                <w:szCs w:val="20"/>
                <w:lang w:val="en-AU"/>
              </w:rPr>
              <w:t xml:space="preserve"> have scope to alter the requirement for outcomes to be obtain</w:t>
            </w:r>
            <w:r w:rsidR="003170D2" w:rsidRPr="00207DC2">
              <w:rPr>
                <w:i/>
                <w:szCs w:val="20"/>
                <w:lang w:val="en-AU"/>
              </w:rPr>
              <w:t>ed</w:t>
            </w:r>
            <w:r w:rsidR="00613B22" w:rsidRPr="00207DC2">
              <w:rPr>
                <w:i/>
                <w:szCs w:val="20"/>
                <w:lang w:val="en-AU"/>
              </w:rPr>
              <w:t xml:space="preserve"> over</w:t>
            </w:r>
            <w:r w:rsidR="00EE715B" w:rsidRPr="00207DC2">
              <w:rPr>
                <w:i/>
                <w:szCs w:val="20"/>
                <w:lang w:val="en-AU"/>
              </w:rPr>
              <w:t xml:space="preserve"> a</w:t>
            </w:r>
            <w:r w:rsidR="00613B22" w:rsidRPr="00207DC2">
              <w:rPr>
                <w:i/>
                <w:szCs w:val="20"/>
                <w:lang w:val="en-AU"/>
              </w:rPr>
              <w:t xml:space="preserve"> consecutive </w:t>
            </w:r>
            <w:r w:rsidR="00EA51D5" w:rsidRPr="00207DC2">
              <w:rPr>
                <w:i/>
                <w:szCs w:val="20"/>
                <w:lang w:val="en-AU"/>
              </w:rPr>
              <w:t xml:space="preserve">time </w:t>
            </w:r>
            <w:r w:rsidR="00E26835" w:rsidRPr="00207DC2">
              <w:rPr>
                <w:i/>
                <w:szCs w:val="20"/>
                <w:lang w:val="en-AU"/>
              </w:rPr>
              <w:t>period</w:t>
            </w:r>
            <w:r w:rsidR="00613B22" w:rsidRPr="00207DC2">
              <w:rPr>
                <w:i/>
                <w:szCs w:val="20"/>
                <w:lang w:val="en-AU"/>
              </w:rPr>
              <w:t>.</w:t>
            </w:r>
          </w:p>
          <w:p w14:paraId="35431A0B" w14:textId="400C10E9" w:rsidR="00B01A48" w:rsidRPr="00207DC2" w:rsidRDefault="009C6E17" w:rsidP="00EE715B">
            <w:pPr>
              <w:tabs>
                <w:tab w:val="left" w:pos="7845"/>
              </w:tabs>
              <w:jc w:val="both"/>
              <w:rPr>
                <w:i/>
                <w:szCs w:val="20"/>
                <w:lang w:val="en-AU"/>
              </w:rPr>
            </w:pPr>
            <w:r w:rsidRPr="00207DC2">
              <w:rPr>
                <w:i/>
                <w:szCs w:val="20"/>
                <w:lang w:val="en-AU"/>
              </w:rPr>
              <w:t>P</w:t>
            </w:r>
            <w:r w:rsidR="00852B15" w:rsidRPr="00207DC2">
              <w:rPr>
                <w:i/>
                <w:szCs w:val="20"/>
                <w:lang w:val="en-AU"/>
              </w:rPr>
              <w:t xml:space="preserve">articipants </w:t>
            </w:r>
            <w:r w:rsidR="005E7E14" w:rsidRPr="00207DC2">
              <w:rPr>
                <w:i/>
                <w:szCs w:val="20"/>
                <w:lang w:val="en-AU"/>
              </w:rPr>
              <w:t xml:space="preserve">may </w:t>
            </w:r>
            <w:r w:rsidRPr="00207DC2">
              <w:rPr>
                <w:i/>
                <w:szCs w:val="20"/>
                <w:lang w:val="en-AU"/>
              </w:rPr>
              <w:t xml:space="preserve">also </w:t>
            </w:r>
            <w:r w:rsidR="00852B15" w:rsidRPr="00207DC2">
              <w:rPr>
                <w:i/>
                <w:szCs w:val="20"/>
                <w:lang w:val="en-AU"/>
              </w:rPr>
              <w:t xml:space="preserve">benefit from </w:t>
            </w:r>
            <w:r w:rsidR="00894D6B" w:rsidRPr="00207DC2">
              <w:rPr>
                <w:i/>
                <w:szCs w:val="20"/>
                <w:lang w:val="en-AU"/>
              </w:rPr>
              <w:t xml:space="preserve">increasing the </w:t>
            </w:r>
            <w:r w:rsidR="00852B15" w:rsidRPr="00207DC2">
              <w:rPr>
                <w:i/>
                <w:szCs w:val="20"/>
                <w:lang w:val="en-AU"/>
              </w:rPr>
              <w:t>i</w:t>
            </w:r>
            <w:r w:rsidR="00852B15" w:rsidRPr="00207DC2">
              <w:rPr>
                <w:i/>
                <w:lang w:val="en-AU"/>
              </w:rPr>
              <w:t>ncentive for provide</w:t>
            </w:r>
            <w:r w:rsidR="002013DE" w:rsidRPr="00207DC2">
              <w:rPr>
                <w:i/>
                <w:lang w:val="en-AU"/>
              </w:rPr>
              <w:t>r</w:t>
            </w:r>
            <w:r w:rsidR="00852B15" w:rsidRPr="00207DC2">
              <w:rPr>
                <w:i/>
                <w:lang w:val="en-AU"/>
              </w:rPr>
              <w:t>s to place those with high employment barriers into employment</w:t>
            </w:r>
            <w:r w:rsidR="00852B15" w:rsidRPr="00207DC2">
              <w:rPr>
                <w:i/>
                <w:szCs w:val="20"/>
                <w:lang w:val="en-AU"/>
              </w:rPr>
              <w:t xml:space="preserve">. One way to strengthen incentives would be </w:t>
            </w:r>
            <w:r w:rsidR="00F00063" w:rsidRPr="00207DC2">
              <w:rPr>
                <w:i/>
                <w:szCs w:val="20"/>
                <w:lang w:val="en-AU"/>
              </w:rPr>
              <w:t xml:space="preserve">to </w:t>
            </w:r>
            <w:r w:rsidR="00E253B2" w:rsidRPr="00207DC2">
              <w:rPr>
                <w:i/>
                <w:szCs w:val="20"/>
                <w:lang w:val="en-AU"/>
              </w:rPr>
              <w:t xml:space="preserve">stream </w:t>
            </w:r>
            <w:r w:rsidR="00F132C2" w:rsidRPr="00207DC2">
              <w:rPr>
                <w:i/>
                <w:szCs w:val="20"/>
                <w:lang w:val="en-AU"/>
              </w:rPr>
              <w:t>employment outc</w:t>
            </w:r>
            <w:r w:rsidR="008A0FA4" w:rsidRPr="00207DC2">
              <w:rPr>
                <w:i/>
                <w:szCs w:val="20"/>
                <w:lang w:val="en-AU"/>
              </w:rPr>
              <w:t>ome payments</w:t>
            </w:r>
            <w:r w:rsidR="00F132C2" w:rsidRPr="00207DC2">
              <w:rPr>
                <w:i/>
                <w:szCs w:val="20"/>
                <w:lang w:val="en-AU"/>
              </w:rPr>
              <w:t xml:space="preserve"> </w:t>
            </w:r>
            <w:r w:rsidR="00906B62" w:rsidRPr="00207DC2">
              <w:rPr>
                <w:i/>
                <w:szCs w:val="20"/>
                <w:lang w:val="en-AU"/>
              </w:rPr>
              <w:t xml:space="preserve">based on </w:t>
            </w:r>
            <w:r w:rsidR="00F132C2" w:rsidRPr="00207DC2">
              <w:rPr>
                <w:i/>
                <w:szCs w:val="20"/>
                <w:lang w:val="en-AU"/>
              </w:rPr>
              <w:t>the barriers face</w:t>
            </w:r>
            <w:r w:rsidR="00453662" w:rsidRPr="00207DC2">
              <w:rPr>
                <w:i/>
                <w:szCs w:val="20"/>
                <w:lang w:val="en-AU"/>
              </w:rPr>
              <w:t>d by</w:t>
            </w:r>
            <w:r w:rsidR="00F132C2" w:rsidRPr="00207DC2">
              <w:rPr>
                <w:i/>
                <w:szCs w:val="20"/>
                <w:lang w:val="en-AU"/>
              </w:rPr>
              <w:t xml:space="preserve"> individual </w:t>
            </w:r>
            <w:r w:rsidR="00A13ABC" w:rsidRPr="00207DC2">
              <w:rPr>
                <w:i/>
                <w:szCs w:val="20"/>
                <w:lang w:val="en-AU"/>
              </w:rPr>
              <w:t>participant</w:t>
            </w:r>
            <w:r w:rsidR="00F132C2" w:rsidRPr="00207DC2">
              <w:rPr>
                <w:i/>
                <w:szCs w:val="20"/>
                <w:lang w:val="en-AU"/>
              </w:rPr>
              <w:t>s</w:t>
            </w:r>
            <w:r w:rsidR="00411D5B" w:rsidRPr="00207DC2">
              <w:rPr>
                <w:i/>
                <w:szCs w:val="20"/>
                <w:lang w:val="en-AU"/>
              </w:rPr>
              <w:t xml:space="preserve">. </w:t>
            </w:r>
          </w:p>
        </w:tc>
      </w:tr>
    </w:tbl>
    <w:p w14:paraId="3DC512AD" w14:textId="401AD970" w:rsidR="00894D6B" w:rsidRPr="00207DC2" w:rsidRDefault="00894D6B" w:rsidP="00894D6B">
      <w:pPr>
        <w:spacing w:before="240"/>
        <w:jc w:val="both"/>
        <w:rPr>
          <w:lang w:val="en-AU"/>
        </w:rPr>
      </w:pPr>
      <w:bookmarkStart w:id="644" w:name="_Toc515185479"/>
      <w:bookmarkStart w:id="645" w:name="_Toc516219852"/>
      <w:bookmarkStart w:id="646" w:name="_Toc516220493"/>
      <w:bookmarkStart w:id="647" w:name="_Toc516223313"/>
      <w:bookmarkStart w:id="648" w:name="_Toc516225221"/>
      <w:bookmarkStart w:id="649" w:name="_Toc516228997"/>
      <w:bookmarkStart w:id="650" w:name="_Toc511826311"/>
      <w:bookmarkStart w:id="651" w:name="_Toc511940628"/>
      <w:r w:rsidRPr="00207DC2">
        <w:rPr>
          <w:lang w:val="en-AU"/>
        </w:rPr>
        <w:t xml:space="preserve">Consideration could be given to first piloting and evaluating changes to the program in order to identify impacts (intended and unintended). Trial sites have been used to test and refine a number of changes to employment programs. For example, Work for the Dole was first trialled in 18 select locations in non-remote Australia (Social Research Centre 2015) before being introduced nationally from July 2015. </w:t>
      </w:r>
      <w:r w:rsidR="00BE2885" w:rsidRPr="00207DC2">
        <w:rPr>
          <w:lang w:val="en-AU"/>
        </w:rPr>
        <w:t xml:space="preserve">The National Disability Insurance Scheme (NDIS) was also first introduced in trial </w:t>
      </w:r>
      <w:r w:rsidR="003B7CF5" w:rsidRPr="00207DC2">
        <w:rPr>
          <w:lang w:val="en-AU"/>
        </w:rPr>
        <w:t>sites</w:t>
      </w:r>
      <w:r w:rsidR="00BE2885" w:rsidRPr="00207DC2">
        <w:rPr>
          <w:lang w:val="en-AU"/>
        </w:rPr>
        <w:t xml:space="preserve"> across Australia, </w:t>
      </w:r>
      <w:r w:rsidR="003B7CF5" w:rsidRPr="00207DC2">
        <w:rPr>
          <w:lang w:val="en-AU"/>
        </w:rPr>
        <w:t>including</w:t>
      </w:r>
      <w:r w:rsidR="00BE2885" w:rsidRPr="00207DC2">
        <w:rPr>
          <w:lang w:val="en-AU"/>
        </w:rPr>
        <w:t xml:space="preserve"> remote </w:t>
      </w:r>
      <w:r w:rsidR="0073471C" w:rsidRPr="00207DC2">
        <w:rPr>
          <w:lang w:val="en-AU"/>
        </w:rPr>
        <w:t xml:space="preserve">areas </w:t>
      </w:r>
      <w:r w:rsidR="00BE2885" w:rsidRPr="00207DC2">
        <w:rPr>
          <w:lang w:val="en-AU"/>
        </w:rPr>
        <w:t xml:space="preserve">(PC 2017b). </w:t>
      </w:r>
    </w:p>
    <w:p w14:paraId="4C6A5050" w14:textId="49700552" w:rsidR="00894D6B" w:rsidRPr="00207DC2" w:rsidRDefault="00894D6B" w:rsidP="00894D6B">
      <w:pPr>
        <w:jc w:val="both"/>
        <w:rPr>
          <w:lang w:val="en-AU"/>
        </w:rPr>
      </w:pPr>
      <w:r w:rsidRPr="00207DC2">
        <w:rPr>
          <w:lang w:val="en-AU"/>
        </w:rPr>
        <w:t>Well-designed program pilots, with an understanding of the context of the location and population, can provide key insights into what works</w:t>
      </w:r>
      <w:r w:rsidR="00380494" w:rsidRPr="00207DC2">
        <w:rPr>
          <w:lang w:val="en-AU"/>
        </w:rPr>
        <w:t>,</w:t>
      </w:r>
      <w:r w:rsidRPr="00207DC2">
        <w:rPr>
          <w:lang w:val="en-AU"/>
        </w:rPr>
        <w:t xml:space="preserve"> for whom</w:t>
      </w:r>
      <w:r w:rsidR="00380494" w:rsidRPr="00207DC2">
        <w:rPr>
          <w:lang w:val="en-AU"/>
        </w:rPr>
        <w:t>,</w:t>
      </w:r>
      <w:r w:rsidRPr="00207DC2">
        <w:rPr>
          <w:lang w:val="en-AU"/>
        </w:rPr>
        <w:t xml:space="preserve"> and in what circumstances. Pilots, however, are limited by the time needed for the effect of new policies to be evident and for impacts to be measured and isolated from other factors (Sanderson 2002). Where pilots require extensive time to set-up, run and evaluate, the benefits of refining policy through pilot programs needs to be balanced against the potential benefits of providing </w:t>
      </w:r>
      <w:r w:rsidR="00492D2E">
        <w:rPr>
          <w:lang w:val="en-AU"/>
        </w:rPr>
        <w:t xml:space="preserve">earlier </w:t>
      </w:r>
      <w:r w:rsidRPr="00207DC2">
        <w:rPr>
          <w:lang w:val="en-AU"/>
        </w:rPr>
        <w:t>access to new policy arrangements.</w:t>
      </w:r>
    </w:p>
    <w:p w14:paraId="2597E242" w14:textId="406D0D12" w:rsidR="00894D6B" w:rsidRPr="00207DC2" w:rsidRDefault="00894D6B" w:rsidP="00894D6B">
      <w:pPr>
        <w:jc w:val="both"/>
        <w:rPr>
          <w:lang w:val="en-AU"/>
        </w:rPr>
      </w:pPr>
      <w:r w:rsidRPr="00207DC2">
        <w:rPr>
          <w:lang w:val="en-AU"/>
        </w:rPr>
        <w:t>For new and innovative programs where the impacts are uncertain, using small-scale pilots before refining and scaling up reforms can reduce the otherwise high failure rates (Blattman and Ralston 2015).</w:t>
      </w:r>
    </w:p>
    <w:tbl>
      <w:tblPr>
        <w:tblStyle w:val="TableGrid"/>
        <w:tblW w:w="0" w:type="auto"/>
        <w:tblLook w:val="04A0" w:firstRow="1" w:lastRow="0" w:firstColumn="1" w:lastColumn="0" w:noHBand="0" w:noVBand="1"/>
        <w:tblCaption w:val="Finding 5"/>
      </w:tblPr>
      <w:tblGrid>
        <w:gridCol w:w="9016"/>
      </w:tblGrid>
      <w:tr w:rsidR="00CB7973" w:rsidRPr="00207DC2" w14:paraId="75E87739" w14:textId="77777777" w:rsidTr="000A3951">
        <w:trPr>
          <w:tblHeader/>
        </w:trPr>
        <w:tc>
          <w:tcPr>
            <w:tcW w:w="9016" w:type="dxa"/>
          </w:tcPr>
          <w:p w14:paraId="74642FCB" w14:textId="54A2AAE7" w:rsidR="00CB7973" w:rsidRPr="00207DC2" w:rsidRDefault="00CB7973" w:rsidP="00756D30">
            <w:pPr>
              <w:spacing w:before="120"/>
              <w:jc w:val="both"/>
              <w:rPr>
                <w:b/>
                <w:i/>
                <w:szCs w:val="20"/>
                <w:lang w:val="en-AU"/>
              </w:rPr>
            </w:pPr>
            <w:r w:rsidRPr="00207DC2">
              <w:rPr>
                <w:b/>
                <w:i/>
                <w:szCs w:val="20"/>
                <w:lang w:val="en-AU"/>
              </w:rPr>
              <w:t xml:space="preserve">Finding </w:t>
            </w:r>
            <w:r w:rsidR="00B504BA" w:rsidRPr="00207DC2">
              <w:rPr>
                <w:b/>
                <w:i/>
                <w:szCs w:val="20"/>
                <w:lang w:val="en-AU"/>
              </w:rPr>
              <w:t>5</w:t>
            </w:r>
          </w:p>
          <w:p w14:paraId="56578079" w14:textId="068298E6" w:rsidR="00CB7973" w:rsidRPr="00207DC2" w:rsidRDefault="00F97E87" w:rsidP="00AD6891">
            <w:pPr>
              <w:jc w:val="both"/>
              <w:rPr>
                <w:lang w:val="en-AU"/>
              </w:rPr>
            </w:pPr>
            <w:r w:rsidRPr="00207DC2">
              <w:rPr>
                <w:i/>
                <w:szCs w:val="20"/>
                <w:lang w:val="en-AU"/>
              </w:rPr>
              <w:t>P</w:t>
            </w:r>
            <w:r w:rsidR="00CB7973" w:rsidRPr="00207DC2">
              <w:rPr>
                <w:i/>
                <w:szCs w:val="20"/>
                <w:lang w:val="en-AU"/>
              </w:rPr>
              <w:t xml:space="preserve">iloting </w:t>
            </w:r>
            <w:r w:rsidR="00766AC0" w:rsidRPr="00207DC2">
              <w:rPr>
                <w:i/>
                <w:szCs w:val="20"/>
                <w:lang w:val="en-AU"/>
              </w:rPr>
              <w:t xml:space="preserve">could </w:t>
            </w:r>
            <w:r w:rsidR="00CB7973" w:rsidRPr="00207DC2">
              <w:rPr>
                <w:i/>
                <w:szCs w:val="20"/>
                <w:lang w:val="en-AU"/>
              </w:rPr>
              <w:t xml:space="preserve">be useful in </w:t>
            </w:r>
            <w:r w:rsidR="006B2C04" w:rsidRPr="00207DC2">
              <w:rPr>
                <w:i/>
                <w:szCs w:val="20"/>
                <w:lang w:val="en-AU"/>
              </w:rPr>
              <w:t>developing</w:t>
            </w:r>
            <w:r w:rsidR="00766AC0" w:rsidRPr="00207DC2">
              <w:rPr>
                <w:i/>
                <w:szCs w:val="20"/>
                <w:lang w:val="en-AU"/>
              </w:rPr>
              <w:t xml:space="preserve"> and </w:t>
            </w:r>
            <w:r w:rsidR="00E939B2" w:rsidRPr="00207DC2">
              <w:rPr>
                <w:i/>
                <w:szCs w:val="20"/>
                <w:lang w:val="en-AU"/>
              </w:rPr>
              <w:t>implementing</w:t>
            </w:r>
            <w:r w:rsidR="00CB7973" w:rsidRPr="00207DC2">
              <w:rPr>
                <w:i/>
                <w:szCs w:val="20"/>
                <w:lang w:val="en-AU"/>
              </w:rPr>
              <w:t xml:space="preserve"> innovative payment models and employment programs</w:t>
            </w:r>
            <w:r w:rsidR="0095537A" w:rsidRPr="00207DC2">
              <w:rPr>
                <w:i/>
                <w:szCs w:val="20"/>
                <w:lang w:val="en-AU"/>
              </w:rPr>
              <w:t xml:space="preserve"> when the impacts</w:t>
            </w:r>
            <w:r w:rsidR="002A623C" w:rsidRPr="00207DC2">
              <w:rPr>
                <w:i/>
                <w:szCs w:val="20"/>
                <w:lang w:val="en-AU"/>
              </w:rPr>
              <w:t xml:space="preserve"> of the</w:t>
            </w:r>
            <w:r w:rsidR="00A57036" w:rsidRPr="00207DC2">
              <w:rPr>
                <w:i/>
                <w:szCs w:val="20"/>
                <w:lang w:val="en-AU"/>
              </w:rPr>
              <w:t>se</w:t>
            </w:r>
            <w:r w:rsidR="002A623C" w:rsidRPr="00207DC2">
              <w:rPr>
                <w:i/>
                <w:szCs w:val="20"/>
                <w:lang w:val="en-AU"/>
              </w:rPr>
              <w:t xml:space="preserve"> program</w:t>
            </w:r>
            <w:r w:rsidR="0095537A" w:rsidRPr="00207DC2">
              <w:rPr>
                <w:i/>
                <w:szCs w:val="20"/>
                <w:lang w:val="en-AU"/>
              </w:rPr>
              <w:t xml:space="preserve"> are uncertain</w:t>
            </w:r>
            <w:r w:rsidR="00CB7973" w:rsidRPr="00207DC2">
              <w:rPr>
                <w:i/>
                <w:szCs w:val="20"/>
                <w:lang w:val="en-AU"/>
              </w:rPr>
              <w:t xml:space="preserve">. </w:t>
            </w:r>
            <w:r w:rsidR="0028287D" w:rsidRPr="00207DC2">
              <w:rPr>
                <w:i/>
                <w:szCs w:val="20"/>
                <w:lang w:val="en-AU"/>
              </w:rPr>
              <w:t>Where appropriate, p</w:t>
            </w:r>
            <w:r w:rsidR="00766AC0" w:rsidRPr="00207DC2">
              <w:rPr>
                <w:i/>
                <w:szCs w:val="20"/>
                <w:lang w:val="en-AU"/>
              </w:rPr>
              <w:t>ilots</w:t>
            </w:r>
            <w:r w:rsidR="00CB7973" w:rsidRPr="00207DC2">
              <w:rPr>
                <w:i/>
                <w:szCs w:val="20"/>
                <w:lang w:val="en-AU"/>
              </w:rPr>
              <w:t xml:space="preserve"> </w:t>
            </w:r>
            <w:r w:rsidR="0028287D" w:rsidRPr="00207DC2">
              <w:rPr>
                <w:i/>
                <w:szCs w:val="20"/>
                <w:lang w:val="en-AU"/>
              </w:rPr>
              <w:t xml:space="preserve">could </w:t>
            </w:r>
            <w:r w:rsidR="00CB7973" w:rsidRPr="00207DC2">
              <w:rPr>
                <w:i/>
                <w:szCs w:val="20"/>
                <w:lang w:val="en-AU"/>
              </w:rPr>
              <w:t xml:space="preserve">allow for </w:t>
            </w:r>
            <w:r w:rsidR="00E939B2" w:rsidRPr="00207DC2">
              <w:rPr>
                <w:i/>
                <w:szCs w:val="20"/>
                <w:lang w:val="en-AU"/>
              </w:rPr>
              <w:t>new models</w:t>
            </w:r>
            <w:r w:rsidR="00CB7973" w:rsidRPr="00207DC2">
              <w:rPr>
                <w:i/>
                <w:szCs w:val="20"/>
                <w:lang w:val="en-AU"/>
              </w:rPr>
              <w:t xml:space="preserve"> to be </w:t>
            </w:r>
            <w:r w:rsidR="00DE1993" w:rsidRPr="00207DC2">
              <w:rPr>
                <w:i/>
                <w:szCs w:val="20"/>
                <w:lang w:val="en-AU"/>
              </w:rPr>
              <w:t xml:space="preserve">evaluated and </w:t>
            </w:r>
            <w:r w:rsidR="00CB7973" w:rsidRPr="00207DC2">
              <w:rPr>
                <w:i/>
                <w:szCs w:val="20"/>
                <w:lang w:val="en-AU"/>
              </w:rPr>
              <w:t xml:space="preserve">refined before </w:t>
            </w:r>
            <w:r w:rsidRPr="00207DC2">
              <w:rPr>
                <w:i/>
                <w:szCs w:val="20"/>
                <w:lang w:val="en-AU"/>
              </w:rPr>
              <w:t xml:space="preserve">any potential </w:t>
            </w:r>
            <w:r w:rsidR="00CB7973" w:rsidRPr="00207DC2">
              <w:rPr>
                <w:i/>
                <w:szCs w:val="20"/>
                <w:lang w:val="en-AU"/>
              </w:rPr>
              <w:t>roll out.</w:t>
            </w:r>
          </w:p>
        </w:tc>
      </w:tr>
    </w:tbl>
    <w:p w14:paraId="211CA9A6" w14:textId="054FC9E1" w:rsidR="00BF258E" w:rsidRPr="00A47E01" w:rsidRDefault="00BF258E" w:rsidP="00A47E01">
      <w:pPr>
        <w:pStyle w:val="ZED5"/>
        <w:outlineLvl w:val="3"/>
      </w:pPr>
      <w:bookmarkStart w:id="652" w:name="_Toc515185480"/>
      <w:bookmarkStart w:id="653" w:name="_Toc516219853"/>
      <w:bookmarkStart w:id="654" w:name="_Toc516220494"/>
      <w:bookmarkStart w:id="655" w:name="_Toc516223314"/>
      <w:bookmarkStart w:id="656" w:name="_Toc516225222"/>
      <w:bookmarkStart w:id="657" w:name="_Toc516228998"/>
      <w:bookmarkStart w:id="658" w:name="_Toc533064485"/>
      <w:bookmarkStart w:id="659" w:name="_Toc534965173"/>
      <w:bookmarkStart w:id="660" w:name="_Toc535935069"/>
      <w:bookmarkEnd w:id="644"/>
      <w:bookmarkEnd w:id="645"/>
      <w:bookmarkEnd w:id="646"/>
      <w:bookmarkEnd w:id="647"/>
      <w:bookmarkEnd w:id="648"/>
      <w:bookmarkEnd w:id="649"/>
      <w:r w:rsidRPr="00A47E01">
        <w:t xml:space="preserve">Monitoring and evaluation as a tool to improve </w:t>
      </w:r>
      <w:r w:rsidR="000E6571" w:rsidRPr="00A47E01">
        <w:t xml:space="preserve">outcomes for </w:t>
      </w:r>
      <w:r w:rsidRPr="00A47E01">
        <w:t>participant</w:t>
      </w:r>
      <w:r w:rsidR="0048373A" w:rsidRPr="00A47E01">
        <w:t>s</w:t>
      </w:r>
      <w:r w:rsidRPr="00A47E01">
        <w:t xml:space="preserve"> </w:t>
      </w:r>
      <w:r w:rsidR="000E6571" w:rsidRPr="00A47E01">
        <w:t>and their communities</w:t>
      </w:r>
      <w:bookmarkEnd w:id="650"/>
      <w:bookmarkEnd w:id="651"/>
      <w:bookmarkEnd w:id="652"/>
      <w:bookmarkEnd w:id="653"/>
      <w:bookmarkEnd w:id="654"/>
      <w:bookmarkEnd w:id="655"/>
      <w:bookmarkEnd w:id="656"/>
      <w:bookmarkEnd w:id="657"/>
      <w:bookmarkEnd w:id="658"/>
      <w:bookmarkEnd w:id="659"/>
      <w:bookmarkEnd w:id="660"/>
    </w:p>
    <w:p w14:paraId="6E793877" w14:textId="7A87967B" w:rsidR="0042774C" w:rsidRPr="00207DC2" w:rsidRDefault="0042774C" w:rsidP="00016626">
      <w:pPr>
        <w:jc w:val="both"/>
        <w:rPr>
          <w:lang w:val="en-AU"/>
        </w:rPr>
      </w:pPr>
      <w:r w:rsidRPr="00207DC2">
        <w:rPr>
          <w:szCs w:val="20"/>
          <w:lang w:val="en-AU"/>
        </w:rPr>
        <w:t>The effective delivery of the CDP</w:t>
      </w:r>
      <w:r w:rsidR="00396552">
        <w:rPr>
          <w:szCs w:val="20"/>
          <w:lang w:val="en-AU"/>
        </w:rPr>
        <w:t xml:space="preserve"> – </w:t>
      </w:r>
      <w:r w:rsidRPr="00207DC2">
        <w:rPr>
          <w:szCs w:val="20"/>
          <w:lang w:val="en-AU"/>
        </w:rPr>
        <w:t xml:space="preserve">as with any other government-funded </w:t>
      </w:r>
      <w:r w:rsidR="00E75C48" w:rsidRPr="00207DC2">
        <w:rPr>
          <w:szCs w:val="20"/>
          <w:lang w:val="en-AU"/>
        </w:rPr>
        <w:t>employment program</w:t>
      </w:r>
      <w:r w:rsidRPr="00207DC2">
        <w:rPr>
          <w:szCs w:val="20"/>
          <w:lang w:val="en-AU"/>
        </w:rPr>
        <w:t xml:space="preserve"> </w:t>
      </w:r>
      <w:r w:rsidR="00E75C48" w:rsidRPr="00207DC2">
        <w:rPr>
          <w:szCs w:val="20"/>
          <w:lang w:val="en-AU"/>
        </w:rPr>
        <w:t>or</w:t>
      </w:r>
      <w:r w:rsidRPr="00207DC2">
        <w:rPr>
          <w:szCs w:val="20"/>
          <w:lang w:val="en-AU"/>
        </w:rPr>
        <w:t xml:space="preserve"> service</w:t>
      </w:r>
      <w:r w:rsidR="00396552">
        <w:rPr>
          <w:szCs w:val="20"/>
          <w:lang w:val="en-AU"/>
        </w:rPr>
        <w:t xml:space="preserve"> – </w:t>
      </w:r>
      <w:r w:rsidRPr="00207DC2">
        <w:rPr>
          <w:szCs w:val="20"/>
          <w:lang w:val="en-AU"/>
        </w:rPr>
        <w:t xml:space="preserve">requires </w:t>
      </w:r>
      <w:r w:rsidRPr="00207DC2">
        <w:rPr>
          <w:lang w:val="en-AU"/>
        </w:rPr>
        <w:t>t</w:t>
      </w:r>
      <w:r w:rsidR="00BF258E" w:rsidRPr="00207DC2">
        <w:rPr>
          <w:lang w:val="en-AU"/>
        </w:rPr>
        <w:t xml:space="preserve">he </w:t>
      </w:r>
      <w:r w:rsidR="00C03396" w:rsidRPr="00207DC2">
        <w:rPr>
          <w:lang w:val="en-AU"/>
        </w:rPr>
        <w:t>ongoing monitoring</w:t>
      </w:r>
      <w:r w:rsidR="00C7714E" w:rsidRPr="00207DC2">
        <w:rPr>
          <w:lang w:val="en-AU"/>
        </w:rPr>
        <w:t>, reporting</w:t>
      </w:r>
      <w:r w:rsidR="00C03396" w:rsidRPr="00207DC2">
        <w:rPr>
          <w:lang w:val="en-AU"/>
        </w:rPr>
        <w:t xml:space="preserve"> and </w:t>
      </w:r>
      <w:r w:rsidR="00BF258E" w:rsidRPr="00207DC2">
        <w:rPr>
          <w:lang w:val="en-AU"/>
        </w:rPr>
        <w:t xml:space="preserve">evaluation of </w:t>
      </w:r>
      <w:r w:rsidR="00C7714E" w:rsidRPr="00207DC2">
        <w:rPr>
          <w:lang w:val="en-AU"/>
        </w:rPr>
        <w:t>program</w:t>
      </w:r>
      <w:r w:rsidR="00BF258E" w:rsidRPr="00207DC2">
        <w:rPr>
          <w:lang w:val="en-AU"/>
        </w:rPr>
        <w:t xml:space="preserve"> </w:t>
      </w:r>
      <w:r w:rsidR="00C7714E" w:rsidRPr="00207DC2">
        <w:rPr>
          <w:lang w:val="en-AU"/>
        </w:rPr>
        <w:t>outcomes</w:t>
      </w:r>
      <w:r w:rsidRPr="00207DC2">
        <w:rPr>
          <w:lang w:val="en-AU"/>
        </w:rPr>
        <w:t xml:space="preserve">. </w:t>
      </w:r>
    </w:p>
    <w:p w14:paraId="7991A075" w14:textId="680C08BC" w:rsidR="00404536" w:rsidRPr="00207DC2" w:rsidRDefault="0042774C" w:rsidP="00404536">
      <w:pPr>
        <w:jc w:val="both"/>
        <w:rPr>
          <w:szCs w:val="20"/>
          <w:lang w:val="en-AU"/>
        </w:rPr>
      </w:pPr>
      <w:r w:rsidRPr="00207DC2">
        <w:rPr>
          <w:lang w:val="en-AU"/>
        </w:rPr>
        <w:t xml:space="preserve">The </w:t>
      </w:r>
      <w:r w:rsidR="00C7714E" w:rsidRPr="00207DC2">
        <w:rPr>
          <w:lang w:val="en-AU"/>
        </w:rPr>
        <w:t>monitoring and evaluating</w:t>
      </w:r>
      <w:r w:rsidR="006306CF" w:rsidRPr="00207DC2">
        <w:rPr>
          <w:lang w:val="en-AU"/>
        </w:rPr>
        <w:t xml:space="preserve"> process</w:t>
      </w:r>
      <w:r w:rsidRPr="00207DC2">
        <w:rPr>
          <w:lang w:val="en-AU"/>
        </w:rPr>
        <w:t xml:space="preserve"> </w:t>
      </w:r>
      <w:r w:rsidR="00BF258E" w:rsidRPr="00207DC2">
        <w:rPr>
          <w:lang w:val="en-AU"/>
        </w:rPr>
        <w:t xml:space="preserve">is important </w:t>
      </w:r>
      <w:r w:rsidR="00195EC4" w:rsidRPr="00207DC2">
        <w:rPr>
          <w:lang w:val="en-AU"/>
        </w:rPr>
        <w:t xml:space="preserve">to </w:t>
      </w:r>
      <w:r w:rsidR="00BF258E" w:rsidRPr="00207DC2">
        <w:rPr>
          <w:lang w:val="en-AU"/>
        </w:rPr>
        <w:t>understand</w:t>
      </w:r>
      <w:r w:rsidR="00C03396" w:rsidRPr="00207DC2">
        <w:rPr>
          <w:lang w:val="en-AU"/>
        </w:rPr>
        <w:t>ing</w:t>
      </w:r>
      <w:r w:rsidR="00BF258E" w:rsidRPr="00207DC2">
        <w:rPr>
          <w:lang w:val="en-AU"/>
        </w:rPr>
        <w:t xml:space="preserve"> and improving outcomes for </w:t>
      </w:r>
      <w:r w:rsidR="00195EC4" w:rsidRPr="00207DC2">
        <w:rPr>
          <w:lang w:val="en-AU"/>
        </w:rPr>
        <w:t xml:space="preserve">participants </w:t>
      </w:r>
      <w:r w:rsidR="00C21F99" w:rsidRPr="00207DC2">
        <w:rPr>
          <w:lang w:val="en-AU"/>
        </w:rPr>
        <w:t xml:space="preserve">living </w:t>
      </w:r>
      <w:r w:rsidR="002C0A19" w:rsidRPr="00207DC2">
        <w:rPr>
          <w:lang w:val="en-AU"/>
        </w:rPr>
        <w:t xml:space="preserve">in remote </w:t>
      </w:r>
      <w:r w:rsidR="00195EC4" w:rsidRPr="00207DC2">
        <w:rPr>
          <w:lang w:val="en-AU"/>
        </w:rPr>
        <w:t>Australia</w:t>
      </w:r>
      <w:r w:rsidR="00BF258E" w:rsidRPr="00207DC2">
        <w:rPr>
          <w:lang w:val="en-AU"/>
        </w:rPr>
        <w:t>.</w:t>
      </w:r>
      <w:r w:rsidR="00404536" w:rsidRPr="00207DC2">
        <w:rPr>
          <w:lang w:val="en-AU"/>
        </w:rPr>
        <w:t xml:space="preserve"> </w:t>
      </w:r>
      <w:r w:rsidR="00C7714E" w:rsidRPr="00207DC2">
        <w:rPr>
          <w:szCs w:val="20"/>
          <w:lang w:val="en-AU"/>
        </w:rPr>
        <w:t xml:space="preserve">However, </w:t>
      </w:r>
      <w:r w:rsidR="00195EC4" w:rsidRPr="00207DC2">
        <w:rPr>
          <w:szCs w:val="20"/>
          <w:lang w:val="en-AU"/>
        </w:rPr>
        <w:t>m</w:t>
      </w:r>
      <w:r w:rsidR="00404536" w:rsidRPr="00207DC2">
        <w:rPr>
          <w:szCs w:val="20"/>
          <w:lang w:val="en-AU"/>
        </w:rPr>
        <w:t xml:space="preserve">easuring the effects of the program (particularly employment effects) can take time, and needs to account for transition periods. The </w:t>
      </w:r>
      <w:r w:rsidR="00404536" w:rsidRPr="00207DC2">
        <w:rPr>
          <w:i/>
          <w:szCs w:val="20"/>
          <w:lang w:val="en-AU"/>
        </w:rPr>
        <w:t xml:space="preserve">Indigenous Advancement Strategy Evaluation Framework </w:t>
      </w:r>
      <w:r w:rsidR="00404536" w:rsidRPr="00207DC2">
        <w:rPr>
          <w:szCs w:val="20"/>
          <w:lang w:val="en-AU"/>
        </w:rPr>
        <w:t xml:space="preserve">(PMC 2018c) lays out standards for evaluating if and how a program is working, and notes the importance of embedding evaluation into programs from the beginning. </w:t>
      </w:r>
    </w:p>
    <w:p w14:paraId="11D1FB6C" w14:textId="77777777" w:rsidR="009B3B93" w:rsidRPr="00207DC2" w:rsidRDefault="00114BF3" w:rsidP="00016626">
      <w:pPr>
        <w:jc w:val="both"/>
        <w:rPr>
          <w:lang w:val="en-AU"/>
        </w:rPr>
      </w:pPr>
      <w:r w:rsidRPr="00207DC2">
        <w:rPr>
          <w:lang w:val="en-AU"/>
        </w:rPr>
        <w:t>For the CDP, there is scope to improve program</w:t>
      </w:r>
      <w:r w:rsidR="009B5D78" w:rsidRPr="00207DC2">
        <w:rPr>
          <w:lang w:val="en-AU"/>
        </w:rPr>
        <w:t xml:space="preserve"> </w:t>
      </w:r>
      <w:r w:rsidR="002C2F9E" w:rsidRPr="00207DC2">
        <w:rPr>
          <w:lang w:val="en-AU"/>
        </w:rPr>
        <w:t xml:space="preserve">monitoring and </w:t>
      </w:r>
      <w:r w:rsidR="009B5D78" w:rsidRPr="00207DC2">
        <w:rPr>
          <w:lang w:val="en-AU"/>
        </w:rPr>
        <w:t xml:space="preserve">evaluation </w:t>
      </w:r>
      <w:r w:rsidRPr="00207DC2">
        <w:rPr>
          <w:lang w:val="en-AU"/>
        </w:rPr>
        <w:t>process</w:t>
      </w:r>
      <w:r w:rsidR="00E31F25" w:rsidRPr="00207DC2">
        <w:rPr>
          <w:lang w:val="en-AU"/>
        </w:rPr>
        <w:t>es</w:t>
      </w:r>
      <w:r w:rsidR="002C2F9E" w:rsidRPr="00207DC2">
        <w:rPr>
          <w:lang w:val="en-AU"/>
        </w:rPr>
        <w:t xml:space="preserve"> </w:t>
      </w:r>
      <w:r w:rsidR="009B5D78" w:rsidRPr="00207DC2">
        <w:rPr>
          <w:lang w:val="en-AU"/>
        </w:rPr>
        <w:t xml:space="preserve">by improving </w:t>
      </w:r>
      <w:r w:rsidR="009B3B93" w:rsidRPr="00207DC2">
        <w:rPr>
          <w:lang w:val="en-AU"/>
        </w:rPr>
        <w:t xml:space="preserve">the measurement of </w:t>
      </w:r>
      <w:r w:rsidR="009B5D78" w:rsidRPr="00207DC2">
        <w:rPr>
          <w:lang w:val="en-AU"/>
        </w:rPr>
        <w:t xml:space="preserve">outcomes </w:t>
      </w:r>
      <w:r w:rsidR="00E31F25" w:rsidRPr="00207DC2">
        <w:rPr>
          <w:lang w:val="en-AU"/>
        </w:rPr>
        <w:t>in the administrative data</w:t>
      </w:r>
      <w:r w:rsidR="00C7714E" w:rsidRPr="00207DC2">
        <w:rPr>
          <w:lang w:val="en-AU"/>
        </w:rPr>
        <w:t>.</w:t>
      </w:r>
      <w:r w:rsidR="009B3B93" w:rsidRPr="00207DC2">
        <w:rPr>
          <w:lang w:val="en-AU"/>
        </w:rPr>
        <w:t xml:space="preserve"> </w:t>
      </w:r>
    </w:p>
    <w:p w14:paraId="4D6145E0" w14:textId="6E051FA2" w:rsidR="0039224E" w:rsidRPr="00207DC2" w:rsidRDefault="00411755" w:rsidP="00016626">
      <w:pPr>
        <w:jc w:val="both"/>
        <w:rPr>
          <w:lang w:val="en-AU"/>
        </w:rPr>
      </w:pPr>
      <w:r>
        <w:rPr>
          <w:lang w:val="en-AU"/>
        </w:rPr>
        <w:t>P</w:t>
      </w:r>
      <w:r w:rsidR="009B3B93" w:rsidRPr="00207DC2">
        <w:rPr>
          <w:lang w:val="en-AU"/>
        </w:rPr>
        <w:t>articipant’s outcomes can be better captured and reported on</w:t>
      </w:r>
      <w:r>
        <w:rPr>
          <w:lang w:val="en-AU"/>
        </w:rPr>
        <w:t xml:space="preserve"> in two key areas</w:t>
      </w:r>
      <w:r w:rsidR="009B3B93" w:rsidRPr="00207DC2">
        <w:rPr>
          <w:lang w:val="en-AU"/>
        </w:rPr>
        <w:t>.</w:t>
      </w:r>
      <w:r w:rsidR="00894D6B" w:rsidRPr="00207DC2">
        <w:rPr>
          <w:lang w:val="en-AU"/>
        </w:rPr>
        <w:t xml:space="preserve"> First, g</w:t>
      </w:r>
      <w:r w:rsidR="007157CB" w:rsidRPr="00207DC2">
        <w:rPr>
          <w:lang w:val="en-AU"/>
        </w:rPr>
        <w:t>iven the centrality of Work for the Dole to remote employment</w:t>
      </w:r>
      <w:r w:rsidR="004C4526" w:rsidRPr="00207DC2">
        <w:rPr>
          <w:lang w:val="en-AU"/>
        </w:rPr>
        <w:t xml:space="preserve"> programs, ongoing </w:t>
      </w:r>
      <w:r w:rsidRPr="00207DC2">
        <w:rPr>
          <w:lang w:val="en-AU"/>
        </w:rPr>
        <w:t xml:space="preserve">program </w:t>
      </w:r>
      <w:r w:rsidR="004C4526" w:rsidRPr="00207DC2">
        <w:rPr>
          <w:lang w:val="en-AU"/>
        </w:rPr>
        <w:t>moni</w:t>
      </w:r>
      <w:r w:rsidR="007157CB" w:rsidRPr="00207DC2">
        <w:rPr>
          <w:lang w:val="en-AU"/>
        </w:rPr>
        <w:t>t</w:t>
      </w:r>
      <w:r w:rsidR="004C4526" w:rsidRPr="00207DC2">
        <w:rPr>
          <w:lang w:val="en-AU"/>
        </w:rPr>
        <w:t>or</w:t>
      </w:r>
      <w:r w:rsidR="007157CB" w:rsidRPr="00207DC2">
        <w:rPr>
          <w:lang w:val="en-AU"/>
        </w:rPr>
        <w:t xml:space="preserve">ing </w:t>
      </w:r>
      <w:r w:rsidR="00755516" w:rsidRPr="00207DC2">
        <w:rPr>
          <w:lang w:val="en-AU"/>
        </w:rPr>
        <w:t>could</w:t>
      </w:r>
      <w:r w:rsidR="002C2F9E" w:rsidRPr="00207DC2">
        <w:rPr>
          <w:lang w:val="en-AU"/>
        </w:rPr>
        <w:t xml:space="preserve"> be expanded to</w:t>
      </w:r>
      <w:r w:rsidR="007157CB" w:rsidRPr="00207DC2">
        <w:rPr>
          <w:lang w:val="en-AU"/>
        </w:rPr>
        <w:t xml:space="preserve"> include the collection of data on the quality </w:t>
      </w:r>
      <w:r w:rsidR="007001B7" w:rsidRPr="00207DC2">
        <w:rPr>
          <w:lang w:val="en-AU"/>
        </w:rPr>
        <w:t>of</w:t>
      </w:r>
      <w:r w:rsidR="007157CB" w:rsidRPr="00207DC2">
        <w:rPr>
          <w:lang w:val="en-AU"/>
        </w:rPr>
        <w:t xml:space="preserve"> activities</w:t>
      </w:r>
      <w:r w:rsidR="00755516" w:rsidRPr="00207DC2">
        <w:rPr>
          <w:lang w:val="en-AU"/>
        </w:rPr>
        <w:t xml:space="preserve"> provided</w:t>
      </w:r>
      <w:r w:rsidR="004C4526" w:rsidRPr="00207DC2">
        <w:rPr>
          <w:lang w:val="en-AU"/>
        </w:rPr>
        <w:t>. This would enable more systematic analysis of the</w:t>
      </w:r>
      <w:r w:rsidR="003E109E" w:rsidRPr="00207DC2">
        <w:rPr>
          <w:lang w:val="en-AU"/>
        </w:rPr>
        <w:t xml:space="preserve"> types and characteristics</w:t>
      </w:r>
      <w:r w:rsidR="004C4526" w:rsidRPr="00207DC2">
        <w:rPr>
          <w:lang w:val="en-AU"/>
        </w:rPr>
        <w:t xml:space="preserve"> of activitie</w:t>
      </w:r>
      <w:r w:rsidR="003E109E" w:rsidRPr="00207DC2">
        <w:rPr>
          <w:lang w:val="en-AU"/>
        </w:rPr>
        <w:t>s that</w:t>
      </w:r>
      <w:r w:rsidR="004C4526" w:rsidRPr="00207DC2">
        <w:rPr>
          <w:lang w:val="en-AU"/>
        </w:rPr>
        <w:t xml:space="preserve"> </w:t>
      </w:r>
      <w:r w:rsidR="00755516" w:rsidRPr="00207DC2">
        <w:rPr>
          <w:lang w:val="en-AU"/>
        </w:rPr>
        <w:t>are effective at</w:t>
      </w:r>
      <w:r w:rsidR="004C4526" w:rsidRPr="00207DC2">
        <w:rPr>
          <w:lang w:val="en-AU"/>
        </w:rPr>
        <w:t xml:space="preserve"> improv</w:t>
      </w:r>
      <w:r w:rsidR="00755516" w:rsidRPr="00207DC2">
        <w:rPr>
          <w:lang w:val="en-AU"/>
        </w:rPr>
        <w:t>ing</w:t>
      </w:r>
      <w:r w:rsidR="004C4526" w:rsidRPr="00207DC2">
        <w:rPr>
          <w:lang w:val="en-AU"/>
        </w:rPr>
        <w:t xml:space="preserve"> </w:t>
      </w:r>
      <w:r w:rsidR="003E109E" w:rsidRPr="00207DC2">
        <w:rPr>
          <w:lang w:val="en-AU"/>
        </w:rPr>
        <w:t>participants</w:t>
      </w:r>
      <w:r w:rsidR="00755516" w:rsidRPr="00207DC2">
        <w:rPr>
          <w:lang w:val="en-AU"/>
        </w:rPr>
        <w:t>’</w:t>
      </w:r>
      <w:r w:rsidR="004C4526" w:rsidRPr="00207DC2">
        <w:rPr>
          <w:lang w:val="en-AU"/>
        </w:rPr>
        <w:t xml:space="preserve"> outcomes</w:t>
      </w:r>
      <w:r w:rsidR="003E109E" w:rsidRPr="00207DC2">
        <w:rPr>
          <w:lang w:val="en-AU"/>
        </w:rPr>
        <w:t xml:space="preserve"> (</w:t>
      </w:r>
      <w:r w:rsidR="00755516" w:rsidRPr="00207DC2">
        <w:rPr>
          <w:lang w:val="en-AU"/>
        </w:rPr>
        <w:t xml:space="preserve">including, </w:t>
      </w:r>
      <w:r w:rsidR="003E109E" w:rsidRPr="00207DC2">
        <w:rPr>
          <w:lang w:val="en-AU"/>
        </w:rPr>
        <w:t xml:space="preserve">for </w:t>
      </w:r>
      <w:r w:rsidR="00755516" w:rsidRPr="00207DC2">
        <w:rPr>
          <w:lang w:val="en-AU"/>
        </w:rPr>
        <w:t>example,</w:t>
      </w:r>
      <w:r w:rsidR="003E109E" w:rsidRPr="00207DC2">
        <w:rPr>
          <w:lang w:val="en-AU"/>
        </w:rPr>
        <w:t xml:space="preserve"> employment and </w:t>
      </w:r>
      <w:r w:rsidR="00AA592F" w:rsidRPr="00207DC2">
        <w:rPr>
          <w:lang w:val="en-AU"/>
        </w:rPr>
        <w:t xml:space="preserve">increased </w:t>
      </w:r>
      <w:r w:rsidR="004C4526" w:rsidRPr="00207DC2">
        <w:rPr>
          <w:lang w:val="en-AU"/>
        </w:rPr>
        <w:t>employability</w:t>
      </w:r>
      <w:r w:rsidR="003E109E" w:rsidRPr="00207DC2">
        <w:rPr>
          <w:lang w:val="en-AU"/>
        </w:rPr>
        <w:t xml:space="preserve">). </w:t>
      </w:r>
    </w:p>
    <w:p w14:paraId="27C289DA" w14:textId="49D6C954" w:rsidR="007157CB" w:rsidRPr="00207DC2" w:rsidRDefault="00894D6B" w:rsidP="00016626">
      <w:pPr>
        <w:jc w:val="both"/>
        <w:rPr>
          <w:lang w:val="en-AU"/>
        </w:rPr>
      </w:pPr>
      <w:r w:rsidRPr="00207DC2">
        <w:rPr>
          <w:lang w:val="en-AU"/>
        </w:rPr>
        <w:t>Second, i</w:t>
      </w:r>
      <w:r w:rsidR="00755516" w:rsidRPr="00207DC2">
        <w:rPr>
          <w:lang w:val="en-AU"/>
        </w:rPr>
        <w:t>nformation from the income support and employment servic</w:t>
      </w:r>
      <w:r w:rsidR="00671D5D" w:rsidRPr="00207DC2">
        <w:rPr>
          <w:lang w:val="en-AU"/>
        </w:rPr>
        <w:t xml:space="preserve">es </w:t>
      </w:r>
      <w:r w:rsidR="00DB1088" w:rsidRPr="00207DC2">
        <w:rPr>
          <w:lang w:val="en-AU"/>
        </w:rPr>
        <w:t>administrative</w:t>
      </w:r>
      <w:r w:rsidR="002E4B4A" w:rsidRPr="00207DC2">
        <w:rPr>
          <w:lang w:val="en-AU"/>
        </w:rPr>
        <w:t xml:space="preserve"> </w:t>
      </w:r>
      <w:r w:rsidR="00671D5D" w:rsidRPr="00207DC2">
        <w:rPr>
          <w:lang w:val="en-AU"/>
        </w:rPr>
        <w:t xml:space="preserve">systems </w:t>
      </w:r>
      <w:r w:rsidRPr="00207DC2">
        <w:rPr>
          <w:lang w:val="en-AU"/>
        </w:rPr>
        <w:t xml:space="preserve">could </w:t>
      </w:r>
      <w:r w:rsidR="002E4B4A" w:rsidRPr="00207DC2">
        <w:rPr>
          <w:lang w:val="en-AU"/>
        </w:rPr>
        <w:t xml:space="preserve">be used </w:t>
      </w:r>
      <w:r w:rsidR="00671D5D" w:rsidRPr="00207DC2">
        <w:rPr>
          <w:lang w:val="en-AU"/>
        </w:rPr>
        <w:t>more comprehensively</w:t>
      </w:r>
      <w:r w:rsidR="00755516" w:rsidRPr="00207DC2">
        <w:rPr>
          <w:lang w:val="en-AU"/>
        </w:rPr>
        <w:t xml:space="preserve"> </w:t>
      </w:r>
      <w:r w:rsidR="002E4B4A" w:rsidRPr="00207DC2">
        <w:rPr>
          <w:lang w:val="en-AU"/>
        </w:rPr>
        <w:t xml:space="preserve">to </w:t>
      </w:r>
      <w:r w:rsidR="008C19C6" w:rsidRPr="00207DC2">
        <w:rPr>
          <w:lang w:val="en-AU"/>
        </w:rPr>
        <w:t>monitor</w:t>
      </w:r>
      <w:r w:rsidR="00671D5D" w:rsidRPr="00207DC2">
        <w:rPr>
          <w:lang w:val="en-AU"/>
        </w:rPr>
        <w:t xml:space="preserve"> </w:t>
      </w:r>
      <w:r w:rsidR="00202CF3" w:rsidRPr="00207DC2">
        <w:rPr>
          <w:lang w:val="en-AU"/>
        </w:rPr>
        <w:t>and report on</w:t>
      </w:r>
      <w:r w:rsidR="00671D5D" w:rsidRPr="00207DC2">
        <w:rPr>
          <w:lang w:val="en-AU"/>
        </w:rPr>
        <w:t xml:space="preserve"> </w:t>
      </w:r>
      <w:r w:rsidR="00355E8E" w:rsidRPr="00207DC2">
        <w:rPr>
          <w:lang w:val="en-AU"/>
        </w:rPr>
        <w:t>participants</w:t>
      </w:r>
      <w:r w:rsidR="00355E8E">
        <w:rPr>
          <w:lang w:val="en-AU"/>
        </w:rPr>
        <w:t>’</w:t>
      </w:r>
      <w:r w:rsidR="00355E8E" w:rsidRPr="00207DC2">
        <w:rPr>
          <w:lang w:val="en-AU"/>
        </w:rPr>
        <w:t xml:space="preserve"> </w:t>
      </w:r>
      <w:r w:rsidR="00035E00" w:rsidRPr="00207DC2">
        <w:rPr>
          <w:lang w:val="en-AU"/>
        </w:rPr>
        <w:t>longer</w:t>
      </w:r>
      <w:r w:rsidR="00035E00" w:rsidRPr="00207DC2">
        <w:rPr>
          <w:lang w:val="en-AU"/>
        </w:rPr>
        <w:noBreakHyphen/>
        <w:t xml:space="preserve">term </w:t>
      </w:r>
      <w:r w:rsidR="00671D5D" w:rsidRPr="00207DC2">
        <w:rPr>
          <w:lang w:val="en-AU"/>
        </w:rPr>
        <w:t>outcome</w:t>
      </w:r>
      <w:r w:rsidR="002E4B4A" w:rsidRPr="00207DC2">
        <w:rPr>
          <w:lang w:val="en-AU"/>
        </w:rPr>
        <w:t>s</w:t>
      </w:r>
      <w:r w:rsidR="00671D5D" w:rsidRPr="00207DC2">
        <w:rPr>
          <w:lang w:val="en-AU"/>
        </w:rPr>
        <w:t>. These</w:t>
      </w:r>
      <w:r w:rsidR="00755516" w:rsidRPr="00207DC2">
        <w:rPr>
          <w:lang w:val="en-AU"/>
        </w:rPr>
        <w:t xml:space="preserve"> measures </w:t>
      </w:r>
      <w:r w:rsidR="00671D5D" w:rsidRPr="00207DC2">
        <w:rPr>
          <w:lang w:val="en-AU"/>
        </w:rPr>
        <w:t xml:space="preserve">could include </w:t>
      </w:r>
      <w:r w:rsidR="005A2D0E" w:rsidRPr="00207DC2">
        <w:rPr>
          <w:lang w:val="en-AU"/>
        </w:rPr>
        <w:t>more detailed</w:t>
      </w:r>
      <w:r w:rsidR="00671D5D" w:rsidRPr="00207DC2">
        <w:rPr>
          <w:lang w:val="en-AU"/>
        </w:rPr>
        <w:t xml:space="preserve"> indicators of </w:t>
      </w:r>
      <w:r w:rsidR="005A2D0E" w:rsidRPr="00207DC2">
        <w:rPr>
          <w:lang w:val="en-AU"/>
        </w:rPr>
        <w:t xml:space="preserve">participant outcomes after exiting the income support system, including </w:t>
      </w:r>
      <w:r w:rsidR="009845F4" w:rsidRPr="00207DC2">
        <w:rPr>
          <w:lang w:val="en-AU"/>
        </w:rPr>
        <w:t>mea</w:t>
      </w:r>
      <w:r w:rsidR="00DF3314" w:rsidRPr="00207DC2">
        <w:rPr>
          <w:lang w:val="en-AU"/>
        </w:rPr>
        <w:t>s</w:t>
      </w:r>
      <w:r w:rsidR="009845F4" w:rsidRPr="00207DC2">
        <w:rPr>
          <w:lang w:val="en-AU"/>
        </w:rPr>
        <w:t>ures</w:t>
      </w:r>
      <w:r w:rsidR="005A2D0E" w:rsidRPr="00207DC2">
        <w:rPr>
          <w:lang w:val="en-AU"/>
        </w:rPr>
        <w:t xml:space="preserve"> of long</w:t>
      </w:r>
      <w:r w:rsidR="005A2D0E" w:rsidRPr="00207DC2">
        <w:rPr>
          <w:lang w:val="en-AU"/>
        </w:rPr>
        <w:noBreakHyphen/>
        <w:t xml:space="preserve">term </w:t>
      </w:r>
      <w:r w:rsidR="004C4526" w:rsidRPr="00207DC2">
        <w:rPr>
          <w:lang w:val="en-AU"/>
        </w:rPr>
        <w:t xml:space="preserve">employment outcomes </w:t>
      </w:r>
      <w:r w:rsidR="005A2D0E" w:rsidRPr="00207DC2">
        <w:rPr>
          <w:lang w:val="en-AU"/>
        </w:rPr>
        <w:t>(</w:t>
      </w:r>
      <w:r w:rsidR="004C4526" w:rsidRPr="00207DC2">
        <w:rPr>
          <w:lang w:val="en-AU"/>
        </w:rPr>
        <w:t>beyond 26</w:t>
      </w:r>
      <w:r w:rsidR="00755516" w:rsidRPr="00207DC2">
        <w:rPr>
          <w:lang w:val="en-AU"/>
        </w:rPr>
        <w:t> </w:t>
      </w:r>
      <w:r w:rsidR="004C4526" w:rsidRPr="00207DC2">
        <w:rPr>
          <w:lang w:val="en-AU"/>
        </w:rPr>
        <w:t>weeks</w:t>
      </w:r>
      <w:r w:rsidR="005A2D0E" w:rsidRPr="00207DC2">
        <w:rPr>
          <w:lang w:val="en-AU"/>
        </w:rPr>
        <w:t>)</w:t>
      </w:r>
      <w:r w:rsidR="004C4526" w:rsidRPr="00207DC2">
        <w:rPr>
          <w:lang w:val="en-AU"/>
        </w:rPr>
        <w:t>.</w:t>
      </w:r>
    </w:p>
    <w:tbl>
      <w:tblPr>
        <w:tblStyle w:val="TableGrid"/>
        <w:tblW w:w="0" w:type="auto"/>
        <w:tblLook w:val="04A0" w:firstRow="1" w:lastRow="0" w:firstColumn="1" w:lastColumn="0" w:noHBand="0" w:noVBand="1"/>
        <w:tblCaption w:val="Finding 6"/>
      </w:tblPr>
      <w:tblGrid>
        <w:gridCol w:w="9016"/>
      </w:tblGrid>
      <w:tr w:rsidR="00BF258E" w:rsidRPr="00207DC2" w14:paraId="57AB4DEF" w14:textId="77777777" w:rsidTr="000A3951">
        <w:trPr>
          <w:tblHeader/>
        </w:trPr>
        <w:tc>
          <w:tcPr>
            <w:tcW w:w="9016" w:type="dxa"/>
          </w:tcPr>
          <w:p w14:paraId="49CDA228" w14:textId="3D21EAD5" w:rsidR="00BF258E" w:rsidRPr="00207DC2" w:rsidRDefault="00085D79" w:rsidP="00E2183E">
            <w:pPr>
              <w:spacing w:before="120"/>
              <w:jc w:val="both"/>
              <w:rPr>
                <w:b/>
                <w:i/>
                <w:szCs w:val="20"/>
                <w:lang w:val="en-AU"/>
              </w:rPr>
            </w:pPr>
            <w:r w:rsidRPr="00207DC2">
              <w:rPr>
                <w:b/>
                <w:i/>
                <w:szCs w:val="20"/>
                <w:lang w:val="en-AU"/>
              </w:rPr>
              <w:t xml:space="preserve">Finding </w:t>
            </w:r>
            <w:r w:rsidR="00B504BA" w:rsidRPr="00207DC2">
              <w:rPr>
                <w:b/>
                <w:i/>
                <w:szCs w:val="20"/>
                <w:lang w:val="en-AU"/>
              </w:rPr>
              <w:t>6</w:t>
            </w:r>
          </w:p>
          <w:p w14:paraId="70D2B045" w14:textId="4361D636" w:rsidR="00BF258E" w:rsidRPr="00207DC2" w:rsidRDefault="00A543D5" w:rsidP="00A543D5">
            <w:pPr>
              <w:spacing w:after="120"/>
              <w:jc w:val="both"/>
              <w:rPr>
                <w:i/>
                <w:lang w:val="en-AU"/>
              </w:rPr>
            </w:pPr>
            <w:r w:rsidRPr="00207DC2">
              <w:rPr>
                <w:i/>
                <w:lang w:val="en-AU"/>
              </w:rPr>
              <w:t>M</w:t>
            </w:r>
            <w:r w:rsidR="009B5D78" w:rsidRPr="00207DC2">
              <w:rPr>
                <w:i/>
                <w:lang w:val="en-AU"/>
              </w:rPr>
              <w:t xml:space="preserve">onitoring and </w:t>
            </w:r>
            <w:r w:rsidR="00E75C48" w:rsidRPr="00207DC2">
              <w:rPr>
                <w:i/>
                <w:lang w:val="en-AU"/>
              </w:rPr>
              <w:t>evaluation</w:t>
            </w:r>
            <w:r w:rsidR="009B5D78" w:rsidRPr="00207DC2">
              <w:rPr>
                <w:i/>
                <w:lang w:val="en-AU"/>
              </w:rPr>
              <w:t xml:space="preserve"> </w:t>
            </w:r>
            <w:r w:rsidRPr="00207DC2">
              <w:rPr>
                <w:i/>
                <w:lang w:val="en-AU"/>
              </w:rPr>
              <w:t>process could be i</w:t>
            </w:r>
            <w:r w:rsidR="00341A2A" w:rsidRPr="00207DC2">
              <w:rPr>
                <w:i/>
                <w:lang w:val="en-AU"/>
              </w:rPr>
              <w:t>mproved through a greater focus</w:t>
            </w:r>
            <w:r w:rsidRPr="00207DC2">
              <w:rPr>
                <w:i/>
                <w:lang w:val="en-AU"/>
              </w:rPr>
              <w:t xml:space="preserve"> on</w:t>
            </w:r>
            <w:r w:rsidR="00007ABB" w:rsidRPr="00207DC2" w:rsidDel="0002088C">
              <w:rPr>
                <w:i/>
                <w:lang w:val="en-AU"/>
              </w:rPr>
              <w:t xml:space="preserve"> </w:t>
            </w:r>
            <w:r w:rsidR="00007ABB" w:rsidRPr="00207DC2">
              <w:rPr>
                <w:i/>
                <w:lang w:val="en-AU"/>
              </w:rPr>
              <w:t>m</w:t>
            </w:r>
            <w:r w:rsidRPr="00207DC2">
              <w:rPr>
                <w:i/>
                <w:lang w:val="en-AU"/>
              </w:rPr>
              <w:t>easuring</w:t>
            </w:r>
            <w:r w:rsidR="00A101E1" w:rsidRPr="00207DC2">
              <w:rPr>
                <w:i/>
                <w:lang w:val="en-AU"/>
              </w:rPr>
              <w:t xml:space="preserve"> and reporting on</w:t>
            </w:r>
            <w:r w:rsidR="00035E00" w:rsidRPr="00207DC2">
              <w:rPr>
                <w:i/>
                <w:lang w:val="en-AU"/>
              </w:rPr>
              <w:t xml:space="preserve"> </w:t>
            </w:r>
            <w:r w:rsidR="00EA51D5" w:rsidRPr="00207DC2">
              <w:rPr>
                <w:i/>
                <w:lang w:val="en-AU"/>
              </w:rPr>
              <w:t xml:space="preserve">CDP </w:t>
            </w:r>
            <w:r w:rsidR="00035E00" w:rsidRPr="00207DC2">
              <w:rPr>
                <w:i/>
                <w:lang w:val="en-AU"/>
              </w:rPr>
              <w:t>participants’</w:t>
            </w:r>
            <w:r w:rsidR="00E31F25" w:rsidRPr="00207DC2">
              <w:rPr>
                <w:i/>
                <w:lang w:val="en-AU"/>
              </w:rPr>
              <w:t xml:space="preserve"> </w:t>
            </w:r>
            <w:r w:rsidRPr="00207DC2">
              <w:rPr>
                <w:i/>
                <w:lang w:val="en-AU"/>
              </w:rPr>
              <w:t>o</w:t>
            </w:r>
            <w:r w:rsidR="00035E00" w:rsidRPr="00207DC2">
              <w:rPr>
                <w:i/>
                <w:lang w:val="en-AU"/>
              </w:rPr>
              <w:t>ut</w:t>
            </w:r>
            <w:r w:rsidRPr="00207DC2">
              <w:rPr>
                <w:i/>
                <w:lang w:val="en-AU"/>
              </w:rPr>
              <w:t>c</w:t>
            </w:r>
            <w:r w:rsidR="00035E00" w:rsidRPr="00207DC2">
              <w:rPr>
                <w:i/>
                <w:lang w:val="en-AU"/>
              </w:rPr>
              <w:t>o</w:t>
            </w:r>
            <w:r w:rsidRPr="00207DC2">
              <w:rPr>
                <w:i/>
                <w:lang w:val="en-AU"/>
              </w:rPr>
              <w:t>mes in the</w:t>
            </w:r>
            <w:r w:rsidR="00E31F25" w:rsidRPr="00207DC2">
              <w:rPr>
                <w:i/>
                <w:lang w:val="en-AU"/>
              </w:rPr>
              <w:t xml:space="preserve"> administrative data</w:t>
            </w:r>
            <w:r w:rsidRPr="00207DC2">
              <w:rPr>
                <w:i/>
                <w:lang w:val="en-AU"/>
              </w:rPr>
              <w:t xml:space="preserve">. Specifically, these </w:t>
            </w:r>
            <w:r w:rsidR="00E75C48" w:rsidRPr="00207DC2">
              <w:rPr>
                <w:i/>
                <w:lang w:val="en-AU"/>
              </w:rPr>
              <w:t>measures</w:t>
            </w:r>
            <w:r w:rsidRPr="00207DC2">
              <w:rPr>
                <w:i/>
                <w:lang w:val="en-AU"/>
              </w:rPr>
              <w:t xml:space="preserve"> could include:</w:t>
            </w:r>
          </w:p>
          <w:p w14:paraId="08716CB6" w14:textId="0357B0C5" w:rsidR="00672170" w:rsidRPr="00207DC2" w:rsidRDefault="00DC2BD4" w:rsidP="00F90446">
            <w:pPr>
              <w:pStyle w:val="ListParagraph"/>
              <w:numPr>
                <w:ilvl w:val="0"/>
                <w:numId w:val="33"/>
              </w:numPr>
              <w:ind w:left="720"/>
              <w:rPr>
                <w:i/>
                <w:lang w:val="en-AU"/>
              </w:rPr>
            </w:pPr>
            <w:r w:rsidRPr="00207DC2">
              <w:rPr>
                <w:i/>
                <w:lang w:val="en-AU"/>
              </w:rPr>
              <w:t xml:space="preserve">the </w:t>
            </w:r>
            <w:r w:rsidR="004C4526" w:rsidRPr="00207DC2">
              <w:rPr>
                <w:i/>
                <w:lang w:val="en-AU"/>
              </w:rPr>
              <w:t xml:space="preserve">quality of activities </w:t>
            </w:r>
            <w:r w:rsidR="004C4409">
              <w:rPr>
                <w:i/>
                <w:lang w:val="en-AU"/>
              </w:rPr>
              <w:t>provided</w:t>
            </w:r>
          </w:p>
          <w:p w14:paraId="026429FC" w14:textId="5796AF59" w:rsidR="00BF258E" w:rsidRPr="00207DC2" w:rsidRDefault="00F600F9" w:rsidP="00F90446">
            <w:pPr>
              <w:pStyle w:val="ListParagraph"/>
              <w:numPr>
                <w:ilvl w:val="0"/>
                <w:numId w:val="18"/>
              </w:numPr>
              <w:jc w:val="both"/>
              <w:rPr>
                <w:lang w:val="en-AU"/>
              </w:rPr>
            </w:pPr>
            <w:r w:rsidRPr="00207DC2">
              <w:rPr>
                <w:i/>
                <w:lang w:val="en-AU"/>
              </w:rPr>
              <w:t xml:space="preserve">outcomes for </w:t>
            </w:r>
            <w:r w:rsidR="00CC7C70" w:rsidRPr="00207DC2">
              <w:rPr>
                <w:i/>
                <w:lang w:val="en-AU"/>
              </w:rPr>
              <w:t>remote</w:t>
            </w:r>
            <w:r w:rsidR="00672170" w:rsidRPr="00207DC2">
              <w:rPr>
                <w:i/>
                <w:lang w:val="en-AU"/>
              </w:rPr>
              <w:t xml:space="preserve"> participant</w:t>
            </w:r>
            <w:r w:rsidR="00CC7C70" w:rsidRPr="00207DC2">
              <w:rPr>
                <w:i/>
                <w:lang w:val="en-AU"/>
              </w:rPr>
              <w:t>s</w:t>
            </w:r>
            <w:r w:rsidR="00672170" w:rsidRPr="00207DC2">
              <w:rPr>
                <w:i/>
                <w:lang w:val="en-AU"/>
              </w:rPr>
              <w:t xml:space="preserve"> after </w:t>
            </w:r>
            <w:r w:rsidR="0014407B" w:rsidRPr="00207DC2">
              <w:rPr>
                <w:i/>
                <w:lang w:val="en-AU"/>
              </w:rPr>
              <w:t>exiting</w:t>
            </w:r>
            <w:r w:rsidR="005E1762" w:rsidRPr="00207DC2">
              <w:rPr>
                <w:i/>
                <w:lang w:val="en-AU"/>
              </w:rPr>
              <w:t xml:space="preserve"> the program</w:t>
            </w:r>
            <w:r w:rsidR="00921399" w:rsidRPr="00207DC2">
              <w:rPr>
                <w:i/>
                <w:lang w:val="en-AU"/>
              </w:rPr>
              <w:t>, including measures of long</w:t>
            </w:r>
            <w:r w:rsidR="00921399" w:rsidRPr="00207DC2">
              <w:rPr>
                <w:i/>
                <w:lang w:val="en-AU"/>
              </w:rPr>
              <w:noBreakHyphen/>
              <w:t>term employment outcomes</w:t>
            </w:r>
            <w:r w:rsidR="00396552">
              <w:rPr>
                <w:i/>
                <w:lang w:val="en-AU"/>
              </w:rPr>
              <w:t xml:space="preserve"> – </w:t>
            </w:r>
            <w:r w:rsidR="00E75C48" w:rsidRPr="00207DC2">
              <w:rPr>
                <w:i/>
                <w:lang w:val="en-AU"/>
              </w:rPr>
              <w:t>beyond the</w:t>
            </w:r>
            <w:r w:rsidR="00921399" w:rsidRPr="00207DC2">
              <w:rPr>
                <w:i/>
                <w:lang w:val="en-AU"/>
              </w:rPr>
              <w:t xml:space="preserve"> 26</w:t>
            </w:r>
            <w:r w:rsidR="00921399" w:rsidRPr="00207DC2">
              <w:rPr>
                <w:i/>
                <w:lang w:val="en-AU"/>
              </w:rPr>
              <w:noBreakHyphen/>
              <w:t>week outcomes recorded by CDP providers</w:t>
            </w:r>
            <w:r w:rsidR="00BF258E" w:rsidRPr="00207DC2">
              <w:rPr>
                <w:i/>
                <w:lang w:val="en-AU"/>
              </w:rPr>
              <w:t>.</w:t>
            </w:r>
          </w:p>
        </w:tc>
      </w:tr>
    </w:tbl>
    <w:p w14:paraId="79148F24" w14:textId="77777777" w:rsidR="008B3522" w:rsidRPr="00207DC2" w:rsidRDefault="008B3522" w:rsidP="00221CB8">
      <w:pPr>
        <w:pStyle w:val="Heading1nonumber"/>
        <w:outlineLvl w:val="1"/>
        <w:rPr>
          <w:lang w:val="en-AU"/>
        </w:rPr>
      </w:pPr>
      <w:bookmarkStart w:id="661" w:name="_Toc518558807"/>
      <w:bookmarkStart w:id="662" w:name="_Toc518565330"/>
      <w:bookmarkStart w:id="663" w:name="_Toc518565574"/>
      <w:bookmarkStart w:id="664" w:name="_Toc519504745"/>
      <w:bookmarkStart w:id="665" w:name="_Toc519505969"/>
      <w:bookmarkStart w:id="666" w:name="_Toc519844075"/>
      <w:bookmarkStart w:id="667" w:name="_Toc521068577"/>
      <w:bookmarkStart w:id="668" w:name="_Toc521391091"/>
      <w:bookmarkStart w:id="669" w:name="_Toc522013260"/>
      <w:bookmarkStart w:id="670" w:name="_Toc534965174"/>
      <w:bookmarkStart w:id="671" w:name="_Toc535935070"/>
      <w:bookmarkStart w:id="672" w:name="_Toc511826312"/>
      <w:bookmarkStart w:id="673" w:name="_Toc511940629"/>
      <w:bookmarkStart w:id="674" w:name="_Toc515185481"/>
      <w:bookmarkStart w:id="675" w:name="_Toc516219854"/>
      <w:bookmarkStart w:id="676" w:name="_Toc516220495"/>
      <w:bookmarkStart w:id="677" w:name="_Toc516223315"/>
      <w:bookmarkStart w:id="678" w:name="_Toc516225223"/>
      <w:bookmarkStart w:id="679" w:name="_Toc516228999"/>
      <w:bookmarkStart w:id="680" w:name="_Toc518468063"/>
      <w:bookmarkStart w:id="681" w:name="_Toc518487844"/>
      <w:r w:rsidRPr="00207DC2">
        <w:rPr>
          <w:lang w:val="en-AU"/>
        </w:rPr>
        <w:t>Glossary</w:t>
      </w:r>
      <w:bookmarkEnd w:id="661"/>
      <w:bookmarkEnd w:id="662"/>
      <w:bookmarkEnd w:id="663"/>
      <w:bookmarkEnd w:id="664"/>
      <w:bookmarkEnd w:id="665"/>
      <w:bookmarkEnd w:id="666"/>
      <w:bookmarkEnd w:id="667"/>
      <w:bookmarkEnd w:id="668"/>
      <w:bookmarkEnd w:id="669"/>
      <w:bookmarkEnd w:id="670"/>
      <w:bookmarkEnd w:id="671"/>
      <w:r w:rsidRPr="00207DC2">
        <w:rPr>
          <w:lang w:val="en-AU"/>
        </w:rPr>
        <w:t xml:space="preserve"> </w:t>
      </w:r>
    </w:p>
    <w:p w14:paraId="24C449E5" w14:textId="16D5F360" w:rsidR="008B3522" w:rsidRPr="00AF23A2" w:rsidRDefault="007C0BE9" w:rsidP="00AF23A2">
      <w:pPr>
        <w:rPr>
          <w:rFonts w:ascii="Montserrat Light" w:hAnsi="Montserrat Light"/>
          <w:i/>
        </w:rPr>
      </w:pPr>
      <w:r>
        <w:rPr>
          <w:rFonts w:ascii="Montserrat Light" w:hAnsi="Montserrat Light"/>
          <w:i/>
        </w:rPr>
        <w:t>Activity-</w:t>
      </w:r>
      <w:r w:rsidR="008B3522" w:rsidRPr="00AF23A2">
        <w:rPr>
          <w:rFonts w:ascii="Montserrat Light" w:hAnsi="Montserrat Light"/>
          <w:i/>
        </w:rPr>
        <w:t xml:space="preserve">tested payments </w:t>
      </w:r>
    </w:p>
    <w:p w14:paraId="1953ACBC" w14:textId="79D8E0CD" w:rsidR="008B3522" w:rsidRPr="00207DC2" w:rsidRDefault="007C0BE9" w:rsidP="008B3522">
      <w:pPr>
        <w:jc w:val="both"/>
        <w:rPr>
          <w:lang w:val="en-AU"/>
        </w:rPr>
      </w:pPr>
      <w:r>
        <w:rPr>
          <w:lang w:val="en-AU"/>
        </w:rPr>
        <w:t>Activity-</w:t>
      </w:r>
      <w:r w:rsidR="008B3522" w:rsidRPr="00207DC2">
        <w:rPr>
          <w:lang w:val="en-AU"/>
        </w:rPr>
        <w:t>tested payments are income support payments that have an activity test or participation requirement to qualify</w:t>
      </w:r>
      <w:r w:rsidR="00EA2022" w:rsidRPr="00207DC2">
        <w:rPr>
          <w:lang w:val="en-AU"/>
        </w:rPr>
        <w:t>,</w:t>
      </w:r>
      <w:r w:rsidR="008B3522" w:rsidRPr="00207DC2">
        <w:rPr>
          <w:lang w:val="en-AU"/>
        </w:rPr>
        <w:t xml:space="preserve"> and remain qualified</w:t>
      </w:r>
      <w:r w:rsidR="00EA2022" w:rsidRPr="00207DC2">
        <w:rPr>
          <w:lang w:val="en-AU"/>
        </w:rPr>
        <w:t>,</w:t>
      </w:r>
      <w:r w:rsidR="008B3522" w:rsidRPr="00207DC2">
        <w:rPr>
          <w:lang w:val="en-AU"/>
        </w:rPr>
        <w:t xml:space="preserve"> for income support. This include</w:t>
      </w:r>
      <w:r w:rsidR="00EA2022" w:rsidRPr="00207DC2">
        <w:rPr>
          <w:lang w:val="en-AU"/>
        </w:rPr>
        <w:t>s</w:t>
      </w:r>
      <w:r w:rsidR="008B3522" w:rsidRPr="00207DC2">
        <w:rPr>
          <w:lang w:val="en-AU"/>
        </w:rPr>
        <w:t xml:space="preserve"> Newstart Allowance, Youth Allowance (other) </w:t>
      </w:r>
      <w:r w:rsidR="00C722B9" w:rsidRPr="00207DC2">
        <w:rPr>
          <w:lang w:val="en-AU"/>
        </w:rPr>
        <w:t>and</w:t>
      </w:r>
      <w:r w:rsidR="008B3522" w:rsidRPr="00207DC2">
        <w:rPr>
          <w:lang w:val="en-AU"/>
        </w:rPr>
        <w:t xml:space="preserve"> Special B</w:t>
      </w:r>
      <w:r w:rsidR="00C722B9" w:rsidRPr="00207DC2">
        <w:rPr>
          <w:lang w:val="en-AU"/>
        </w:rPr>
        <w:t>enefit (for nominated visa holders). S</w:t>
      </w:r>
      <w:r w:rsidR="008B3522" w:rsidRPr="00207DC2">
        <w:rPr>
          <w:lang w:val="en-AU"/>
        </w:rPr>
        <w:t>ome Parenting Payment recipients (those whose youngest child is six or above) and Disability Support Pension recipients (those aged under 35 years with a work capacity of eight or more hours per week and without a youngest child under six years)</w:t>
      </w:r>
      <w:r w:rsidR="00C722B9" w:rsidRPr="00207DC2">
        <w:rPr>
          <w:lang w:val="en-AU"/>
        </w:rPr>
        <w:t xml:space="preserve"> have part</w:t>
      </w:r>
      <w:r w:rsidR="00EA2022" w:rsidRPr="00207DC2">
        <w:rPr>
          <w:lang w:val="en-AU"/>
        </w:rPr>
        <w:t>-</w:t>
      </w:r>
      <w:r w:rsidR="00C722B9" w:rsidRPr="00207DC2">
        <w:rPr>
          <w:lang w:val="en-AU"/>
        </w:rPr>
        <w:t>time mutual obligation requirements</w:t>
      </w:r>
      <w:r w:rsidR="008B3522" w:rsidRPr="00207DC2">
        <w:rPr>
          <w:lang w:val="en-AU"/>
        </w:rPr>
        <w:t>.</w:t>
      </w:r>
    </w:p>
    <w:p w14:paraId="266E5D73" w14:textId="77777777" w:rsidR="00ED5E32" w:rsidRPr="00AF23A2" w:rsidRDefault="00ED5E32" w:rsidP="00AF23A2">
      <w:pPr>
        <w:rPr>
          <w:rFonts w:ascii="Montserrat Light" w:hAnsi="Montserrat Light"/>
          <w:i/>
        </w:rPr>
      </w:pPr>
      <w:r w:rsidRPr="00AF23A2">
        <w:rPr>
          <w:rFonts w:ascii="Montserrat Light" w:hAnsi="Montserrat Light"/>
          <w:i/>
        </w:rPr>
        <w:t>Mutual obligation requirements</w:t>
      </w:r>
    </w:p>
    <w:p w14:paraId="7303C5D0" w14:textId="34E22EFB" w:rsidR="00F117A3" w:rsidRPr="00207DC2" w:rsidRDefault="00ED5E32" w:rsidP="00ED5E32">
      <w:pPr>
        <w:jc w:val="both"/>
        <w:rPr>
          <w:lang w:val="en-AU"/>
        </w:rPr>
      </w:pPr>
      <w:r w:rsidRPr="00207DC2">
        <w:rPr>
          <w:lang w:val="en-AU"/>
        </w:rPr>
        <w:t>Mutual obligation requirements are activities that income support recipient</w:t>
      </w:r>
      <w:r w:rsidR="00D92FCA" w:rsidRPr="00207DC2">
        <w:rPr>
          <w:lang w:val="en-AU"/>
        </w:rPr>
        <w:t>s</w:t>
      </w:r>
      <w:r w:rsidRPr="00207DC2">
        <w:rPr>
          <w:lang w:val="en-AU"/>
        </w:rPr>
        <w:t xml:space="preserve"> are required to undertake to qualify, and remain qualified, for income support. The DSS </w:t>
      </w:r>
      <w:r w:rsidRPr="00207DC2">
        <w:rPr>
          <w:i/>
          <w:lang w:val="en-AU"/>
        </w:rPr>
        <w:t>Guide to Social Security Law</w:t>
      </w:r>
      <w:r w:rsidRPr="00207DC2">
        <w:rPr>
          <w:lang w:val="en-AU"/>
        </w:rPr>
        <w:t xml:space="preserve"> (2018) notes that mutual obligation requirements are designed to ensure that unemployed people receiving income support payments are actively looking for work and/or doing everything that they can to become ready for work in the future. </w:t>
      </w:r>
    </w:p>
    <w:p w14:paraId="72C8AFE0" w14:textId="403B8C06" w:rsidR="00F117A3" w:rsidRPr="00AF23A2" w:rsidRDefault="00411120" w:rsidP="00AF23A2">
      <w:pPr>
        <w:rPr>
          <w:rFonts w:ascii="Montserrat Light" w:hAnsi="Montserrat Light"/>
          <w:i/>
        </w:rPr>
      </w:pPr>
      <w:r w:rsidRPr="00AF23A2">
        <w:rPr>
          <w:rFonts w:ascii="Montserrat Light" w:hAnsi="Montserrat Light"/>
          <w:i/>
        </w:rPr>
        <w:t>Re</w:t>
      </w:r>
      <w:r w:rsidR="00F117A3" w:rsidRPr="00AF23A2">
        <w:rPr>
          <w:rFonts w:ascii="Montserrat Light" w:hAnsi="Montserrat Light"/>
          <w:i/>
        </w:rPr>
        <w:t>quired to attend Work for the Dole, activity tested and not required to attend Work for the Dole, and volunteers</w:t>
      </w:r>
    </w:p>
    <w:p w14:paraId="18101332" w14:textId="58F5E1FE" w:rsidR="00F117A3" w:rsidRPr="00207DC2" w:rsidRDefault="00F117A3" w:rsidP="00F117A3">
      <w:pPr>
        <w:jc w:val="both"/>
        <w:rPr>
          <w:i/>
          <w:lang w:val="en-AU"/>
        </w:rPr>
      </w:pPr>
      <w:r w:rsidRPr="00207DC2">
        <w:rPr>
          <w:i/>
          <w:lang w:val="en-AU"/>
        </w:rPr>
        <w:t xml:space="preserve">Activity tested and required to attend Work for the Dole </w:t>
      </w:r>
      <w:r w:rsidRPr="00207DC2">
        <w:rPr>
          <w:lang w:val="en-AU"/>
        </w:rPr>
        <w:t>participants are income support recipients aged between 18 and 49 years who have mutual obligation requirements, are receiving the full rate of income support and are not exempt from mutual obligation requirements or otherwise disqualified by illness injury or disability</w:t>
      </w:r>
      <w:r w:rsidRPr="00207DC2">
        <w:rPr>
          <w:i/>
          <w:lang w:val="en-AU"/>
        </w:rPr>
        <w:t>.</w:t>
      </w:r>
    </w:p>
    <w:p w14:paraId="3BBD3184" w14:textId="4A7D8EEC" w:rsidR="00F117A3" w:rsidRPr="00207DC2" w:rsidRDefault="00F117A3" w:rsidP="00F117A3">
      <w:pPr>
        <w:jc w:val="both"/>
        <w:rPr>
          <w:lang w:val="en-AU"/>
        </w:rPr>
      </w:pPr>
      <w:r w:rsidRPr="00207DC2">
        <w:rPr>
          <w:i/>
          <w:lang w:val="en-AU"/>
        </w:rPr>
        <w:t>Activity tested and not required to attend W</w:t>
      </w:r>
      <w:r w:rsidR="00341766" w:rsidRPr="00207DC2">
        <w:rPr>
          <w:i/>
          <w:lang w:val="en-AU"/>
        </w:rPr>
        <w:t xml:space="preserve">ork </w:t>
      </w:r>
      <w:r w:rsidRPr="00207DC2">
        <w:rPr>
          <w:i/>
          <w:lang w:val="en-AU"/>
        </w:rPr>
        <w:t>f</w:t>
      </w:r>
      <w:r w:rsidR="00341766" w:rsidRPr="00207DC2">
        <w:rPr>
          <w:i/>
          <w:lang w:val="en-AU"/>
        </w:rPr>
        <w:t xml:space="preserve">or the </w:t>
      </w:r>
      <w:r w:rsidRPr="00207DC2">
        <w:rPr>
          <w:i/>
          <w:lang w:val="en-AU"/>
        </w:rPr>
        <w:t>D</w:t>
      </w:r>
      <w:r w:rsidR="00341766" w:rsidRPr="00207DC2">
        <w:rPr>
          <w:i/>
          <w:lang w:val="en-AU"/>
        </w:rPr>
        <w:t>ole</w:t>
      </w:r>
      <w:r w:rsidRPr="00207DC2">
        <w:rPr>
          <w:i/>
          <w:lang w:val="en-AU"/>
        </w:rPr>
        <w:t xml:space="preserve"> </w:t>
      </w:r>
      <w:r w:rsidRPr="00207DC2">
        <w:rPr>
          <w:lang w:val="en-AU"/>
        </w:rPr>
        <w:t>includes all income support recipients who have mutual obligation requirements who are not required to attend Work for the Dole because they are not in the relevant age range, not on the full</w:t>
      </w:r>
      <w:r w:rsidR="00D92FCA" w:rsidRPr="00207DC2">
        <w:rPr>
          <w:lang w:val="en-AU"/>
        </w:rPr>
        <w:t xml:space="preserve"> </w:t>
      </w:r>
      <w:r w:rsidRPr="00207DC2">
        <w:rPr>
          <w:lang w:val="en-AU"/>
        </w:rPr>
        <w:t>rate of income support payment or exempt/disqualified from Work for the Dole due to illness, injury or disability.</w:t>
      </w:r>
    </w:p>
    <w:p w14:paraId="64217250" w14:textId="503701FB" w:rsidR="00F117A3" w:rsidRPr="00207DC2" w:rsidRDefault="00F117A3" w:rsidP="00ED5E32">
      <w:pPr>
        <w:jc w:val="both"/>
        <w:rPr>
          <w:lang w:val="en-AU"/>
        </w:rPr>
      </w:pPr>
      <w:r w:rsidRPr="00207DC2">
        <w:rPr>
          <w:i/>
          <w:lang w:val="en-AU"/>
        </w:rPr>
        <w:t>Volunteers</w:t>
      </w:r>
      <w:r w:rsidRPr="00207DC2">
        <w:rPr>
          <w:lang w:val="en-AU"/>
        </w:rPr>
        <w:t xml:space="preserve"> refer to CDP participants who are not on income support payments or w</w:t>
      </w:r>
      <w:r w:rsidR="007C0BE9">
        <w:rPr>
          <w:lang w:val="en-AU"/>
        </w:rPr>
        <w:t>ho are on non-activity-</w:t>
      </w:r>
      <w:r w:rsidRPr="00207DC2">
        <w:rPr>
          <w:lang w:val="en-AU"/>
        </w:rPr>
        <w:t xml:space="preserve">tested payments but </w:t>
      </w:r>
      <w:r w:rsidR="00D92FCA" w:rsidRPr="00207DC2">
        <w:rPr>
          <w:lang w:val="en-AU"/>
        </w:rPr>
        <w:t>are</w:t>
      </w:r>
      <w:r w:rsidRPr="00207DC2">
        <w:rPr>
          <w:lang w:val="en-AU"/>
        </w:rPr>
        <w:t xml:space="preserve"> volunteer</w:t>
      </w:r>
      <w:r w:rsidR="00D92FCA" w:rsidRPr="00207DC2">
        <w:rPr>
          <w:lang w:val="en-AU"/>
        </w:rPr>
        <w:t>ing</w:t>
      </w:r>
      <w:r w:rsidRPr="00207DC2">
        <w:rPr>
          <w:lang w:val="en-AU"/>
        </w:rPr>
        <w:t xml:space="preserve"> to undertake Work for the Dole and/or other CDP activities.</w:t>
      </w:r>
    </w:p>
    <w:p w14:paraId="722B4D56" w14:textId="77777777" w:rsidR="00497C75" w:rsidRPr="00AF23A2" w:rsidRDefault="00497C75" w:rsidP="00AF23A2">
      <w:pPr>
        <w:rPr>
          <w:rFonts w:ascii="Montserrat Light" w:hAnsi="Montserrat Light"/>
          <w:i/>
        </w:rPr>
      </w:pPr>
      <w:r w:rsidRPr="00AF23A2">
        <w:rPr>
          <w:rFonts w:ascii="Montserrat Light" w:hAnsi="Montserrat Light"/>
          <w:i/>
        </w:rPr>
        <w:t>Temporary incapacity exemption</w:t>
      </w:r>
    </w:p>
    <w:p w14:paraId="0242DA20" w14:textId="18896607" w:rsidR="00497C75" w:rsidRPr="00207DC2" w:rsidRDefault="00497C75" w:rsidP="00AE1AD5">
      <w:pPr>
        <w:jc w:val="both"/>
        <w:rPr>
          <w:lang w:val="en-AU"/>
        </w:rPr>
      </w:pPr>
      <w:r w:rsidRPr="00207DC2">
        <w:rPr>
          <w:lang w:val="en-AU"/>
        </w:rPr>
        <w:t xml:space="preserve">Social security law provides for a </w:t>
      </w:r>
      <w:r w:rsidRPr="00207DC2">
        <w:rPr>
          <w:i/>
          <w:lang w:val="en-AU"/>
        </w:rPr>
        <w:t>temporary incapacity exemption</w:t>
      </w:r>
      <w:r w:rsidRPr="00207DC2">
        <w:rPr>
          <w:lang w:val="en-AU"/>
        </w:rPr>
        <w:t xml:space="preserve"> from mutual obligation requirements for </w:t>
      </w:r>
      <w:r w:rsidR="00411120" w:rsidRPr="00207DC2">
        <w:rPr>
          <w:lang w:val="en-AU"/>
        </w:rPr>
        <w:t>those</w:t>
      </w:r>
      <w:r w:rsidRPr="00207DC2">
        <w:rPr>
          <w:lang w:val="en-AU"/>
        </w:rPr>
        <w:t xml:space="preserve"> who </w:t>
      </w:r>
      <w:r w:rsidR="00411120" w:rsidRPr="00207DC2">
        <w:rPr>
          <w:lang w:val="en-AU"/>
        </w:rPr>
        <w:t>are unable</w:t>
      </w:r>
      <w:r w:rsidRPr="00207DC2">
        <w:rPr>
          <w:lang w:val="en-AU"/>
        </w:rPr>
        <w:t xml:space="preserve"> to work for 8 hours or more per week due to a medical condition. To apply for a </w:t>
      </w:r>
      <w:r w:rsidRPr="00207DC2">
        <w:rPr>
          <w:i/>
          <w:lang w:val="en-AU"/>
        </w:rPr>
        <w:t>temporary incapacity exemption</w:t>
      </w:r>
      <w:r w:rsidRPr="00207DC2">
        <w:rPr>
          <w:lang w:val="en-AU"/>
        </w:rPr>
        <w:t xml:space="preserve">, a job seeker must provide the delegate (DHS) with an approved medical certificate that is signed by a medical practitioner and states the medical practitioner's diagnosis and prognosis, that the person is incapacitated for work or any other suitable activity for </w:t>
      </w:r>
      <w:r w:rsidR="00AA056F" w:rsidRPr="00207DC2">
        <w:rPr>
          <w:lang w:val="en-AU"/>
        </w:rPr>
        <w:t>eight</w:t>
      </w:r>
      <w:r w:rsidRPr="00207DC2">
        <w:rPr>
          <w:lang w:val="en-AU"/>
        </w:rPr>
        <w:t xml:space="preserve"> hours or more per week due to a medical condition</w:t>
      </w:r>
      <w:r w:rsidR="00EB1997" w:rsidRPr="00207DC2">
        <w:rPr>
          <w:lang w:val="en-AU"/>
        </w:rPr>
        <w:t>,</w:t>
      </w:r>
      <w:r w:rsidRPr="00207DC2">
        <w:rPr>
          <w:lang w:val="en-AU"/>
        </w:rPr>
        <w:t xml:space="preserve"> and the period for which the person is incapacitated. Where a job seeker submits a medical certificate which indicates that any of the medical conditions will be medium or long term in nature (such as with episodic or chronic conditions) an ESAt may be required to determine the impact of the medical condition on their requirements (DSS 2016, sec. 3.5.1.220).</w:t>
      </w:r>
    </w:p>
    <w:p w14:paraId="59B6B718" w14:textId="4DAB3085" w:rsidR="00497C75" w:rsidRPr="00AF23A2" w:rsidRDefault="00497C75" w:rsidP="00AF23A2">
      <w:pPr>
        <w:rPr>
          <w:rFonts w:ascii="Montserrat Light" w:hAnsi="Montserrat Light"/>
          <w:i/>
        </w:rPr>
      </w:pPr>
      <w:r w:rsidRPr="00AF23A2">
        <w:rPr>
          <w:rFonts w:ascii="Montserrat Light" w:hAnsi="Montserrat Light"/>
          <w:i/>
        </w:rPr>
        <w:t>Employment Services Assessment (</w:t>
      </w:r>
      <w:r w:rsidR="00D92FCA" w:rsidRPr="00AF23A2">
        <w:rPr>
          <w:rFonts w:ascii="Montserrat Light" w:hAnsi="Montserrat Light"/>
          <w:i/>
        </w:rPr>
        <w:t>ESAt</w:t>
      </w:r>
      <w:r w:rsidRPr="00AF23A2">
        <w:rPr>
          <w:rFonts w:ascii="Montserrat Light" w:hAnsi="Montserrat Light"/>
          <w:i/>
        </w:rPr>
        <w:t>)</w:t>
      </w:r>
    </w:p>
    <w:p w14:paraId="519AF9C6" w14:textId="77777777" w:rsidR="00497C75" w:rsidRPr="00207DC2" w:rsidRDefault="00497C75" w:rsidP="00AE1AD5">
      <w:pPr>
        <w:spacing w:after="0"/>
        <w:contextualSpacing/>
        <w:jc w:val="both"/>
        <w:rPr>
          <w:i/>
          <w:lang w:val="en-AU"/>
        </w:rPr>
      </w:pPr>
      <w:r w:rsidRPr="00207DC2">
        <w:rPr>
          <w:lang w:val="en-AU"/>
        </w:rPr>
        <w:t>ESAts are for the purpose of identifying an individual's:</w:t>
      </w:r>
    </w:p>
    <w:p w14:paraId="416CFA8B" w14:textId="22FC9276" w:rsidR="00497C75" w:rsidRPr="00207DC2" w:rsidRDefault="00497C75" w:rsidP="00F90446">
      <w:pPr>
        <w:pStyle w:val="ListParagraph"/>
        <w:numPr>
          <w:ilvl w:val="0"/>
          <w:numId w:val="29"/>
        </w:numPr>
        <w:jc w:val="both"/>
        <w:rPr>
          <w:i/>
          <w:lang w:val="en-AU"/>
        </w:rPr>
      </w:pPr>
      <w:r w:rsidRPr="00207DC2">
        <w:rPr>
          <w:lang w:val="en-AU"/>
        </w:rPr>
        <w:t>barriers to finding and maintaining employment (this may relate to the impact of a person's disability, injury, illness, or other disadvantage)</w:t>
      </w:r>
    </w:p>
    <w:p w14:paraId="0CD489A1" w14:textId="7C3D14DE" w:rsidR="00497C75" w:rsidRPr="00207DC2" w:rsidRDefault="00497C75" w:rsidP="00F90446">
      <w:pPr>
        <w:pStyle w:val="ListParagraph"/>
        <w:numPr>
          <w:ilvl w:val="0"/>
          <w:numId w:val="29"/>
        </w:numPr>
        <w:jc w:val="both"/>
        <w:rPr>
          <w:i/>
          <w:lang w:val="en-AU"/>
        </w:rPr>
      </w:pPr>
      <w:r w:rsidRPr="00207DC2">
        <w:rPr>
          <w:lang w:val="en-AU"/>
        </w:rPr>
        <w:t>work capacity (in hour bandwidths)</w:t>
      </w:r>
    </w:p>
    <w:p w14:paraId="50B0A4E0" w14:textId="4426D9D5" w:rsidR="00497C75" w:rsidRPr="00207DC2" w:rsidRDefault="00ED628C" w:rsidP="00F90446">
      <w:pPr>
        <w:pStyle w:val="ListParagraph"/>
        <w:numPr>
          <w:ilvl w:val="0"/>
          <w:numId w:val="29"/>
        </w:numPr>
        <w:spacing w:after="0"/>
        <w:jc w:val="both"/>
        <w:rPr>
          <w:i/>
          <w:lang w:val="en-AU"/>
        </w:rPr>
      </w:pPr>
      <w:r w:rsidRPr="00207DC2">
        <w:rPr>
          <w:lang w:val="en-AU"/>
        </w:rPr>
        <w:t xml:space="preserve">interventions or </w:t>
      </w:r>
      <w:r w:rsidR="00497C75" w:rsidRPr="00207DC2">
        <w:rPr>
          <w:lang w:val="en-AU"/>
        </w:rPr>
        <w:t>assistance that may be of benefit to improve their current work capacity.</w:t>
      </w:r>
    </w:p>
    <w:p w14:paraId="3B3C124E" w14:textId="77777777" w:rsidR="00EB1997" w:rsidRPr="00207DC2" w:rsidRDefault="00EB1997" w:rsidP="00EB1997">
      <w:pPr>
        <w:pStyle w:val="ListParagraph"/>
        <w:spacing w:after="0"/>
        <w:ind w:left="493"/>
        <w:jc w:val="both"/>
        <w:rPr>
          <w:i/>
          <w:lang w:val="en-AU"/>
        </w:rPr>
      </w:pPr>
    </w:p>
    <w:p w14:paraId="23B218D7" w14:textId="61F2CF83" w:rsidR="00497C75" w:rsidRPr="00207DC2" w:rsidRDefault="00497C75" w:rsidP="00AE1AD5">
      <w:pPr>
        <w:jc w:val="both"/>
        <w:rPr>
          <w:lang w:val="en-AU"/>
        </w:rPr>
      </w:pPr>
      <w:r w:rsidRPr="00207DC2">
        <w:rPr>
          <w:lang w:val="en-AU"/>
        </w:rPr>
        <w:t>ESA</w:t>
      </w:r>
      <w:r w:rsidR="00D92FCA" w:rsidRPr="00207DC2">
        <w:rPr>
          <w:lang w:val="en-AU"/>
        </w:rPr>
        <w:t>t</w:t>
      </w:r>
      <w:r w:rsidRPr="00207DC2">
        <w:rPr>
          <w:lang w:val="en-AU"/>
        </w:rPr>
        <w:t>s are conducted by health and allied health professionals. As part of the assessment process, assessors have access to relevant available information about the job seeker, including current and past medical/disability status, and prior participation and employment history. Assessors can also liaise with treating doctors and relevant health professionals as required (DSS 2016, sec 1.1.E.104).</w:t>
      </w:r>
    </w:p>
    <w:p w14:paraId="026FC66D" w14:textId="77777777" w:rsidR="008B3522" w:rsidRPr="00AF23A2" w:rsidRDefault="008B3522" w:rsidP="00AF23A2">
      <w:pPr>
        <w:rPr>
          <w:rFonts w:ascii="Montserrat Light" w:hAnsi="Montserrat Light"/>
          <w:i/>
        </w:rPr>
      </w:pPr>
      <w:r w:rsidRPr="00AF23A2">
        <w:rPr>
          <w:rFonts w:ascii="Montserrat Light" w:hAnsi="Montserrat Light"/>
          <w:i/>
        </w:rPr>
        <w:t xml:space="preserve">Job Seeker Compliance Framework </w:t>
      </w:r>
    </w:p>
    <w:p w14:paraId="151C00AB" w14:textId="66EDC10E" w:rsidR="008B3522" w:rsidRPr="00207DC2" w:rsidRDefault="008B3522" w:rsidP="008B3522">
      <w:pPr>
        <w:jc w:val="both"/>
        <w:rPr>
          <w:lang w:val="en-AU"/>
        </w:rPr>
      </w:pPr>
      <w:r w:rsidRPr="00207DC2">
        <w:rPr>
          <w:lang w:val="en-AU"/>
        </w:rPr>
        <w:t xml:space="preserve">Income support recipients with mutual obligation requirements are subject to the </w:t>
      </w:r>
      <w:r w:rsidRPr="00207DC2">
        <w:rPr>
          <w:i/>
          <w:lang w:val="en-AU"/>
        </w:rPr>
        <w:t xml:space="preserve">Job </w:t>
      </w:r>
      <w:r w:rsidR="0028676F" w:rsidRPr="00207DC2">
        <w:rPr>
          <w:i/>
          <w:lang w:val="en-AU"/>
        </w:rPr>
        <w:t>S</w:t>
      </w:r>
      <w:r w:rsidRPr="00207DC2">
        <w:rPr>
          <w:i/>
          <w:lang w:val="en-AU"/>
        </w:rPr>
        <w:t xml:space="preserve">eeker </w:t>
      </w:r>
      <w:r w:rsidR="0028676F" w:rsidRPr="00207DC2">
        <w:rPr>
          <w:i/>
          <w:lang w:val="en-AU"/>
        </w:rPr>
        <w:t>C</w:t>
      </w:r>
      <w:r w:rsidRPr="00207DC2">
        <w:rPr>
          <w:i/>
          <w:lang w:val="en-AU"/>
        </w:rPr>
        <w:t xml:space="preserve">ompliance </w:t>
      </w:r>
      <w:r w:rsidR="0028676F" w:rsidRPr="00207DC2">
        <w:rPr>
          <w:i/>
          <w:lang w:val="en-AU"/>
        </w:rPr>
        <w:t>F</w:t>
      </w:r>
      <w:r w:rsidRPr="00207DC2">
        <w:rPr>
          <w:i/>
          <w:lang w:val="en-AU"/>
        </w:rPr>
        <w:t>ramework</w:t>
      </w:r>
      <w:r w:rsidR="0028676F" w:rsidRPr="00207DC2">
        <w:rPr>
          <w:lang w:val="en-AU"/>
        </w:rPr>
        <w:t xml:space="preserve"> (JSCF)</w:t>
      </w:r>
      <w:r w:rsidR="00ED5E32" w:rsidRPr="00207DC2">
        <w:rPr>
          <w:lang w:val="en-AU"/>
        </w:rPr>
        <w:t xml:space="preserve">, administered by </w:t>
      </w:r>
      <w:r w:rsidR="00EB1997" w:rsidRPr="00207DC2">
        <w:rPr>
          <w:lang w:val="en-AU"/>
        </w:rPr>
        <w:t>DHS</w:t>
      </w:r>
      <w:r w:rsidR="00ED5E32" w:rsidRPr="00207DC2">
        <w:rPr>
          <w:lang w:val="en-AU"/>
        </w:rPr>
        <w:t>, on behalf of the Department of Jobs and Small Business</w:t>
      </w:r>
      <w:r w:rsidRPr="00207DC2">
        <w:rPr>
          <w:lang w:val="en-AU"/>
        </w:rPr>
        <w:t>. The JSCF outlines what happens if participants fail to meet their requirements (</w:t>
      </w:r>
      <w:r w:rsidR="00AA7656" w:rsidRPr="00207DC2">
        <w:rPr>
          <w:lang w:val="en-AU"/>
        </w:rPr>
        <w:t xml:space="preserve">DSS </w:t>
      </w:r>
      <w:r w:rsidR="0019166F" w:rsidRPr="00207DC2">
        <w:rPr>
          <w:lang w:val="en-AU"/>
        </w:rPr>
        <w:t>2018, Sec</w:t>
      </w:r>
      <w:r w:rsidR="00EB1997" w:rsidRPr="00207DC2">
        <w:rPr>
          <w:lang w:val="en-AU"/>
        </w:rPr>
        <w:t>.</w:t>
      </w:r>
      <w:r w:rsidR="0019166F" w:rsidRPr="00207DC2">
        <w:rPr>
          <w:lang w:val="en-AU"/>
        </w:rPr>
        <w:t xml:space="preserve"> 3.1.13</w:t>
      </w:r>
      <w:r w:rsidRPr="00207DC2">
        <w:rPr>
          <w:lang w:val="en-AU"/>
        </w:rPr>
        <w:t>).</w:t>
      </w:r>
      <w:r w:rsidR="00ED5E32" w:rsidRPr="00207DC2">
        <w:rPr>
          <w:lang w:val="en-AU"/>
        </w:rPr>
        <w:t xml:space="preserve"> The compliance framework is not exclusive to CDP and the same rules, types of penalties and suspensions currently apply to jobseekers in remote, regional and metropolitan areas.</w:t>
      </w:r>
    </w:p>
    <w:p w14:paraId="25730167" w14:textId="77777777" w:rsidR="00ED5E32" w:rsidRPr="00AF23A2" w:rsidRDefault="00ED5E32" w:rsidP="00AF23A2">
      <w:pPr>
        <w:rPr>
          <w:rFonts w:ascii="Montserrat Light" w:hAnsi="Montserrat Light"/>
          <w:i/>
        </w:rPr>
      </w:pPr>
      <w:r w:rsidRPr="00AF23A2">
        <w:rPr>
          <w:rFonts w:ascii="Montserrat Light" w:hAnsi="Montserrat Light"/>
          <w:i/>
        </w:rPr>
        <w:t>Suspension</w:t>
      </w:r>
    </w:p>
    <w:p w14:paraId="480984FD" w14:textId="508C581E" w:rsidR="00ED5E32" w:rsidRPr="00207DC2" w:rsidRDefault="00ED5E32" w:rsidP="0073475C">
      <w:pPr>
        <w:jc w:val="both"/>
        <w:rPr>
          <w:lang w:val="en-AU"/>
        </w:rPr>
      </w:pPr>
      <w:r w:rsidRPr="00207DC2">
        <w:rPr>
          <w:lang w:val="en-AU"/>
        </w:rPr>
        <w:t>A suspension is a temporary hold on a participant’s payment which may be applied if a participant fails to meet their mutual obligation requirements (</w:t>
      </w:r>
      <w:r w:rsidR="0073475C">
        <w:rPr>
          <w:lang w:val="en-AU"/>
        </w:rPr>
        <w:t>for example,</w:t>
      </w:r>
      <w:r w:rsidRPr="00207DC2">
        <w:rPr>
          <w:lang w:val="en-AU"/>
        </w:rPr>
        <w:t xml:space="preserve"> fail</w:t>
      </w:r>
      <w:r w:rsidR="00D92FCA" w:rsidRPr="00207DC2">
        <w:rPr>
          <w:lang w:val="en-AU"/>
        </w:rPr>
        <w:t>s</w:t>
      </w:r>
      <w:r w:rsidR="00971F5F">
        <w:rPr>
          <w:lang w:val="en-AU"/>
        </w:rPr>
        <w:t xml:space="preserve"> to attend a provider or third-</w:t>
      </w:r>
      <w:r w:rsidRPr="00207DC2">
        <w:rPr>
          <w:lang w:val="en-AU"/>
        </w:rPr>
        <w:t>party appo</w:t>
      </w:r>
      <w:r w:rsidR="00D92FCA" w:rsidRPr="00207DC2">
        <w:rPr>
          <w:lang w:val="en-AU"/>
        </w:rPr>
        <w:t>int</w:t>
      </w:r>
      <w:r w:rsidRPr="00207DC2">
        <w:rPr>
          <w:lang w:val="en-AU"/>
        </w:rPr>
        <w:t>ment or has disengaged from activities). Money withheld as a result of a payment suspension is back paid after the participant re-engages with a provider. However, the participant’s income support payment may be cancelled if they fail to engage within a reasonable time.</w:t>
      </w:r>
    </w:p>
    <w:p w14:paraId="303FBD12" w14:textId="77777777" w:rsidR="00ED5E32" w:rsidRPr="00AF23A2" w:rsidRDefault="00ED5E32" w:rsidP="00AF23A2">
      <w:pPr>
        <w:rPr>
          <w:rFonts w:ascii="Montserrat Light" w:hAnsi="Montserrat Light"/>
          <w:i/>
        </w:rPr>
      </w:pPr>
      <w:r w:rsidRPr="00AF23A2">
        <w:rPr>
          <w:rFonts w:ascii="Montserrat Light" w:hAnsi="Montserrat Light"/>
          <w:i/>
        </w:rPr>
        <w:t>Financial penalty</w:t>
      </w:r>
    </w:p>
    <w:p w14:paraId="1845293E" w14:textId="77777777" w:rsidR="00ED5E32" w:rsidRPr="00207DC2" w:rsidRDefault="00ED5E32" w:rsidP="00ED5E32">
      <w:pPr>
        <w:rPr>
          <w:lang w:val="en-AU"/>
        </w:rPr>
      </w:pPr>
      <w:r w:rsidRPr="00207DC2">
        <w:rPr>
          <w:lang w:val="en-AU"/>
        </w:rPr>
        <w:t xml:space="preserve">A financial penalty is a permanent loss of a proportion of a participant’s payment due to failure to meet their mutual obligation requirements. </w:t>
      </w:r>
    </w:p>
    <w:p w14:paraId="304BF0DD" w14:textId="77777777" w:rsidR="00ED5E32" w:rsidRPr="006643D3" w:rsidRDefault="00ED5E32" w:rsidP="006643D3">
      <w:pPr>
        <w:keepNext/>
        <w:rPr>
          <w:rFonts w:ascii="Montserrat Light" w:hAnsi="Montserrat Light"/>
          <w:i/>
        </w:rPr>
      </w:pPr>
      <w:r w:rsidRPr="006643D3">
        <w:rPr>
          <w:rFonts w:ascii="Montserrat Light" w:hAnsi="Montserrat Light"/>
          <w:i/>
        </w:rPr>
        <w:t>Comprehensive Compliance Assessment</w:t>
      </w:r>
    </w:p>
    <w:p w14:paraId="6C6410BF" w14:textId="0C55566A" w:rsidR="00ED5E32" w:rsidRPr="00207DC2" w:rsidRDefault="00ED5E32" w:rsidP="00ED5E32">
      <w:pPr>
        <w:jc w:val="both"/>
        <w:rPr>
          <w:lang w:val="en-AU"/>
        </w:rPr>
      </w:pPr>
      <w:r w:rsidRPr="00207DC2">
        <w:rPr>
          <w:lang w:val="en-AU"/>
        </w:rPr>
        <w:t xml:space="preserve">A Comprehensive Compliance Assessment (CCA) </w:t>
      </w:r>
      <w:r w:rsidR="00EB1997" w:rsidRPr="00207DC2">
        <w:rPr>
          <w:lang w:val="en-AU"/>
        </w:rPr>
        <w:t>is</w:t>
      </w:r>
      <w:r w:rsidRPr="00207DC2">
        <w:rPr>
          <w:lang w:val="en-AU"/>
        </w:rPr>
        <w:t xml:space="preserve"> an assessment conducted by the Department of Human Services to determine whether:</w:t>
      </w:r>
    </w:p>
    <w:p w14:paraId="55E34DA5" w14:textId="77363B54" w:rsidR="00ED5E32" w:rsidRPr="00207DC2" w:rsidRDefault="00ED5E32" w:rsidP="00F90446">
      <w:pPr>
        <w:pStyle w:val="ListParagraph"/>
        <w:numPr>
          <w:ilvl w:val="0"/>
          <w:numId w:val="23"/>
        </w:numPr>
        <w:jc w:val="both"/>
        <w:rPr>
          <w:lang w:val="en-AU"/>
        </w:rPr>
      </w:pPr>
      <w:r w:rsidRPr="00207DC2">
        <w:rPr>
          <w:lang w:val="en-AU"/>
        </w:rPr>
        <w:t xml:space="preserve">a penalty should be applied to an </w:t>
      </w:r>
      <w:r w:rsidR="00903A7A">
        <w:rPr>
          <w:lang w:val="en-AU"/>
        </w:rPr>
        <w:t>activity-tested</w:t>
      </w:r>
      <w:r w:rsidRPr="00207DC2">
        <w:rPr>
          <w:lang w:val="en-AU"/>
        </w:rPr>
        <w:t xml:space="preserve"> eligible participant who ‘wilfully and persistently’ fails to meet their obligations under their individual Participation Plan</w:t>
      </w:r>
    </w:p>
    <w:p w14:paraId="0C26A044" w14:textId="6FC411F0" w:rsidR="00ED5E32" w:rsidRPr="00207DC2" w:rsidRDefault="00ED5E32" w:rsidP="00F90446">
      <w:pPr>
        <w:pStyle w:val="ListParagraph"/>
        <w:numPr>
          <w:ilvl w:val="0"/>
          <w:numId w:val="23"/>
        </w:numPr>
        <w:jc w:val="both"/>
        <w:rPr>
          <w:lang w:val="en-AU"/>
        </w:rPr>
      </w:pPr>
      <w:r w:rsidRPr="00207DC2">
        <w:rPr>
          <w:lang w:val="en-AU"/>
        </w:rPr>
        <w:t xml:space="preserve">an </w:t>
      </w:r>
      <w:r w:rsidR="00903A7A">
        <w:rPr>
          <w:lang w:val="en-AU"/>
        </w:rPr>
        <w:t>activity-tested</w:t>
      </w:r>
      <w:r w:rsidRPr="00207DC2">
        <w:rPr>
          <w:lang w:val="en-AU"/>
        </w:rPr>
        <w:t xml:space="preserve"> eligible participant requires additional assistance in order to comply. </w:t>
      </w:r>
    </w:p>
    <w:p w14:paraId="40DF04B4" w14:textId="7D5CB5C6" w:rsidR="00ED5E32" w:rsidRPr="00207DC2" w:rsidRDefault="00ED5E32" w:rsidP="00ED5E32">
      <w:pPr>
        <w:jc w:val="both"/>
        <w:rPr>
          <w:lang w:val="en-AU"/>
        </w:rPr>
      </w:pPr>
      <w:r w:rsidRPr="00207DC2">
        <w:rPr>
          <w:lang w:val="en-AU"/>
        </w:rPr>
        <w:t>A CCA will be automatically triggered after a participant has had either three appointment-related attendance failures (</w:t>
      </w:r>
      <w:r w:rsidRPr="00207DC2">
        <w:rPr>
          <w:i/>
          <w:lang w:val="en-AU"/>
        </w:rPr>
        <w:t>connection, non-attendance</w:t>
      </w:r>
      <w:r w:rsidRPr="00207DC2">
        <w:rPr>
          <w:lang w:val="en-AU"/>
        </w:rPr>
        <w:t xml:space="preserve"> or </w:t>
      </w:r>
      <w:r w:rsidRPr="00207DC2">
        <w:rPr>
          <w:i/>
          <w:lang w:val="en-AU"/>
        </w:rPr>
        <w:t>reconnection</w:t>
      </w:r>
      <w:r w:rsidRPr="00207DC2">
        <w:rPr>
          <w:lang w:val="en-AU"/>
        </w:rPr>
        <w:t xml:space="preserve"> failures</w:t>
      </w:r>
      <w:r w:rsidR="00EB1997" w:rsidRPr="00207DC2">
        <w:rPr>
          <w:lang w:val="en-AU"/>
        </w:rPr>
        <w:t>, for failure to attend an appointment with an employment services provider, DHS or a third party provider, such as a W</w:t>
      </w:r>
      <w:r w:rsidR="00341766" w:rsidRPr="00207DC2">
        <w:rPr>
          <w:lang w:val="en-AU"/>
        </w:rPr>
        <w:t xml:space="preserve">ork for the </w:t>
      </w:r>
      <w:r w:rsidR="00EB1997" w:rsidRPr="00207DC2">
        <w:rPr>
          <w:lang w:val="en-AU"/>
        </w:rPr>
        <w:t>D</w:t>
      </w:r>
      <w:r w:rsidR="00341766" w:rsidRPr="00207DC2">
        <w:rPr>
          <w:lang w:val="en-AU"/>
        </w:rPr>
        <w:t>ole</w:t>
      </w:r>
      <w:r w:rsidR="00EB1997" w:rsidRPr="00207DC2">
        <w:rPr>
          <w:lang w:val="en-AU"/>
        </w:rPr>
        <w:t xml:space="preserve"> host organisation) (DSS 2018</w:t>
      </w:r>
      <w:r w:rsidR="007A7763" w:rsidRPr="00207DC2">
        <w:rPr>
          <w:lang w:val="en-AU"/>
        </w:rPr>
        <w:t>a</w:t>
      </w:r>
      <w:r w:rsidR="00EB1997" w:rsidRPr="00207DC2">
        <w:rPr>
          <w:lang w:val="en-AU"/>
        </w:rPr>
        <w:t>, sec. 3.1.13.30)</w:t>
      </w:r>
      <w:r w:rsidRPr="00207DC2">
        <w:rPr>
          <w:lang w:val="en-AU"/>
        </w:rPr>
        <w:t xml:space="preserve"> or three activity-related attendance failures (</w:t>
      </w:r>
      <w:r w:rsidRPr="00207DC2">
        <w:rPr>
          <w:i/>
          <w:lang w:val="en-AU"/>
        </w:rPr>
        <w:t>No Show No Pay’s</w:t>
      </w:r>
      <w:r w:rsidRPr="00207DC2">
        <w:rPr>
          <w:lang w:val="en-AU"/>
        </w:rPr>
        <w:t>) applied in a six-month period (DSS 2018</w:t>
      </w:r>
      <w:r w:rsidR="007A7763" w:rsidRPr="00207DC2">
        <w:rPr>
          <w:lang w:val="en-AU"/>
        </w:rPr>
        <w:t>a</w:t>
      </w:r>
      <w:r w:rsidRPr="00207DC2">
        <w:rPr>
          <w:lang w:val="en-AU"/>
        </w:rPr>
        <w:t xml:space="preserve">, </w:t>
      </w:r>
      <w:r w:rsidR="00D92FCA" w:rsidRPr="00207DC2">
        <w:rPr>
          <w:lang w:val="en-AU"/>
        </w:rPr>
        <w:t>s</w:t>
      </w:r>
      <w:r w:rsidRPr="00207DC2">
        <w:rPr>
          <w:lang w:val="en-AU"/>
        </w:rPr>
        <w:t>ec</w:t>
      </w:r>
      <w:r w:rsidR="00EB1997" w:rsidRPr="00207DC2">
        <w:rPr>
          <w:lang w:val="en-AU"/>
        </w:rPr>
        <w:t>.</w:t>
      </w:r>
      <w:r w:rsidRPr="00207DC2">
        <w:rPr>
          <w:lang w:val="en-AU"/>
        </w:rPr>
        <w:t xml:space="preserve"> 3.1.13.70). Employment service providers or the Department of Human Services may also initiate a CCA at any other time if they believe a participant's circumstances warrant it. </w:t>
      </w:r>
    </w:p>
    <w:p w14:paraId="46C4497A" w14:textId="23E424E2" w:rsidR="00ED5E32" w:rsidRPr="00207DC2" w:rsidRDefault="00ED5E32" w:rsidP="00ED5E32">
      <w:pPr>
        <w:jc w:val="both"/>
        <w:rPr>
          <w:lang w:val="en-AU"/>
        </w:rPr>
      </w:pPr>
      <w:r w:rsidRPr="00207DC2">
        <w:rPr>
          <w:lang w:val="en-AU"/>
        </w:rPr>
        <w:t xml:space="preserve">During a CCA, a specialist officer from </w:t>
      </w:r>
      <w:r w:rsidR="00EB1997" w:rsidRPr="00207DC2">
        <w:rPr>
          <w:lang w:val="en-AU"/>
        </w:rPr>
        <w:t>DHS</w:t>
      </w:r>
      <w:r w:rsidRPr="00207DC2">
        <w:rPr>
          <w:lang w:val="en-AU"/>
        </w:rPr>
        <w:t xml:space="preserve"> considers the participant's compliance history and why they have been failing to meet their requirements. The aim of the assessment is to determine whether the participant is being deliberately and persistently non-compliant or if there are unidentified barriers preventing the participant from fully meeting their mutual obligation requirements and for which they need additional or alternative assistance. The findings of a CCA inform future decisions about the individual's mutual obligation requirements. If the person is found to be deliberately and persistently non-compliant by DHS, a serious failure penalty can be applied.</w:t>
      </w:r>
      <w:r w:rsidRPr="00207DC2" w:rsidDel="00AB2B8F">
        <w:rPr>
          <w:lang w:val="en-AU"/>
        </w:rPr>
        <w:t xml:space="preserve"> </w:t>
      </w:r>
    </w:p>
    <w:p w14:paraId="7343B039" w14:textId="77777777" w:rsidR="0022159A" w:rsidRPr="006643D3" w:rsidRDefault="0022159A" w:rsidP="006643D3">
      <w:pPr>
        <w:rPr>
          <w:rFonts w:ascii="Montserrat Light" w:hAnsi="Montserrat Light"/>
          <w:i/>
        </w:rPr>
      </w:pPr>
      <w:r w:rsidRPr="006643D3">
        <w:rPr>
          <w:rFonts w:ascii="Montserrat Light" w:hAnsi="Montserrat Light"/>
          <w:i/>
        </w:rPr>
        <w:t>Serious failure penalty</w:t>
      </w:r>
    </w:p>
    <w:p w14:paraId="4E9C32BF" w14:textId="69FA1FCA" w:rsidR="00411120" w:rsidRPr="00207DC2" w:rsidRDefault="0022159A" w:rsidP="00AE1AD5">
      <w:pPr>
        <w:jc w:val="both"/>
        <w:rPr>
          <w:lang w:val="en-AU"/>
        </w:rPr>
      </w:pPr>
      <w:r w:rsidRPr="00207DC2">
        <w:rPr>
          <w:lang w:val="en-AU"/>
        </w:rPr>
        <w:t xml:space="preserve">A </w:t>
      </w:r>
      <w:r w:rsidRPr="00207DC2">
        <w:rPr>
          <w:i/>
          <w:lang w:val="en-AU"/>
        </w:rPr>
        <w:t>serious failure</w:t>
      </w:r>
      <w:r w:rsidRPr="00207DC2">
        <w:rPr>
          <w:lang w:val="en-AU"/>
        </w:rPr>
        <w:t xml:space="preserve"> </w:t>
      </w:r>
      <w:r w:rsidR="00411120" w:rsidRPr="00207DC2">
        <w:rPr>
          <w:lang w:val="en-AU"/>
        </w:rPr>
        <w:t xml:space="preserve">penalty </w:t>
      </w:r>
      <w:r w:rsidRPr="00207DC2">
        <w:rPr>
          <w:lang w:val="en-AU"/>
        </w:rPr>
        <w:t xml:space="preserve">leads to a participant’s income support payments being stopped (reduced to zero) for up to eight weeks. </w:t>
      </w:r>
    </w:p>
    <w:p w14:paraId="1EC5DBB4" w14:textId="621FF98A" w:rsidR="00411120" w:rsidRPr="00207DC2" w:rsidRDefault="00411120" w:rsidP="00AE1AD5">
      <w:pPr>
        <w:jc w:val="both"/>
        <w:rPr>
          <w:lang w:val="en-AU"/>
        </w:rPr>
      </w:pPr>
      <w:r w:rsidRPr="00207DC2">
        <w:rPr>
          <w:lang w:val="en-AU"/>
        </w:rPr>
        <w:t xml:space="preserve">Three main situations may lead to a </w:t>
      </w:r>
      <w:r w:rsidRPr="00207DC2">
        <w:rPr>
          <w:i/>
          <w:lang w:val="en-AU"/>
        </w:rPr>
        <w:t>serious failure</w:t>
      </w:r>
      <w:r w:rsidRPr="00207DC2">
        <w:rPr>
          <w:lang w:val="en-AU"/>
        </w:rPr>
        <w:t xml:space="preserve"> penalty: </w:t>
      </w:r>
    </w:p>
    <w:p w14:paraId="5F9A010D" w14:textId="428085F5" w:rsidR="00411120" w:rsidRPr="00207DC2" w:rsidRDefault="00411120" w:rsidP="00F90446">
      <w:pPr>
        <w:pStyle w:val="ListParagraph"/>
        <w:numPr>
          <w:ilvl w:val="0"/>
          <w:numId w:val="31"/>
        </w:numPr>
        <w:jc w:val="both"/>
        <w:rPr>
          <w:lang w:val="en-AU"/>
        </w:rPr>
      </w:pPr>
      <w:r w:rsidRPr="00207DC2">
        <w:rPr>
          <w:lang w:val="en-AU"/>
        </w:rPr>
        <w:t xml:space="preserve">failure to accept or commence in suitable </w:t>
      </w:r>
      <w:r w:rsidR="004C4409">
        <w:rPr>
          <w:lang w:val="en-AU"/>
        </w:rPr>
        <w:t>employment</w:t>
      </w:r>
      <w:r w:rsidRPr="00207DC2">
        <w:rPr>
          <w:lang w:val="en-AU"/>
        </w:rPr>
        <w:t xml:space="preserve"> </w:t>
      </w:r>
    </w:p>
    <w:p w14:paraId="77ADC9DB" w14:textId="2798B796" w:rsidR="00411120" w:rsidRPr="00207DC2" w:rsidRDefault="00411120" w:rsidP="00F90446">
      <w:pPr>
        <w:pStyle w:val="ListParagraph"/>
        <w:numPr>
          <w:ilvl w:val="0"/>
          <w:numId w:val="31"/>
        </w:numPr>
        <w:jc w:val="both"/>
        <w:rPr>
          <w:lang w:val="en-AU"/>
        </w:rPr>
      </w:pPr>
      <w:r w:rsidRPr="00207DC2">
        <w:rPr>
          <w:lang w:val="en-AU"/>
        </w:rPr>
        <w:t>leaving suitable employment voluntarily or bei</w:t>
      </w:r>
      <w:r w:rsidR="004C4409">
        <w:rPr>
          <w:lang w:val="en-AU"/>
        </w:rPr>
        <w:t>ng dismissed for misconduct</w:t>
      </w:r>
      <w:r w:rsidRPr="00207DC2">
        <w:rPr>
          <w:lang w:val="en-AU"/>
        </w:rPr>
        <w:t xml:space="preserve"> </w:t>
      </w:r>
    </w:p>
    <w:p w14:paraId="5EDB42A7" w14:textId="3DB2E474" w:rsidR="00411120" w:rsidRPr="00207DC2" w:rsidRDefault="00411120" w:rsidP="00F90446">
      <w:pPr>
        <w:pStyle w:val="ListParagraph"/>
        <w:numPr>
          <w:ilvl w:val="0"/>
          <w:numId w:val="31"/>
        </w:numPr>
        <w:jc w:val="both"/>
        <w:rPr>
          <w:lang w:val="en-AU"/>
        </w:rPr>
      </w:pPr>
      <w:r w:rsidRPr="00207DC2">
        <w:rPr>
          <w:lang w:val="en-AU"/>
        </w:rPr>
        <w:t xml:space="preserve">persistent non-compliance (that is, repeated failures to attend appointments, job interviews or activities or refusing to enter into a Job Plan). </w:t>
      </w:r>
    </w:p>
    <w:p w14:paraId="6D664FF5" w14:textId="6E3448AA" w:rsidR="00411120" w:rsidRPr="00207DC2" w:rsidRDefault="00411120" w:rsidP="00AE1AD5">
      <w:pPr>
        <w:jc w:val="both"/>
        <w:rPr>
          <w:lang w:val="en-AU"/>
        </w:rPr>
      </w:pPr>
      <w:r w:rsidRPr="00207DC2">
        <w:rPr>
          <w:lang w:val="en-AU"/>
        </w:rPr>
        <w:t xml:space="preserve">A participant can avoid a serious failure penalty, or shorten a serious failure penalty period, by agreeing to undertake a compliance activity, which typically involves undertaking Work for the Dole for 25 hours per week. </w:t>
      </w:r>
    </w:p>
    <w:p w14:paraId="66D496F2" w14:textId="464788CD" w:rsidR="00D864B5" w:rsidRPr="006643D3" w:rsidRDefault="00D864B5" w:rsidP="006643D3">
      <w:pPr>
        <w:keepNext/>
        <w:rPr>
          <w:rFonts w:ascii="Montserrat Light" w:hAnsi="Montserrat Light"/>
          <w:i/>
        </w:rPr>
      </w:pPr>
      <w:r w:rsidRPr="006643D3">
        <w:rPr>
          <w:rFonts w:ascii="Montserrat Light" w:hAnsi="Montserrat Light"/>
          <w:i/>
        </w:rPr>
        <w:t>Expected hours</w:t>
      </w:r>
    </w:p>
    <w:p w14:paraId="51E19D87" w14:textId="77777777" w:rsidR="00D864B5" w:rsidRPr="00207DC2" w:rsidRDefault="00D864B5" w:rsidP="00D864B5">
      <w:pPr>
        <w:jc w:val="both"/>
        <w:rPr>
          <w:lang w:val="en-AU"/>
        </w:rPr>
      </w:pPr>
      <w:r w:rsidRPr="00207DC2">
        <w:rPr>
          <w:lang w:val="en-AU"/>
        </w:rPr>
        <w:t xml:space="preserve">Expected hours are an estimate of the number of hours the participant is expected to undertake Work for the Dole activities on a given day. The estimate is based on the number of Work for the Dole hours agreed in the participant’s job plan; and, where necessary (that is, when information is missing or overridden in the job plan), from other information on participants’ activity requirements and current status in the program (including whether they were commenced or temporarily exempt on that day). </w:t>
      </w:r>
    </w:p>
    <w:p w14:paraId="5A972B3D" w14:textId="486BB7B2" w:rsidR="00D864B5" w:rsidRPr="00207DC2" w:rsidRDefault="00D864B5" w:rsidP="00AE1AD5">
      <w:pPr>
        <w:jc w:val="both"/>
        <w:rPr>
          <w:lang w:val="en-AU"/>
        </w:rPr>
      </w:pPr>
      <w:r w:rsidRPr="00207DC2">
        <w:rPr>
          <w:lang w:val="en-AU"/>
        </w:rPr>
        <w:t xml:space="preserve">Expected hours are assumed to be zero if the participant is temporarily exempt from the CDP, or if the participant is not required to attend Work for the Dole and not volunteering for Work for the Dole. </w:t>
      </w:r>
    </w:p>
    <w:p w14:paraId="6C3B1DE8" w14:textId="77777777" w:rsidR="008B3522" w:rsidRPr="00207DC2" w:rsidRDefault="008B3522" w:rsidP="00221CB8">
      <w:pPr>
        <w:pStyle w:val="Heading1nonumber"/>
        <w:outlineLvl w:val="1"/>
        <w:rPr>
          <w:lang w:val="en-AU"/>
        </w:rPr>
      </w:pPr>
      <w:bookmarkStart w:id="682" w:name="_Toc518558808"/>
      <w:bookmarkStart w:id="683" w:name="_Toc518565331"/>
      <w:bookmarkStart w:id="684" w:name="_Toc518565575"/>
      <w:bookmarkStart w:id="685" w:name="_Toc519504746"/>
      <w:bookmarkStart w:id="686" w:name="_Toc519505970"/>
      <w:bookmarkStart w:id="687" w:name="_Toc519844076"/>
      <w:bookmarkStart w:id="688" w:name="_Toc521068578"/>
      <w:bookmarkStart w:id="689" w:name="_Toc521391092"/>
      <w:bookmarkStart w:id="690" w:name="_Toc522013261"/>
      <w:bookmarkStart w:id="691" w:name="_Toc534965175"/>
      <w:bookmarkStart w:id="692" w:name="_Toc535935071"/>
      <w:r w:rsidRPr="00207DC2">
        <w:rPr>
          <w:lang w:val="en-AU"/>
        </w:rPr>
        <w:t>References</w:t>
      </w:r>
      <w:bookmarkEnd w:id="682"/>
      <w:bookmarkEnd w:id="683"/>
      <w:bookmarkEnd w:id="684"/>
      <w:bookmarkEnd w:id="685"/>
      <w:bookmarkEnd w:id="686"/>
      <w:bookmarkEnd w:id="687"/>
      <w:bookmarkEnd w:id="688"/>
      <w:bookmarkEnd w:id="689"/>
      <w:bookmarkEnd w:id="690"/>
      <w:bookmarkEnd w:id="691"/>
      <w:bookmarkEnd w:id="692"/>
    </w:p>
    <w:p w14:paraId="32F74FCF" w14:textId="086D9B36" w:rsidR="008B3522" w:rsidRPr="00207DC2" w:rsidRDefault="00FD276F" w:rsidP="00DB1139">
      <w:pPr>
        <w:ind w:left="720" w:hanging="720"/>
        <w:jc w:val="both"/>
        <w:rPr>
          <w:lang w:val="en-AU"/>
        </w:rPr>
      </w:pPr>
      <w:r>
        <w:rPr>
          <w:lang w:val="en-AU"/>
        </w:rPr>
        <w:t>ABS (</w:t>
      </w:r>
      <w:r w:rsidR="008B3522" w:rsidRPr="00207DC2">
        <w:rPr>
          <w:lang w:val="en-AU"/>
        </w:rPr>
        <w:t>Australian Bureau of Statistics</w:t>
      </w:r>
      <w:r>
        <w:rPr>
          <w:lang w:val="en-AU"/>
        </w:rPr>
        <w:t>)</w:t>
      </w:r>
      <w:r w:rsidR="008B3522" w:rsidRPr="00207DC2">
        <w:rPr>
          <w:lang w:val="en-AU"/>
        </w:rPr>
        <w:t xml:space="preserve"> 2016, </w:t>
      </w:r>
      <w:r w:rsidR="008B3522" w:rsidRPr="00207DC2">
        <w:rPr>
          <w:i/>
          <w:lang w:val="en-AU"/>
        </w:rPr>
        <w:t>Census of Population and Housing: Reflections of Australia – Stories from the Australian Census</w:t>
      </w:r>
      <w:r w:rsidR="00AB52C0" w:rsidRPr="00207DC2">
        <w:rPr>
          <w:lang w:val="en-AU"/>
        </w:rPr>
        <w:t>,</w:t>
      </w:r>
      <w:r w:rsidR="008B3522" w:rsidRPr="00207DC2">
        <w:rPr>
          <w:lang w:val="en-AU"/>
        </w:rPr>
        <w:t xml:space="preserve"> Catalogue Number 2071.0.</w:t>
      </w:r>
    </w:p>
    <w:p w14:paraId="54BD7BDC" w14:textId="4D0234C2" w:rsidR="0026710A" w:rsidRPr="00686CF6" w:rsidRDefault="00755E8C" w:rsidP="00686CF6">
      <w:pPr>
        <w:ind w:left="720" w:hanging="720"/>
        <w:jc w:val="both"/>
        <w:rPr>
          <w:lang w:val="en-AU"/>
        </w:rPr>
      </w:pPr>
      <w:r w:rsidRPr="00755E8C">
        <w:rPr>
          <w:rFonts w:ascii="TimesNewRoman" w:hAnsi="TimesNewRoman" w:cs="TimesNewRoman"/>
          <w:color w:val="auto"/>
          <w:spacing w:val="0"/>
          <w:szCs w:val="20"/>
          <w:lang w:val="en-AU"/>
        </w:rPr>
        <w:t>——</w:t>
      </w:r>
      <w:r w:rsidR="00DA63D0" w:rsidRPr="00DA63D0">
        <w:rPr>
          <w:lang w:val="en-AU"/>
        </w:rPr>
        <w:t xml:space="preserve"> </w:t>
      </w:r>
      <w:r w:rsidR="0026710A" w:rsidRPr="00686CF6">
        <w:rPr>
          <w:lang w:val="en-AU"/>
        </w:rPr>
        <w:t>2017a, Labour Force, Australia, Dec 2016 (Table 18, Labour force status for 15-64 years olds by sex)</w:t>
      </w:r>
      <w:r w:rsidR="00DA63D0">
        <w:rPr>
          <w:lang w:val="en-AU"/>
        </w:rPr>
        <w:t>,</w:t>
      </w:r>
      <w:r w:rsidR="0026710A" w:rsidRPr="00686CF6">
        <w:rPr>
          <w:lang w:val="en-AU"/>
        </w:rPr>
        <w:t xml:space="preserve"> Catalogue Number 6201.0.</w:t>
      </w:r>
    </w:p>
    <w:p w14:paraId="04458197" w14:textId="3DAF6B31" w:rsidR="0026710A" w:rsidRPr="00207DC2" w:rsidRDefault="00DA63D0" w:rsidP="00DB1139">
      <w:pPr>
        <w:ind w:left="720" w:hanging="720"/>
        <w:jc w:val="both"/>
        <w:rPr>
          <w:szCs w:val="20"/>
          <w:lang w:val="en-AU"/>
        </w:rPr>
      </w:pPr>
      <w:r w:rsidRPr="00755E8C">
        <w:rPr>
          <w:rFonts w:ascii="TimesNewRoman" w:hAnsi="TimesNewRoman" w:cs="TimesNewRoman"/>
          <w:color w:val="auto"/>
          <w:spacing w:val="0"/>
          <w:szCs w:val="20"/>
          <w:lang w:val="en-AU"/>
        </w:rPr>
        <w:t>——</w:t>
      </w:r>
      <w:r w:rsidRPr="00DA63D0">
        <w:rPr>
          <w:lang w:val="en-AU"/>
        </w:rPr>
        <w:t xml:space="preserve"> </w:t>
      </w:r>
      <w:r w:rsidR="0026710A" w:rsidRPr="00207DC2">
        <w:rPr>
          <w:lang w:val="en-AU"/>
        </w:rPr>
        <w:t>2017b</w:t>
      </w:r>
      <w:r w:rsidR="0026710A" w:rsidRPr="00207DC2">
        <w:rPr>
          <w:szCs w:val="20"/>
          <w:lang w:val="en-AU"/>
        </w:rPr>
        <w:t xml:space="preserve"> </w:t>
      </w:r>
      <w:r w:rsidR="0026710A" w:rsidRPr="00207DC2">
        <w:rPr>
          <w:i/>
          <w:szCs w:val="20"/>
          <w:lang w:val="en-AU"/>
        </w:rPr>
        <w:t>Census of Population and Housing: Understanding the Census and Census Data, Australia</w:t>
      </w:r>
      <w:r w:rsidR="0026710A" w:rsidRPr="00207DC2">
        <w:rPr>
          <w:szCs w:val="20"/>
          <w:lang w:val="en-AU"/>
        </w:rPr>
        <w:t xml:space="preserve">, 2016, </w:t>
      </w:r>
      <w:r w:rsidR="0026710A" w:rsidRPr="00207DC2">
        <w:rPr>
          <w:lang w:val="en-AU"/>
        </w:rPr>
        <w:t xml:space="preserve">Catalogue Number </w:t>
      </w:r>
      <w:r w:rsidR="0026710A" w:rsidRPr="00207DC2">
        <w:rPr>
          <w:szCs w:val="20"/>
          <w:lang w:val="en-AU"/>
        </w:rPr>
        <w:t>2900.0.</w:t>
      </w:r>
    </w:p>
    <w:p w14:paraId="79892916" w14:textId="3A5D6FEC" w:rsidR="008B3522" w:rsidRPr="00207DC2" w:rsidRDefault="008B3522" w:rsidP="00DB1139">
      <w:pPr>
        <w:ind w:left="720" w:hanging="720"/>
        <w:jc w:val="both"/>
        <w:rPr>
          <w:lang w:val="en-AU"/>
        </w:rPr>
      </w:pPr>
      <w:r w:rsidRPr="00207DC2">
        <w:rPr>
          <w:lang w:val="en-AU"/>
        </w:rPr>
        <w:t xml:space="preserve">Australian Government 2017, </w:t>
      </w:r>
      <w:r w:rsidRPr="00207DC2">
        <w:rPr>
          <w:i/>
          <w:iCs/>
          <w:lang w:val="en-AU"/>
        </w:rPr>
        <w:t>Budget Paper No. 2: Budget Measures - Part 2: Expense Measures</w:t>
      </w:r>
      <w:r w:rsidRPr="00207DC2">
        <w:rPr>
          <w:lang w:val="en-AU"/>
        </w:rPr>
        <w:t>.</w:t>
      </w:r>
    </w:p>
    <w:p w14:paraId="212189A4" w14:textId="7948CC4E" w:rsidR="008B3522" w:rsidRPr="00207DC2" w:rsidRDefault="00FD276F" w:rsidP="00DB1139">
      <w:pPr>
        <w:ind w:left="720" w:hanging="720"/>
        <w:jc w:val="both"/>
        <w:rPr>
          <w:lang w:val="en-AU"/>
        </w:rPr>
      </w:pPr>
      <w:r>
        <w:rPr>
          <w:lang w:val="en-AU"/>
        </w:rPr>
        <w:t>AHMAC (</w:t>
      </w:r>
      <w:r w:rsidR="008B3522" w:rsidRPr="00207DC2">
        <w:rPr>
          <w:lang w:val="en-AU"/>
        </w:rPr>
        <w:t>Australian Health Ministers’ Advisory Council</w:t>
      </w:r>
      <w:r>
        <w:rPr>
          <w:lang w:val="en-AU"/>
        </w:rPr>
        <w:t>)</w:t>
      </w:r>
      <w:r w:rsidR="00AB52C0" w:rsidRPr="00207DC2">
        <w:rPr>
          <w:lang w:val="en-AU"/>
        </w:rPr>
        <w:t xml:space="preserve"> </w:t>
      </w:r>
      <w:r w:rsidR="008B3522" w:rsidRPr="00207DC2">
        <w:rPr>
          <w:lang w:val="en-AU"/>
        </w:rPr>
        <w:t xml:space="preserve">2017, </w:t>
      </w:r>
      <w:r w:rsidR="008B3522" w:rsidRPr="00207DC2">
        <w:rPr>
          <w:i/>
          <w:lang w:val="en-AU"/>
        </w:rPr>
        <w:t>Aboriginal and Torres Strait Islander Health Performance Framework 2017 Report</w:t>
      </w:r>
      <w:r w:rsidR="008B3522" w:rsidRPr="00207DC2">
        <w:rPr>
          <w:lang w:val="en-AU"/>
        </w:rPr>
        <w:t>, AHMAC, Canberra.</w:t>
      </w:r>
    </w:p>
    <w:p w14:paraId="1EAA23F5" w14:textId="343B09C8" w:rsidR="008B3522" w:rsidRPr="00207DC2" w:rsidRDefault="00FD276F" w:rsidP="00DB1139">
      <w:pPr>
        <w:tabs>
          <w:tab w:val="left" w:pos="4536"/>
        </w:tabs>
        <w:ind w:left="720" w:hanging="720"/>
        <w:jc w:val="both"/>
        <w:rPr>
          <w:lang w:val="en-AU"/>
        </w:rPr>
      </w:pPr>
      <w:r>
        <w:rPr>
          <w:lang w:val="en-AU"/>
        </w:rPr>
        <w:t>ANAO (</w:t>
      </w:r>
      <w:r w:rsidR="008B3522" w:rsidRPr="00207DC2">
        <w:rPr>
          <w:lang w:val="en-AU"/>
        </w:rPr>
        <w:t>Australian National Audit Office</w:t>
      </w:r>
      <w:r>
        <w:rPr>
          <w:lang w:val="en-AU"/>
        </w:rPr>
        <w:t>)</w:t>
      </w:r>
      <w:r w:rsidR="008B3522" w:rsidRPr="00207DC2">
        <w:rPr>
          <w:lang w:val="en-AU"/>
        </w:rPr>
        <w:t xml:space="preserve"> 2017, </w:t>
      </w:r>
      <w:r w:rsidR="008B3522" w:rsidRPr="00207DC2">
        <w:rPr>
          <w:i/>
          <w:lang w:val="en-AU"/>
        </w:rPr>
        <w:t>The Design and Implementation of the Community Development Programme</w:t>
      </w:r>
      <w:r w:rsidR="00AB52C0" w:rsidRPr="00207DC2">
        <w:rPr>
          <w:lang w:val="en-AU"/>
        </w:rPr>
        <w:t>,</w:t>
      </w:r>
      <w:r w:rsidR="008B3522" w:rsidRPr="00207DC2">
        <w:rPr>
          <w:lang w:val="en-AU"/>
        </w:rPr>
        <w:t xml:space="preserve"> ANAO Report No</w:t>
      </w:r>
      <w:r w:rsidR="00AB52C0" w:rsidRPr="00207DC2">
        <w:rPr>
          <w:lang w:val="en-AU"/>
        </w:rPr>
        <w:t>.</w:t>
      </w:r>
      <w:r w:rsidR="008B3522" w:rsidRPr="00207DC2">
        <w:rPr>
          <w:lang w:val="en-AU"/>
        </w:rPr>
        <w:t xml:space="preserve"> 14 2017-18 Performance Audit.</w:t>
      </w:r>
    </w:p>
    <w:p w14:paraId="00323D82" w14:textId="77BF426D" w:rsidR="008B3522" w:rsidRPr="00207DC2" w:rsidRDefault="00FD276F" w:rsidP="00DB1139">
      <w:pPr>
        <w:tabs>
          <w:tab w:val="left" w:pos="4536"/>
        </w:tabs>
        <w:ind w:left="720" w:hanging="720"/>
        <w:jc w:val="both"/>
        <w:rPr>
          <w:lang w:val="en-AU"/>
        </w:rPr>
      </w:pPr>
      <w:r w:rsidRPr="00207DC2">
        <w:rPr>
          <w:lang w:val="en-AU"/>
        </w:rPr>
        <w:t>AIH</w:t>
      </w:r>
      <w:r>
        <w:rPr>
          <w:lang w:val="en-AU"/>
        </w:rPr>
        <w:t>W (</w:t>
      </w:r>
      <w:r w:rsidR="008B3522" w:rsidRPr="00207DC2">
        <w:rPr>
          <w:lang w:val="en-AU"/>
        </w:rPr>
        <w:t>Australian I</w:t>
      </w:r>
      <w:r>
        <w:rPr>
          <w:lang w:val="en-AU"/>
        </w:rPr>
        <w:t xml:space="preserve">nstitute of Health and Welfare) </w:t>
      </w:r>
      <w:r w:rsidR="008B3522" w:rsidRPr="00207DC2">
        <w:rPr>
          <w:lang w:val="en-AU"/>
        </w:rPr>
        <w:t xml:space="preserve">2016, </w:t>
      </w:r>
      <w:r w:rsidR="00AB52C0" w:rsidRPr="00207DC2">
        <w:rPr>
          <w:i/>
          <w:lang w:val="en-AU"/>
        </w:rPr>
        <w:t>Australia’s h</w:t>
      </w:r>
      <w:r w:rsidR="008B3522" w:rsidRPr="00207DC2">
        <w:rPr>
          <w:i/>
          <w:lang w:val="en-AU"/>
        </w:rPr>
        <w:t>ealth 2016</w:t>
      </w:r>
      <w:r w:rsidR="008B3522" w:rsidRPr="00207DC2">
        <w:rPr>
          <w:lang w:val="en-AU"/>
        </w:rPr>
        <w:t xml:space="preserve">. Australia’s health </w:t>
      </w:r>
      <w:r w:rsidR="00AB52C0" w:rsidRPr="00207DC2">
        <w:rPr>
          <w:lang w:val="en-AU"/>
        </w:rPr>
        <w:t xml:space="preserve">series no. 15, Cat. </w:t>
      </w:r>
      <w:r w:rsidR="00AB52C0" w:rsidRPr="00207DC2" w:rsidDel="00C822E5">
        <w:rPr>
          <w:lang w:val="en-AU"/>
        </w:rPr>
        <w:t>no</w:t>
      </w:r>
      <w:r w:rsidR="00AB52C0" w:rsidRPr="00207DC2">
        <w:rPr>
          <w:lang w:val="en-AU"/>
        </w:rPr>
        <w:t>. AUS 199, AIHW, Canberra</w:t>
      </w:r>
      <w:r w:rsidR="008B3522" w:rsidRPr="00207DC2">
        <w:rPr>
          <w:lang w:val="en-AU"/>
        </w:rPr>
        <w:t xml:space="preserve">. </w:t>
      </w:r>
    </w:p>
    <w:p w14:paraId="226E4CFD" w14:textId="4D04692B" w:rsidR="008B3522" w:rsidRPr="00207DC2" w:rsidRDefault="008B3522" w:rsidP="00DB1139">
      <w:pPr>
        <w:tabs>
          <w:tab w:val="left" w:pos="4536"/>
        </w:tabs>
        <w:ind w:left="720" w:hanging="720"/>
        <w:jc w:val="both"/>
        <w:rPr>
          <w:lang w:val="en-AU"/>
        </w:rPr>
      </w:pPr>
      <w:r w:rsidRPr="00207DC2">
        <w:rPr>
          <w:lang w:val="en-AU"/>
        </w:rPr>
        <w:t>Blattman, C</w:t>
      </w:r>
      <w:r w:rsidR="00C21F99" w:rsidRPr="00207DC2">
        <w:rPr>
          <w:lang w:val="en-AU"/>
        </w:rPr>
        <w:t>.</w:t>
      </w:r>
      <w:r w:rsidRPr="00207DC2">
        <w:rPr>
          <w:lang w:val="en-AU"/>
        </w:rPr>
        <w:t xml:space="preserve"> and Ralston, L</w:t>
      </w:r>
      <w:r w:rsidR="00C21F99" w:rsidRPr="00207DC2">
        <w:rPr>
          <w:lang w:val="en-AU"/>
        </w:rPr>
        <w:t>.</w:t>
      </w:r>
      <w:r w:rsidRPr="00207DC2">
        <w:rPr>
          <w:lang w:val="en-AU"/>
        </w:rPr>
        <w:t xml:space="preserve"> 2015, </w:t>
      </w:r>
      <w:r w:rsidRPr="00207DC2">
        <w:rPr>
          <w:i/>
          <w:lang w:val="en-AU"/>
        </w:rPr>
        <w:t xml:space="preserve">Generating Employment in Poor and Fragile States: Evidence from </w:t>
      </w:r>
      <w:r w:rsidRPr="00207DC2" w:rsidDel="00C822E5">
        <w:rPr>
          <w:i/>
          <w:lang w:val="en-AU"/>
        </w:rPr>
        <w:t>Labor</w:t>
      </w:r>
      <w:r w:rsidRPr="00207DC2">
        <w:rPr>
          <w:i/>
          <w:lang w:val="en-AU"/>
        </w:rPr>
        <w:t xml:space="preserve"> Market and Entrepreneurship Programs</w:t>
      </w:r>
      <w:r w:rsidRPr="00207DC2">
        <w:rPr>
          <w:lang w:val="en-AU"/>
        </w:rPr>
        <w:t>, available at SSRN:</w:t>
      </w:r>
      <w:hyperlink w:history="1"/>
      <w:r w:rsidRPr="00207DC2">
        <w:rPr>
          <w:lang w:val="en-AU"/>
        </w:rPr>
        <w:t xml:space="preserve"> https://www.povertyactionlab.org/sites/default/files/publications/Blattman_Employment%20Lit%20Review.pdf. </w:t>
      </w:r>
    </w:p>
    <w:p w14:paraId="7C8C588E" w14:textId="2970FED9" w:rsidR="008B3522" w:rsidRPr="00207DC2" w:rsidRDefault="00D70D83" w:rsidP="00DB1139">
      <w:pPr>
        <w:tabs>
          <w:tab w:val="left" w:pos="4536"/>
        </w:tabs>
        <w:ind w:left="720" w:hanging="720"/>
        <w:jc w:val="both"/>
        <w:rPr>
          <w:lang w:val="en-AU"/>
        </w:rPr>
      </w:pPr>
      <w:r w:rsidRPr="00207DC2">
        <w:rPr>
          <w:lang w:val="en-AU"/>
        </w:rPr>
        <w:t>Borland, J</w:t>
      </w:r>
      <w:r w:rsidR="00C21F99" w:rsidRPr="00207DC2">
        <w:rPr>
          <w:lang w:val="en-AU"/>
        </w:rPr>
        <w:t>.</w:t>
      </w:r>
      <w:r w:rsidR="008B3522" w:rsidRPr="00207DC2">
        <w:rPr>
          <w:lang w:val="en-AU"/>
        </w:rPr>
        <w:t xml:space="preserve"> 2016, ‘Wage Subsidy Programs: A Primer’, </w:t>
      </w:r>
      <w:r w:rsidR="008B3522" w:rsidRPr="00207DC2">
        <w:rPr>
          <w:i/>
          <w:lang w:val="en-AU"/>
        </w:rPr>
        <w:t>Australian Journal of Labour Economics</w:t>
      </w:r>
      <w:r w:rsidR="00AB52C0" w:rsidRPr="00207DC2">
        <w:rPr>
          <w:lang w:val="en-AU"/>
        </w:rPr>
        <w:t xml:space="preserve">, </w:t>
      </w:r>
      <w:r w:rsidR="008B3522" w:rsidRPr="00207DC2">
        <w:rPr>
          <w:lang w:val="en-AU"/>
        </w:rPr>
        <w:t>Vol. 19, no. 3</w:t>
      </w:r>
      <w:r w:rsidR="00AB52C0" w:rsidRPr="00207DC2">
        <w:rPr>
          <w:lang w:val="en-AU"/>
        </w:rPr>
        <w:t>,</w:t>
      </w:r>
      <w:r w:rsidR="008B3522" w:rsidRPr="00207DC2">
        <w:rPr>
          <w:lang w:val="en-AU"/>
        </w:rPr>
        <w:t xml:space="preserve"> pp. 131</w:t>
      </w:r>
      <w:r w:rsidR="008B3522" w:rsidRPr="00207DC2">
        <w:rPr>
          <w:lang w:val="en-AU"/>
        </w:rPr>
        <w:noBreakHyphen/>
        <w:t>43.</w:t>
      </w:r>
    </w:p>
    <w:p w14:paraId="2F2E353A" w14:textId="56715CB9" w:rsidR="008B3522" w:rsidRPr="00207DC2" w:rsidRDefault="008B3522" w:rsidP="00DB1139">
      <w:pPr>
        <w:tabs>
          <w:tab w:val="left" w:pos="4536"/>
        </w:tabs>
        <w:ind w:left="720" w:hanging="720"/>
        <w:jc w:val="both"/>
        <w:rPr>
          <w:lang w:val="en-AU"/>
        </w:rPr>
      </w:pPr>
      <w:r w:rsidRPr="00207DC2">
        <w:rPr>
          <w:lang w:val="en-AU"/>
        </w:rPr>
        <w:t>Borland</w:t>
      </w:r>
      <w:r w:rsidR="00D70D83" w:rsidRPr="00207DC2">
        <w:rPr>
          <w:lang w:val="en-AU"/>
        </w:rPr>
        <w:t>, J</w:t>
      </w:r>
      <w:r w:rsidR="00C21F99" w:rsidRPr="00207DC2">
        <w:rPr>
          <w:lang w:val="en-AU"/>
        </w:rPr>
        <w:t>.</w:t>
      </w:r>
      <w:r w:rsidR="00D70D83" w:rsidRPr="00207DC2">
        <w:rPr>
          <w:lang w:val="en-AU"/>
        </w:rPr>
        <w:t xml:space="preserve"> and Tseng, Y</w:t>
      </w:r>
      <w:r w:rsidR="00C21F99" w:rsidRPr="00207DC2">
        <w:rPr>
          <w:lang w:val="en-AU"/>
        </w:rPr>
        <w:t>.</w:t>
      </w:r>
      <w:r w:rsidRPr="00207DC2">
        <w:rPr>
          <w:lang w:val="en-AU"/>
        </w:rPr>
        <w:t xml:space="preserve"> 2011, ‘Does ‘Work for the Dole’ work: An Australian perspecti</w:t>
      </w:r>
      <w:r w:rsidR="00AB52C0" w:rsidRPr="00207DC2">
        <w:rPr>
          <w:lang w:val="en-AU"/>
        </w:rPr>
        <w:t>ve on work experience programs’,</w:t>
      </w:r>
      <w:r w:rsidRPr="00207DC2">
        <w:rPr>
          <w:lang w:val="en-AU"/>
        </w:rPr>
        <w:t xml:space="preserve"> </w:t>
      </w:r>
      <w:r w:rsidRPr="00207DC2">
        <w:rPr>
          <w:i/>
          <w:lang w:val="en-AU"/>
        </w:rPr>
        <w:t>Applied Economics</w:t>
      </w:r>
      <w:r w:rsidR="00AB52C0" w:rsidRPr="00207DC2">
        <w:rPr>
          <w:lang w:val="en-AU"/>
        </w:rPr>
        <w:t>,</w:t>
      </w:r>
      <w:r w:rsidRPr="00207DC2">
        <w:rPr>
          <w:lang w:val="en-AU"/>
        </w:rPr>
        <w:t xml:space="preserve"> Vol. 43, no. 28</w:t>
      </w:r>
      <w:r w:rsidR="00AB52C0" w:rsidRPr="00207DC2">
        <w:rPr>
          <w:lang w:val="en-AU"/>
        </w:rPr>
        <w:t xml:space="preserve">, </w:t>
      </w:r>
      <w:r w:rsidRPr="00207DC2">
        <w:rPr>
          <w:lang w:val="en-AU"/>
        </w:rPr>
        <w:t>pp.</w:t>
      </w:r>
      <w:r w:rsidR="00286097">
        <w:rPr>
          <w:lang w:val="en-AU"/>
        </w:rPr>
        <w:t> </w:t>
      </w:r>
      <w:r w:rsidRPr="00207DC2">
        <w:rPr>
          <w:lang w:val="en-AU"/>
        </w:rPr>
        <w:t>4353</w:t>
      </w:r>
      <w:r w:rsidR="00286097">
        <w:rPr>
          <w:lang w:val="en-AU"/>
        </w:rPr>
        <w:noBreakHyphen/>
      </w:r>
      <w:r w:rsidRPr="00207DC2">
        <w:rPr>
          <w:lang w:val="en-AU"/>
        </w:rPr>
        <w:t>4368.</w:t>
      </w:r>
    </w:p>
    <w:p w14:paraId="533031A2" w14:textId="268A3D8C" w:rsidR="008B3522" w:rsidRPr="00207DC2" w:rsidRDefault="00FD276F" w:rsidP="00DB1139">
      <w:pPr>
        <w:ind w:left="720" w:hanging="720"/>
        <w:jc w:val="both"/>
        <w:rPr>
          <w:lang w:val="en-AU"/>
        </w:rPr>
      </w:pPr>
      <w:r w:rsidRPr="00207DC2">
        <w:rPr>
          <w:lang w:val="en-AU"/>
        </w:rPr>
        <w:t xml:space="preserve">DEWR </w:t>
      </w:r>
      <w:r>
        <w:rPr>
          <w:lang w:val="en-AU"/>
        </w:rPr>
        <w:t>(</w:t>
      </w:r>
      <w:r w:rsidR="008B3522" w:rsidRPr="00207DC2">
        <w:rPr>
          <w:lang w:val="en-AU"/>
        </w:rPr>
        <w:t>Department of Education and W</w:t>
      </w:r>
      <w:r>
        <w:rPr>
          <w:lang w:val="en-AU"/>
        </w:rPr>
        <w:t>orkplace Relations</w:t>
      </w:r>
      <w:r w:rsidR="008B3522" w:rsidRPr="00207DC2">
        <w:rPr>
          <w:lang w:val="en-AU"/>
        </w:rPr>
        <w:t xml:space="preserve">) 2012, </w:t>
      </w:r>
      <w:r w:rsidR="008B3522" w:rsidRPr="00207DC2">
        <w:rPr>
          <w:i/>
          <w:lang w:val="en-AU"/>
        </w:rPr>
        <w:t>Servicing Indigenous Job Seekers in Job Services Australia</w:t>
      </w:r>
      <w:r w:rsidR="00AB52C0" w:rsidRPr="00207DC2">
        <w:rPr>
          <w:lang w:val="en-AU"/>
        </w:rPr>
        <w:t>, DEWR, Canberra.</w:t>
      </w:r>
    </w:p>
    <w:p w14:paraId="7AECF1BC" w14:textId="6282A696" w:rsidR="00211D26" w:rsidRPr="00207DC2" w:rsidRDefault="00FD276F" w:rsidP="00DB1139">
      <w:pPr>
        <w:ind w:left="720" w:hanging="720"/>
        <w:jc w:val="both"/>
        <w:rPr>
          <w:color w:val="2B89F9" w:themeColor="hyperlink"/>
          <w:u w:val="single"/>
          <w:lang w:val="en-AU"/>
        </w:rPr>
      </w:pPr>
      <w:r w:rsidRPr="00207DC2">
        <w:rPr>
          <w:lang w:val="en-AU"/>
        </w:rPr>
        <w:t xml:space="preserve">DJSB </w:t>
      </w:r>
      <w:r>
        <w:rPr>
          <w:lang w:val="en-AU"/>
        </w:rPr>
        <w:t>(</w:t>
      </w:r>
      <w:r w:rsidR="008B3522" w:rsidRPr="00207DC2">
        <w:rPr>
          <w:lang w:val="en-AU"/>
        </w:rPr>
        <w:t xml:space="preserve">Department of Jobs and Small Business) </w:t>
      </w:r>
      <w:r w:rsidR="00D70D83" w:rsidRPr="00207DC2">
        <w:rPr>
          <w:lang w:val="en-AU"/>
        </w:rPr>
        <w:t xml:space="preserve">2018, </w:t>
      </w:r>
      <w:r w:rsidR="008B3522" w:rsidRPr="00207DC2">
        <w:rPr>
          <w:i/>
          <w:lang w:val="en-AU"/>
        </w:rPr>
        <w:t>Components of the Job Seeker Classification Instrument (JSCI)</w:t>
      </w:r>
      <w:r>
        <w:rPr>
          <w:i/>
          <w:lang w:val="en-AU"/>
        </w:rPr>
        <w:t>,</w:t>
      </w:r>
      <w:r w:rsidR="00AB52C0" w:rsidRPr="00207DC2">
        <w:rPr>
          <w:lang w:val="en-AU"/>
        </w:rPr>
        <w:t xml:space="preserve"> </w:t>
      </w:r>
      <w:r>
        <w:rPr>
          <w:lang w:val="en-AU"/>
        </w:rPr>
        <w:t>a</w:t>
      </w:r>
      <w:r w:rsidR="00533CDF" w:rsidRPr="00207DC2">
        <w:rPr>
          <w:lang w:val="en-AU"/>
        </w:rPr>
        <w:t>vailable at:</w:t>
      </w:r>
      <w:r w:rsidR="008B3522" w:rsidRPr="00207DC2">
        <w:rPr>
          <w:lang w:val="en-AU"/>
        </w:rPr>
        <w:t xml:space="preserve"> </w:t>
      </w:r>
      <w:hyperlink r:id="rId41" w:anchor="factors" w:history="1">
        <w:r w:rsidR="008B3522" w:rsidRPr="00207DC2">
          <w:rPr>
            <w:rStyle w:val="Hyperlink"/>
            <w:lang w:val="en-AU"/>
          </w:rPr>
          <w:t>https://www.jobs.gov.au/components-and-results-job-seeker-classification-instrument#factors</w:t>
        </w:r>
      </w:hyperlink>
      <w:r w:rsidR="00533CDF" w:rsidRPr="00207DC2">
        <w:rPr>
          <w:lang w:val="en-AU"/>
        </w:rPr>
        <w:t xml:space="preserve"> </w:t>
      </w:r>
      <w:r w:rsidR="00286097">
        <w:rPr>
          <w:lang w:val="en-AU"/>
        </w:rPr>
        <w:t>(</w:t>
      </w:r>
      <w:r>
        <w:rPr>
          <w:lang w:val="en-AU"/>
        </w:rPr>
        <w:t>a</w:t>
      </w:r>
      <w:r w:rsidR="00533CDF" w:rsidRPr="00207DC2">
        <w:rPr>
          <w:lang w:val="en-AU"/>
        </w:rPr>
        <w:t xml:space="preserve">ccessed </w:t>
      </w:r>
      <w:r w:rsidR="00DA3F93" w:rsidRPr="00207DC2">
        <w:rPr>
          <w:lang w:val="en-AU"/>
        </w:rPr>
        <w:t>17 July</w:t>
      </w:r>
      <w:r w:rsidR="00533CDF" w:rsidRPr="00207DC2">
        <w:rPr>
          <w:lang w:val="en-AU"/>
        </w:rPr>
        <w:t xml:space="preserve"> 2018</w:t>
      </w:r>
      <w:r w:rsidR="00286097">
        <w:rPr>
          <w:lang w:val="en-AU"/>
        </w:rPr>
        <w:t>)</w:t>
      </w:r>
      <w:r w:rsidR="008B3522" w:rsidRPr="00207DC2">
        <w:rPr>
          <w:lang w:val="en-AU"/>
        </w:rPr>
        <w:t>.</w:t>
      </w:r>
    </w:p>
    <w:p w14:paraId="0D399697" w14:textId="5AD2D6B2" w:rsidR="00DA63D0" w:rsidRDefault="00FD276F" w:rsidP="00DB1139">
      <w:pPr>
        <w:ind w:left="720" w:hanging="720"/>
        <w:jc w:val="both"/>
        <w:rPr>
          <w:lang w:val="en-AU"/>
        </w:rPr>
      </w:pPr>
      <w:r>
        <w:rPr>
          <w:lang w:val="en-AU"/>
        </w:rPr>
        <w:t>PMC (</w:t>
      </w:r>
      <w:r w:rsidR="008B3522" w:rsidRPr="00207DC2">
        <w:rPr>
          <w:lang w:val="en-AU"/>
        </w:rPr>
        <w:t xml:space="preserve">Department of the Prime Minister and Cabinet) </w:t>
      </w:r>
      <w:r w:rsidR="00DA63D0" w:rsidRPr="00207DC2">
        <w:rPr>
          <w:lang w:val="en-AU"/>
        </w:rPr>
        <w:t xml:space="preserve">2013, </w:t>
      </w:r>
      <w:r w:rsidR="00DA63D0" w:rsidRPr="00207DC2">
        <w:rPr>
          <w:i/>
          <w:lang w:val="en-AU"/>
        </w:rPr>
        <w:t>Funding Agreement 2013</w:t>
      </w:r>
      <w:r w:rsidR="00DA63D0">
        <w:rPr>
          <w:i/>
          <w:lang w:val="en-AU"/>
        </w:rPr>
        <w:noBreakHyphen/>
      </w:r>
      <w:r w:rsidR="00DA63D0" w:rsidRPr="00207DC2">
        <w:rPr>
          <w:i/>
          <w:lang w:val="en-AU"/>
        </w:rPr>
        <w:t>2018: Remote Jobs and Communities Programme</w:t>
      </w:r>
      <w:r w:rsidR="00DA63D0">
        <w:rPr>
          <w:lang w:val="en-AU"/>
        </w:rPr>
        <w:t>, unpublished</w:t>
      </w:r>
      <w:r w:rsidR="00DA63D0" w:rsidRPr="00207DC2">
        <w:rPr>
          <w:lang w:val="en-AU"/>
        </w:rPr>
        <w:t>.</w:t>
      </w:r>
    </w:p>
    <w:p w14:paraId="6F02A9FD" w14:textId="61172BC7" w:rsidR="008B3522"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2014a, </w:t>
      </w:r>
      <w:r w:rsidR="008B3522" w:rsidRPr="00207DC2">
        <w:rPr>
          <w:i/>
          <w:lang w:val="en-AU"/>
        </w:rPr>
        <w:t>Remote Jobs and Communities Programme Activities Operational Guidelines: Remote Jobs and Communities Programme Activities,</w:t>
      </w:r>
      <w:r w:rsidR="00AB52C0" w:rsidRPr="00207DC2">
        <w:rPr>
          <w:lang w:val="en-AU"/>
        </w:rPr>
        <w:t xml:space="preserve"> </w:t>
      </w:r>
      <w:r w:rsidR="00286097">
        <w:rPr>
          <w:lang w:val="en-AU"/>
        </w:rPr>
        <w:t>u</w:t>
      </w:r>
      <w:r w:rsidR="00AB52C0" w:rsidRPr="00207DC2">
        <w:rPr>
          <w:lang w:val="en-AU"/>
        </w:rPr>
        <w:t xml:space="preserve">npublished. </w:t>
      </w:r>
    </w:p>
    <w:p w14:paraId="3D7C1315" w14:textId="3A658A2C" w:rsidR="008B3522" w:rsidRPr="00207DC2" w:rsidRDefault="00DA63D0" w:rsidP="00DA63D0">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2014b, </w:t>
      </w:r>
      <w:r w:rsidR="008B3522" w:rsidRPr="00207DC2">
        <w:rPr>
          <w:i/>
          <w:lang w:val="en-AU"/>
        </w:rPr>
        <w:t>Remote Jobs and Communities Participation Requirements,</w:t>
      </w:r>
      <w:r w:rsidR="008B3522" w:rsidRPr="00207DC2">
        <w:rPr>
          <w:lang w:val="en-AU"/>
        </w:rPr>
        <w:t xml:space="preserve"> </w:t>
      </w:r>
      <w:r w:rsidR="00286097">
        <w:rPr>
          <w:lang w:val="en-AU"/>
        </w:rPr>
        <w:t>u</w:t>
      </w:r>
      <w:r w:rsidR="008B3522" w:rsidRPr="00207DC2">
        <w:rPr>
          <w:lang w:val="en-AU"/>
        </w:rPr>
        <w:t>npublished.</w:t>
      </w:r>
    </w:p>
    <w:p w14:paraId="5BF4E0FF" w14:textId="52801D68" w:rsidR="00AC7A86"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AC7A86" w:rsidRPr="00207DC2">
        <w:rPr>
          <w:lang w:val="en-AU"/>
        </w:rPr>
        <w:t xml:space="preserve">2015, </w:t>
      </w:r>
      <w:r w:rsidR="00AC7A86" w:rsidRPr="00207DC2">
        <w:rPr>
          <w:i/>
          <w:lang w:val="en-AU"/>
        </w:rPr>
        <w:t>Funding Agreement 2013</w:t>
      </w:r>
      <w:r w:rsidR="00286097">
        <w:rPr>
          <w:i/>
          <w:lang w:val="en-AU"/>
        </w:rPr>
        <w:noBreakHyphen/>
      </w:r>
      <w:r w:rsidR="00AC7A86" w:rsidRPr="00207DC2">
        <w:rPr>
          <w:i/>
          <w:lang w:val="en-AU"/>
        </w:rPr>
        <w:t>2018: Remote Jobs and Communities Programme</w:t>
      </w:r>
      <w:r w:rsidR="00AC7A86" w:rsidRPr="00207DC2">
        <w:rPr>
          <w:lang w:val="en-AU"/>
        </w:rPr>
        <w:t xml:space="preserve">, available at </w:t>
      </w:r>
      <w:r w:rsidR="001E60FC" w:rsidRPr="00207DC2">
        <w:rPr>
          <w:rStyle w:val="Hyperlink"/>
          <w:lang w:val="en-AU"/>
        </w:rPr>
        <w:t xml:space="preserve">https://www.pmc.gov.au/sites/default/files/files/ia/RAC1_Employment_Participation_Activities_July_2015.pdf </w:t>
      </w:r>
      <w:r w:rsidR="00AC7A86" w:rsidRPr="00207DC2">
        <w:rPr>
          <w:lang w:val="en-AU"/>
        </w:rPr>
        <w:t>(accessed 1</w:t>
      </w:r>
      <w:r w:rsidR="001E60FC" w:rsidRPr="00207DC2">
        <w:rPr>
          <w:lang w:val="en-AU"/>
        </w:rPr>
        <w:t>8</w:t>
      </w:r>
      <w:r w:rsidR="00AC7A86" w:rsidRPr="00207DC2">
        <w:rPr>
          <w:lang w:val="en-AU"/>
        </w:rPr>
        <w:t xml:space="preserve"> July 2018).</w:t>
      </w:r>
    </w:p>
    <w:p w14:paraId="5C6884B4" w14:textId="4CFF2D4D" w:rsidR="008B3522"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2016, </w:t>
      </w:r>
      <w:r w:rsidR="008B3522" w:rsidRPr="00207DC2">
        <w:rPr>
          <w:i/>
          <w:lang w:val="en-AU"/>
        </w:rPr>
        <w:t>Community Development Programme Guidelines Handbook</w:t>
      </w:r>
      <w:r w:rsidR="008B3522" w:rsidRPr="00207DC2">
        <w:rPr>
          <w:lang w:val="en-AU"/>
        </w:rPr>
        <w:t xml:space="preserve">, </w:t>
      </w:r>
      <w:r w:rsidR="008B3522" w:rsidRPr="004C70A8">
        <w:rPr>
          <w:i/>
          <w:lang w:val="en-AU"/>
        </w:rPr>
        <w:t>October 201</w:t>
      </w:r>
      <w:r w:rsidR="008B3522" w:rsidRPr="00207DC2">
        <w:rPr>
          <w:lang w:val="en-AU"/>
        </w:rPr>
        <w:t>6</w:t>
      </w:r>
      <w:r w:rsidR="00286097">
        <w:rPr>
          <w:lang w:val="en-AU"/>
        </w:rPr>
        <w:t>,</w:t>
      </w:r>
      <w:r w:rsidR="008B3522" w:rsidRPr="00207DC2">
        <w:rPr>
          <w:lang w:val="en-AU"/>
        </w:rPr>
        <w:t xml:space="preserve"> </w:t>
      </w:r>
      <w:r w:rsidR="00286097">
        <w:rPr>
          <w:lang w:val="en-AU"/>
        </w:rPr>
        <w:t>u</w:t>
      </w:r>
      <w:r w:rsidR="008B3522" w:rsidRPr="00207DC2">
        <w:rPr>
          <w:lang w:val="en-AU"/>
        </w:rPr>
        <w:t>npublished.</w:t>
      </w:r>
    </w:p>
    <w:p w14:paraId="30B7E713" w14:textId="3E72F15B" w:rsidR="008B3522"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2018a, </w:t>
      </w:r>
      <w:r w:rsidR="008B3522" w:rsidRPr="00207DC2">
        <w:rPr>
          <w:i/>
          <w:lang w:val="en-AU"/>
        </w:rPr>
        <w:t>Community Development Programme Guidelines: Job Seeker Attendance and Compliance</w:t>
      </w:r>
      <w:r w:rsidR="00286097">
        <w:rPr>
          <w:lang w:val="en-AU"/>
        </w:rPr>
        <w:t>,</w:t>
      </w:r>
      <w:r w:rsidR="008B3522" w:rsidRPr="00207DC2">
        <w:rPr>
          <w:lang w:val="en-AU"/>
        </w:rPr>
        <w:t xml:space="preserve"> </w:t>
      </w:r>
      <w:r w:rsidR="00286097">
        <w:rPr>
          <w:lang w:val="en-AU"/>
        </w:rPr>
        <w:t>u</w:t>
      </w:r>
      <w:r w:rsidR="008B3522" w:rsidRPr="00207DC2">
        <w:rPr>
          <w:lang w:val="en-AU"/>
        </w:rPr>
        <w:t>npublished.</w:t>
      </w:r>
    </w:p>
    <w:p w14:paraId="1A289D25" w14:textId="25DB6F47" w:rsidR="008B3522"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2018b, </w:t>
      </w:r>
      <w:r w:rsidR="008B3522" w:rsidRPr="00207DC2">
        <w:rPr>
          <w:i/>
          <w:lang w:val="en-AU"/>
        </w:rPr>
        <w:t>Community Development Programme Guidelines: Mutual Obligation Requirements</w:t>
      </w:r>
      <w:r w:rsidR="00AB52C0" w:rsidRPr="00207DC2">
        <w:rPr>
          <w:lang w:val="en-AU"/>
        </w:rPr>
        <w:t>,</w:t>
      </w:r>
      <w:r w:rsidR="008B3522" w:rsidRPr="00207DC2">
        <w:rPr>
          <w:lang w:val="en-AU"/>
        </w:rPr>
        <w:t xml:space="preserve"> </w:t>
      </w:r>
      <w:r w:rsidR="00286097">
        <w:rPr>
          <w:lang w:val="en-AU"/>
        </w:rPr>
        <w:t>u</w:t>
      </w:r>
      <w:r w:rsidR="008B3522" w:rsidRPr="00207DC2">
        <w:rPr>
          <w:lang w:val="en-AU"/>
        </w:rPr>
        <w:t>npublished.</w:t>
      </w:r>
    </w:p>
    <w:p w14:paraId="232154BB" w14:textId="7C2683CD" w:rsidR="008B3522"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lang w:val="en-AU"/>
        </w:rPr>
        <w:t xml:space="preserve">2018c, </w:t>
      </w:r>
      <w:r w:rsidR="008B3522" w:rsidRPr="00207DC2">
        <w:rPr>
          <w:i/>
          <w:szCs w:val="20"/>
          <w:lang w:val="en-AU"/>
        </w:rPr>
        <w:t>Indigenous Advancement Strategy Evaluation Framework</w:t>
      </w:r>
      <w:r w:rsidR="00C41E6E" w:rsidRPr="00207DC2">
        <w:rPr>
          <w:i/>
          <w:szCs w:val="20"/>
          <w:lang w:val="en-AU"/>
        </w:rPr>
        <w:t xml:space="preserve">, </w:t>
      </w:r>
      <w:r w:rsidR="00C41E6E" w:rsidRPr="00207DC2">
        <w:rPr>
          <w:szCs w:val="20"/>
          <w:lang w:val="en-AU"/>
        </w:rPr>
        <w:t>Canberra</w:t>
      </w:r>
      <w:r w:rsidR="008B3522" w:rsidRPr="00207DC2">
        <w:rPr>
          <w:szCs w:val="20"/>
          <w:lang w:val="en-AU"/>
        </w:rPr>
        <w:t xml:space="preserve">. </w:t>
      </w:r>
    </w:p>
    <w:p w14:paraId="50BC5DED" w14:textId="669CE256" w:rsidR="008B3522" w:rsidRPr="00207DC2" w:rsidRDefault="00686CF6" w:rsidP="00DB1139">
      <w:pPr>
        <w:ind w:left="720" w:hanging="720"/>
        <w:jc w:val="both"/>
        <w:rPr>
          <w:rFonts w:eastAsiaTheme="minorEastAsia"/>
          <w:lang w:val="en-AU"/>
        </w:rPr>
      </w:pPr>
      <w:r>
        <w:rPr>
          <w:lang w:val="en-AU"/>
        </w:rPr>
        <w:t>DSS</w:t>
      </w:r>
      <w:r w:rsidRPr="00207DC2">
        <w:rPr>
          <w:rFonts w:eastAsiaTheme="minorEastAsia"/>
          <w:lang w:val="en-AU"/>
        </w:rPr>
        <w:t xml:space="preserve"> </w:t>
      </w:r>
      <w:r>
        <w:rPr>
          <w:rFonts w:eastAsiaTheme="minorEastAsia"/>
          <w:lang w:val="en-AU"/>
        </w:rPr>
        <w:t>(</w:t>
      </w:r>
      <w:r w:rsidR="008B3522" w:rsidRPr="00207DC2">
        <w:rPr>
          <w:rFonts w:eastAsiaTheme="minorEastAsia"/>
          <w:lang w:val="en-AU"/>
        </w:rPr>
        <w:t>Dep</w:t>
      </w:r>
      <w:r w:rsidR="005B2272" w:rsidRPr="00207DC2">
        <w:rPr>
          <w:rFonts w:eastAsiaTheme="minorEastAsia"/>
          <w:lang w:val="en-AU"/>
        </w:rPr>
        <w:t>artment of Social Services</w:t>
      </w:r>
      <w:r w:rsidR="00533CDF" w:rsidRPr="00207DC2">
        <w:rPr>
          <w:rFonts w:eastAsiaTheme="minorEastAsia"/>
          <w:lang w:val="en-AU"/>
        </w:rPr>
        <w:t>)</w:t>
      </w:r>
      <w:r w:rsidR="00D70D83" w:rsidRPr="00207DC2">
        <w:rPr>
          <w:rFonts w:eastAsiaTheme="minorEastAsia"/>
          <w:lang w:val="en-AU"/>
        </w:rPr>
        <w:t xml:space="preserve"> 2018</w:t>
      </w:r>
      <w:r w:rsidR="007A7763" w:rsidRPr="00207DC2">
        <w:rPr>
          <w:rFonts w:eastAsiaTheme="minorEastAsia"/>
          <w:lang w:val="en-AU"/>
        </w:rPr>
        <w:t>a</w:t>
      </w:r>
      <w:r w:rsidR="00D70D83" w:rsidRPr="00207DC2">
        <w:rPr>
          <w:rFonts w:eastAsiaTheme="minorEastAsia"/>
          <w:lang w:val="en-AU"/>
        </w:rPr>
        <w:t>,</w:t>
      </w:r>
      <w:r w:rsidR="008B3522" w:rsidRPr="00207DC2">
        <w:rPr>
          <w:rFonts w:eastAsiaTheme="minorEastAsia"/>
          <w:lang w:val="en-AU"/>
        </w:rPr>
        <w:t xml:space="preserve"> </w:t>
      </w:r>
      <w:r w:rsidR="00EF7704" w:rsidRPr="00207DC2">
        <w:rPr>
          <w:rFonts w:eastAsiaTheme="minorEastAsia"/>
          <w:i/>
          <w:lang w:val="en-AU"/>
        </w:rPr>
        <w:t xml:space="preserve">Guide </w:t>
      </w:r>
      <w:r w:rsidR="00AA7656" w:rsidRPr="00207DC2">
        <w:rPr>
          <w:rFonts w:eastAsiaTheme="minorEastAsia"/>
          <w:i/>
          <w:lang w:val="en-AU"/>
        </w:rPr>
        <w:t xml:space="preserve">to Social Security Law </w:t>
      </w:r>
      <w:r w:rsidR="00EF7704" w:rsidRPr="00207DC2">
        <w:rPr>
          <w:rFonts w:eastAsiaTheme="minorEastAsia"/>
          <w:i/>
          <w:lang w:val="en-AU"/>
        </w:rPr>
        <w:t>Version 1.246</w:t>
      </w:r>
      <w:r w:rsidR="00286097">
        <w:rPr>
          <w:rFonts w:eastAsiaTheme="minorEastAsia"/>
          <w:i/>
          <w:lang w:val="en-AU"/>
        </w:rPr>
        <w:t>,</w:t>
      </w:r>
      <w:r w:rsidR="008A2A14" w:rsidRPr="00207DC2">
        <w:rPr>
          <w:rFonts w:eastAsiaTheme="minorEastAsia"/>
          <w:lang w:val="en-AU"/>
        </w:rPr>
        <w:t xml:space="preserve"> </w:t>
      </w:r>
      <w:r w:rsidR="00286097">
        <w:rPr>
          <w:rFonts w:eastAsiaTheme="minorEastAsia"/>
          <w:lang w:val="en-AU"/>
        </w:rPr>
        <w:t>a</w:t>
      </w:r>
      <w:r w:rsidR="005B2272" w:rsidRPr="00207DC2">
        <w:rPr>
          <w:rFonts w:eastAsiaTheme="minorEastAsia"/>
          <w:lang w:val="en-AU"/>
        </w:rPr>
        <w:t xml:space="preserve">vailable at: </w:t>
      </w:r>
      <w:hyperlink r:id="rId42" w:history="1">
        <w:r w:rsidR="00AA7656" w:rsidRPr="00207DC2">
          <w:rPr>
            <w:rStyle w:val="Hyperlink"/>
            <w:rFonts w:eastAsiaTheme="minorEastAsia"/>
            <w:lang w:val="en-AU"/>
          </w:rPr>
          <w:t>http://guides.dss.gov.au/guide-social-security-law/</w:t>
        </w:r>
      </w:hyperlink>
      <w:r w:rsidR="00C41E6E" w:rsidRPr="00207DC2">
        <w:rPr>
          <w:rFonts w:eastAsiaTheme="minorEastAsia"/>
          <w:lang w:val="en-AU"/>
        </w:rPr>
        <w:t xml:space="preserve"> (</w:t>
      </w:r>
      <w:r w:rsidR="00286097">
        <w:rPr>
          <w:rFonts w:eastAsiaTheme="minorEastAsia"/>
          <w:lang w:val="en-AU"/>
        </w:rPr>
        <w:t>a</w:t>
      </w:r>
      <w:r w:rsidR="008B3522" w:rsidRPr="00207DC2">
        <w:rPr>
          <w:rFonts w:eastAsiaTheme="minorEastAsia"/>
          <w:lang w:val="en-AU"/>
        </w:rPr>
        <w:t xml:space="preserve">ccessed </w:t>
      </w:r>
      <w:r w:rsidR="00AA7656" w:rsidRPr="00207DC2">
        <w:rPr>
          <w:rFonts w:eastAsiaTheme="minorEastAsia"/>
          <w:lang w:val="en-AU"/>
        </w:rPr>
        <w:t>18</w:t>
      </w:r>
      <w:r w:rsidR="001C6A6F" w:rsidRPr="00207DC2">
        <w:rPr>
          <w:rFonts w:eastAsiaTheme="minorEastAsia"/>
          <w:lang w:val="en-AU"/>
        </w:rPr>
        <w:t> </w:t>
      </w:r>
      <w:r w:rsidR="008B3522" w:rsidRPr="00207DC2">
        <w:rPr>
          <w:rFonts w:eastAsiaTheme="minorEastAsia"/>
          <w:lang w:val="en-AU"/>
        </w:rPr>
        <w:t>Ju</w:t>
      </w:r>
      <w:r w:rsidR="00EF7704" w:rsidRPr="00207DC2">
        <w:rPr>
          <w:rFonts w:eastAsiaTheme="minorEastAsia"/>
          <w:lang w:val="en-AU"/>
        </w:rPr>
        <w:t>ly</w:t>
      </w:r>
      <w:r w:rsidR="001C6A6F" w:rsidRPr="00207DC2">
        <w:rPr>
          <w:rFonts w:eastAsiaTheme="minorEastAsia"/>
          <w:lang w:val="en-AU"/>
        </w:rPr>
        <w:t> </w:t>
      </w:r>
      <w:r w:rsidR="008B3522" w:rsidRPr="00207DC2">
        <w:rPr>
          <w:rFonts w:eastAsiaTheme="minorEastAsia"/>
          <w:lang w:val="en-AU"/>
        </w:rPr>
        <w:t>2018</w:t>
      </w:r>
      <w:r w:rsidR="00C41E6E" w:rsidRPr="00207DC2">
        <w:rPr>
          <w:rFonts w:eastAsiaTheme="minorEastAsia"/>
          <w:lang w:val="en-AU"/>
        </w:rPr>
        <w:t>)</w:t>
      </w:r>
      <w:r w:rsidR="008B3522" w:rsidRPr="00207DC2">
        <w:rPr>
          <w:rFonts w:eastAsiaTheme="minorEastAsia"/>
          <w:lang w:val="en-AU"/>
        </w:rPr>
        <w:t>.</w:t>
      </w:r>
    </w:p>
    <w:p w14:paraId="007A2BB3" w14:textId="1AE1FB49" w:rsidR="008D49EA" w:rsidRPr="00207DC2" w:rsidRDefault="00DA63D0" w:rsidP="00DB1139">
      <w:pPr>
        <w:ind w:left="720" w:hanging="720"/>
        <w:jc w:val="both"/>
        <w:rPr>
          <w:lang w:val="en-AU"/>
        </w:rPr>
      </w:pPr>
      <w:r w:rsidRPr="00755E8C">
        <w:rPr>
          <w:rFonts w:ascii="TimesNewRoman" w:hAnsi="TimesNewRoman" w:cs="TimesNewRoman"/>
          <w:color w:val="auto"/>
          <w:spacing w:val="0"/>
          <w:szCs w:val="20"/>
          <w:lang w:val="en-AU"/>
        </w:rPr>
        <w:t>——</w:t>
      </w:r>
      <w:r w:rsidRPr="00DA63D0">
        <w:rPr>
          <w:lang w:val="en-AU"/>
        </w:rPr>
        <w:t xml:space="preserve"> </w:t>
      </w:r>
      <w:r w:rsidR="008D49EA" w:rsidRPr="00207DC2">
        <w:rPr>
          <w:lang w:val="en-AU"/>
        </w:rPr>
        <w:t>2018</w:t>
      </w:r>
      <w:r w:rsidR="007A7763" w:rsidRPr="00207DC2">
        <w:rPr>
          <w:lang w:val="en-AU"/>
        </w:rPr>
        <w:t>b</w:t>
      </w:r>
      <w:r w:rsidR="008D49EA" w:rsidRPr="00207DC2">
        <w:rPr>
          <w:lang w:val="en-AU"/>
        </w:rPr>
        <w:t xml:space="preserve">, </w:t>
      </w:r>
      <w:r w:rsidR="008D49EA" w:rsidRPr="00207DC2">
        <w:rPr>
          <w:i/>
          <w:lang w:val="en-AU"/>
        </w:rPr>
        <w:t>Disability Employment Services Provider User Guide</w:t>
      </w:r>
      <w:r w:rsidR="00286097">
        <w:rPr>
          <w:lang w:val="en-AU"/>
        </w:rPr>
        <w:t>,</w:t>
      </w:r>
      <w:r w:rsidR="008D49EA" w:rsidRPr="00207DC2">
        <w:rPr>
          <w:lang w:val="en-AU"/>
        </w:rPr>
        <w:t xml:space="preserve"> </w:t>
      </w:r>
      <w:r w:rsidR="00286097">
        <w:rPr>
          <w:lang w:val="en-AU"/>
        </w:rPr>
        <w:t>a</w:t>
      </w:r>
      <w:r w:rsidR="008D49EA" w:rsidRPr="00207DC2">
        <w:rPr>
          <w:lang w:val="en-AU"/>
        </w:rPr>
        <w:t xml:space="preserve">vailable at: </w:t>
      </w:r>
      <w:hyperlink r:id="rId43" w:history="1">
        <w:r w:rsidR="008D49EA" w:rsidRPr="00207DC2">
          <w:rPr>
            <w:rStyle w:val="Hyperlink"/>
            <w:lang w:val="en-AU"/>
          </w:rPr>
          <w:t>https://www.dss.gov.au/freedom-of-information/operational-information/disability-employment-and-carers-group/des-user-guide</w:t>
        </w:r>
      </w:hyperlink>
      <w:r w:rsidR="008D49EA" w:rsidRPr="00207DC2">
        <w:rPr>
          <w:lang w:val="en-AU"/>
        </w:rPr>
        <w:t xml:space="preserve"> </w:t>
      </w:r>
      <w:r w:rsidR="001C6A6F" w:rsidRPr="00207DC2">
        <w:rPr>
          <w:lang w:val="en-AU"/>
        </w:rPr>
        <w:t>(</w:t>
      </w:r>
      <w:r w:rsidR="00286097">
        <w:rPr>
          <w:lang w:val="en-AU"/>
        </w:rPr>
        <w:t>a</w:t>
      </w:r>
      <w:r w:rsidR="008D49EA" w:rsidRPr="00207DC2">
        <w:rPr>
          <w:lang w:val="en-AU"/>
        </w:rPr>
        <w:t>ccessed 31</w:t>
      </w:r>
      <w:r w:rsidR="001C6A6F" w:rsidRPr="00207DC2">
        <w:rPr>
          <w:lang w:val="en-AU"/>
        </w:rPr>
        <w:t> </w:t>
      </w:r>
      <w:r w:rsidR="008D49EA" w:rsidRPr="00207DC2">
        <w:rPr>
          <w:lang w:val="en-AU"/>
        </w:rPr>
        <w:t>July</w:t>
      </w:r>
      <w:r w:rsidR="001C6A6F" w:rsidRPr="00207DC2">
        <w:rPr>
          <w:lang w:val="en-AU"/>
        </w:rPr>
        <w:t> </w:t>
      </w:r>
      <w:r w:rsidR="008D49EA" w:rsidRPr="00207DC2">
        <w:rPr>
          <w:lang w:val="en-AU"/>
        </w:rPr>
        <w:t>2018</w:t>
      </w:r>
      <w:r w:rsidR="001C6A6F" w:rsidRPr="00207DC2">
        <w:rPr>
          <w:lang w:val="en-AU"/>
        </w:rPr>
        <w:t>)</w:t>
      </w:r>
      <w:r w:rsidR="008D49EA" w:rsidRPr="00207DC2">
        <w:rPr>
          <w:lang w:val="en-AU"/>
        </w:rPr>
        <w:t>.</w:t>
      </w:r>
    </w:p>
    <w:p w14:paraId="1ABF6EA7" w14:textId="57B7CD16" w:rsidR="008B3522" w:rsidRPr="00207DC2" w:rsidRDefault="00D70D83" w:rsidP="00DB1139">
      <w:pPr>
        <w:ind w:left="720" w:hanging="720"/>
        <w:jc w:val="both"/>
        <w:rPr>
          <w:lang w:val="en-AU"/>
        </w:rPr>
      </w:pPr>
      <w:r w:rsidRPr="00207DC2">
        <w:rPr>
          <w:lang w:val="en-AU"/>
        </w:rPr>
        <w:t>Dockery, M</w:t>
      </w:r>
      <w:r w:rsidR="00C21F99" w:rsidRPr="00207DC2">
        <w:rPr>
          <w:lang w:val="en-AU"/>
        </w:rPr>
        <w:t>.</w:t>
      </w:r>
      <w:r w:rsidR="008B3522" w:rsidRPr="00207DC2">
        <w:rPr>
          <w:lang w:val="en-AU"/>
        </w:rPr>
        <w:t xml:space="preserve"> and L</w:t>
      </w:r>
      <w:r w:rsidRPr="00207DC2">
        <w:rPr>
          <w:lang w:val="en-AU"/>
        </w:rPr>
        <w:t>ovell, J</w:t>
      </w:r>
      <w:r w:rsidR="00C21F99" w:rsidRPr="00207DC2">
        <w:rPr>
          <w:lang w:val="en-AU"/>
        </w:rPr>
        <w:t>.</w:t>
      </w:r>
      <w:r w:rsidR="008B3522" w:rsidRPr="00207DC2">
        <w:rPr>
          <w:lang w:val="en-AU"/>
        </w:rPr>
        <w:t xml:space="preserve"> 2016, ‘Far Removed, an Insight into the Labour Markets of Remote Communities in Central Australia’, </w:t>
      </w:r>
      <w:r w:rsidR="008B3522" w:rsidRPr="00207DC2">
        <w:rPr>
          <w:i/>
          <w:lang w:val="en-AU"/>
        </w:rPr>
        <w:t>Australian Journal of Labour Economics</w:t>
      </w:r>
      <w:r w:rsidR="008B3522" w:rsidRPr="00207DC2">
        <w:rPr>
          <w:lang w:val="en-AU"/>
        </w:rPr>
        <w:t>. Vol.</w:t>
      </w:r>
      <w:r w:rsidR="00286097">
        <w:rPr>
          <w:lang w:val="en-AU"/>
        </w:rPr>
        <w:t> </w:t>
      </w:r>
      <w:r w:rsidR="008B3522" w:rsidRPr="00207DC2">
        <w:rPr>
          <w:lang w:val="en-AU"/>
        </w:rPr>
        <w:t>19, no</w:t>
      </w:r>
      <w:r w:rsidR="008A2A14" w:rsidRPr="00207DC2">
        <w:rPr>
          <w:lang w:val="en-AU"/>
        </w:rPr>
        <w:t>.</w:t>
      </w:r>
      <w:r w:rsidR="008B3522" w:rsidRPr="00207DC2">
        <w:rPr>
          <w:lang w:val="en-AU"/>
        </w:rPr>
        <w:t xml:space="preserve"> 3, pp.145-174.</w:t>
      </w:r>
    </w:p>
    <w:p w14:paraId="7C75589B" w14:textId="6F93E42D" w:rsidR="008B3522" w:rsidRPr="00207DC2" w:rsidRDefault="008B3522" w:rsidP="00DB1139">
      <w:pPr>
        <w:tabs>
          <w:tab w:val="left" w:pos="5954"/>
        </w:tabs>
        <w:ind w:left="720" w:hanging="720"/>
        <w:jc w:val="both"/>
        <w:rPr>
          <w:bCs/>
          <w:lang w:val="en-AU"/>
        </w:rPr>
      </w:pPr>
      <w:r w:rsidRPr="00207DC2">
        <w:rPr>
          <w:bCs/>
          <w:lang w:val="en-AU"/>
        </w:rPr>
        <w:t>Kluve</w:t>
      </w:r>
      <w:r w:rsidR="00D70D83" w:rsidRPr="00207DC2">
        <w:rPr>
          <w:bCs/>
          <w:lang w:val="en-AU"/>
        </w:rPr>
        <w:t>, J</w:t>
      </w:r>
      <w:r w:rsidR="00C21F99" w:rsidRPr="00207DC2">
        <w:rPr>
          <w:bCs/>
          <w:lang w:val="en-AU"/>
        </w:rPr>
        <w:t>.,</w:t>
      </w:r>
      <w:r w:rsidRPr="00207DC2">
        <w:rPr>
          <w:bCs/>
          <w:lang w:val="en-AU"/>
        </w:rPr>
        <w:t xml:space="preserve"> Rinne, U</w:t>
      </w:r>
      <w:r w:rsidR="00C21F99" w:rsidRPr="00207DC2">
        <w:rPr>
          <w:bCs/>
          <w:lang w:val="en-AU"/>
        </w:rPr>
        <w:t>.,</w:t>
      </w:r>
      <w:r w:rsidRPr="00207DC2">
        <w:rPr>
          <w:bCs/>
          <w:lang w:val="en-AU"/>
        </w:rPr>
        <w:t xml:space="preserve"> Uhlendorff</w:t>
      </w:r>
      <w:r w:rsidR="00D70D83" w:rsidRPr="00207DC2">
        <w:rPr>
          <w:bCs/>
          <w:lang w:val="en-AU"/>
        </w:rPr>
        <w:t>, A</w:t>
      </w:r>
      <w:r w:rsidR="00C21F99" w:rsidRPr="00207DC2">
        <w:rPr>
          <w:bCs/>
          <w:lang w:val="en-AU"/>
        </w:rPr>
        <w:t>.</w:t>
      </w:r>
      <w:r w:rsidRPr="00207DC2">
        <w:rPr>
          <w:bCs/>
          <w:lang w:val="en-AU"/>
        </w:rPr>
        <w:t xml:space="preserve"> and Zhao</w:t>
      </w:r>
      <w:r w:rsidR="009B1384" w:rsidRPr="00207DC2">
        <w:rPr>
          <w:bCs/>
          <w:lang w:val="en-AU"/>
        </w:rPr>
        <w:t>,</w:t>
      </w:r>
      <w:r w:rsidRPr="00207DC2">
        <w:rPr>
          <w:bCs/>
          <w:lang w:val="en-AU"/>
        </w:rPr>
        <w:t xml:space="preserve"> </w:t>
      </w:r>
      <w:r w:rsidR="00D70D83" w:rsidRPr="00207DC2">
        <w:rPr>
          <w:bCs/>
          <w:lang w:val="en-AU"/>
        </w:rPr>
        <w:t>Z</w:t>
      </w:r>
      <w:r w:rsidR="00C21F99" w:rsidRPr="00207DC2">
        <w:rPr>
          <w:bCs/>
          <w:lang w:val="en-AU"/>
        </w:rPr>
        <w:t>.</w:t>
      </w:r>
      <w:r w:rsidR="009B1384" w:rsidRPr="00207DC2">
        <w:rPr>
          <w:bCs/>
          <w:lang w:val="en-AU"/>
        </w:rPr>
        <w:t xml:space="preserve"> </w:t>
      </w:r>
      <w:r w:rsidRPr="00207DC2">
        <w:rPr>
          <w:bCs/>
          <w:lang w:val="en-AU"/>
        </w:rPr>
        <w:t xml:space="preserve">2012, </w:t>
      </w:r>
      <w:r w:rsidRPr="00207DC2">
        <w:rPr>
          <w:bCs/>
          <w:i/>
          <w:lang w:val="en-AU"/>
        </w:rPr>
        <w:t>Endogenous Exit Bias in Training Programs for Unemployed Workers</w:t>
      </w:r>
      <w:r w:rsidRPr="00207DC2">
        <w:rPr>
          <w:bCs/>
          <w:lang w:val="en-AU"/>
        </w:rPr>
        <w:t xml:space="preserve">, Institute for the Study of </w:t>
      </w:r>
      <w:r w:rsidR="00C822E5" w:rsidRPr="00207DC2">
        <w:rPr>
          <w:bCs/>
          <w:lang w:val="en-AU"/>
        </w:rPr>
        <w:t>Labour</w:t>
      </w:r>
      <w:r w:rsidRPr="00207DC2">
        <w:rPr>
          <w:bCs/>
          <w:lang w:val="en-AU"/>
        </w:rPr>
        <w:t>, IZA DP No. 6565.</w:t>
      </w:r>
    </w:p>
    <w:p w14:paraId="3CD51A89" w14:textId="7DDC6D8D" w:rsidR="008B3522" w:rsidRPr="00207DC2" w:rsidRDefault="008B3522" w:rsidP="00DB1139">
      <w:pPr>
        <w:ind w:left="720" w:hanging="720"/>
        <w:jc w:val="both"/>
        <w:rPr>
          <w:lang w:val="en-AU"/>
        </w:rPr>
      </w:pPr>
      <w:r w:rsidRPr="00207DC2">
        <w:rPr>
          <w:lang w:val="en-AU"/>
        </w:rPr>
        <w:t>Richardson</w:t>
      </w:r>
      <w:r w:rsidR="008A2A14" w:rsidRPr="00207DC2">
        <w:rPr>
          <w:lang w:val="en-AU"/>
        </w:rPr>
        <w:t>,</w:t>
      </w:r>
      <w:r w:rsidRPr="00207DC2">
        <w:rPr>
          <w:lang w:val="en-AU"/>
        </w:rPr>
        <w:t xml:space="preserve"> </w:t>
      </w:r>
      <w:r w:rsidR="008A2A14" w:rsidRPr="00207DC2">
        <w:rPr>
          <w:lang w:val="en-AU"/>
        </w:rPr>
        <w:t>L</w:t>
      </w:r>
      <w:r w:rsidR="00C21F99" w:rsidRPr="00207DC2">
        <w:rPr>
          <w:lang w:val="en-AU"/>
        </w:rPr>
        <w:t>.</w:t>
      </w:r>
      <w:r w:rsidR="008A2A14" w:rsidRPr="00207DC2">
        <w:rPr>
          <w:lang w:val="en-AU"/>
        </w:rPr>
        <w:t xml:space="preserve"> </w:t>
      </w:r>
      <w:r w:rsidRPr="00207DC2">
        <w:rPr>
          <w:lang w:val="en-AU"/>
        </w:rPr>
        <w:t xml:space="preserve">2002, ‘Impact of the Mutual Obligation Initiative on the Exit Behaviour of Unemployment Benefit Recipients: The Threat of Additional Activities’, </w:t>
      </w:r>
      <w:r w:rsidRPr="00207DC2">
        <w:rPr>
          <w:i/>
          <w:lang w:val="en-AU"/>
        </w:rPr>
        <w:t xml:space="preserve">The Economic </w:t>
      </w:r>
      <w:r w:rsidRPr="00207DC2">
        <w:rPr>
          <w:lang w:val="en-AU"/>
        </w:rPr>
        <w:t>Record, Vol. 78, No. 243, pp.406-421.</w:t>
      </w:r>
    </w:p>
    <w:p w14:paraId="5667C6B8" w14:textId="1D9EE35C" w:rsidR="008B3522" w:rsidRPr="00207DC2" w:rsidDel="00F904E7" w:rsidRDefault="00D70D83" w:rsidP="00DB1139">
      <w:pPr>
        <w:ind w:left="720" w:hanging="720"/>
        <w:jc w:val="both"/>
        <w:rPr>
          <w:lang w:val="en-AU"/>
        </w:rPr>
      </w:pPr>
      <w:r w:rsidRPr="00207DC2">
        <w:rPr>
          <w:lang w:val="en-AU"/>
        </w:rPr>
        <w:t>Markham, F</w:t>
      </w:r>
      <w:r w:rsidR="00C21F99" w:rsidRPr="00207DC2">
        <w:rPr>
          <w:lang w:val="en-AU"/>
        </w:rPr>
        <w:t>.</w:t>
      </w:r>
      <w:r w:rsidR="008B3522" w:rsidRPr="00207DC2">
        <w:rPr>
          <w:lang w:val="en-AU"/>
        </w:rPr>
        <w:t xml:space="preserve"> 2016, </w:t>
      </w:r>
      <w:r w:rsidR="008B3522" w:rsidRPr="00207DC2">
        <w:rPr>
          <w:i/>
          <w:lang w:val="en-AU"/>
        </w:rPr>
        <w:t>The Open Accessibility and Remoteness Index for Australia</w:t>
      </w:r>
      <w:r w:rsidR="008B3522" w:rsidRPr="00207DC2">
        <w:rPr>
          <w:lang w:val="en-AU"/>
        </w:rPr>
        <w:t>, available at</w:t>
      </w:r>
      <w:r w:rsidR="003F31C7" w:rsidRPr="00207DC2">
        <w:rPr>
          <w:lang w:val="en-AU"/>
        </w:rPr>
        <w:t xml:space="preserve"> </w:t>
      </w:r>
      <w:hyperlink r:id="rId44" w:history="1">
        <w:r w:rsidR="003F31C7" w:rsidRPr="00207DC2">
          <w:rPr>
            <w:rStyle w:val="Hyperlink"/>
            <w:lang w:val="en-AU"/>
          </w:rPr>
          <w:t>https://figshare.com/articles/2001_2006_and_2011_raster_data_The_Open_</w:t>
        </w:r>
        <w:r w:rsidR="003F31C7" w:rsidRPr="00207DC2">
          <w:rPr>
            <w:rStyle w:val="Hyperlink"/>
            <w:lang w:val="en-AU"/>
          </w:rPr>
          <w:br/>
          <w:t>Accessibility_and_Remoteness_Index_for_Australia/1574190</w:t>
        </w:r>
      </w:hyperlink>
      <w:r w:rsidR="008B3522" w:rsidRPr="00207DC2">
        <w:rPr>
          <w:lang w:val="en-AU"/>
        </w:rPr>
        <w:t xml:space="preserve"> (accessed 11 April 2018).</w:t>
      </w:r>
    </w:p>
    <w:p w14:paraId="663F6F96" w14:textId="689C9658" w:rsidR="008B3522" w:rsidRPr="00207DC2" w:rsidRDefault="00D70D83" w:rsidP="00DB1139">
      <w:pPr>
        <w:ind w:left="720" w:hanging="720"/>
        <w:jc w:val="both"/>
        <w:rPr>
          <w:rFonts w:cstheme="minorHAnsi"/>
          <w:lang w:val="en-AU"/>
        </w:rPr>
      </w:pPr>
      <w:r w:rsidRPr="00207DC2">
        <w:rPr>
          <w:rFonts w:cstheme="minorHAnsi"/>
          <w:lang w:val="en-AU"/>
        </w:rPr>
        <w:t>Markham, F</w:t>
      </w:r>
      <w:r w:rsidR="00C21F99" w:rsidRPr="00207DC2">
        <w:rPr>
          <w:rFonts w:cstheme="minorHAnsi"/>
          <w:lang w:val="en-AU"/>
        </w:rPr>
        <w:t>.</w:t>
      </w:r>
      <w:r w:rsidRPr="00207DC2">
        <w:rPr>
          <w:rFonts w:cstheme="minorHAnsi"/>
          <w:lang w:val="en-AU"/>
        </w:rPr>
        <w:t xml:space="preserve"> and Biddle, N</w:t>
      </w:r>
      <w:r w:rsidR="00C21F99" w:rsidRPr="00207DC2">
        <w:rPr>
          <w:rFonts w:cstheme="minorHAnsi"/>
          <w:lang w:val="en-AU"/>
        </w:rPr>
        <w:t>.</w:t>
      </w:r>
      <w:r w:rsidR="008B3522" w:rsidRPr="00207DC2">
        <w:rPr>
          <w:rFonts w:cstheme="minorHAnsi"/>
          <w:lang w:val="en-AU"/>
        </w:rPr>
        <w:t xml:space="preserve"> 2018, </w:t>
      </w:r>
      <w:r w:rsidR="008B3522" w:rsidRPr="00207DC2">
        <w:rPr>
          <w:rFonts w:cstheme="minorHAnsi"/>
          <w:i/>
          <w:lang w:val="en-AU"/>
        </w:rPr>
        <w:t>Income, Poverty and Inequality, 2016 Census Paper No.</w:t>
      </w:r>
      <w:r w:rsidR="00B44B3A" w:rsidRPr="00207DC2">
        <w:rPr>
          <w:rFonts w:cstheme="minorHAnsi"/>
          <w:i/>
          <w:lang w:val="en-AU"/>
        </w:rPr>
        <w:t> </w:t>
      </w:r>
      <w:r w:rsidR="008B3522" w:rsidRPr="00207DC2">
        <w:rPr>
          <w:rFonts w:cstheme="minorHAnsi"/>
          <w:i/>
          <w:lang w:val="en-AU"/>
        </w:rPr>
        <w:t>2</w:t>
      </w:r>
      <w:r w:rsidR="008A2A14" w:rsidRPr="00207DC2">
        <w:rPr>
          <w:rFonts w:cstheme="minorHAnsi"/>
          <w:lang w:val="en-AU"/>
        </w:rPr>
        <w:t>,</w:t>
      </w:r>
      <w:r w:rsidR="008B3522" w:rsidRPr="00207DC2">
        <w:rPr>
          <w:rFonts w:cstheme="minorHAnsi"/>
          <w:lang w:val="en-AU"/>
        </w:rPr>
        <w:t xml:space="preserve"> Centre for Aboriginal and Economic Policy Research, ANU College of Arts and Social Sciences, Australian National University</w:t>
      </w:r>
      <w:r w:rsidR="008A2A14" w:rsidRPr="00207DC2">
        <w:rPr>
          <w:rFonts w:cstheme="minorHAnsi"/>
          <w:lang w:val="en-AU"/>
        </w:rPr>
        <w:t>, Canberra</w:t>
      </w:r>
      <w:r w:rsidR="008B3522" w:rsidRPr="00207DC2">
        <w:rPr>
          <w:rFonts w:cstheme="minorHAnsi"/>
          <w:lang w:val="en-AU"/>
        </w:rPr>
        <w:t>.</w:t>
      </w:r>
    </w:p>
    <w:p w14:paraId="2AA8B92A" w14:textId="555CF28F" w:rsidR="008B3522" w:rsidRPr="00207DC2" w:rsidRDefault="00686CF6" w:rsidP="00DB1139">
      <w:pPr>
        <w:ind w:left="720" w:hanging="720"/>
        <w:jc w:val="both"/>
        <w:rPr>
          <w:bCs/>
          <w:lang w:val="en-AU"/>
        </w:rPr>
      </w:pPr>
      <w:r>
        <w:rPr>
          <w:bCs/>
          <w:lang w:val="en-AU"/>
        </w:rPr>
        <w:t>OECD (</w:t>
      </w:r>
      <w:r w:rsidR="008B3522" w:rsidRPr="00207DC2">
        <w:rPr>
          <w:bCs/>
          <w:lang w:val="en-AU"/>
        </w:rPr>
        <w:t>Organisation for Economic Cooperation and Development)</w:t>
      </w:r>
      <w:r w:rsidR="008B3522" w:rsidRPr="00207DC2">
        <w:rPr>
          <w:lang w:val="en-AU"/>
        </w:rPr>
        <w:t xml:space="preserve"> </w:t>
      </w:r>
      <w:r w:rsidR="008B3522" w:rsidRPr="00207DC2">
        <w:rPr>
          <w:bCs/>
          <w:lang w:val="en-AU"/>
        </w:rPr>
        <w:t xml:space="preserve">2017, </w:t>
      </w:r>
      <w:r w:rsidR="008B3522" w:rsidRPr="00207DC2">
        <w:rPr>
          <w:bCs/>
          <w:i/>
          <w:lang w:val="en-AU"/>
        </w:rPr>
        <w:t>Connecting people with jobs: Key issues for raising labour market participation in Australia</w:t>
      </w:r>
      <w:r w:rsidR="008B3522" w:rsidRPr="00207DC2">
        <w:rPr>
          <w:bCs/>
          <w:lang w:val="en-AU"/>
        </w:rPr>
        <w:t>.</w:t>
      </w:r>
    </w:p>
    <w:p w14:paraId="25D45AC6" w14:textId="1D54FBA3" w:rsidR="008B3522" w:rsidRPr="00207DC2" w:rsidRDefault="00686CF6" w:rsidP="00DB1139">
      <w:pPr>
        <w:ind w:left="720" w:hanging="720"/>
        <w:jc w:val="both"/>
        <w:rPr>
          <w:szCs w:val="20"/>
          <w:lang w:val="en-AU"/>
        </w:rPr>
      </w:pPr>
      <w:r>
        <w:rPr>
          <w:szCs w:val="20"/>
          <w:lang w:val="en-AU"/>
        </w:rPr>
        <w:t>PC (</w:t>
      </w:r>
      <w:r w:rsidR="008B3522" w:rsidRPr="00207DC2">
        <w:rPr>
          <w:szCs w:val="20"/>
          <w:lang w:val="en-AU"/>
        </w:rPr>
        <w:t>Productivity Commission</w:t>
      </w:r>
      <w:r w:rsidR="00C21F99" w:rsidRPr="00207DC2">
        <w:rPr>
          <w:szCs w:val="20"/>
          <w:lang w:val="en-AU"/>
        </w:rPr>
        <w:t>)</w:t>
      </w:r>
      <w:r w:rsidR="008B3522" w:rsidRPr="00207DC2">
        <w:rPr>
          <w:szCs w:val="20"/>
          <w:lang w:val="en-AU"/>
        </w:rPr>
        <w:t xml:space="preserve"> 2017a, </w:t>
      </w:r>
      <w:r w:rsidR="008B3522" w:rsidRPr="00207DC2">
        <w:rPr>
          <w:i/>
          <w:szCs w:val="20"/>
          <w:lang w:val="en-AU"/>
        </w:rPr>
        <w:t>Introducing Competition and Informed User Choice into Human Services: Reforms to Human Services</w:t>
      </w:r>
      <w:r w:rsidR="008B3522" w:rsidRPr="00207DC2">
        <w:rPr>
          <w:szCs w:val="20"/>
          <w:lang w:val="en-AU"/>
        </w:rPr>
        <w:t>, Canberra.</w:t>
      </w:r>
    </w:p>
    <w:p w14:paraId="045AD8B0" w14:textId="53FB48C1" w:rsidR="001C6A6F" w:rsidRPr="00207DC2" w:rsidRDefault="00DA63D0" w:rsidP="00DB1139">
      <w:pPr>
        <w:ind w:left="720" w:hanging="720"/>
        <w:jc w:val="both"/>
        <w:rPr>
          <w:szCs w:val="20"/>
          <w:lang w:val="en-AU"/>
        </w:rPr>
      </w:pPr>
      <w:r w:rsidRPr="00755E8C">
        <w:rPr>
          <w:rFonts w:ascii="TimesNewRoman" w:hAnsi="TimesNewRoman" w:cs="TimesNewRoman"/>
          <w:color w:val="auto"/>
          <w:spacing w:val="0"/>
          <w:szCs w:val="20"/>
          <w:lang w:val="en-AU"/>
        </w:rPr>
        <w:t>——</w:t>
      </w:r>
      <w:r w:rsidRPr="00DA63D0">
        <w:rPr>
          <w:lang w:val="en-AU"/>
        </w:rPr>
        <w:t xml:space="preserve"> </w:t>
      </w:r>
      <w:r w:rsidR="008B3522" w:rsidRPr="00207DC2">
        <w:rPr>
          <w:szCs w:val="20"/>
          <w:lang w:val="en-AU"/>
        </w:rPr>
        <w:t xml:space="preserve">2017b, </w:t>
      </w:r>
      <w:r w:rsidR="008B3522" w:rsidRPr="00207DC2">
        <w:rPr>
          <w:i/>
          <w:szCs w:val="20"/>
          <w:lang w:val="en-AU"/>
        </w:rPr>
        <w:t>National Disability Insurance Scheme (NDIS) Costs</w:t>
      </w:r>
      <w:r w:rsidR="008B3522" w:rsidRPr="00207DC2">
        <w:rPr>
          <w:szCs w:val="20"/>
          <w:lang w:val="en-AU"/>
        </w:rPr>
        <w:t xml:space="preserve">, </w:t>
      </w:r>
      <w:r w:rsidR="008B3522" w:rsidRPr="00207DC2">
        <w:rPr>
          <w:i/>
          <w:szCs w:val="20"/>
          <w:lang w:val="en-AU"/>
        </w:rPr>
        <w:t>Study Report</w:t>
      </w:r>
      <w:r w:rsidR="008B3522" w:rsidRPr="00207DC2">
        <w:rPr>
          <w:szCs w:val="20"/>
          <w:lang w:val="en-AU"/>
        </w:rPr>
        <w:t>, Canberra.</w:t>
      </w:r>
    </w:p>
    <w:p w14:paraId="52823730" w14:textId="2E059277" w:rsidR="001C6A6F" w:rsidRPr="00207DC2" w:rsidRDefault="001C6A6F" w:rsidP="00DB1139">
      <w:pPr>
        <w:ind w:left="720" w:hanging="720"/>
        <w:jc w:val="both"/>
        <w:rPr>
          <w:szCs w:val="20"/>
          <w:lang w:val="en-AU"/>
        </w:rPr>
      </w:pPr>
      <w:r w:rsidRPr="00207DC2">
        <w:rPr>
          <w:szCs w:val="20"/>
          <w:lang w:val="en-AU"/>
        </w:rPr>
        <w:t xml:space="preserve">Sanderson, I. 2002, ‘Making Sense of What Works: Evidence-Based Policy Making as </w:t>
      </w:r>
      <w:r w:rsidR="00C822E5" w:rsidRPr="00207DC2">
        <w:rPr>
          <w:szCs w:val="20"/>
          <w:lang w:val="en-AU"/>
        </w:rPr>
        <w:t>instrumental</w:t>
      </w:r>
      <w:r w:rsidRPr="00207DC2">
        <w:rPr>
          <w:szCs w:val="20"/>
          <w:lang w:val="en-AU"/>
        </w:rPr>
        <w:t xml:space="preserve"> rationality’, </w:t>
      </w:r>
      <w:r w:rsidR="006D1FAE" w:rsidRPr="00207DC2">
        <w:rPr>
          <w:i/>
          <w:szCs w:val="20"/>
          <w:lang w:val="en-AU"/>
        </w:rPr>
        <w:t>Public Policy and Administration</w:t>
      </w:r>
      <w:r w:rsidR="006D1FAE" w:rsidRPr="00207DC2">
        <w:rPr>
          <w:szCs w:val="20"/>
          <w:lang w:val="en-AU"/>
        </w:rPr>
        <w:t>, vol. 17, no. 3, pp. 61-75.</w:t>
      </w:r>
    </w:p>
    <w:p w14:paraId="66347884" w14:textId="0F99D0F1" w:rsidR="009229A0" w:rsidRPr="00207DC2" w:rsidRDefault="008B3522" w:rsidP="00DB1139">
      <w:pPr>
        <w:ind w:left="720" w:hanging="720"/>
        <w:jc w:val="both"/>
        <w:rPr>
          <w:szCs w:val="20"/>
          <w:lang w:val="en-AU"/>
        </w:rPr>
      </w:pPr>
      <w:r w:rsidRPr="00207DC2">
        <w:rPr>
          <w:szCs w:val="20"/>
          <w:lang w:val="en-AU"/>
        </w:rPr>
        <w:t>Social Research Centre</w:t>
      </w:r>
      <w:r w:rsidR="00D70D83" w:rsidRPr="00207DC2">
        <w:rPr>
          <w:szCs w:val="20"/>
          <w:lang w:val="en-AU"/>
        </w:rPr>
        <w:t xml:space="preserve"> 2015,</w:t>
      </w:r>
      <w:r w:rsidRPr="00207DC2">
        <w:rPr>
          <w:szCs w:val="20"/>
          <w:lang w:val="en-AU"/>
        </w:rPr>
        <w:t xml:space="preserve"> </w:t>
      </w:r>
      <w:r w:rsidRPr="00207DC2">
        <w:rPr>
          <w:i/>
          <w:szCs w:val="20"/>
          <w:lang w:val="en-AU"/>
        </w:rPr>
        <w:t>Evaluation of Work for the Dole 2014</w:t>
      </w:r>
      <w:r w:rsidRPr="00207DC2">
        <w:rPr>
          <w:i/>
          <w:szCs w:val="20"/>
          <w:lang w:val="en-AU"/>
        </w:rPr>
        <w:noBreakHyphen/>
        <w:t>15</w:t>
      </w:r>
      <w:r w:rsidR="00D70D83" w:rsidRPr="00207DC2">
        <w:rPr>
          <w:szCs w:val="20"/>
          <w:lang w:val="en-AU"/>
        </w:rPr>
        <w:t>,</w:t>
      </w:r>
      <w:r w:rsidR="008A2A14" w:rsidRPr="00207DC2">
        <w:rPr>
          <w:szCs w:val="20"/>
          <w:lang w:val="en-AU"/>
        </w:rPr>
        <w:t xml:space="preserve"> a</w:t>
      </w:r>
      <w:r w:rsidR="00F95F61" w:rsidRPr="00207DC2">
        <w:rPr>
          <w:szCs w:val="20"/>
          <w:lang w:val="en-AU"/>
        </w:rPr>
        <w:t>vailable at:</w:t>
      </w:r>
      <w:r w:rsidRPr="00207DC2">
        <w:rPr>
          <w:szCs w:val="20"/>
          <w:lang w:val="en-AU"/>
        </w:rPr>
        <w:t xml:space="preserve"> </w:t>
      </w:r>
      <w:hyperlink r:id="rId45" w:history="1">
        <w:r w:rsidR="00F95F61" w:rsidRPr="00207DC2">
          <w:rPr>
            <w:rStyle w:val="Hyperlink"/>
            <w:szCs w:val="20"/>
            <w:lang w:val="en-AU"/>
          </w:rPr>
          <w:t>https://www.jobs.gov.au/evaluation-work-dole-2014-15</w:t>
        </w:r>
      </w:hyperlink>
      <w:r w:rsidR="00CF5DA4" w:rsidRPr="00207DC2">
        <w:rPr>
          <w:szCs w:val="20"/>
          <w:lang w:val="en-AU"/>
        </w:rPr>
        <w:t xml:space="preserve"> </w:t>
      </w:r>
      <w:r w:rsidR="00063481">
        <w:rPr>
          <w:szCs w:val="20"/>
          <w:lang w:val="en-AU"/>
        </w:rPr>
        <w:t>(a</w:t>
      </w:r>
      <w:r w:rsidR="00F95F61" w:rsidRPr="00207DC2">
        <w:rPr>
          <w:szCs w:val="20"/>
          <w:lang w:val="en-AU"/>
        </w:rPr>
        <w:t>ccessed 17 July 2018</w:t>
      </w:r>
      <w:r w:rsidR="00063481">
        <w:rPr>
          <w:szCs w:val="20"/>
          <w:lang w:val="en-AU"/>
        </w:rPr>
        <w:t>)</w:t>
      </w:r>
      <w:r w:rsidRPr="00207DC2">
        <w:rPr>
          <w:szCs w:val="20"/>
          <w:lang w:val="en-AU"/>
        </w:rPr>
        <w:t>.</w:t>
      </w:r>
    </w:p>
    <w:p w14:paraId="060057EB" w14:textId="04271734" w:rsidR="009337A5" w:rsidRPr="00207DC2" w:rsidRDefault="009229A0" w:rsidP="00DB1139">
      <w:pPr>
        <w:ind w:left="720" w:hanging="720"/>
        <w:jc w:val="both"/>
        <w:rPr>
          <w:szCs w:val="20"/>
          <w:lang w:val="en-AU"/>
        </w:rPr>
      </w:pPr>
      <w:r w:rsidRPr="00207DC2">
        <w:rPr>
          <w:szCs w:val="20"/>
          <w:lang w:val="en-AU"/>
        </w:rPr>
        <w:t>Scullion</w:t>
      </w:r>
      <w:r w:rsidR="00D70D83" w:rsidRPr="00207DC2">
        <w:rPr>
          <w:szCs w:val="20"/>
          <w:lang w:val="en-AU"/>
        </w:rPr>
        <w:t>, N</w:t>
      </w:r>
      <w:r w:rsidR="00C21F99" w:rsidRPr="00207DC2">
        <w:rPr>
          <w:szCs w:val="20"/>
          <w:lang w:val="en-AU"/>
        </w:rPr>
        <w:t>.</w:t>
      </w:r>
      <w:r w:rsidRPr="00207DC2">
        <w:rPr>
          <w:szCs w:val="20"/>
          <w:lang w:val="en-AU"/>
        </w:rPr>
        <w:t xml:space="preserve"> 2014, </w:t>
      </w:r>
      <w:r w:rsidR="000B0458" w:rsidRPr="00207DC2">
        <w:rPr>
          <w:i/>
          <w:szCs w:val="20"/>
          <w:lang w:val="en-AU"/>
        </w:rPr>
        <w:t>More opportunities for job seekers in remote communities</w:t>
      </w:r>
      <w:r w:rsidR="000B0458" w:rsidRPr="00207DC2">
        <w:rPr>
          <w:szCs w:val="20"/>
          <w:lang w:val="en-AU"/>
        </w:rPr>
        <w:t>, Media Release from Senator the Hon Nigel Scullion MP, 6</w:t>
      </w:r>
      <w:r w:rsidRPr="00207DC2">
        <w:rPr>
          <w:szCs w:val="20"/>
          <w:lang w:val="en-AU"/>
        </w:rPr>
        <w:t xml:space="preserve"> </w:t>
      </w:r>
      <w:r w:rsidR="000B0458" w:rsidRPr="00207DC2">
        <w:rPr>
          <w:szCs w:val="20"/>
          <w:lang w:val="en-AU"/>
        </w:rPr>
        <w:t xml:space="preserve">December 2014, Department of </w:t>
      </w:r>
      <w:r w:rsidR="00C822E5" w:rsidRPr="00207DC2">
        <w:rPr>
          <w:szCs w:val="20"/>
          <w:lang w:val="en-AU"/>
        </w:rPr>
        <w:t>Prime</w:t>
      </w:r>
      <w:r w:rsidR="000B0458" w:rsidRPr="00207DC2">
        <w:rPr>
          <w:szCs w:val="20"/>
          <w:lang w:val="en-AU"/>
        </w:rPr>
        <w:t xml:space="preserve"> Minister and Cabinet</w:t>
      </w:r>
      <w:r w:rsidRPr="00207DC2">
        <w:rPr>
          <w:szCs w:val="20"/>
          <w:lang w:val="en-AU"/>
        </w:rPr>
        <w:t xml:space="preserve">, </w:t>
      </w:r>
      <w:r w:rsidR="000B0458" w:rsidRPr="00207DC2">
        <w:rPr>
          <w:szCs w:val="20"/>
          <w:lang w:val="en-AU"/>
        </w:rPr>
        <w:t>Canberra.</w:t>
      </w:r>
    </w:p>
    <w:p w14:paraId="56397E6E" w14:textId="77777777" w:rsidR="008B3522" w:rsidRPr="00207DC2" w:rsidRDefault="008B3522" w:rsidP="00DB1139">
      <w:pPr>
        <w:ind w:left="720" w:hanging="720"/>
        <w:jc w:val="both"/>
        <w:rPr>
          <w:szCs w:val="20"/>
          <w:lang w:val="en-AU"/>
        </w:rPr>
      </w:pPr>
      <w:r w:rsidRPr="00207DC2">
        <w:rPr>
          <w:szCs w:val="20"/>
          <w:lang w:val="en-AU"/>
        </w:rPr>
        <w:t xml:space="preserve">Winangali and Ipsos 2018, </w:t>
      </w:r>
      <w:r w:rsidRPr="00207DC2">
        <w:rPr>
          <w:i/>
          <w:lang w:val="en-AU"/>
        </w:rPr>
        <w:t>The Many Pathways of the Community Development Programme: Summary Report from Eight Community Case Studies in Remote Australia</w:t>
      </w:r>
      <w:r w:rsidRPr="00207DC2">
        <w:rPr>
          <w:lang w:val="en-AU"/>
        </w:rPr>
        <w:t>.</w:t>
      </w:r>
    </w:p>
    <w:p w14:paraId="76B4144E" w14:textId="1468F842" w:rsidR="008B3522" w:rsidRPr="00207DC2" w:rsidRDefault="00D70D83" w:rsidP="00DB1139">
      <w:pPr>
        <w:ind w:left="720" w:hanging="720"/>
        <w:jc w:val="both"/>
        <w:rPr>
          <w:bCs/>
          <w:lang w:val="en-AU"/>
        </w:rPr>
      </w:pPr>
      <w:r w:rsidRPr="00207DC2">
        <w:rPr>
          <w:bCs/>
          <w:lang w:val="en-AU"/>
        </w:rPr>
        <w:t>Ziguras, S</w:t>
      </w:r>
      <w:r w:rsidR="00C21F99" w:rsidRPr="00207DC2">
        <w:rPr>
          <w:bCs/>
          <w:lang w:val="en-AU"/>
        </w:rPr>
        <w:t>.</w:t>
      </w:r>
      <w:r w:rsidR="008B3522" w:rsidRPr="00207DC2">
        <w:rPr>
          <w:bCs/>
          <w:lang w:val="en-AU"/>
        </w:rPr>
        <w:t xml:space="preserve"> </w:t>
      </w:r>
      <w:r w:rsidRPr="00207DC2">
        <w:rPr>
          <w:bCs/>
          <w:lang w:val="en-AU"/>
        </w:rPr>
        <w:t>and Kleidon, J</w:t>
      </w:r>
      <w:r w:rsidR="00C21F99" w:rsidRPr="00207DC2">
        <w:rPr>
          <w:bCs/>
          <w:lang w:val="en-AU"/>
        </w:rPr>
        <w:t>.</w:t>
      </w:r>
      <w:r w:rsidR="008B3522" w:rsidRPr="00207DC2">
        <w:rPr>
          <w:bCs/>
          <w:lang w:val="en-AU"/>
        </w:rPr>
        <w:t xml:space="preserve"> 2005, </w:t>
      </w:r>
      <w:r w:rsidR="008B3522" w:rsidRPr="00207DC2">
        <w:rPr>
          <w:bCs/>
          <w:i/>
          <w:lang w:val="en-AU"/>
        </w:rPr>
        <w:t>Innovative community responses in overcoming barriers to unemployment</w:t>
      </w:r>
      <w:r w:rsidR="008B3522" w:rsidRPr="00207DC2">
        <w:rPr>
          <w:bCs/>
          <w:lang w:val="en-AU"/>
        </w:rPr>
        <w:t>. Report prepared for the Department of Victorian Communities, Brotherhood of St Laurence</w:t>
      </w:r>
      <w:r w:rsidR="008A2A14" w:rsidRPr="00207DC2">
        <w:rPr>
          <w:bCs/>
          <w:lang w:val="en-AU"/>
        </w:rPr>
        <w:t>, Melbourne</w:t>
      </w:r>
      <w:r w:rsidR="008B3522" w:rsidRPr="00207DC2">
        <w:rPr>
          <w:bCs/>
          <w:lang w:val="en-AU"/>
        </w:rPr>
        <w:t>.</w:t>
      </w:r>
    </w:p>
    <w:p w14:paraId="757BE613" w14:textId="77777777" w:rsidR="002E1B54" w:rsidRPr="00207DC2" w:rsidRDefault="009A1F07" w:rsidP="00221CB8">
      <w:pPr>
        <w:pStyle w:val="Heading1nonumber"/>
        <w:outlineLvl w:val="1"/>
        <w:rPr>
          <w:lang w:val="en-AU"/>
        </w:rPr>
      </w:pPr>
      <w:bookmarkStart w:id="693" w:name="_Toc518558809"/>
      <w:bookmarkStart w:id="694" w:name="_Toc518565332"/>
      <w:bookmarkStart w:id="695" w:name="_Toc518565576"/>
      <w:bookmarkStart w:id="696" w:name="_Toc519504747"/>
      <w:bookmarkStart w:id="697" w:name="_Toc519505971"/>
      <w:bookmarkStart w:id="698" w:name="_Toc519844077"/>
      <w:bookmarkStart w:id="699" w:name="_Toc521068579"/>
      <w:bookmarkStart w:id="700" w:name="_Toc521391093"/>
      <w:bookmarkStart w:id="701" w:name="_Toc522013262"/>
      <w:bookmarkStart w:id="702" w:name="_Toc534965176"/>
      <w:bookmarkStart w:id="703" w:name="_Toc535935072"/>
      <w:r w:rsidRPr="00207DC2">
        <w:rPr>
          <w:lang w:val="en-AU"/>
        </w:rPr>
        <w:t>Appendix A</w:t>
      </w:r>
      <w:bookmarkEnd w:id="604"/>
      <w:bookmarkEnd w:id="605"/>
      <w:bookmarkEnd w:id="606"/>
      <w:bookmarkEnd w:id="607"/>
      <w:bookmarkEnd w:id="608"/>
      <w:bookmarkEnd w:id="609"/>
      <w:bookmarkEnd w:id="610"/>
      <w:bookmarkEnd w:id="672"/>
      <w:bookmarkEnd w:id="673"/>
      <w:r w:rsidR="00375E8A" w:rsidRPr="00207DC2">
        <w:rPr>
          <w:lang w:val="en-AU"/>
        </w:rPr>
        <w:t xml:space="preserve">: </w:t>
      </w:r>
      <w:bookmarkEnd w:id="674"/>
      <w:bookmarkEnd w:id="675"/>
      <w:bookmarkEnd w:id="676"/>
      <w:bookmarkEnd w:id="677"/>
      <w:bookmarkEnd w:id="678"/>
      <w:bookmarkEnd w:id="679"/>
      <w:r w:rsidR="005F3294" w:rsidRPr="00207DC2">
        <w:rPr>
          <w:lang w:val="en-AU"/>
        </w:rPr>
        <w:t>Additional descriptive t</w:t>
      </w:r>
      <w:r w:rsidR="00C826CE" w:rsidRPr="00207DC2">
        <w:rPr>
          <w:lang w:val="en-AU"/>
        </w:rPr>
        <w:t>ables</w:t>
      </w:r>
      <w:bookmarkEnd w:id="680"/>
      <w:bookmarkEnd w:id="681"/>
      <w:bookmarkEnd w:id="693"/>
      <w:bookmarkEnd w:id="694"/>
      <w:bookmarkEnd w:id="695"/>
      <w:bookmarkEnd w:id="696"/>
      <w:bookmarkEnd w:id="697"/>
      <w:bookmarkEnd w:id="698"/>
      <w:bookmarkEnd w:id="699"/>
      <w:bookmarkEnd w:id="700"/>
      <w:bookmarkEnd w:id="701"/>
      <w:bookmarkEnd w:id="702"/>
      <w:bookmarkEnd w:id="703"/>
    </w:p>
    <w:p w14:paraId="2D365CEA" w14:textId="1AF2B2CD" w:rsidR="0025705E" w:rsidRPr="00207DC2" w:rsidRDefault="0025705E" w:rsidP="00FB626D">
      <w:pPr>
        <w:pStyle w:val="Table"/>
        <w:outlineLvl w:val="9"/>
      </w:pPr>
      <w:bookmarkStart w:id="704" w:name="_Toc509412982"/>
      <w:r w:rsidRPr="00207DC2">
        <w:t xml:space="preserve">Table A.1 Differences between the </w:t>
      </w:r>
      <w:r w:rsidR="00506BF9" w:rsidRPr="00207DC2">
        <w:t>RJCP</w:t>
      </w:r>
      <w:r w:rsidR="00654784" w:rsidRPr="00207DC2">
        <w:t xml:space="preserve"> and </w:t>
      </w:r>
      <w:r w:rsidRPr="00207DC2">
        <w:t xml:space="preserve">the </w:t>
      </w:r>
      <w:bookmarkEnd w:id="704"/>
      <w:r w:rsidR="00506BF9" w:rsidRPr="00207DC2">
        <w:t>CDP</w:t>
      </w:r>
      <w:r w:rsidR="002B61AE" w:rsidRPr="002B61AE">
        <w:rPr>
          <w:vertAlign w:val="superscript"/>
        </w:rPr>
        <w:t>a</w:t>
      </w:r>
    </w:p>
    <w:tbl>
      <w:tblPr>
        <w:tblStyle w:val="TableGrid"/>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Differences between the RJCP and the CDP"/>
        <w:tblDescription w:val="This table compares key differences in participation requirements and funding models between the Remote Jobs and Communities Program and the Community Development Program. "/>
      </w:tblPr>
      <w:tblGrid>
        <w:gridCol w:w="1809"/>
        <w:gridCol w:w="3686"/>
        <w:gridCol w:w="4394"/>
      </w:tblGrid>
      <w:tr w:rsidR="0025705E" w:rsidRPr="00207DC2" w14:paraId="63F43EC2" w14:textId="77777777" w:rsidTr="000A3951">
        <w:trPr>
          <w:tblHeader/>
        </w:trPr>
        <w:tc>
          <w:tcPr>
            <w:tcW w:w="1809" w:type="dxa"/>
            <w:tcBorders>
              <w:top w:val="single" w:sz="4" w:space="0" w:color="auto"/>
              <w:bottom w:val="single" w:sz="4" w:space="0" w:color="auto"/>
            </w:tcBorders>
          </w:tcPr>
          <w:p w14:paraId="19975A25" w14:textId="77777777" w:rsidR="0025705E" w:rsidRPr="00207DC2" w:rsidRDefault="0025705E" w:rsidP="00FB626D">
            <w:pPr>
              <w:pStyle w:val="TableText"/>
              <w:spacing w:before="0" w:after="0"/>
              <w:ind w:left="142" w:right="-108"/>
              <w:rPr>
                <w:b/>
                <w:sz w:val="18"/>
                <w:lang w:val="en-AU"/>
              </w:rPr>
            </w:pPr>
            <w:r w:rsidRPr="00207DC2">
              <w:rPr>
                <w:b/>
                <w:sz w:val="18"/>
                <w:lang w:val="en-AU"/>
              </w:rPr>
              <w:t>Program element</w:t>
            </w:r>
          </w:p>
        </w:tc>
        <w:tc>
          <w:tcPr>
            <w:tcW w:w="3686" w:type="dxa"/>
            <w:tcBorders>
              <w:top w:val="single" w:sz="4" w:space="0" w:color="auto"/>
              <w:bottom w:val="single" w:sz="4" w:space="0" w:color="auto"/>
            </w:tcBorders>
          </w:tcPr>
          <w:p w14:paraId="5E6A0ED0" w14:textId="77777777" w:rsidR="0025705E" w:rsidRPr="00207DC2" w:rsidRDefault="009A6ABC" w:rsidP="00063481">
            <w:pPr>
              <w:pStyle w:val="TableText"/>
              <w:spacing w:before="0" w:after="0"/>
              <w:ind w:left="-108" w:right="0"/>
              <w:jc w:val="center"/>
              <w:rPr>
                <w:b/>
                <w:sz w:val="18"/>
                <w:lang w:val="en-AU"/>
              </w:rPr>
            </w:pPr>
            <w:r w:rsidRPr="00207DC2">
              <w:rPr>
                <w:b/>
                <w:sz w:val="18"/>
                <w:lang w:val="en-AU"/>
              </w:rPr>
              <w:t>RJCP</w:t>
            </w:r>
          </w:p>
        </w:tc>
        <w:tc>
          <w:tcPr>
            <w:tcW w:w="4394" w:type="dxa"/>
            <w:tcBorders>
              <w:top w:val="single" w:sz="4" w:space="0" w:color="auto"/>
              <w:bottom w:val="single" w:sz="4" w:space="0" w:color="auto"/>
            </w:tcBorders>
          </w:tcPr>
          <w:p w14:paraId="25C72572" w14:textId="77777777" w:rsidR="0025705E" w:rsidRPr="00207DC2" w:rsidRDefault="009A6ABC" w:rsidP="00063481">
            <w:pPr>
              <w:pStyle w:val="TableText"/>
              <w:spacing w:before="0" w:after="0"/>
              <w:ind w:left="34" w:right="-108"/>
              <w:jc w:val="center"/>
              <w:rPr>
                <w:b/>
                <w:sz w:val="18"/>
                <w:lang w:val="en-AU"/>
              </w:rPr>
            </w:pPr>
            <w:r w:rsidRPr="00207DC2">
              <w:rPr>
                <w:b/>
                <w:sz w:val="18"/>
                <w:lang w:val="en-AU"/>
              </w:rPr>
              <w:t>CDP</w:t>
            </w:r>
          </w:p>
        </w:tc>
      </w:tr>
      <w:tr w:rsidR="0025705E" w:rsidRPr="00207DC2" w14:paraId="6FD1311C" w14:textId="77777777" w:rsidTr="003942E9">
        <w:tc>
          <w:tcPr>
            <w:tcW w:w="1809" w:type="dxa"/>
            <w:tcBorders>
              <w:top w:val="single" w:sz="4" w:space="0" w:color="auto"/>
              <w:bottom w:val="dashSmallGap" w:sz="4" w:space="0" w:color="auto"/>
            </w:tcBorders>
          </w:tcPr>
          <w:p w14:paraId="2C188918" w14:textId="77777777" w:rsidR="0025705E" w:rsidRPr="00207DC2" w:rsidRDefault="0025705E" w:rsidP="00FB626D">
            <w:pPr>
              <w:pStyle w:val="TableText"/>
              <w:spacing w:before="0" w:after="0"/>
              <w:ind w:left="142" w:right="-108"/>
              <w:rPr>
                <w:sz w:val="18"/>
                <w:lang w:val="en-AU"/>
              </w:rPr>
            </w:pPr>
            <w:r w:rsidRPr="00207DC2">
              <w:rPr>
                <w:sz w:val="18"/>
                <w:lang w:val="en-AU"/>
              </w:rPr>
              <w:t>Participation requirements</w:t>
            </w:r>
          </w:p>
        </w:tc>
        <w:tc>
          <w:tcPr>
            <w:tcW w:w="3686" w:type="dxa"/>
            <w:tcBorders>
              <w:top w:val="single" w:sz="4" w:space="0" w:color="auto"/>
              <w:bottom w:val="dashSmallGap" w:sz="4" w:space="0" w:color="auto"/>
            </w:tcBorders>
          </w:tcPr>
          <w:p w14:paraId="445037C8" w14:textId="77777777" w:rsidR="007A6688" w:rsidRPr="00207DC2" w:rsidRDefault="0025705E" w:rsidP="00063481">
            <w:pPr>
              <w:pStyle w:val="TableText"/>
              <w:spacing w:before="0" w:after="0"/>
              <w:ind w:left="-108" w:right="0"/>
              <w:jc w:val="both"/>
              <w:rPr>
                <w:sz w:val="18"/>
                <w:lang w:val="en-AU"/>
              </w:rPr>
            </w:pPr>
            <w:r w:rsidRPr="00207DC2">
              <w:rPr>
                <w:sz w:val="18"/>
                <w:lang w:val="en-AU"/>
              </w:rPr>
              <w:t xml:space="preserve">Based on capacity assessment, </w:t>
            </w:r>
            <w:r w:rsidR="00312EC2" w:rsidRPr="00207DC2">
              <w:rPr>
                <w:sz w:val="18"/>
                <w:lang w:val="en-AU"/>
              </w:rPr>
              <w:t>those</w:t>
            </w:r>
            <w:r w:rsidRPr="00207DC2">
              <w:rPr>
                <w:sz w:val="18"/>
                <w:lang w:val="en-AU"/>
              </w:rPr>
              <w:t xml:space="preserve"> </w:t>
            </w:r>
            <w:r w:rsidR="00312EC2" w:rsidRPr="00207DC2">
              <w:rPr>
                <w:sz w:val="18"/>
                <w:lang w:val="en-AU"/>
              </w:rPr>
              <w:t xml:space="preserve">aged </w:t>
            </w:r>
            <w:r w:rsidRPr="00207DC2">
              <w:rPr>
                <w:sz w:val="18"/>
                <w:lang w:val="en-AU"/>
              </w:rPr>
              <w:t>between 15 to 65 years participate</w:t>
            </w:r>
            <w:r w:rsidR="00312EC2" w:rsidRPr="00207DC2">
              <w:rPr>
                <w:sz w:val="18"/>
                <w:lang w:val="en-AU"/>
              </w:rPr>
              <w:t xml:space="preserve"> </w:t>
            </w:r>
            <w:r w:rsidRPr="00207DC2">
              <w:rPr>
                <w:sz w:val="18"/>
                <w:lang w:val="en-AU"/>
              </w:rPr>
              <w:t xml:space="preserve">up to </w:t>
            </w:r>
            <w:r w:rsidR="000E6D58" w:rsidRPr="00207DC2">
              <w:rPr>
                <w:sz w:val="18"/>
                <w:lang w:val="en-AU"/>
              </w:rPr>
              <w:t>20</w:t>
            </w:r>
            <w:r w:rsidRPr="00207DC2">
              <w:rPr>
                <w:sz w:val="18"/>
                <w:lang w:val="en-AU"/>
              </w:rPr>
              <w:t xml:space="preserve"> hours per </w:t>
            </w:r>
            <w:r w:rsidR="003E4D28" w:rsidRPr="00207DC2">
              <w:rPr>
                <w:sz w:val="18"/>
                <w:lang w:val="en-AU"/>
              </w:rPr>
              <w:t xml:space="preserve">week </w:t>
            </w:r>
            <w:r w:rsidRPr="00207DC2">
              <w:rPr>
                <w:sz w:val="18"/>
                <w:lang w:val="en-AU"/>
              </w:rPr>
              <w:t>in an activity.</w:t>
            </w:r>
          </w:p>
          <w:p w14:paraId="5478DA3B" w14:textId="77777777" w:rsidR="0025705E" w:rsidRPr="00207DC2" w:rsidRDefault="0025705E" w:rsidP="00063481">
            <w:pPr>
              <w:pStyle w:val="TableText"/>
              <w:spacing w:before="0" w:after="0"/>
              <w:ind w:left="-108" w:right="0"/>
              <w:jc w:val="both"/>
              <w:rPr>
                <w:sz w:val="18"/>
                <w:lang w:val="en-AU"/>
              </w:rPr>
            </w:pPr>
            <w:r w:rsidRPr="00207DC2">
              <w:rPr>
                <w:sz w:val="18"/>
                <w:lang w:val="en-AU"/>
              </w:rPr>
              <w:t>Grandfathered Community Development and Employment Projects (CDEP) participants participate for sufficient hours to earn or be paid the applicable CDEP Wage Rate.</w:t>
            </w:r>
            <w:r w:rsidRPr="00207DC2">
              <w:rPr>
                <w:sz w:val="18"/>
                <w:szCs w:val="18"/>
                <w:vertAlign w:val="superscript"/>
                <w:lang w:val="en-AU"/>
              </w:rPr>
              <w:t xml:space="preserve">a </w:t>
            </w:r>
          </w:p>
        </w:tc>
        <w:tc>
          <w:tcPr>
            <w:tcW w:w="4394" w:type="dxa"/>
            <w:tcBorders>
              <w:top w:val="single" w:sz="4" w:space="0" w:color="auto"/>
              <w:bottom w:val="dashSmallGap" w:sz="4" w:space="0" w:color="auto"/>
            </w:tcBorders>
          </w:tcPr>
          <w:p w14:paraId="3B58FCD3" w14:textId="610AFAA8" w:rsidR="0025705E" w:rsidRPr="00207DC2" w:rsidRDefault="000E6D58" w:rsidP="00063481">
            <w:pPr>
              <w:pStyle w:val="TableText"/>
              <w:spacing w:before="0" w:after="0"/>
              <w:ind w:left="34" w:right="-108"/>
              <w:jc w:val="both"/>
              <w:rPr>
                <w:sz w:val="18"/>
                <w:lang w:val="en-AU"/>
              </w:rPr>
            </w:pPr>
            <w:r w:rsidRPr="00207DC2">
              <w:rPr>
                <w:sz w:val="18"/>
                <w:lang w:val="en-AU"/>
              </w:rPr>
              <w:t>For all those aged 18 to 49 years who are not in work or study, c</w:t>
            </w:r>
            <w:r w:rsidR="0025705E" w:rsidRPr="00207DC2">
              <w:rPr>
                <w:sz w:val="18"/>
                <w:lang w:val="en-AU"/>
              </w:rPr>
              <w:t>ontinuous Work for the Dole up to 25 hours a week</w:t>
            </w:r>
            <w:r w:rsidRPr="00207DC2">
              <w:rPr>
                <w:sz w:val="18"/>
                <w:lang w:val="en-AU"/>
              </w:rPr>
              <w:t xml:space="preserve"> (based on assessed capacity)</w:t>
            </w:r>
            <w:r w:rsidR="0025705E" w:rsidRPr="00207DC2">
              <w:rPr>
                <w:sz w:val="18"/>
                <w:lang w:val="en-AU"/>
              </w:rPr>
              <w:t>, 52 weeks a year, with leave provisions of up to six weeks per year and e</w:t>
            </w:r>
            <w:r w:rsidRPr="00207DC2">
              <w:rPr>
                <w:sz w:val="18"/>
                <w:lang w:val="en-AU"/>
              </w:rPr>
              <w:t>xemptions for cultural business</w:t>
            </w:r>
            <w:r w:rsidR="004B4DAA" w:rsidRPr="00207DC2">
              <w:rPr>
                <w:sz w:val="18"/>
                <w:lang w:val="en-AU"/>
              </w:rPr>
              <w:t>, in a</w:t>
            </w:r>
            <w:r w:rsidR="007101AD">
              <w:rPr>
                <w:sz w:val="18"/>
                <w:lang w:val="en-AU"/>
              </w:rPr>
              <w:t>ddition to in addition to a two-</w:t>
            </w:r>
            <w:r w:rsidR="004B4DAA" w:rsidRPr="00207DC2">
              <w:rPr>
                <w:sz w:val="18"/>
                <w:lang w:val="en-AU"/>
              </w:rPr>
              <w:t>week shut down around Christmas</w:t>
            </w:r>
            <w:r w:rsidR="0025705E" w:rsidRPr="00207DC2">
              <w:rPr>
                <w:sz w:val="18"/>
                <w:lang w:val="en-AU"/>
              </w:rPr>
              <w:t>.</w:t>
            </w:r>
          </w:p>
          <w:p w14:paraId="5FE7FA00" w14:textId="77777777" w:rsidR="000E6D58" w:rsidRPr="00207DC2" w:rsidRDefault="000E6D58" w:rsidP="00063481">
            <w:pPr>
              <w:pStyle w:val="TableText"/>
              <w:spacing w:before="0" w:after="0"/>
              <w:ind w:left="34" w:right="-108"/>
              <w:jc w:val="both"/>
              <w:rPr>
                <w:sz w:val="18"/>
                <w:lang w:val="en-AU"/>
              </w:rPr>
            </w:pPr>
          </w:p>
          <w:p w14:paraId="616EB98D" w14:textId="77777777" w:rsidR="0025705E" w:rsidRPr="00207DC2" w:rsidRDefault="0025705E" w:rsidP="00063481">
            <w:pPr>
              <w:pStyle w:val="TableText"/>
              <w:spacing w:before="0" w:after="0"/>
              <w:ind w:left="34" w:right="-108"/>
              <w:jc w:val="both"/>
              <w:rPr>
                <w:sz w:val="18"/>
                <w:lang w:val="en-AU"/>
              </w:rPr>
            </w:pPr>
            <w:r w:rsidRPr="00207DC2">
              <w:rPr>
                <w:sz w:val="18"/>
                <w:lang w:val="en-AU"/>
              </w:rPr>
              <w:t xml:space="preserve">Those under 23 </w:t>
            </w:r>
            <w:r w:rsidR="004B4DAA" w:rsidRPr="00207DC2">
              <w:rPr>
                <w:sz w:val="18"/>
                <w:lang w:val="en-AU"/>
              </w:rPr>
              <w:t xml:space="preserve">years </w:t>
            </w:r>
            <w:r w:rsidRPr="00207DC2">
              <w:rPr>
                <w:sz w:val="18"/>
                <w:lang w:val="en-AU"/>
              </w:rPr>
              <w:t xml:space="preserve">are encouraged to complete </w:t>
            </w:r>
            <w:r w:rsidR="004B4DAA" w:rsidRPr="00207DC2">
              <w:rPr>
                <w:sz w:val="18"/>
                <w:lang w:val="en-AU"/>
              </w:rPr>
              <w:t>Y</w:t>
            </w:r>
            <w:r w:rsidRPr="00207DC2">
              <w:rPr>
                <w:sz w:val="18"/>
                <w:lang w:val="en-AU"/>
              </w:rPr>
              <w:t>ear 12.</w:t>
            </w:r>
          </w:p>
        </w:tc>
      </w:tr>
      <w:tr w:rsidR="00D5071E" w:rsidRPr="00207DC2" w14:paraId="7B3EC2EC" w14:textId="77777777" w:rsidTr="003942E9">
        <w:tc>
          <w:tcPr>
            <w:tcW w:w="1809" w:type="dxa"/>
            <w:tcBorders>
              <w:top w:val="dashSmallGap" w:sz="4" w:space="0" w:color="auto"/>
              <w:bottom w:val="dashSmallGap" w:sz="4" w:space="0" w:color="auto"/>
            </w:tcBorders>
          </w:tcPr>
          <w:p w14:paraId="4755E5AC" w14:textId="77777777" w:rsidR="00D5071E" w:rsidRPr="00207DC2" w:rsidRDefault="00BF1B05" w:rsidP="00FB626D">
            <w:pPr>
              <w:pStyle w:val="TableText"/>
              <w:spacing w:before="0" w:after="0"/>
              <w:ind w:left="142" w:right="-108"/>
              <w:rPr>
                <w:sz w:val="18"/>
                <w:lang w:val="en-AU"/>
              </w:rPr>
            </w:pPr>
            <w:r w:rsidRPr="00207DC2">
              <w:rPr>
                <w:sz w:val="18"/>
                <w:lang w:val="en-AU"/>
              </w:rPr>
              <w:t>Job search requirements</w:t>
            </w:r>
          </w:p>
        </w:tc>
        <w:tc>
          <w:tcPr>
            <w:tcW w:w="3686" w:type="dxa"/>
            <w:tcBorders>
              <w:top w:val="dashSmallGap" w:sz="4" w:space="0" w:color="auto"/>
              <w:bottom w:val="dashSmallGap" w:sz="4" w:space="0" w:color="auto"/>
            </w:tcBorders>
          </w:tcPr>
          <w:p w14:paraId="4558E3E8" w14:textId="77777777" w:rsidR="00D5071E" w:rsidRPr="00207DC2" w:rsidRDefault="00B924A5" w:rsidP="00063481">
            <w:pPr>
              <w:pStyle w:val="TableText"/>
              <w:spacing w:before="0" w:after="0"/>
              <w:ind w:left="-108" w:right="0"/>
              <w:jc w:val="both"/>
              <w:rPr>
                <w:sz w:val="18"/>
                <w:lang w:val="en-AU"/>
              </w:rPr>
            </w:pPr>
            <w:r w:rsidRPr="00207DC2">
              <w:rPr>
                <w:sz w:val="18"/>
                <w:lang w:val="en-AU"/>
              </w:rPr>
              <w:t>Job search requirement</w:t>
            </w:r>
            <w:r w:rsidR="004B4DAA" w:rsidRPr="00207DC2">
              <w:rPr>
                <w:sz w:val="18"/>
                <w:lang w:val="en-AU"/>
              </w:rPr>
              <w:t>s</w:t>
            </w:r>
            <w:r w:rsidRPr="00207DC2">
              <w:rPr>
                <w:sz w:val="18"/>
                <w:lang w:val="en-AU"/>
              </w:rPr>
              <w:t xml:space="preserve"> determined by providers, taking into account local labour market conditions and participant circumstances. Guidelines specify at least one job search per </w:t>
            </w:r>
            <w:r w:rsidR="00C80905" w:rsidRPr="00207DC2">
              <w:rPr>
                <w:sz w:val="18"/>
                <w:lang w:val="en-AU"/>
              </w:rPr>
              <w:t xml:space="preserve">month must be recorded in </w:t>
            </w:r>
            <w:r w:rsidR="004B4DAA" w:rsidRPr="00207DC2">
              <w:rPr>
                <w:sz w:val="18"/>
                <w:lang w:val="en-AU"/>
              </w:rPr>
              <w:t xml:space="preserve">each </w:t>
            </w:r>
            <w:r w:rsidR="000E6D58" w:rsidRPr="00207DC2">
              <w:rPr>
                <w:sz w:val="18"/>
                <w:lang w:val="en-AU"/>
              </w:rPr>
              <w:t>participant</w:t>
            </w:r>
            <w:r w:rsidR="0012021F" w:rsidRPr="00207DC2">
              <w:rPr>
                <w:sz w:val="18"/>
                <w:lang w:val="en-AU"/>
              </w:rPr>
              <w:t>’</w:t>
            </w:r>
            <w:r w:rsidR="000E6D58" w:rsidRPr="00207DC2">
              <w:rPr>
                <w:sz w:val="18"/>
                <w:lang w:val="en-AU"/>
              </w:rPr>
              <w:t>s</w:t>
            </w:r>
            <w:r w:rsidRPr="00207DC2">
              <w:rPr>
                <w:sz w:val="18"/>
                <w:lang w:val="en-AU"/>
              </w:rPr>
              <w:t xml:space="preserve"> job plan.</w:t>
            </w:r>
          </w:p>
        </w:tc>
        <w:tc>
          <w:tcPr>
            <w:tcW w:w="4394" w:type="dxa"/>
            <w:tcBorders>
              <w:top w:val="dashSmallGap" w:sz="4" w:space="0" w:color="auto"/>
              <w:bottom w:val="dashSmallGap" w:sz="4" w:space="0" w:color="auto"/>
            </w:tcBorders>
          </w:tcPr>
          <w:p w14:paraId="7E2C0EBF" w14:textId="089730D7" w:rsidR="00D5071E" w:rsidRPr="00207DC2" w:rsidRDefault="00D5071E" w:rsidP="00B77FF9">
            <w:pPr>
              <w:pStyle w:val="TableText"/>
              <w:spacing w:before="0" w:after="0"/>
              <w:ind w:left="34" w:right="-108"/>
              <w:jc w:val="both"/>
              <w:rPr>
                <w:sz w:val="18"/>
                <w:lang w:val="en-AU"/>
              </w:rPr>
            </w:pPr>
            <w:r w:rsidRPr="00207DC2">
              <w:rPr>
                <w:sz w:val="18"/>
                <w:szCs w:val="20"/>
                <w:lang w:val="en-AU"/>
              </w:rPr>
              <w:t>Job search requirement</w:t>
            </w:r>
            <w:r w:rsidR="004B4DAA" w:rsidRPr="00207DC2">
              <w:rPr>
                <w:sz w:val="18"/>
                <w:szCs w:val="20"/>
                <w:lang w:val="en-AU"/>
              </w:rPr>
              <w:t>s are</w:t>
            </w:r>
            <w:r w:rsidRPr="00207DC2">
              <w:rPr>
                <w:sz w:val="18"/>
                <w:szCs w:val="20"/>
                <w:lang w:val="en-AU"/>
              </w:rPr>
              <w:t xml:space="preserve"> determined by providers</w:t>
            </w:r>
            <w:r w:rsidR="003E31FC" w:rsidRPr="00207DC2">
              <w:rPr>
                <w:sz w:val="18"/>
                <w:lang w:val="en-AU"/>
              </w:rPr>
              <w:t xml:space="preserve">, taking into account local labour market conditions and participant circumstances. Guidelines </w:t>
            </w:r>
            <w:r w:rsidR="00D029BB" w:rsidRPr="00207DC2">
              <w:rPr>
                <w:sz w:val="18"/>
                <w:lang w:val="en-AU"/>
              </w:rPr>
              <w:t xml:space="preserve">initially </w:t>
            </w:r>
            <w:r w:rsidR="003E31FC" w:rsidRPr="00207DC2">
              <w:rPr>
                <w:sz w:val="18"/>
                <w:lang w:val="en-AU"/>
              </w:rPr>
              <w:t>specif</w:t>
            </w:r>
            <w:r w:rsidR="00D029BB" w:rsidRPr="00207DC2">
              <w:rPr>
                <w:sz w:val="18"/>
                <w:lang w:val="en-AU"/>
              </w:rPr>
              <w:t>ied</w:t>
            </w:r>
            <w:r w:rsidR="003E31FC" w:rsidRPr="00207DC2">
              <w:rPr>
                <w:sz w:val="18"/>
                <w:lang w:val="en-AU"/>
              </w:rPr>
              <w:t xml:space="preserve"> at least one job search per month</w:t>
            </w:r>
            <w:r w:rsidR="001F32F9" w:rsidRPr="00207DC2">
              <w:rPr>
                <w:sz w:val="18"/>
                <w:lang w:val="en-AU"/>
              </w:rPr>
              <w:t xml:space="preserve"> </w:t>
            </w:r>
            <w:r w:rsidR="00C80905" w:rsidRPr="00207DC2">
              <w:rPr>
                <w:sz w:val="18"/>
                <w:lang w:val="en-AU"/>
              </w:rPr>
              <w:t>in</w:t>
            </w:r>
            <w:r w:rsidR="00B924A5" w:rsidRPr="00207DC2">
              <w:rPr>
                <w:sz w:val="18"/>
                <w:lang w:val="en-AU"/>
              </w:rPr>
              <w:t xml:space="preserve"> </w:t>
            </w:r>
            <w:r w:rsidR="004B4DAA" w:rsidRPr="00207DC2">
              <w:rPr>
                <w:sz w:val="18"/>
                <w:lang w:val="en-AU"/>
              </w:rPr>
              <w:t xml:space="preserve">each </w:t>
            </w:r>
            <w:r w:rsidR="00B924A5" w:rsidRPr="00207DC2">
              <w:rPr>
                <w:sz w:val="18"/>
                <w:lang w:val="en-AU"/>
              </w:rPr>
              <w:t>participant</w:t>
            </w:r>
            <w:r w:rsidR="004B4DAA" w:rsidRPr="00207DC2">
              <w:rPr>
                <w:sz w:val="18"/>
                <w:lang w:val="en-AU"/>
              </w:rPr>
              <w:t>’</w:t>
            </w:r>
            <w:r w:rsidR="00B924A5" w:rsidRPr="00207DC2">
              <w:rPr>
                <w:sz w:val="18"/>
                <w:lang w:val="en-AU"/>
              </w:rPr>
              <w:t>s</w:t>
            </w:r>
            <w:r w:rsidR="001F32F9" w:rsidRPr="00207DC2">
              <w:rPr>
                <w:sz w:val="18"/>
                <w:lang w:val="en-AU"/>
              </w:rPr>
              <w:t xml:space="preserve"> job plan</w:t>
            </w:r>
            <w:r w:rsidR="00182441">
              <w:rPr>
                <w:sz w:val="18"/>
                <w:lang w:val="en-AU"/>
              </w:rPr>
              <w:t>. T</w:t>
            </w:r>
            <w:r w:rsidR="00D029BB" w:rsidRPr="00207DC2">
              <w:rPr>
                <w:sz w:val="18"/>
                <w:lang w:val="en-AU"/>
              </w:rPr>
              <w:t xml:space="preserve">his requirement was removed </w:t>
            </w:r>
            <w:r w:rsidR="00B77FF9">
              <w:rPr>
                <w:sz w:val="18"/>
                <w:lang w:val="en-AU"/>
              </w:rPr>
              <w:t xml:space="preserve">in </w:t>
            </w:r>
            <w:r w:rsidR="00D029BB" w:rsidRPr="00207DC2">
              <w:rPr>
                <w:sz w:val="18"/>
                <w:lang w:val="en-AU"/>
              </w:rPr>
              <w:t>April 2018.</w:t>
            </w:r>
          </w:p>
        </w:tc>
      </w:tr>
      <w:tr w:rsidR="0025705E" w:rsidRPr="00207DC2" w14:paraId="3AD7A20F" w14:textId="77777777" w:rsidTr="003942E9">
        <w:tc>
          <w:tcPr>
            <w:tcW w:w="1809" w:type="dxa"/>
            <w:tcBorders>
              <w:top w:val="dashSmallGap" w:sz="4" w:space="0" w:color="auto"/>
              <w:bottom w:val="dashSmallGap" w:sz="4" w:space="0" w:color="auto"/>
            </w:tcBorders>
          </w:tcPr>
          <w:p w14:paraId="31C8DC95" w14:textId="77777777" w:rsidR="0025705E" w:rsidRPr="00207DC2" w:rsidRDefault="0025705E" w:rsidP="00FB626D">
            <w:pPr>
              <w:pStyle w:val="TableText"/>
              <w:spacing w:before="0" w:after="0"/>
              <w:ind w:left="142" w:right="-108"/>
              <w:rPr>
                <w:sz w:val="18"/>
                <w:lang w:val="en-AU"/>
              </w:rPr>
            </w:pPr>
            <w:r w:rsidRPr="00207DC2">
              <w:rPr>
                <w:sz w:val="18"/>
                <w:lang w:val="en-AU"/>
              </w:rPr>
              <w:t>Participation activities</w:t>
            </w:r>
          </w:p>
        </w:tc>
        <w:tc>
          <w:tcPr>
            <w:tcW w:w="3686" w:type="dxa"/>
            <w:tcBorders>
              <w:top w:val="dashSmallGap" w:sz="4" w:space="0" w:color="auto"/>
              <w:bottom w:val="dashSmallGap" w:sz="4" w:space="0" w:color="auto"/>
            </w:tcBorders>
          </w:tcPr>
          <w:p w14:paraId="01C31BEC" w14:textId="77777777" w:rsidR="0025705E" w:rsidRPr="00207DC2" w:rsidRDefault="0025705E" w:rsidP="00063481">
            <w:pPr>
              <w:pStyle w:val="TableText"/>
              <w:spacing w:before="0" w:after="0"/>
              <w:ind w:left="-108" w:right="0"/>
              <w:jc w:val="both"/>
              <w:rPr>
                <w:sz w:val="18"/>
                <w:lang w:val="en-AU"/>
              </w:rPr>
            </w:pPr>
            <w:r w:rsidRPr="00207DC2">
              <w:rPr>
                <w:sz w:val="18"/>
                <w:lang w:val="en-AU"/>
              </w:rPr>
              <w:t xml:space="preserve">Provider discretion for </w:t>
            </w:r>
            <w:r w:rsidR="00312EC2" w:rsidRPr="00207DC2">
              <w:rPr>
                <w:sz w:val="18"/>
                <w:lang w:val="en-AU"/>
              </w:rPr>
              <w:t>participants</w:t>
            </w:r>
            <w:r w:rsidRPr="00207DC2">
              <w:rPr>
                <w:sz w:val="18"/>
                <w:lang w:val="en-AU"/>
              </w:rPr>
              <w:t xml:space="preserve"> to participate in work-like and community activities and training to fulfil their mutual obligation requirements.</w:t>
            </w:r>
          </w:p>
        </w:tc>
        <w:tc>
          <w:tcPr>
            <w:tcW w:w="4394" w:type="dxa"/>
            <w:tcBorders>
              <w:top w:val="dashSmallGap" w:sz="4" w:space="0" w:color="auto"/>
              <w:bottom w:val="dashSmallGap" w:sz="4" w:space="0" w:color="auto"/>
            </w:tcBorders>
          </w:tcPr>
          <w:p w14:paraId="3512CD67" w14:textId="77777777" w:rsidR="00F136F2" w:rsidRPr="00207DC2" w:rsidRDefault="004B4DAA" w:rsidP="00063481">
            <w:pPr>
              <w:pStyle w:val="TableText"/>
              <w:spacing w:before="0" w:after="0"/>
              <w:ind w:left="34" w:right="-108"/>
              <w:jc w:val="both"/>
              <w:rPr>
                <w:sz w:val="18"/>
                <w:lang w:val="en-AU"/>
              </w:rPr>
            </w:pPr>
            <w:r w:rsidRPr="00207DC2">
              <w:rPr>
                <w:sz w:val="18"/>
                <w:lang w:val="en-AU"/>
              </w:rPr>
              <w:t>Tho</w:t>
            </w:r>
            <w:r w:rsidR="0025705E" w:rsidRPr="00207DC2">
              <w:rPr>
                <w:sz w:val="18"/>
                <w:lang w:val="en-AU"/>
              </w:rPr>
              <w:t xml:space="preserve">se </w:t>
            </w:r>
            <w:r w:rsidRPr="00207DC2">
              <w:rPr>
                <w:sz w:val="18"/>
                <w:lang w:val="en-AU"/>
              </w:rPr>
              <w:t xml:space="preserve">aged 18 to 49 years who are not in work or study are </w:t>
            </w:r>
            <w:r w:rsidR="0025705E" w:rsidRPr="00207DC2">
              <w:rPr>
                <w:sz w:val="18"/>
                <w:lang w:val="en-AU"/>
              </w:rPr>
              <w:t>required to participate in Work for the Dole</w:t>
            </w:r>
            <w:r w:rsidR="0089698F" w:rsidRPr="00207DC2">
              <w:rPr>
                <w:sz w:val="18"/>
                <w:lang w:val="en-AU"/>
              </w:rPr>
              <w:t xml:space="preserve"> </w:t>
            </w:r>
            <w:r w:rsidR="0025705E" w:rsidRPr="00207DC2">
              <w:rPr>
                <w:sz w:val="18"/>
                <w:lang w:val="en-AU"/>
              </w:rPr>
              <w:t xml:space="preserve">Activities. </w:t>
            </w:r>
          </w:p>
          <w:p w14:paraId="2D5EC9C1" w14:textId="710B0220" w:rsidR="00F136F2" w:rsidRPr="00207DC2" w:rsidRDefault="0012021F" w:rsidP="00063481">
            <w:pPr>
              <w:pStyle w:val="TableText"/>
              <w:spacing w:before="0" w:after="0"/>
              <w:ind w:left="34" w:right="-108"/>
              <w:jc w:val="both"/>
              <w:rPr>
                <w:sz w:val="18"/>
                <w:lang w:val="en-AU"/>
              </w:rPr>
            </w:pPr>
            <w:r w:rsidRPr="00207DC2">
              <w:rPr>
                <w:sz w:val="18"/>
                <w:lang w:val="en-AU"/>
              </w:rPr>
              <w:t xml:space="preserve">Other </w:t>
            </w:r>
            <w:r w:rsidR="00903A7A">
              <w:rPr>
                <w:sz w:val="18"/>
                <w:lang w:val="en-AU"/>
              </w:rPr>
              <w:t>activity-tested</w:t>
            </w:r>
            <w:r w:rsidR="0025705E" w:rsidRPr="00207DC2">
              <w:rPr>
                <w:sz w:val="18"/>
                <w:lang w:val="en-AU"/>
              </w:rPr>
              <w:t xml:space="preserve"> participants can volunteer for Work for the Dole or meet their mutual obligations requirement through other approved activities.</w:t>
            </w:r>
          </w:p>
          <w:p w14:paraId="286EB9B8" w14:textId="77777777" w:rsidR="0025705E" w:rsidRPr="00207DC2" w:rsidRDefault="00F136F2" w:rsidP="00063481">
            <w:pPr>
              <w:pStyle w:val="TableText"/>
              <w:spacing w:before="0" w:after="0"/>
              <w:ind w:left="34" w:right="-108"/>
              <w:jc w:val="both"/>
              <w:rPr>
                <w:sz w:val="18"/>
                <w:lang w:val="en-AU"/>
              </w:rPr>
            </w:pPr>
            <w:r w:rsidRPr="00207DC2">
              <w:rPr>
                <w:sz w:val="18"/>
                <w:szCs w:val="20"/>
                <w:lang w:val="en-AU"/>
              </w:rPr>
              <w:t>Tighter rules for the provision of training and education</w:t>
            </w:r>
            <w:r w:rsidR="004B4DAA" w:rsidRPr="00207DC2">
              <w:rPr>
                <w:sz w:val="18"/>
                <w:szCs w:val="20"/>
                <w:lang w:val="en-AU"/>
              </w:rPr>
              <w:t xml:space="preserve"> </w:t>
            </w:r>
          </w:p>
        </w:tc>
      </w:tr>
      <w:tr w:rsidR="0025705E" w:rsidRPr="00207DC2" w14:paraId="6E74AD46" w14:textId="77777777" w:rsidTr="003942E9">
        <w:tc>
          <w:tcPr>
            <w:tcW w:w="1809" w:type="dxa"/>
            <w:tcBorders>
              <w:top w:val="dashSmallGap" w:sz="4" w:space="0" w:color="auto"/>
              <w:bottom w:val="dashSmallGap" w:sz="4" w:space="0" w:color="auto"/>
            </w:tcBorders>
          </w:tcPr>
          <w:p w14:paraId="7D70E799" w14:textId="77777777" w:rsidR="0025705E" w:rsidRPr="00207DC2" w:rsidRDefault="0025705E" w:rsidP="00FB626D">
            <w:pPr>
              <w:pStyle w:val="TableText"/>
              <w:spacing w:before="0" w:after="0"/>
              <w:ind w:left="142" w:right="-108"/>
              <w:rPr>
                <w:sz w:val="18"/>
                <w:lang w:val="en-AU"/>
              </w:rPr>
            </w:pPr>
            <w:r w:rsidRPr="00207DC2">
              <w:rPr>
                <w:sz w:val="18"/>
                <w:lang w:val="en-AU"/>
              </w:rPr>
              <w:t>Payment model</w:t>
            </w:r>
            <w:r w:rsidRPr="00207DC2">
              <w:rPr>
                <w:sz w:val="18"/>
                <w:szCs w:val="18"/>
                <w:vertAlign w:val="superscript"/>
                <w:lang w:val="en-AU"/>
              </w:rPr>
              <w:t xml:space="preserve"> </w:t>
            </w:r>
          </w:p>
        </w:tc>
        <w:tc>
          <w:tcPr>
            <w:tcW w:w="3686" w:type="dxa"/>
            <w:tcBorders>
              <w:top w:val="dashSmallGap" w:sz="4" w:space="0" w:color="auto"/>
              <w:bottom w:val="dashSmallGap" w:sz="4" w:space="0" w:color="auto"/>
            </w:tcBorders>
          </w:tcPr>
          <w:p w14:paraId="6F71C3BA" w14:textId="77777777" w:rsidR="0025705E" w:rsidRPr="00207DC2" w:rsidRDefault="0025705E" w:rsidP="00063481">
            <w:pPr>
              <w:pStyle w:val="TableText"/>
              <w:spacing w:before="0" w:after="0"/>
              <w:ind w:left="-108" w:right="0"/>
              <w:jc w:val="both"/>
              <w:rPr>
                <w:sz w:val="18"/>
                <w:lang w:val="en-AU"/>
              </w:rPr>
            </w:pPr>
            <w:r w:rsidRPr="00207DC2">
              <w:rPr>
                <w:sz w:val="18"/>
                <w:lang w:val="en-AU"/>
              </w:rPr>
              <w:t>More than a dozen different provider payments including for: delivery of activities; education outcomes; job placements; and employment outcomes.</w:t>
            </w:r>
          </w:p>
          <w:p w14:paraId="7A6EAD2E" w14:textId="77777777" w:rsidR="0025705E" w:rsidRPr="00207DC2" w:rsidRDefault="0025705E" w:rsidP="00063481">
            <w:pPr>
              <w:pStyle w:val="TableText"/>
              <w:spacing w:before="0" w:after="0"/>
              <w:ind w:left="-108" w:right="0"/>
              <w:jc w:val="both"/>
              <w:rPr>
                <w:sz w:val="18"/>
                <w:lang w:val="en-AU"/>
              </w:rPr>
            </w:pPr>
            <w:r w:rsidRPr="00207DC2">
              <w:rPr>
                <w:sz w:val="18"/>
                <w:lang w:val="en-AU"/>
              </w:rPr>
              <w:t xml:space="preserve">Providers also had access to a Participation Account for selected ancillary payments to assist </w:t>
            </w:r>
            <w:r w:rsidR="00312EC2" w:rsidRPr="00207DC2">
              <w:rPr>
                <w:sz w:val="18"/>
                <w:lang w:val="en-AU"/>
              </w:rPr>
              <w:t>participants</w:t>
            </w:r>
            <w:r w:rsidRPr="00207DC2">
              <w:rPr>
                <w:sz w:val="18"/>
                <w:lang w:val="en-AU"/>
              </w:rPr>
              <w:t>, for example, to purchase clothing, equipment and for training.</w:t>
            </w:r>
          </w:p>
        </w:tc>
        <w:tc>
          <w:tcPr>
            <w:tcW w:w="4394" w:type="dxa"/>
            <w:tcBorders>
              <w:top w:val="dashSmallGap" w:sz="4" w:space="0" w:color="auto"/>
              <w:bottom w:val="dashSmallGap" w:sz="4" w:space="0" w:color="auto"/>
            </w:tcBorders>
          </w:tcPr>
          <w:p w14:paraId="02F6AC3C" w14:textId="1A64863A" w:rsidR="007A6688" w:rsidRPr="00207DC2" w:rsidRDefault="007A6688" w:rsidP="00063481">
            <w:pPr>
              <w:pStyle w:val="TableText"/>
              <w:spacing w:before="0" w:after="0"/>
              <w:ind w:left="34" w:right="-108"/>
              <w:jc w:val="both"/>
              <w:rPr>
                <w:sz w:val="18"/>
                <w:lang w:val="en-AU"/>
              </w:rPr>
            </w:pPr>
            <w:r w:rsidRPr="00207DC2">
              <w:rPr>
                <w:sz w:val="18"/>
                <w:lang w:val="en-AU"/>
              </w:rPr>
              <w:t>Providers can receive payments for delivering Basic Services,</w:t>
            </w:r>
            <w:r w:rsidR="0025705E" w:rsidRPr="00207DC2">
              <w:rPr>
                <w:sz w:val="18"/>
                <w:lang w:val="en-AU"/>
              </w:rPr>
              <w:t xml:space="preserve"> Work for the Dole activities; and achieving</w:t>
            </w:r>
            <w:r w:rsidRPr="00207DC2">
              <w:rPr>
                <w:sz w:val="18"/>
                <w:lang w:val="en-AU"/>
              </w:rPr>
              <w:t xml:space="preserve"> employment outcom</w:t>
            </w:r>
            <w:r w:rsidR="007101AD">
              <w:rPr>
                <w:sz w:val="18"/>
                <w:lang w:val="en-AU"/>
              </w:rPr>
              <w:t>es (more heavily weighted to 26-</w:t>
            </w:r>
            <w:r w:rsidR="0012021F" w:rsidRPr="00207DC2">
              <w:rPr>
                <w:sz w:val="18"/>
                <w:lang w:val="en-AU"/>
              </w:rPr>
              <w:t>week</w:t>
            </w:r>
            <w:r w:rsidRPr="00207DC2">
              <w:rPr>
                <w:sz w:val="18"/>
                <w:lang w:val="en-AU"/>
              </w:rPr>
              <w:t xml:space="preserve"> outcomes)</w:t>
            </w:r>
            <w:r w:rsidR="0025705E" w:rsidRPr="00207DC2">
              <w:rPr>
                <w:sz w:val="18"/>
                <w:lang w:val="en-AU"/>
              </w:rPr>
              <w:t>.</w:t>
            </w:r>
            <w:r w:rsidRPr="00207DC2">
              <w:rPr>
                <w:sz w:val="18"/>
                <w:lang w:val="en-AU"/>
              </w:rPr>
              <w:t xml:space="preserve"> Payments linked to participant </w:t>
            </w:r>
            <w:r w:rsidR="00956048" w:rsidRPr="00207DC2">
              <w:rPr>
                <w:sz w:val="18"/>
                <w:lang w:val="en-AU"/>
              </w:rPr>
              <w:t xml:space="preserve">attendance </w:t>
            </w:r>
            <w:r w:rsidRPr="00207DC2">
              <w:rPr>
                <w:sz w:val="18"/>
                <w:lang w:val="en-AU"/>
              </w:rPr>
              <w:t>and providers’ efforts to follow</w:t>
            </w:r>
            <w:r w:rsidRPr="00207DC2">
              <w:rPr>
                <w:sz w:val="18"/>
                <w:lang w:val="en-AU"/>
              </w:rPr>
              <w:noBreakHyphen/>
              <w:t>up with the participant.</w:t>
            </w:r>
          </w:p>
          <w:p w14:paraId="4C3A2A46" w14:textId="03DBE205" w:rsidR="0025705E" w:rsidRPr="00207DC2" w:rsidRDefault="0025705E" w:rsidP="00063481">
            <w:pPr>
              <w:pStyle w:val="TableText"/>
              <w:spacing w:before="0" w:after="0"/>
              <w:ind w:left="34" w:right="-108"/>
              <w:jc w:val="both"/>
              <w:rPr>
                <w:sz w:val="18"/>
                <w:lang w:val="en-AU"/>
              </w:rPr>
            </w:pPr>
            <w:r w:rsidRPr="00207DC2">
              <w:rPr>
                <w:sz w:val="18"/>
                <w:lang w:val="en-AU"/>
              </w:rPr>
              <w:t xml:space="preserve">Employers can receive an </w:t>
            </w:r>
            <w:r w:rsidRPr="00207DC2">
              <w:rPr>
                <w:i/>
                <w:sz w:val="18"/>
                <w:lang w:val="en-AU"/>
              </w:rPr>
              <w:t>Employer Incentive Payment</w:t>
            </w:r>
            <w:r w:rsidR="00967F95" w:rsidRPr="00207DC2">
              <w:rPr>
                <w:sz w:val="18"/>
                <w:lang w:val="en-AU"/>
              </w:rPr>
              <w:t xml:space="preserve"> for employing a participant for 26</w:t>
            </w:r>
            <w:r w:rsidR="006E69F8" w:rsidRPr="00207DC2">
              <w:rPr>
                <w:sz w:val="18"/>
                <w:lang w:val="en-AU"/>
              </w:rPr>
              <w:t> </w:t>
            </w:r>
            <w:r w:rsidR="00967F95" w:rsidRPr="00207DC2">
              <w:rPr>
                <w:sz w:val="18"/>
                <w:lang w:val="en-AU"/>
              </w:rPr>
              <w:t>weeks</w:t>
            </w:r>
            <w:r w:rsidRPr="00207DC2">
              <w:rPr>
                <w:sz w:val="18"/>
                <w:lang w:val="en-AU"/>
              </w:rPr>
              <w:t>.</w:t>
            </w:r>
          </w:p>
        </w:tc>
      </w:tr>
      <w:tr w:rsidR="0025705E" w:rsidRPr="00207DC2" w14:paraId="589500CD" w14:textId="77777777" w:rsidTr="003942E9">
        <w:tc>
          <w:tcPr>
            <w:tcW w:w="1809" w:type="dxa"/>
            <w:tcBorders>
              <w:top w:val="dashSmallGap" w:sz="4" w:space="0" w:color="auto"/>
              <w:bottom w:val="single" w:sz="8" w:space="0" w:color="auto"/>
            </w:tcBorders>
          </w:tcPr>
          <w:p w14:paraId="0D285237" w14:textId="77777777" w:rsidR="0025705E" w:rsidRPr="00207DC2" w:rsidRDefault="0025705E" w:rsidP="00FB626D">
            <w:pPr>
              <w:pStyle w:val="TableText"/>
              <w:spacing w:before="0" w:after="0"/>
              <w:ind w:left="142" w:right="-108"/>
              <w:rPr>
                <w:sz w:val="18"/>
                <w:lang w:val="en-AU"/>
              </w:rPr>
            </w:pPr>
            <w:r w:rsidRPr="00207DC2">
              <w:rPr>
                <w:sz w:val="18"/>
                <w:lang w:val="en-AU"/>
              </w:rPr>
              <w:t>Additional funding</w:t>
            </w:r>
          </w:p>
        </w:tc>
        <w:tc>
          <w:tcPr>
            <w:tcW w:w="3686" w:type="dxa"/>
            <w:tcBorders>
              <w:top w:val="dashSmallGap" w:sz="4" w:space="0" w:color="auto"/>
              <w:bottom w:val="single" w:sz="8" w:space="0" w:color="auto"/>
            </w:tcBorders>
          </w:tcPr>
          <w:p w14:paraId="5EE6BE27" w14:textId="77777777" w:rsidR="0025705E" w:rsidRPr="00207DC2" w:rsidRDefault="0025705E" w:rsidP="00063481">
            <w:pPr>
              <w:pStyle w:val="TableText"/>
              <w:spacing w:before="0" w:after="0"/>
              <w:ind w:left="-108" w:right="0"/>
              <w:jc w:val="both"/>
              <w:rPr>
                <w:sz w:val="18"/>
                <w:lang w:val="en-AU"/>
              </w:rPr>
            </w:pPr>
            <w:r w:rsidRPr="00207DC2">
              <w:rPr>
                <w:i/>
                <w:sz w:val="18"/>
                <w:lang w:val="en-AU"/>
              </w:rPr>
              <w:t>Community Development Fund</w:t>
            </w:r>
            <w:r w:rsidRPr="00207DC2">
              <w:rPr>
                <w:sz w:val="18"/>
                <w:lang w:val="en-AU"/>
              </w:rPr>
              <w:t xml:space="preserve"> ($237.5 million over five years) projects to support soc</w:t>
            </w:r>
            <w:r w:rsidR="00312EC2" w:rsidRPr="00207DC2">
              <w:rPr>
                <w:sz w:val="18"/>
                <w:lang w:val="en-AU"/>
              </w:rPr>
              <w:t>ial and economic participation</w:t>
            </w:r>
            <w:r w:rsidRPr="00207DC2">
              <w:rPr>
                <w:sz w:val="18"/>
                <w:lang w:val="en-AU"/>
              </w:rPr>
              <w:t xml:space="preserve"> including participation in work-like activities and job opportunities.</w:t>
            </w:r>
          </w:p>
        </w:tc>
        <w:tc>
          <w:tcPr>
            <w:tcW w:w="4394" w:type="dxa"/>
            <w:tcBorders>
              <w:top w:val="dashSmallGap" w:sz="4" w:space="0" w:color="auto"/>
              <w:bottom w:val="single" w:sz="8" w:space="0" w:color="auto"/>
            </w:tcBorders>
          </w:tcPr>
          <w:p w14:paraId="5519C485" w14:textId="77777777" w:rsidR="0025705E" w:rsidRPr="00207DC2" w:rsidRDefault="0025705E" w:rsidP="00063481">
            <w:pPr>
              <w:pStyle w:val="TableText"/>
              <w:spacing w:before="0" w:after="0"/>
              <w:ind w:left="34" w:right="-108"/>
              <w:jc w:val="both"/>
              <w:rPr>
                <w:sz w:val="18"/>
                <w:lang w:val="en-AU"/>
              </w:rPr>
            </w:pPr>
            <w:r w:rsidRPr="00207DC2">
              <w:rPr>
                <w:sz w:val="18"/>
                <w:lang w:val="en-AU"/>
              </w:rPr>
              <w:t xml:space="preserve">Annual grants of up to $25 million for </w:t>
            </w:r>
            <w:r w:rsidRPr="00207DC2">
              <w:rPr>
                <w:i/>
                <w:sz w:val="18"/>
                <w:lang w:val="en-AU"/>
              </w:rPr>
              <w:t>Indigenous Enterprise Development</w:t>
            </w:r>
            <w:r w:rsidRPr="00207DC2">
              <w:rPr>
                <w:sz w:val="18"/>
                <w:lang w:val="en-AU"/>
              </w:rPr>
              <w:t xml:space="preserve"> remote projects to establish enterprises that benefit communities and create opportunities for </w:t>
            </w:r>
            <w:r w:rsidR="00312EC2" w:rsidRPr="00207DC2">
              <w:rPr>
                <w:sz w:val="18"/>
                <w:lang w:val="en-AU"/>
              </w:rPr>
              <w:t>participants</w:t>
            </w:r>
            <w:r w:rsidRPr="00207DC2">
              <w:rPr>
                <w:sz w:val="18"/>
                <w:lang w:val="en-AU"/>
              </w:rPr>
              <w:t xml:space="preserve"> to satisfy their mutual obligation requirements in a business environment.</w:t>
            </w:r>
          </w:p>
        </w:tc>
      </w:tr>
    </w:tbl>
    <w:p w14:paraId="674C942F" w14:textId="77777777" w:rsidR="00DF7D3E" w:rsidRPr="00207DC2" w:rsidRDefault="00660C3D" w:rsidP="00FB626D">
      <w:pPr>
        <w:pStyle w:val="tablenotes"/>
      </w:pPr>
      <w:r w:rsidRPr="00207DC2">
        <w:rPr>
          <w:i/>
        </w:rPr>
        <w:t>Source:</w:t>
      </w:r>
      <w:r w:rsidRPr="00207DC2">
        <w:t xml:space="preserve"> </w:t>
      </w:r>
      <w:r w:rsidR="0057565A" w:rsidRPr="00207DC2">
        <w:t>PMC</w:t>
      </w:r>
      <w:r w:rsidR="00D029BB" w:rsidRPr="00207DC2">
        <w:t xml:space="preserve"> 2018a, </w:t>
      </w:r>
      <w:r w:rsidR="0057565A" w:rsidRPr="00207DC2">
        <w:t>PMC</w:t>
      </w:r>
      <w:r w:rsidR="00D029BB" w:rsidRPr="00207DC2">
        <w:t xml:space="preserve"> 2018b, </w:t>
      </w:r>
      <w:r w:rsidR="0057565A" w:rsidRPr="00207DC2">
        <w:t>PMC</w:t>
      </w:r>
      <w:r w:rsidR="00C064D6" w:rsidRPr="00207DC2">
        <w:t xml:space="preserve"> 2016, </w:t>
      </w:r>
      <w:r w:rsidR="0057565A" w:rsidRPr="00207DC2">
        <w:t>PMC</w:t>
      </w:r>
      <w:r w:rsidR="00C064D6" w:rsidRPr="00207DC2">
        <w:t xml:space="preserve"> 2014 and PMC 2014b</w:t>
      </w:r>
      <w:r w:rsidR="007A71A2" w:rsidRPr="00207DC2">
        <w:t xml:space="preserve">. </w:t>
      </w:r>
    </w:p>
    <w:p w14:paraId="7FDDB57F" w14:textId="77777777" w:rsidR="0025705E" w:rsidRPr="00207DC2" w:rsidRDefault="009A6ABC" w:rsidP="00FB626D">
      <w:pPr>
        <w:pStyle w:val="tablenotes"/>
      </w:pPr>
      <w:r w:rsidRPr="00207DC2">
        <w:rPr>
          <w:i/>
        </w:rPr>
        <w:t>Notes:</w:t>
      </w:r>
      <w:r w:rsidR="003F31C7" w:rsidRPr="00207DC2">
        <w:rPr>
          <w:szCs w:val="18"/>
          <w:vertAlign w:val="superscript"/>
        </w:rPr>
        <w:t xml:space="preserve"> </w:t>
      </w:r>
      <w:r w:rsidR="00D743A2" w:rsidRPr="00207DC2">
        <w:t>(a)</w:t>
      </w:r>
      <w:r w:rsidR="003F31C7" w:rsidRPr="00207DC2">
        <w:t xml:space="preserve"> </w:t>
      </w:r>
      <w:r w:rsidR="0025705E" w:rsidRPr="00207DC2">
        <w:t>Under</w:t>
      </w:r>
      <w:r w:rsidR="00663047" w:rsidRPr="00207DC2">
        <w:t xml:space="preserve"> the</w:t>
      </w:r>
      <w:r w:rsidR="0025705E" w:rsidRPr="00207DC2">
        <w:t xml:space="preserve"> CDEP, participants received a payment for participating in Remote Employment and Part</w:t>
      </w:r>
      <w:r w:rsidR="007A6688" w:rsidRPr="00207DC2">
        <w:t>icipation Activities. The CDEP wage r</w:t>
      </w:r>
      <w:r w:rsidR="0025705E" w:rsidRPr="00207DC2">
        <w:t>ate at 1 July 2013 was $217.71 (GST exclusive) per week for a CDEP Youth Participant and $287.57 (GST exclusive) for all other CDEP Scheme Participants.</w:t>
      </w:r>
    </w:p>
    <w:p w14:paraId="7788D4F3" w14:textId="77777777" w:rsidR="001B5340" w:rsidRPr="00207DC2" w:rsidRDefault="001B5340" w:rsidP="00FB626D">
      <w:pPr>
        <w:rPr>
          <w:lang w:val="en-AU"/>
        </w:rPr>
      </w:pPr>
    </w:p>
    <w:p w14:paraId="575E6C61" w14:textId="77777777" w:rsidR="00F136F2" w:rsidRPr="00207DC2" w:rsidRDefault="00F136F2" w:rsidP="00FB626D">
      <w:pPr>
        <w:pStyle w:val="Table"/>
        <w:outlineLvl w:val="9"/>
        <w:rPr>
          <w:vertAlign w:val="superscript"/>
        </w:rPr>
      </w:pPr>
      <w:bookmarkStart w:id="705" w:name="_Toc509413256"/>
      <w:r w:rsidRPr="00207DC2">
        <w:t xml:space="preserve">Table A.2 Differences between Job Services Australia and </w:t>
      </w:r>
      <w:bookmarkEnd w:id="705"/>
      <w:r w:rsidRPr="00207DC2">
        <w:t>jobactive</w:t>
      </w:r>
      <w:r w:rsidR="000F1333" w:rsidRPr="00207DC2">
        <w:rPr>
          <w:vertAlign w:val="superscript"/>
        </w:rPr>
        <w:t>a</w:t>
      </w:r>
    </w:p>
    <w:tbl>
      <w:tblPr>
        <w:tblStyle w:val="TableGrid"/>
        <w:tblW w:w="94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Differences between Job Services Australia and jobactive"/>
        <w:tblDescription w:val="This table compares key differences in participation requirements and funding models between Job Services Australia and jobactive. "/>
      </w:tblPr>
      <w:tblGrid>
        <w:gridCol w:w="1951"/>
        <w:gridCol w:w="2835"/>
        <w:gridCol w:w="4677"/>
      </w:tblGrid>
      <w:tr w:rsidR="00F136F2" w:rsidRPr="00207DC2" w14:paraId="5174C010" w14:textId="77777777" w:rsidTr="000A3951">
        <w:trPr>
          <w:tblHeader/>
        </w:trPr>
        <w:tc>
          <w:tcPr>
            <w:tcW w:w="1951" w:type="dxa"/>
            <w:tcBorders>
              <w:top w:val="single" w:sz="4" w:space="0" w:color="auto"/>
              <w:bottom w:val="single" w:sz="4" w:space="0" w:color="auto"/>
            </w:tcBorders>
          </w:tcPr>
          <w:p w14:paraId="5C70BA0D" w14:textId="77777777" w:rsidR="00F136F2" w:rsidRPr="00207DC2" w:rsidRDefault="00F136F2" w:rsidP="00FB626D">
            <w:pPr>
              <w:pStyle w:val="TableText"/>
              <w:keepNext/>
              <w:keepLines/>
              <w:rPr>
                <w:b/>
                <w:lang w:val="en-AU"/>
              </w:rPr>
            </w:pPr>
            <w:r w:rsidRPr="00207DC2">
              <w:rPr>
                <w:b/>
                <w:lang w:val="en-AU"/>
              </w:rPr>
              <w:t>Program element</w:t>
            </w:r>
          </w:p>
        </w:tc>
        <w:tc>
          <w:tcPr>
            <w:tcW w:w="2835" w:type="dxa"/>
            <w:tcBorders>
              <w:top w:val="single" w:sz="4" w:space="0" w:color="auto"/>
              <w:bottom w:val="single" w:sz="4" w:space="0" w:color="auto"/>
            </w:tcBorders>
          </w:tcPr>
          <w:p w14:paraId="6B9E6561" w14:textId="77777777" w:rsidR="00F136F2" w:rsidRPr="00207DC2" w:rsidRDefault="00E9279F" w:rsidP="00063481">
            <w:pPr>
              <w:pStyle w:val="TableText"/>
              <w:keepNext/>
              <w:keepLines/>
              <w:ind w:left="34"/>
              <w:jc w:val="center"/>
              <w:rPr>
                <w:b/>
                <w:lang w:val="en-AU"/>
              </w:rPr>
            </w:pPr>
            <w:r w:rsidRPr="00207DC2">
              <w:rPr>
                <w:b/>
                <w:lang w:val="en-AU"/>
              </w:rPr>
              <w:t>Job Services Australia (</w:t>
            </w:r>
            <w:r w:rsidR="00F136F2" w:rsidRPr="00207DC2">
              <w:rPr>
                <w:b/>
                <w:lang w:val="en-AU"/>
              </w:rPr>
              <w:t>JSA</w:t>
            </w:r>
            <w:r w:rsidRPr="00207DC2">
              <w:rPr>
                <w:b/>
                <w:lang w:val="en-AU"/>
              </w:rPr>
              <w:t>)</w:t>
            </w:r>
          </w:p>
        </w:tc>
        <w:tc>
          <w:tcPr>
            <w:tcW w:w="4677" w:type="dxa"/>
            <w:tcBorders>
              <w:top w:val="single" w:sz="4" w:space="0" w:color="auto"/>
              <w:bottom w:val="single" w:sz="4" w:space="0" w:color="auto"/>
            </w:tcBorders>
          </w:tcPr>
          <w:p w14:paraId="36A42037" w14:textId="77777777" w:rsidR="00F136F2" w:rsidRPr="00207DC2" w:rsidRDefault="003E31FC" w:rsidP="00063481">
            <w:pPr>
              <w:pStyle w:val="TableText"/>
              <w:keepNext/>
              <w:keepLines/>
              <w:ind w:left="34"/>
              <w:jc w:val="center"/>
              <w:rPr>
                <w:b/>
                <w:lang w:val="en-AU"/>
              </w:rPr>
            </w:pPr>
            <w:r w:rsidRPr="00207DC2">
              <w:rPr>
                <w:b/>
                <w:lang w:val="en-AU"/>
              </w:rPr>
              <w:t>J</w:t>
            </w:r>
            <w:r w:rsidR="00F136F2" w:rsidRPr="00207DC2">
              <w:rPr>
                <w:b/>
                <w:lang w:val="en-AU"/>
              </w:rPr>
              <w:t>obactive</w:t>
            </w:r>
          </w:p>
        </w:tc>
      </w:tr>
      <w:tr w:rsidR="00F136F2" w:rsidRPr="00207DC2" w14:paraId="02F069BD" w14:textId="77777777" w:rsidTr="00B24E7D">
        <w:trPr>
          <w:trHeight w:val="1911"/>
        </w:trPr>
        <w:tc>
          <w:tcPr>
            <w:tcW w:w="1951" w:type="dxa"/>
            <w:tcBorders>
              <w:top w:val="single" w:sz="4" w:space="0" w:color="auto"/>
              <w:bottom w:val="dashSmallGap" w:sz="4" w:space="0" w:color="auto"/>
            </w:tcBorders>
          </w:tcPr>
          <w:p w14:paraId="06F8F6BD" w14:textId="77777777" w:rsidR="00F136F2" w:rsidRPr="00207DC2" w:rsidRDefault="00F136F2" w:rsidP="00FB626D">
            <w:pPr>
              <w:pStyle w:val="TableText"/>
              <w:keepNext/>
              <w:keepLines/>
              <w:rPr>
                <w:b/>
                <w:lang w:val="en-AU"/>
              </w:rPr>
            </w:pPr>
            <w:r w:rsidRPr="00207DC2">
              <w:rPr>
                <w:b/>
                <w:lang w:val="en-AU"/>
              </w:rPr>
              <w:t>Streaming</w:t>
            </w:r>
          </w:p>
        </w:tc>
        <w:tc>
          <w:tcPr>
            <w:tcW w:w="2835" w:type="dxa"/>
            <w:tcBorders>
              <w:top w:val="single" w:sz="4" w:space="0" w:color="auto"/>
              <w:bottom w:val="dashSmallGap" w:sz="4" w:space="0" w:color="auto"/>
            </w:tcBorders>
          </w:tcPr>
          <w:p w14:paraId="181E6ABB" w14:textId="4E89EE45" w:rsidR="00F136F2" w:rsidRPr="00207DC2" w:rsidRDefault="00063481" w:rsidP="00063481">
            <w:pPr>
              <w:pStyle w:val="TableText"/>
              <w:keepNext/>
              <w:keepLines/>
              <w:spacing w:after="120"/>
              <w:ind w:left="34"/>
              <w:jc w:val="both"/>
              <w:rPr>
                <w:szCs w:val="20"/>
                <w:lang w:val="en-AU"/>
              </w:rPr>
            </w:pPr>
            <w:r>
              <w:rPr>
                <w:szCs w:val="20"/>
                <w:lang w:val="en-AU"/>
              </w:rPr>
              <w:t>Four</w:t>
            </w:r>
            <w:r w:rsidR="00F136F2" w:rsidRPr="00207DC2">
              <w:rPr>
                <w:szCs w:val="20"/>
                <w:lang w:val="en-AU"/>
              </w:rPr>
              <w:t xml:space="preserve"> streams</w:t>
            </w:r>
            <w:r w:rsidR="0089698F" w:rsidRPr="00207DC2">
              <w:rPr>
                <w:szCs w:val="20"/>
                <w:lang w:val="en-AU"/>
              </w:rPr>
              <w:t xml:space="preserve"> of participants</w:t>
            </w:r>
            <w:r w:rsidR="00F136F2" w:rsidRPr="00207DC2">
              <w:rPr>
                <w:szCs w:val="20"/>
                <w:lang w:val="en-AU"/>
              </w:rPr>
              <w:t xml:space="preserve">: (1) </w:t>
            </w:r>
            <w:r w:rsidR="00F37DC9" w:rsidRPr="00207DC2">
              <w:rPr>
                <w:szCs w:val="20"/>
                <w:lang w:val="en-AU"/>
              </w:rPr>
              <w:t>low</w:t>
            </w:r>
            <w:r w:rsidR="00F136F2" w:rsidRPr="00207DC2">
              <w:rPr>
                <w:szCs w:val="20"/>
                <w:lang w:val="en-AU"/>
              </w:rPr>
              <w:t xml:space="preserve"> barriers to employment; (2 and 3) mild to moderate barriers to employment; and (4) multiple or complex non-vocational barriers to employment.</w:t>
            </w:r>
          </w:p>
        </w:tc>
        <w:tc>
          <w:tcPr>
            <w:tcW w:w="4677" w:type="dxa"/>
            <w:tcBorders>
              <w:top w:val="single" w:sz="4" w:space="0" w:color="auto"/>
              <w:bottom w:val="dashSmallGap" w:sz="4" w:space="0" w:color="auto"/>
            </w:tcBorders>
          </w:tcPr>
          <w:p w14:paraId="61F15901" w14:textId="0F2DD94C" w:rsidR="00F136F2" w:rsidRPr="00207DC2" w:rsidRDefault="00063481" w:rsidP="00063481">
            <w:pPr>
              <w:keepNext/>
              <w:keepLines/>
              <w:spacing w:after="120"/>
              <w:jc w:val="both"/>
              <w:rPr>
                <w:szCs w:val="20"/>
                <w:lang w:val="en-AU"/>
              </w:rPr>
            </w:pPr>
            <w:r>
              <w:rPr>
                <w:szCs w:val="20"/>
                <w:lang w:val="en-AU"/>
              </w:rPr>
              <w:t>Three</w:t>
            </w:r>
            <w:r w:rsidR="00F136F2" w:rsidRPr="00207DC2">
              <w:rPr>
                <w:szCs w:val="20"/>
                <w:lang w:val="en-AU"/>
              </w:rPr>
              <w:t xml:space="preserve"> streams</w:t>
            </w:r>
            <w:r w:rsidR="0089698F" w:rsidRPr="00207DC2">
              <w:rPr>
                <w:szCs w:val="20"/>
                <w:lang w:val="en-AU"/>
              </w:rPr>
              <w:t xml:space="preserve"> of participants</w:t>
            </w:r>
            <w:r w:rsidR="00F136F2" w:rsidRPr="00207DC2">
              <w:rPr>
                <w:szCs w:val="20"/>
                <w:lang w:val="en-AU"/>
              </w:rPr>
              <w:t>: (A) ‘job competitive’</w:t>
            </w:r>
            <w:r w:rsidR="00A433B2" w:rsidRPr="00207DC2">
              <w:rPr>
                <w:szCs w:val="20"/>
                <w:lang w:val="en-AU"/>
              </w:rPr>
              <w:t xml:space="preserve"> wi</w:t>
            </w:r>
            <w:r w:rsidR="0012021F" w:rsidRPr="00207DC2">
              <w:rPr>
                <w:szCs w:val="20"/>
                <w:lang w:val="en-AU"/>
              </w:rPr>
              <w:t>th low to moderate risk of long</w:t>
            </w:r>
            <w:r w:rsidR="00281CF6">
              <w:rPr>
                <w:szCs w:val="20"/>
                <w:lang w:val="en-AU"/>
              </w:rPr>
              <w:t>-</w:t>
            </w:r>
            <w:r w:rsidR="00A433B2" w:rsidRPr="00207DC2">
              <w:rPr>
                <w:szCs w:val="20"/>
                <w:lang w:val="en-AU"/>
              </w:rPr>
              <w:t>term unemployment</w:t>
            </w:r>
            <w:r w:rsidR="00F136F2" w:rsidRPr="00207DC2">
              <w:rPr>
                <w:szCs w:val="20"/>
                <w:lang w:val="en-AU"/>
              </w:rPr>
              <w:t>; (B) those with vocational barriers that need greater support to become job ready</w:t>
            </w:r>
            <w:r w:rsidR="00A433B2" w:rsidRPr="00207DC2">
              <w:rPr>
                <w:szCs w:val="20"/>
                <w:lang w:val="en-AU"/>
              </w:rPr>
              <w:t xml:space="preserve"> and have moderate to high risk of </w:t>
            </w:r>
            <w:r w:rsidR="00281CF6">
              <w:rPr>
                <w:szCs w:val="20"/>
                <w:lang w:val="en-AU"/>
              </w:rPr>
              <w:t>long-term</w:t>
            </w:r>
            <w:r w:rsidR="00A433B2" w:rsidRPr="00207DC2">
              <w:rPr>
                <w:szCs w:val="20"/>
                <w:lang w:val="en-AU"/>
              </w:rPr>
              <w:t xml:space="preserve"> unemployment</w:t>
            </w:r>
            <w:r w:rsidR="00F136F2" w:rsidRPr="00207DC2">
              <w:rPr>
                <w:szCs w:val="20"/>
                <w:lang w:val="en-AU"/>
              </w:rPr>
              <w:t>; (C) those with a combination of vocational and non-vocational barriers.</w:t>
            </w:r>
          </w:p>
        </w:tc>
      </w:tr>
      <w:tr w:rsidR="00F136F2" w:rsidRPr="00207DC2" w14:paraId="1F4372F9" w14:textId="77777777" w:rsidTr="00B24E7D">
        <w:tc>
          <w:tcPr>
            <w:tcW w:w="1951" w:type="dxa"/>
            <w:tcBorders>
              <w:top w:val="single" w:sz="4" w:space="0" w:color="auto"/>
              <w:bottom w:val="dashSmallGap" w:sz="4" w:space="0" w:color="auto"/>
            </w:tcBorders>
          </w:tcPr>
          <w:p w14:paraId="5C151A20" w14:textId="77777777" w:rsidR="00F136F2" w:rsidRPr="00207DC2" w:rsidRDefault="00F136F2" w:rsidP="00FB626D">
            <w:pPr>
              <w:pStyle w:val="TableText"/>
              <w:keepNext/>
              <w:keepLines/>
              <w:rPr>
                <w:b/>
                <w:lang w:val="en-AU"/>
              </w:rPr>
            </w:pPr>
            <w:r w:rsidRPr="00207DC2">
              <w:rPr>
                <w:b/>
                <w:lang w:val="en-AU"/>
              </w:rPr>
              <w:t>Participation requirements</w:t>
            </w:r>
          </w:p>
        </w:tc>
        <w:tc>
          <w:tcPr>
            <w:tcW w:w="2835" w:type="dxa"/>
            <w:tcBorders>
              <w:top w:val="dashSmallGap" w:sz="4" w:space="0" w:color="auto"/>
              <w:bottom w:val="single" w:sz="4" w:space="0" w:color="auto"/>
            </w:tcBorders>
          </w:tcPr>
          <w:p w14:paraId="30982CBF" w14:textId="77777777" w:rsidR="00F136F2" w:rsidRPr="00207DC2" w:rsidRDefault="00F136F2" w:rsidP="00B24E7D">
            <w:pPr>
              <w:pStyle w:val="TableText"/>
              <w:keepNext/>
              <w:keepLines/>
              <w:spacing w:after="120"/>
              <w:ind w:left="0"/>
              <w:jc w:val="both"/>
              <w:rPr>
                <w:szCs w:val="20"/>
                <w:lang w:val="en-AU"/>
              </w:rPr>
            </w:pPr>
            <w:r w:rsidRPr="00207DC2">
              <w:rPr>
                <w:szCs w:val="20"/>
                <w:lang w:val="en-AU"/>
              </w:rPr>
              <w:t>Stream A job participant’s start their Work for the Dole phase (or activity requirement) after 12 months.</w:t>
            </w:r>
          </w:p>
          <w:p w14:paraId="58F9742D" w14:textId="77777777" w:rsidR="00F136F2" w:rsidRPr="00207DC2" w:rsidRDefault="00F136F2" w:rsidP="00B24E7D">
            <w:pPr>
              <w:pStyle w:val="TableText"/>
              <w:keepNext/>
              <w:keepLines/>
              <w:spacing w:after="120"/>
              <w:ind w:left="0"/>
              <w:jc w:val="both"/>
              <w:rPr>
                <w:szCs w:val="20"/>
                <w:lang w:val="en-AU"/>
              </w:rPr>
            </w:pPr>
            <w:r w:rsidRPr="00207DC2">
              <w:rPr>
                <w:szCs w:val="20"/>
                <w:lang w:val="en-AU"/>
              </w:rPr>
              <w:t>Job search requirement determined by providers.</w:t>
            </w:r>
            <w:r w:rsidR="002B0EE8" w:rsidRPr="00207DC2">
              <w:rPr>
                <w:lang w:val="en-AU"/>
              </w:rPr>
              <w:t xml:space="preserve"> </w:t>
            </w:r>
          </w:p>
        </w:tc>
        <w:tc>
          <w:tcPr>
            <w:tcW w:w="4677" w:type="dxa"/>
            <w:tcBorders>
              <w:top w:val="dashSmallGap" w:sz="4" w:space="0" w:color="auto"/>
              <w:bottom w:val="single" w:sz="4" w:space="0" w:color="auto"/>
            </w:tcBorders>
          </w:tcPr>
          <w:p w14:paraId="74EAC58D" w14:textId="5B46BA52" w:rsidR="00F136F2" w:rsidRPr="00207DC2" w:rsidRDefault="00F136F2" w:rsidP="00B24E7D">
            <w:pPr>
              <w:keepNext/>
              <w:keepLines/>
              <w:spacing w:after="120"/>
              <w:jc w:val="both"/>
              <w:rPr>
                <w:szCs w:val="20"/>
                <w:lang w:val="en-AU"/>
              </w:rPr>
            </w:pPr>
            <w:r w:rsidRPr="00207DC2">
              <w:rPr>
                <w:szCs w:val="20"/>
                <w:lang w:val="en-AU"/>
              </w:rPr>
              <w:t xml:space="preserve">Stream A </w:t>
            </w:r>
            <w:r w:rsidR="009433F2" w:rsidRPr="00207DC2">
              <w:rPr>
                <w:szCs w:val="20"/>
                <w:lang w:val="en-AU"/>
              </w:rPr>
              <w:t>participant</w:t>
            </w:r>
            <w:r w:rsidRPr="00207DC2">
              <w:rPr>
                <w:szCs w:val="20"/>
                <w:lang w:val="en-AU"/>
              </w:rPr>
              <w:t xml:space="preserve"> start their Work for the Dole or another approved activity after </w:t>
            </w:r>
            <w:r w:rsidR="003D07D6" w:rsidRPr="00207DC2">
              <w:rPr>
                <w:szCs w:val="20"/>
                <w:lang w:val="en-AU"/>
              </w:rPr>
              <w:t>six</w:t>
            </w:r>
            <w:r w:rsidRPr="00207DC2">
              <w:rPr>
                <w:szCs w:val="20"/>
                <w:lang w:val="en-AU"/>
              </w:rPr>
              <w:t xml:space="preserve"> months</w:t>
            </w:r>
            <w:r w:rsidR="009433F2" w:rsidRPr="00207DC2">
              <w:rPr>
                <w:szCs w:val="20"/>
                <w:lang w:val="en-AU"/>
              </w:rPr>
              <w:t>.</w:t>
            </w:r>
            <w:r w:rsidRPr="00207DC2">
              <w:rPr>
                <w:szCs w:val="20"/>
                <w:lang w:val="en-AU"/>
              </w:rPr>
              <w:t xml:space="preserve"> Stream B and C </w:t>
            </w:r>
            <w:r w:rsidR="009433F2" w:rsidRPr="00207DC2">
              <w:rPr>
                <w:szCs w:val="20"/>
                <w:lang w:val="en-AU"/>
              </w:rPr>
              <w:t xml:space="preserve">participants start </w:t>
            </w:r>
            <w:r w:rsidRPr="00207DC2">
              <w:rPr>
                <w:szCs w:val="20"/>
                <w:lang w:val="en-AU"/>
              </w:rPr>
              <w:t>after 12 months. Work for the Dole is 25 hours for 26 weeks per year</w:t>
            </w:r>
            <w:r w:rsidR="00B6128B" w:rsidRPr="00207DC2">
              <w:rPr>
                <w:szCs w:val="20"/>
                <w:lang w:val="en-AU"/>
              </w:rPr>
              <w:t xml:space="preserve"> for those aged under 30 years; and 15 hours per week for six months each year for those aged 30</w:t>
            </w:r>
            <w:r w:rsidR="00F3304A" w:rsidRPr="00207DC2">
              <w:rPr>
                <w:szCs w:val="20"/>
                <w:lang w:val="en-AU"/>
              </w:rPr>
              <w:t xml:space="preserve"> to </w:t>
            </w:r>
            <w:r w:rsidR="00B6128B" w:rsidRPr="00207DC2">
              <w:rPr>
                <w:szCs w:val="20"/>
                <w:lang w:val="en-AU"/>
              </w:rPr>
              <w:t>59</w:t>
            </w:r>
            <w:r w:rsidR="00F3304A" w:rsidRPr="00207DC2">
              <w:rPr>
                <w:szCs w:val="20"/>
                <w:lang w:val="en-AU"/>
              </w:rPr>
              <w:t> years</w:t>
            </w:r>
            <w:r w:rsidR="00B6128B" w:rsidRPr="00207DC2">
              <w:rPr>
                <w:szCs w:val="20"/>
                <w:lang w:val="en-AU"/>
              </w:rPr>
              <w:t>.</w:t>
            </w:r>
          </w:p>
          <w:p w14:paraId="6DA99EF1" w14:textId="77777777" w:rsidR="00F136F2" w:rsidRPr="00207DC2" w:rsidRDefault="00F136F2" w:rsidP="00B24E7D">
            <w:pPr>
              <w:pStyle w:val="TableText"/>
              <w:keepNext/>
              <w:keepLines/>
              <w:spacing w:after="120"/>
              <w:ind w:left="0"/>
              <w:jc w:val="both"/>
              <w:rPr>
                <w:szCs w:val="20"/>
                <w:lang w:val="en-AU"/>
              </w:rPr>
            </w:pPr>
            <w:r w:rsidRPr="00207DC2">
              <w:rPr>
                <w:szCs w:val="20"/>
                <w:lang w:val="en-AU"/>
              </w:rPr>
              <w:t>Most job seekers are required to undertake 20 job searches per month.</w:t>
            </w:r>
          </w:p>
        </w:tc>
      </w:tr>
      <w:tr w:rsidR="00F136F2" w:rsidRPr="00207DC2" w14:paraId="7B7FCAC9" w14:textId="77777777" w:rsidTr="00B24E7D">
        <w:trPr>
          <w:trHeight w:val="1225"/>
        </w:trPr>
        <w:tc>
          <w:tcPr>
            <w:tcW w:w="1951" w:type="dxa"/>
            <w:tcBorders>
              <w:top w:val="dashSmallGap" w:sz="4" w:space="0" w:color="auto"/>
              <w:bottom w:val="dashSmallGap" w:sz="4" w:space="0" w:color="auto"/>
            </w:tcBorders>
          </w:tcPr>
          <w:p w14:paraId="799E71D3" w14:textId="77777777" w:rsidR="00F136F2" w:rsidRPr="00207DC2" w:rsidRDefault="00F136F2" w:rsidP="00FB626D">
            <w:pPr>
              <w:pStyle w:val="TableText"/>
              <w:keepNext/>
              <w:keepLines/>
              <w:rPr>
                <w:b/>
                <w:lang w:val="en-AU"/>
              </w:rPr>
            </w:pPr>
            <w:r w:rsidRPr="00207DC2">
              <w:rPr>
                <w:b/>
                <w:lang w:val="en-AU"/>
              </w:rPr>
              <w:t>Participation activities</w:t>
            </w:r>
          </w:p>
        </w:tc>
        <w:tc>
          <w:tcPr>
            <w:tcW w:w="2835" w:type="dxa"/>
            <w:tcBorders>
              <w:top w:val="single" w:sz="4" w:space="0" w:color="auto"/>
              <w:bottom w:val="dashSmallGap" w:sz="4" w:space="0" w:color="auto"/>
            </w:tcBorders>
          </w:tcPr>
          <w:p w14:paraId="4E81B4C5" w14:textId="77777777" w:rsidR="00F136F2" w:rsidRPr="00207DC2" w:rsidRDefault="00F136F2" w:rsidP="00B24E7D">
            <w:pPr>
              <w:pStyle w:val="TableText"/>
              <w:keepNext/>
              <w:keepLines/>
              <w:spacing w:after="120"/>
              <w:ind w:left="0"/>
              <w:jc w:val="both"/>
              <w:rPr>
                <w:szCs w:val="20"/>
                <w:lang w:val="en-AU"/>
              </w:rPr>
            </w:pPr>
            <w:r w:rsidRPr="00207DC2">
              <w:rPr>
                <w:szCs w:val="20"/>
                <w:lang w:val="en-AU"/>
              </w:rPr>
              <w:t xml:space="preserve">Providers had discretion over the type of activities participants were </w:t>
            </w:r>
            <w:r w:rsidR="000F0E95" w:rsidRPr="00207DC2">
              <w:rPr>
                <w:szCs w:val="20"/>
                <w:lang w:val="en-AU"/>
              </w:rPr>
              <w:t xml:space="preserve">enrolled </w:t>
            </w:r>
            <w:r w:rsidRPr="00207DC2">
              <w:rPr>
                <w:szCs w:val="20"/>
                <w:lang w:val="en-AU"/>
              </w:rPr>
              <w:t>in, including training.</w:t>
            </w:r>
          </w:p>
        </w:tc>
        <w:tc>
          <w:tcPr>
            <w:tcW w:w="4677" w:type="dxa"/>
            <w:tcBorders>
              <w:top w:val="single" w:sz="4" w:space="0" w:color="auto"/>
              <w:bottom w:val="dashSmallGap" w:sz="4" w:space="0" w:color="auto"/>
            </w:tcBorders>
          </w:tcPr>
          <w:p w14:paraId="6100D2FD" w14:textId="77777777" w:rsidR="00F136F2" w:rsidRPr="00207DC2" w:rsidRDefault="00F136F2" w:rsidP="00B24E7D">
            <w:pPr>
              <w:keepNext/>
              <w:keepLines/>
              <w:spacing w:after="120"/>
              <w:jc w:val="both"/>
              <w:rPr>
                <w:szCs w:val="20"/>
                <w:lang w:val="en-AU"/>
              </w:rPr>
            </w:pPr>
            <w:r w:rsidRPr="00207DC2">
              <w:rPr>
                <w:szCs w:val="20"/>
                <w:lang w:val="en-AU"/>
              </w:rPr>
              <w:t xml:space="preserve">Tighter rules for the provision of training and education. </w:t>
            </w:r>
          </w:p>
          <w:p w14:paraId="77AB238D" w14:textId="77777777" w:rsidR="00F136F2" w:rsidRPr="00207DC2" w:rsidRDefault="00F136F2" w:rsidP="00B24E7D">
            <w:pPr>
              <w:keepNext/>
              <w:keepLines/>
              <w:spacing w:after="120"/>
              <w:jc w:val="both"/>
              <w:rPr>
                <w:szCs w:val="20"/>
                <w:lang w:val="en-AU"/>
              </w:rPr>
            </w:pPr>
            <w:r w:rsidRPr="00207DC2">
              <w:rPr>
                <w:szCs w:val="20"/>
                <w:lang w:val="en-AU"/>
              </w:rPr>
              <w:t xml:space="preserve">Annual Activity Requirements more focused on work experience relative to training. </w:t>
            </w:r>
          </w:p>
        </w:tc>
      </w:tr>
      <w:tr w:rsidR="00F136F2" w:rsidRPr="00207DC2" w14:paraId="257229C2" w14:textId="77777777" w:rsidTr="003F562F">
        <w:tc>
          <w:tcPr>
            <w:tcW w:w="1951" w:type="dxa"/>
            <w:tcBorders>
              <w:top w:val="dashSmallGap" w:sz="4" w:space="0" w:color="auto"/>
              <w:bottom w:val="dashSmallGap" w:sz="4" w:space="0" w:color="auto"/>
            </w:tcBorders>
          </w:tcPr>
          <w:p w14:paraId="709376E1" w14:textId="77777777" w:rsidR="00F136F2" w:rsidRPr="00207DC2" w:rsidRDefault="00F136F2" w:rsidP="00FB626D">
            <w:pPr>
              <w:pStyle w:val="TableText"/>
              <w:keepNext/>
              <w:keepLines/>
              <w:rPr>
                <w:b/>
                <w:lang w:val="en-AU"/>
              </w:rPr>
            </w:pPr>
            <w:r w:rsidRPr="00207DC2">
              <w:rPr>
                <w:b/>
                <w:lang w:val="en-AU"/>
              </w:rPr>
              <w:t>Payment model</w:t>
            </w:r>
          </w:p>
        </w:tc>
        <w:tc>
          <w:tcPr>
            <w:tcW w:w="2835" w:type="dxa"/>
            <w:tcBorders>
              <w:top w:val="dashSmallGap" w:sz="4" w:space="0" w:color="auto"/>
              <w:bottom w:val="dashSmallGap" w:sz="4" w:space="0" w:color="auto"/>
            </w:tcBorders>
          </w:tcPr>
          <w:p w14:paraId="64448B4D" w14:textId="77777777" w:rsidR="00F136F2" w:rsidRPr="00207DC2" w:rsidRDefault="00F136F2" w:rsidP="00B24E7D">
            <w:pPr>
              <w:keepNext/>
              <w:keepLines/>
              <w:spacing w:after="120"/>
              <w:jc w:val="both"/>
              <w:rPr>
                <w:szCs w:val="20"/>
                <w:lang w:val="en-AU"/>
              </w:rPr>
            </w:pPr>
            <w:r w:rsidRPr="00207DC2">
              <w:rPr>
                <w:szCs w:val="20"/>
                <w:lang w:val="en-AU"/>
              </w:rPr>
              <w:t>Ratio between admin/</w:t>
            </w:r>
            <w:r w:rsidR="0089698F" w:rsidRPr="00207DC2">
              <w:rPr>
                <w:szCs w:val="20"/>
                <w:lang w:val="en-AU"/>
              </w:rPr>
              <w:t>s</w:t>
            </w:r>
            <w:r w:rsidRPr="00207DC2">
              <w:rPr>
                <w:szCs w:val="20"/>
                <w:lang w:val="en-AU"/>
              </w:rPr>
              <w:t xml:space="preserve">ervice </w:t>
            </w:r>
            <w:r w:rsidR="0089698F" w:rsidRPr="00207DC2">
              <w:rPr>
                <w:szCs w:val="20"/>
                <w:lang w:val="en-AU"/>
              </w:rPr>
              <w:t>f</w:t>
            </w:r>
            <w:r w:rsidRPr="00207DC2">
              <w:rPr>
                <w:szCs w:val="20"/>
                <w:lang w:val="en-AU"/>
              </w:rPr>
              <w:t>ees</w:t>
            </w:r>
            <w:r w:rsidR="007B5845" w:rsidRPr="00207DC2">
              <w:rPr>
                <w:szCs w:val="20"/>
                <w:lang w:val="en-AU"/>
              </w:rPr>
              <w:t xml:space="preserve"> and </w:t>
            </w:r>
            <w:r w:rsidR="0089698F" w:rsidRPr="00207DC2">
              <w:rPr>
                <w:szCs w:val="20"/>
                <w:lang w:val="en-AU"/>
              </w:rPr>
              <w:t>o</w:t>
            </w:r>
            <w:r w:rsidR="007B5845" w:rsidRPr="00207DC2">
              <w:rPr>
                <w:szCs w:val="20"/>
                <w:lang w:val="en-AU"/>
              </w:rPr>
              <w:t xml:space="preserve">utcome </w:t>
            </w:r>
            <w:r w:rsidR="0089698F" w:rsidRPr="00207DC2">
              <w:rPr>
                <w:szCs w:val="20"/>
                <w:lang w:val="en-AU"/>
              </w:rPr>
              <w:t>p</w:t>
            </w:r>
            <w:r w:rsidR="007B5845" w:rsidRPr="00207DC2">
              <w:rPr>
                <w:szCs w:val="20"/>
                <w:lang w:val="en-AU"/>
              </w:rPr>
              <w:t>ayments - 67:33</w:t>
            </w:r>
          </w:p>
          <w:p w14:paraId="34A0E2AA" w14:textId="77777777" w:rsidR="00F136F2" w:rsidRPr="00207DC2" w:rsidRDefault="00F136F2" w:rsidP="00B24E7D">
            <w:pPr>
              <w:keepNext/>
              <w:keepLines/>
              <w:spacing w:after="120"/>
              <w:jc w:val="both"/>
              <w:rPr>
                <w:szCs w:val="20"/>
                <w:lang w:val="en-AU"/>
              </w:rPr>
            </w:pPr>
            <w:r w:rsidRPr="00207DC2">
              <w:rPr>
                <w:szCs w:val="20"/>
                <w:lang w:val="en-AU"/>
              </w:rPr>
              <w:t xml:space="preserve">Payment for job placements and </w:t>
            </w:r>
            <w:r w:rsidR="0089698F" w:rsidRPr="00207DC2">
              <w:rPr>
                <w:szCs w:val="20"/>
                <w:lang w:val="en-AU"/>
              </w:rPr>
              <w:t>o</w:t>
            </w:r>
            <w:r w:rsidRPr="00207DC2">
              <w:rPr>
                <w:szCs w:val="20"/>
                <w:lang w:val="en-AU"/>
              </w:rPr>
              <w:t>utco</w:t>
            </w:r>
            <w:r w:rsidR="007B5845" w:rsidRPr="00207DC2">
              <w:rPr>
                <w:szCs w:val="20"/>
                <w:lang w:val="en-AU"/>
              </w:rPr>
              <w:t xml:space="preserve">me </w:t>
            </w:r>
            <w:r w:rsidR="0089698F" w:rsidRPr="00207DC2">
              <w:rPr>
                <w:szCs w:val="20"/>
                <w:lang w:val="en-AU"/>
              </w:rPr>
              <w:t>p</w:t>
            </w:r>
            <w:r w:rsidR="007B5845" w:rsidRPr="00207DC2">
              <w:rPr>
                <w:szCs w:val="20"/>
                <w:lang w:val="en-AU"/>
              </w:rPr>
              <w:t>ayments at 13 and 26 weeks.</w:t>
            </w:r>
          </w:p>
          <w:p w14:paraId="1B24577F" w14:textId="77777777" w:rsidR="00F136F2" w:rsidRPr="00207DC2" w:rsidRDefault="00F136F2" w:rsidP="00B24E7D">
            <w:pPr>
              <w:keepNext/>
              <w:keepLines/>
              <w:spacing w:after="120"/>
              <w:jc w:val="both"/>
              <w:rPr>
                <w:szCs w:val="20"/>
                <w:lang w:val="en-AU"/>
              </w:rPr>
            </w:pPr>
            <w:r w:rsidRPr="00207DC2">
              <w:rPr>
                <w:szCs w:val="20"/>
                <w:lang w:val="en-AU"/>
              </w:rPr>
              <w:t xml:space="preserve">Fee structure tied to </w:t>
            </w:r>
            <w:r w:rsidR="0089698F" w:rsidRPr="00207DC2">
              <w:rPr>
                <w:szCs w:val="20"/>
                <w:lang w:val="en-AU"/>
              </w:rPr>
              <w:t>s</w:t>
            </w:r>
            <w:r w:rsidRPr="00207DC2">
              <w:rPr>
                <w:szCs w:val="20"/>
                <w:lang w:val="en-AU"/>
              </w:rPr>
              <w:t>tream and duration of employment.</w:t>
            </w:r>
          </w:p>
        </w:tc>
        <w:tc>
          <w:tcPr>
            <w:tcW w:w="4677" w:type="dxa"/>
            <w:tcBorders>
              <w:top w:val="dashSmallGap" w:sz="4" w:space="0" w:color="auto"/>
              <w:bottom w:val="dashSmallGap" w:sz="4" w:space="0" w:color="auto"/>
            </w:tcBorders>
          </w:tcPr>
          <w:p w14:paraId="5C3D5E67" w14:textId="77777777" w:rsidR="00F136F2" w:rsidRPr="00207DC2" w:rsidRDefault="00F136F2" w:rsidP="00B24E7D">
            <w:pPr>
              <w:keepNext/>
              <w:keepLines/>
              <w:spacing w:after="120"/>
              <w:jc w:val="both"/>
              <w:rPr>
                <w:szCs w:val="20"/>
                <w:lang w:val="en-AU"/>
              </w:rPr>
            </w:pPr>
            <w:r w:rsidRPr="00207DC2">
              <w:rPr>
                <w:szCs w:val="20"/>
                <w:lang w:val="en-AU"/>
              </w:rPr>
              <w:t xml:space="preserve">Ratio between </w:t>
            </w:r>
            <w:r w:rsidR="0089698F" w:rsidRPr="00207DC2">
              <w:rPr>
                <w:szCs w:val="20"/>
                <w:lang w:val="en-AU"/>
              </w:rPr>
              <w:t>a</w:t>
            </w:r>
            <w:r w:rsidRPr="00207DC2">
              <w:rPr>
                <w:szCs w:val="20"/>
                <w:lang w:val="en-AU"/>
              </w:rPr>
              <w:t xml:space="preserve">dministration/service </w:t>
            </w:r>
            <w:r w:rsidR="0089698F" w:rsidRPr="00207DC2">
              <w:rPr>
                <w:szCs w:val="20"/>
                <w:lang w:val="en-AU"/>
              </w:rPr>
              <w:t>f</w:t>
            </w:r>
            <w:r w:rsidRPr="00207DC2">
              <w:rPr>
                <w:szCs w:val="20"/>
                <w:lang w:val="en-AU"/>
              </w:rPr>
              <w:t xml:space="preserve">ees and </w:t>
            </w:r>
            <w:r w:rsidR="0089698F" w:rsidRPr="00207DC2">
              <w:rPr>
                <w:szCs w:val="20"/>
                <w:lang w:val="en-AU"/>
              </w:rPr>
              <w:t>o</w:t>
            </w:r>
            <w:r w:rsidRPr="00207DC2">
              <w:rPr>
                <w:szCs w:val="20"/>
                <w:lang w:val="en-AU"/>
              </w:rPr>
              <w:t xml:space="preserve">utcome </w:t>
            </w:r>
            <w:r w:rsidR="0089698F" w:rsidRPr="00207DC2">
              <w:rPr>
                <w:szCs w:val="20"/>
                <w:lang w:val="en-AU"/>
              </w:rPr>
              <w:t>p</w:t>
            </w:r>
            <w:r w:rsidRPr="00207DC2">
              <w:rPr>
                <w:szCs w:val="20"/>
                <w:lang w:val="en-AU"/>
              </w:rPr>
              <w:t xml:space="preserve">ayments - 48:52 </w:t>
            </w:r>
          </w:p>
          <w:p w14:paraId="395B8942" w14:textId="77777777" w:rsidR="00F136F2" w:rsidRPr="00207DC2" w:rsidRDefault="00F136F2" w:rsidP="00B24E7D">
            <w:pPr>
              <w:keepNext/>
              <w:keepLines/>
              <w:spacing w:after="120"/>
              <w:jc w:val="both"/>
              <w:rPr>
                <w:szCs w:val="20"/>
                <w:lang w:val="en-AU"/>
              </w:rPr>
            </w:pPr>
            <w:r w:rsidRPr="00207DC2">
              <w:rPr>
                <w:szCs w:val="20"/>
                <w:lang w:val="en-AU"/>
              </w:rPr>
              <w:t xml:space="preserve">Outcome </w:t>
            </w:r>
            <w:r w:rsidR="0089698F" w:rsidRPr="00207DC2">
              <w:rPr>
                <w:szCs w:val="20"/>
                <w:lang w:val="en-AU"/>
              </w:rPr>
              <w:t>p</w:t>
            </w:r>
            <w:r w:rsidRPr="00207DC2">
              <w:rPr>
                <w:szCs w:val="20"/>
                <w:lang w:val="en-AU"/>
              </w:rPr>
              <w:t xml:space="preserve">ayments at </w:t>
            </w:r>
            <w:r w:rsidR="003D07D6" w:rsidRPr="00207DC2">
              <w:rPr>
                <w:szCs w:val="20"/>
                <w:lang w:val="en-AU"/>
              </w:rPr>
              <w:t>four</w:t>
            </w:r>
            <w:r w:rsidRPr="00207DC2">
              <w:rPr>
                <w:szCs w:val="20"/>
                <w:lang w:val="en-AU"/>
              </w:rPr>
              <w:t xml:space="preserve">, 12 and 26 weeks </w:t>
            </w:r>
            <w:r w:rsidR="00A433B2" w:rsidRPr="00207DC2">
              <w:rPr>
                <w:szCs w:val="20"/>
                <w:lang w:val="en-AU"/>
              </w:rPr>
              <w:t>(and no payment for job placement)</w:t>
            </w:r>
            <w:r w:rsidR="0012021F" w:rsidRPr="00207DC2">
              <w:rPr>
                <w:szCs w:val="20"/>
                <w:lang w:val="en-AU"/>
              </w:rPr>
              <w:t>.</w:t>
            </w:r>
          </w:p>
          <w:p w14:paraId="07AD7BC7" w14:textId="77777777" w:rsidR="00F136F2" w:rsidRPr="00207DC2" w:rsidRDefault="00F136F2" w:rsidP="00B24E7D">
            <w:pPr>
              <w:keepNext/>
              <w:keepLines/>
              <w:spacing w:after="120"/>
              <w:jc w:val="both"/>
              <w:rPr>
                <w:szCs w:val="20"/>
                <w:lang w:val="en-AU"/>
              </w:rPr>
            </w:pPr>
            <w:r w:rsidRPr="00207DC2">
              <w:rPr>
                <w:szCs w:val="20"/>
                <w:lang w:val="en-AU"/>
              </w:rPr>
              <w:t xml:space="preserve">Fee structure tied to duration of employment outcome, stream and whether they live in a regional or non-regional location. Compared to JSA - higher payments for employment outcomes for the most disadvantaged job seekers </w:t>
            </w:r>
            <w:r w:rsidR="00A433B2" w:rsidRPr="00207DC2">
              <w:rPr>
                <w:szCs w:val="20"/>
                <w:lang w:val="en-AU"/>
              </w:rPr>
              <w:t>(</w:t>
            </w:r>
            <w:r w:rsidRPr="00207DC2">
              <w:rPr>
                <w:szCs w:val="20"/>
                <w:lang w:val="en-AU"/>
              </w:rPr>
              <w:t xml:space="preserve">as defined by stream and length of unemployment). </w:t>
            </w:r>
          </w:p>
        </w:tc>
      </w:tr>
      <w:tr w:rsidR="00F136F2" w:rsidRPr="00207DC2" w14:paraId="4A90FB5D" w14:textId="77777777" w:rsidTr="003F562F">
        <w:tc>
          <w:tcPr>
            <w:tcW w:w="1951" w:type="dxa"/>
            <w:tcBorders>
              <w:top w:val="dashSmallGap" w:sz="4" w:space="0" w:color="auto"/>
              <w:bottom w:val="single" w:sz="8" w:space="0" w:color="auto"/>
            </w:tcBorders>
          </w:tcPr>
          <w:p w14:paraId="27B8AE40" w14:textId="77777777" w:rsidR="00F136F2" w:rsidRPr="00207DC2" w:rsidRDefault="00F136F2" w:rsidP="00FB626D">
            <w:pPr>
              <w:pStyle w:val="TableText"/>
              <w:keepNext/>
              <w:keepLines/>
              <w:rPr>
                <w:b/>
                <w:lang w:val="en-AU"/>
              </w:rPr>
            </w:pPr>
            <w:r w:rsidRPr="00207DC2">
              <w:rPr>
                <w:b/>
                <w:lang w:val="en-AU"/>
              </w:rPr>
              <w:t xml:space="preserve">Additional funding </w:t>
            </w:r>
          </w:p>
        </w:tc>
        <w:tc>
          <w:tcPr>
            <w:tcW w:w="2835" w:type="dxa"/>
            <w:tcBorders>
              <w:top w:val="dashSmallGap" w:sz="4" w:space="0" w:color="auto"/>
              <w:bottom w:val="single" w:sz="8" w:space="0" w:color="auto"/>
            </w:tcBorders>
          </w:tcPr>
          <w:p w14:paraId="73019E9F" w14:textId="77777777" w:rsidR="00F136F2" w:rsidRPr="00207DC2" w:rsidRDefault="00F136F2" w:rsidP="00B24E7D">
            <w:pPr>
              <w:pStyle w:val="TableText"/>
              <w:keepNext/>
              <w:keepLines/>
              <w:spacing w:after="120"/>
              <w:ind w:left="34"/>
              <w:jc w:val="both"/>
              <w:rPr>
                <w:lang w:val="en-AU"/>
              </w:rPr>
            </w:pPr>
            <w:r w:rsidRPr="00207DC2">
              <w:rPr>
                <w:lang w:val="en-AU"/>
              </w:rPr>
              <w:t xml:space="preserve">Wage subsidies for certain cohorts </w:t>
            </w:r>
          </w:p>
        </w:tc>
        <w:tc>
          <w:tcPr>
            <w:tcW w:w="4677" w:type="dxa"/>
            <w:tcBorders>
              <w:top w:val="dashSmallGap" w:sz="4" w:space="0" w:color="auto"/>
              <w:bottom w:val="single" w:sz="8" w:space="0" w:color="auto"/>
            </w:tcBorders>
          </w:tcPr>
          <w:p w14:paraId="202F1DA5" w14:textId="77777777" w:rsidR="00F136F2" w:rsidRPr="00207DC2" w:rsidRDefault="00F136F2" w:rsidP="00B24E7D">
            <w:pPr>
              <w:pStyle w:val="TableText"/>
              <w:keepNext/>
              <w:keepLines/>
              <w:spacing w:after="120"/>
              <w:ind w:left="34"/>
              <w:jc w:val="both"/>
              <w:rPr>
                <w:lang w:val="en-AU"/>
              </w:rPr>
            </w:pPr>
            <w:r w:rsidRPr="00207DC2">
              <w:rPr>
                <w:szCs w:val="20"/>
                <w:lang w:val="en-AU"/>
              </w:rPr>
              <w:t xml:space="preserve">A wider variety of demand driven wage subsidies for those considered less job ready including young, mature-age, long-term unemployed, Indigenous </w:t>
            </w:r>
            <w:r w:rsidR="00A433B2" w:rsidRPr="00207DC2">
              <w:rPr>
                <w:szCs w:val="20"/>
                <w:lang w:val="en-AU"/>
              </w:rPr>
              <w:t>(</w:t>
            </w:r>
            <w:r w:rsidR="008E080B" w:rsidRPr="00207DC2">
              <w:rPr>
                <w:szCs w:val="20"/>
                <w:lang w:val="en-AU"/>
              </w:rPr>
              <w:t>and principal carer parent job</w:t>
            </w:r>
            <w:r w:rsidRPr="00207DC2">
              <w:rPr>
                <w:szCs w:val="20"/>
                <w:lang w:val="en-AU"/>
              </w:rPr>
              <w:t>seekers</w:t>
            </w:r>
            <w:r w:rsidR="008E080B" w:rsidRPr="00207DC2">
              <w:rPr>
                <w:szCs w:val="20"/>
                <w:lang w:val="en-AU"/>
              </w:rPr>
              <w:t xml:space="preserve"> from 1 </w:t>
            </w:r>
            <w:r w:rsidR="00A433B2" w:rsidRPr="00207DC2">
              <w:rPr>
                <w:szCs w:val="20"/>
                <w:lang w:val="en-AU"/>
              </w:rPr>
              <w:t>Nov</w:t>
            </w:r>
            <w:r w:rsidR="009A6ABC" w:rsidRPr="00207DC2">
              <w:rPr>
                <w:szCs w:val="20"/>
                <w:lang w:val="en-AU"/>
              </w:rPr>
              <w:t>ember</w:t>
            </w:r>
            <w:r w:rsidR="008E080B" w:rsidRPr="00207DC2">
              <w:rPr>
                <w:szCs w:val="20"/>
                <w:lang w:val="en-AU"/>
              </w:rPr>
              <w:t> </w:t>
            </w:r>
            <w:r w:rsidR="00A433B2" w:rsidRPr="00207DC2">
              <w:rPr>
                <w:szCs w:val="20"/>
                <w:lang w:val="en-AU"/>
              </w:rPr>
              <w:t>2015)</w:t>
            </w:r>
            <w:r w:rsidRPr="00207DC2">
              <w:rPr>
                <w:lang w:val="en-AU"/>
              </w:rPr>
              <w:t>.</w:t>
            </w:r>
          </w:p>
        </w:tc>
      </w:tr>
    </w:tbl>
    <w:p w14:paraId="3707F002" w14:textId="77777777" w:rsidR="00DF7D3E" w:rsidRPr="00207DC2" w:rsidRDefault="00AA592F" w:rsidP="00FB626D">
      <w:pPr>
        <w:pStyle w:val="tablenotes"/>
      </w:pPr>
      <w:r w:rsidRPr="00207DC2">
        <w:rPr>
          <w:i/>
        </w:rPr>
        <w:t>Source:</w:t>
      </w:r>
      <w:r w:rsidRPr="00207DC2">
        <w:t xml:space="preserve"> </w:t>
      </w:r>
      <w:r w:rsidR="00710DD6" w:rsidRPr="00207DC2">
        <w:t>Internal documents provided by DJSB.</w:t>
      </w:r>
      <w:r w:rsidR="004151E6" w:rsidRPr="00207DC2">
        <w:t xml:space="preserve"> </w:t>
      </w:r>
    </w:p>
    <w:p w14:paraId="468F52AB" w14:textId="77777777" w:rsidR="00F136F2" w:rsidRPr="00207DC2" w:rsidRDefault="00F136F2" w:rsidP="00FB626D">
      <w:pPr>
        <w:pStyle w:val="tablenotes"/>
      </w:pPr>
      <w:r w:rsidRPr="00207DC2">
        <w:rPr>
          <w:i/>
        </w:rPr>
        <w:t>Notes:</w:t>
      </w:r>
      <w:r w:rsidRPr="00207DC2">
        <w:t xml:space="preserve"> </w:t>
      </w:r>
      <w:r w:rsidR="000F1333" w:rsidRPr="00207DC2">
        <w:t>(a)</w:t>
      </w:r>
      <w:r w:rsidRPr="00207DC2">
        <w:t xml:space="preserve"> Other changes introduced under jobactive included specific targets for increasing Indigenous employment outcomes that form part of jobactive providers’ o</w:t>
      </w:r>
      <w:r w:rsidR="00456830" w:rsidRPr="00207DC2">
        <w:t>ngoing performance assessment (</w:t>
      </w:r>
      <w:r w:rsidRPr="00207DC2">
        <w:t xml:space="preserve">JSA had alternative methods to encourage indigenous employment, for example mentoring). </w:t>
      </w:r>
    </w:p>
    <w:p w14:paraId="03635114" w14:textId="77777777" w:rsidR="00F3304A" w:rsidRPr="00207DC2" w:rsidRDefault="00F3304A" w:rsidP="00FB626D">
      <w:pPr>
        <w:pStyle w:val="Table"/>
        <w:tabs>
          <w:tab w:val="left" w:pos="6663"/>
        </w:tabs>
        <w:outlineLvl w:val="9"/>
        <w:rPr>
          <w:rStyle w:val="BookTitle"/>
          <w:b w:val="0"/>
          <w:bCs w:val="0"/>
          <w:smallCaps w:val="0"/>
          <w:spacing w:val="22"/>
        </w:rPr>
      </w:pPr>
      <w:r w:rsidRPr="00207DC2">
        <w:t xml:space="preserve">Table </w:t>
      </w:r>
      <w:r w:rsidR="00E9279F" w:rsidRPr="00207DC2">
        <w:t>A</w:t>
      </w:r>
      <w:r w:rsidRPr="00207DC2">
        <w:t>.</w:t>
      </w:r>
      <w:r w:rsidR="00E9279F" w:rsidRPr="00207DC2">
        <w:t>3</w:t>
      </w:r>
      <w:r w:rsidRPr="00207DC2">
        <w:t xml:space="preserve"> Community Development Programme regions, communities and participants, 1 January 2016</w:t>
      </w:r>
      <w:r w:rsidRPr="00207DC2">
        <w:rPr>
          <w:b/>
          <w:vertAlign w:val="superscript"/>
        </w:rPr>
        <w:t>a,b</w:t>
      </w:r>
      <w:r w:rsidRPr="00207DC2">
        <w:t xml:space="preserve"> </w:t>
      </w:r>
    </w:p>
    <w:tbl>
      <w:tblPr>
        <w:tblW w:w="9078" w:type="dxa"/>
        <w:tblInd w:w="103" w:type="dxa"/>
        <w:tblBorders>
          <w:top w:val="single" w:sz="4" w:space="0" w:color="auto"/>
          <w:bottom w:val="single" w:sz="4" w:space="0" w:color="auto"/>
        </w:tblBorders>
        <w:tblLayout w:type="fixed"/>
        <w:tblLook w:val="04A0" w:firstRow="1" w:lastRow="0" w:firstColumn="1" w:lastColumn="0" w:noHBand="0" w:noVBand="1"/>
        <w:tblCaption w:val="Community Development Programme regions, communities and participants, 1 January 2016"/>
        <w:tblDescription w:val="The table compares the number of CDP regions, communities and participants in each state and territory and for Australia as a whole, and the proportion of participants identifying as Indigenous in each state and territory, on 1 January 2016. The number of CDP communities and participants is highest in the Northern Territory, followed by Western Australia, Queensland, South Australia and New South Wales. There are no CDP regions in Victoria, Tasmania or the Australian Capital Territory. The proportion of CDP participants identifying as Indigenous is highest in the Northern Territory, at 93 per cent; followed by Western Australia and Queensland (at 79 per cent and 78 per cent respectively), New South Wales (74 per cent) and South Australia (60 per cent)."/>
      </w:tblPr>
      <w:tblGrid>
        <w:gridCol w:w="2449"/>
        <w:gridCol w:w="1276"/>
        <w:gridCol w:w="1809"/>
        <w:gridCol w:w="1701"/>
        <w:gridCol w:w="1843"/>
      </w:tblGrid>
      <w:tr w:rsidR="00F3304A" w:rsidRPr="00207DC2" w:rsidDel="00A4226D" w14:paraId="21B9E64D" w14:textId="77777777" w:rsidTr="00E40663">
        <w:trPr>
          <w:trHeight w:val="510"/>
          <w:tblHeader/>
        </w:trPr>
        <w:tc>
          <w:tcPr>
            <w:tcW w:w="2449" w:type="dxa"/>
            <w:tcBorders>
              <w:top w:val="single" w:sz="4" w:space="0" w:color="auto"/>
              <w:bottom w:val="single" w:sz="4" w:space="0" w:color="auto"/>
            </w:tcBorders>
            <w:shd w:val="clear" w:color="auto" w:fill="auto"/>
            <w:vAlign w:val="center"/>
            <w:hideMark/>
          </w:tcPr>
          <w:p w14:paraId="142A0F69" w14:textId="77777777" w:rsidR="00F3304A" w:rsidRPr="00207DC2" w:rsidRDefault="00F3304A" w:rsidP="00FB626D">
            <w:pPr>
              <w:pStyle w:val="TableText"/>
              <w:keepNext/>
              <w:keepLines/>
              <w:spacing w:before="0" w:after="0"/>
              <w:jc w:val="right"/>
              <w:rPr>
                <w:sz w:val="22"/>
                <w:lang w:val="en-AU"/>
              </w:rPr>
            </w:pPr>
          </w:p>
        </w:tc>
        <w:tc>
          <w:tcPr>
            <w:tcW w:w="1276" w:type="dxa"/>
            <w:tcBorders>
              <w:top w:val="single" w:sz="4" w:space="0" w:color="auto"/>
              <w:bottom w:val="single" w:sz="4" w:space="0" w:color="auto"/>
            </w:tcBorders>
            <w:shd w:val="clear" w:color="auto" w:fill="auto"/>
            <w:vAlign w:val="center"/>
            <w:hideMark/>
          </w:tcPr>
          <w:p w14:paraId="2C9DE9E4" w14:textId="77777777" w:rsidR="00F3304A" w:rsidRPr="00207DC2" w:rsidRDefault="00F3304A" w:rsidP="00FB626D">
            <w:pPr>
              <w:pStyle w:val="TableText"/>
              <w:keepNext/>
              <w:keepLines/>
              <w:spacing w:before="0" w:after="0"/>
              <w:ind w:left="142" w:right="142"/>
              <w:jc w:val="right"/>
              <w:rPr>
                <w:b/>
                <w:szCs w:val="20"/>
                <w:lang w:val="en-AU"/>
              </w:rPr>
            </w:pPr>
            <w:r w:rsidRPr="00207DC2">
              <w:rPr>
                <w:b/>
                <w:szCs w:val="20"/>
                <w:lang w:val="en-AU"/>
              </w:rPr>
              <w:t>CDP Regions</w:t>
            </w:r>
          </w:p>
        </w:tc>
        <w:tc>
          <w:tcPr>
            <w:tcW w:w="1809" w:type="dxa"/>
            <w:tcBorders>
              <w:top w:val="single" w:sz="4" w:space="0" w:color="auto"/>
              <w:bottom w:val="single" w:sz="4" w:space="0" w:color="auto"/>
            </w:tcBorders>
            <w:shd w:val="clear" w:color="auto" w:fill="auto"/>
            <w:vAlign w:val="center"/>
          </w:tcPr>
          <w:p w14:paraId="412292E4" w14:textId="77777777" w:rsidR="00F3304A" w:rsidRPr="00207DC2" w:rsidRDefault="00F3304A" w:rsidP="00FB626D">
            <w:pPr>
              <w:pStyle w:val="TableText"/>
              <w:keepNext/>
              <w:keepLines/>
              <w:spacing w:before="0" w:after="0"/>
              <w:ind w:left="142" w:right="142"/>
              <w:jc w:val="right"/>
              <w:rPr>
                <w:b/>
                <w:szCs w:val="20"/>
                <w:lang w:val="en-AU"/>
              </w:rPr>
            </w:pPr>
            <w:r w:rsidRPr="00207DC2">
              <w:rPr>
                <w:b/>
                <w:szCs w:val="20"/>
                <w:lang w:val="en-AU"/>
              </w:rPr>
              <w:t>Communities</w:t>
            </w:r>
          </w:p>
        </w:tc>
        <w:tc>
          <w:tcPr>
            <w:tcW w:w="1701" w:type="dxa"/>
            <w:tcBorders>
              <w:top w:val="single" w:sz="4" w:space="0" w:color="auto"/>
              <w:bottom w:val="single" w:sz="4" w:space="0" w:color="auto"/>
            </w:tcBorders>
            <w:shd w:val="clear" w:color="auto" w:fill="auto"/>
            <w:vAlign w:val="center"/>
          </w:tcPr>
          <w:p w14:paraId="6669FE1B" w14:textId="77777777" w:rsidR="00F3304A" w:rsidRPr="00207DC2" w:rsidRDefault="00F3304A" w:rsidP="00FB626D">
            <w:pPr>
              <w:pStyle w:val="TableText"/>
              <w:keepNext/>
              <w:keepLines/>
              <w:spacing w:before="0" w:after="0"/>
              <w:ind w:left="142" w:right="142"/>
              <w:jc w:val="right"/>
              <w:rPr>
                <w:b/>
                <w:szCs w:val="20"/>
                <w:lang w:val="en-AU"/>
              </w:rPr>
            </w:pPr>
            <w:r w:rsidRPr="00207DC2">
              <w:rPr>
                <w:b/>
                <w:szCs w:val="20"/>
                <w:lang w:val="en-AU"/>
              </w:rPr>
              <w:t>Participants</w:t>
            </w:r>
          </w:p>
        </w:tc>
        <w:tc>
          <w:tcPr>
            <w:tcW w:w="1843" w:type="dxa"/>
            <w:tcBorders>
              <w:top w:val="single" w:sz="4" w:space="0" w:color="auto"/>
              <w:bottom w:val="single" w:sz="4" w:space="0" w:color="auto"/>
            </w:tcBorders>
            <w:shd w:val="clear" w:color="auto" w:fill="auto"/>
            <w:vAlign w:val="center"/>
          </w:tcPr>
          <w:p w14:paraId="0B464461" w14:textId="77777777" w:rsidR="00F3304A" w:rsidRPr="00207DC2" w:rsidDel="00A4226D" w:rsidRDefault="00F3304A" w:rsidP="00FB626D">
            <w:pPr>
              <w:pStyle w:val="TableText"/>
              <w:keepNext/>
              <w:keepLines/>
              <w:spacing w:before="0" w:after="0"/>
              <w:ind w:left="142" w:right="142"/>
              <w:jc w:val="right"/>
              <w:rPr>
                <w:b/>
                <w:szCs w:val="20"/>
                <w:lang w:val="en-AU"/>
              </w:rPr>
            </w:pPr>
            <w:r w:rsidRPr="00207DC2">
              <w:rPr>
                <w:b/>
                <w:szCs w:val="20"/>
                <w:lang w:val="en-AU"/>
              </w:rPr>
              <w:t>Participants identifying as Indigenous</w:t>
            </w:r>
          </w:p>
        </w:tc>
      </w:tr>
      <w:tr w:rsidR="00F3304A" w:rsidRPr="00207DC2" w14:paraId="1FFD44DF" w14:textId="77777777" w:rsidTr="00E40663">
        <w:trPr>
          <w:trHeight w:val="300"/>
        </w:trPr>
        <w:tc>
          <w:tcPr>
            <w:tcW w:w="2449" w:type="dxa"/>
            <w:tcBorders>
              <w:top w:val="single" w:sz="4" w:space="0" w:color="auto"/>
            </w:tcBorders>
            <w:shd w:val="clear" w:color="auto" w:fill="auto"/>
            <w:noWrap/>
            <w:vAlign w:val="center"/>
          </w:tcPr>
          <w:p w14:paraId="73C4E020" w14:textId="77777777" w:rsidR="00F3304A" w:rsidRPr="00207DC2" w:rsidRDefault="00F3304A" w:rsidP="00FB626D">
            <w:pPr>
              <w:keepNext/>
              <w:keepLines/>
              <w:spacing w:before="0" w:after="0" w:line="240" w:lineRule="auto"/>
              <w:ind w:left="142" w:right="142"/>
              <w:rPr>
                <w:b/>
                <w:szCs w:val="20"/>
                <w:lang w:val="en-AU" w:eastAsia="en-AU"/>
              </w:rPr>
            </w:pPr>
            <w:r w:rsidRPr="00207DC2">
              <w:rPr>
                <w:b/>
                <w:szCs w:val="20"/>
                <w:lang w:val="en-AU" w:eastAsia="en-AU"/>
              </w:rPr>
              <w:t>Northern Territory</w:t>
            </w:r>
          </w:p>
        </w:tc>
        <w:tc>
          <w:tcPr>
            <w:tcW w:w="1276" w:type="dxa"/>
            <w:tcBorders>
              <w:top w:val="single" w:sz="4" w:space="0" w:color="auto"/>
            </w:tcBorders>
            <w:shd w:val="clear" w:color="auto" w:fill="auto"/>
            <w:noWrap/>
            <w:vAlign w:val="center"/>
          </w:tcPr>
          <w:p w14:paraId="62D728C1"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23</w:t>
            </w:r>
          </w:p>
        </w:tc>
        <w:tc>
          <w:tcPr>
            <w:tcW w:w="1809" w:type="dxa"/>
            <w:tcBorders>
              <w:top w:val="single" w:sz="4" w:space="0" w:color="auto"/>
            </w:tcBorders>
            <w:shd w:val="clear" w:color="auto" w:fill="auto"/>
            <w:vAlign w:val="center"/>
          </w:tcPr>
          <w:p w14:paraId="73435B23"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424</w:t>
            </w:r>
          </w:p>
        </w:tc>
        <w:tc>
          <w:tcPr>
            <w:tcW w:w="1701" w:type="dxa"/>
            <w:tcBorders>
              <w:top w:val="single" w:sz="4" w:space="0" w:color="auto"/>
            </w:tcBorders>
            <w:shd w:val="clear" w:color="auto" w:fill="auto"/>
          </w:tcPr>
          <w:p w14:paraId="7A0C448C"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42%</w:t>
            </w:r>
          </w:p>
        </w:tc>
        <w:tc>
          <w:tcPr>
            <w:tcW w:w="1843" w:type="dxa"/>
            <w:tcBorders>
              <w:top w:val="single" w:sz="4" w:space="0" w:color="auto"/>
            </w:tcBorders>
            <w:shd w:val="clear" w:color="auto" w:fill="auto"/>
          </w:tcPr>
          <w:p w14:paraId="43AEB25C"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93%</w:t>
            </w:r>
          </w:p>
        </w:tc>
      </w:tr>
      <w:tr w:rsidR="00F3304A" w:rsidRPr="00207DC2" w14:paraId="4910F27D" w14:textId="77777777" w:rsidTr="00E40663">
        <w:trPr>
          <w:trHeight w:val="300"/>
        </w:trPr>
        <w:tc>
          <w:tcPr>
            <w:tcW w:w="2449" w:type="dxa"/>
            <w:shd w:val="clear" w:color="auto" w:fill="auto"/>
            <w:noWrap/>
            <w:vAlign w:val="center"/>
          </w:tcPr>
          <w:p w14:paraId="5247E37F" w14:textId="77777777" w:rsidR="00F3304A" w:rsidRPr="00207DC2" w:rsidRDefault="00F3304A" w:rsidP="00FB626D">
            <w:pPr>
              <w:keepNext/>
              <w:keepLines/>
              <w:spacing w:before="0" w:after="0" w:line="240" w:lineRule="auto"/>
              <w:ind w:left="142" w:right="142"/>
              <w:rPr>
                <w:b/>
                <w:szCs w:val="20"/>
                <w:lang w:val="en-AU" w:eastAsia="en-AU"/>
              </w:rPr>
            </w:pPr>
            <w:r w:rsidRPr="00207DC2">
              <w:rPr>
                <w:b/>
                <w:szCs w:val="20"/>
                <w:lang w:val="en-AU" w:eastAsia="en-AU"/>
              </w:rPr>
              <w:t>Queensland</w:t>
            </w:r>
          </w:p>
        </w:tc>
        <w:tc>
          <w:tcPr>
            <w:tcW w:w="1276" w:type="dxa"/>
            <w:shd w:val="clear" w:color="auto" w:fill="auto"/>
            <w:noWrap/>
            <w:vAlign w:val="center"/>
          </w:tcPr>
          <w:p w14:paraId="2AEF59BA"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16</w:t>
            </w:r>
          </w:p>
        </w:tc>
        <w:tc>
          <w:tcPr>
            <w:tcW w:w="1809" w:type="dxa"/>
            <w:shd w:val="clear" w:color="auto" w:fill="auto"/>
            <w:vAlign w:val="center"/>
          </w:tcPr>
          <w:p w14:paraId="3B51FF33"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180</w:t>
            </w:r>
          </w:p>
        </w:tc>
        <w:tc>
          <w:tcPr>
            <w:tcW w:w="1701" w:type="dxa"/>
            <w:shd w:val="clear" w:color="auto" w:fill="auto"/>
          </w:tcPr>
          <w:p w14:paraId="53B81E12"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21%</w:t>
            </w:r>
          </w:p>
        </w:tc>
        <w:tc>
          <w:tcPr>
            <w:tcW w:w="1843" w:type="dxa"/>
            <w:shd w:val="clear" w:color="auto" w:fill="auto"/>
          </w:tcPr>
          <w:p w14:paraId="59666A82"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78%</w:t>
            </w:r>
          </w:p>
        </w:tc>
      </w:tr>
      <w:tr w:rsidR="00F3304A" w:rsidRPr="00207DC2" w14:paraId="3CB59170" w14:textId="77777777" w:rsidTr="00E40663">
        <w:trPr>
          <w:trHeight w:val="300"/>
        </w:trPr>
        <w:tc>
          <w:tcPr>
            <w:tcW w:w="2449" w:type="dxa"/>
            <w:shd w:val="clear" w:color="auto" w:fill="auto"/>
            <w:noWrap/>
            <w:vAlign w:val="center"/>
          </w:tcPr>
          <w:p w14:paraId="2A338984" w14:textId="77777777" w:rsidR="00F3304A" w:rsidRPr="00207DC2" w:rsidRDefault="00F3304A" w:rsidP="00FB626D">
            <w:pPr>
              <w:keepNext/>
              <w:keepLines/>
              <w:spacing w:before="0" w:after="0" w:line="240" w:lineRule="auto"/>
              <w:ind w:left="142" w:right="142"/>
              <w:rPr>
                <w:b/>
                <w:szCs w:val="20"/>
                <w:lang w:val="en-AU" w:eastAsia="en-AU"/>
              </w:rPr>
            </w:pPr>
            <w:r w:rsidRPr="00207DC2">
              <w:rPr>
                <w:b/>
                <w:szCs w:val="20"/>
                <w:lang w:val="en-AU" w:eastAsia="en-AU"/>
              </w:rPr>
              <w:t>Western Australia</w:t>
            </w:r>
          </w:p>
        </w:tc>
        <w:tc>
          <w:tcPr>
            <w:tcW w:w="1276" w:type="dxa"/>
            <w:shd w:val="clear" w:color="auto" w:fill="auto"/>
            <w:noWrap/>
            <w:vAlign w:val="center"/>
          </w:tcPr>
          <w:p w14:paraId="162F5A35"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14</w:t>
            </w:r>
          </w:p>
        </w:tc>
        <w:tc>
          <w:tcPr>
            <w:tcW w:w="1809" w:type="dxa"/>
            <w:shd w:val="clear" w:color="auto" w:fill="auto"/>
            <w:vAlign w:val="center"/>
          </w:tcPr>
          <w:p w14:paraId="31A46125"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308</w:t>
            </w:r>
          </w:p>
        </w:tc>
        <w:tc>
          <w:tcPr>
            <w:tcW w:w="1701" w:type="dxa"/>
            <w:shd w:val="clear" w:color="auto" w:fill="auto"/>
          </w:tcPr>
          <w:p w14:paraId="0A2FA3A2"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27%</w:t>
            </w:r>
          </w:p>
        </w:tc>
        <w:tc>
          <w:tcPr>
            <w:tcW w:w="1843" w:type="dxa"/>
            <w:shd w:val="clear" w:color="auto" w:fill="auto"/>
          </w:tcPr>
          <w:p w14:paraId="60A53380"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79%</w:t>
            </w:r>
          </w:p>
        </w:tc>
      </w:tr>
      <w:tr w:rsidR="00F3304A" w:rsidRPr="00207DC2" w14:paraId="607F9BEF" w14:textId="77777777" w:rsidTr="00E40663">
        <w:trPr>
          <w:trHeight w:val="300"/>
        </w:trPr>
        <w:tc>
          <w:tcPr>
            <w:tcW w:w="2449" w:type="dxa"/>
            <w:shd w:val="clear" w:color="auto" w:fill="auto"/>
            <w:noWrap/>
            <w:vAlign w:val="center"/>
          </w:tcPr>
          <w:p w14:paraId="1C994AA9" w14:textId="77777777" w:rsidR="00F3304A" w:rsidRPr="00207DC2" w:rsidRDefault="00F3304A" w:rsidP="00FB626D">
            <w:pPr>
              <w:keepNext/>
              <w:keepLines/>
              <w:spacing w:before="0" w:after="0" w:line="240" w:lineRule="auto"/>
              <w:ind w:left="142" w:right="142"/>
              <w:rPr>
                <w:b/>
                <w:szCs w:val="20"/>
                <w:lang w:val="en-AU" w:eastAsia="en-AU"/>
              </w:rPr>
            </w:pPr>
            <w:r w:rsidRPr="00207DC2">
              <w:rPr>
                <w:b/>
                <w:szCs w:val="20"/>
                <w:lang w:val="en-AU" w:eastAsia="en-AU"/>
              </w:rPr>
              <w:t>South Australia</w:t>
            </w:r>
          </w:p>
        </w:tc>
        <w:tc>
          <w:tcPr>
            <w:tcW w:w="1276" w:type="dxa"/>
            <w:shd w:val="clear" w:color="auto" w:fill="auto"/>
            <w:noWrap/>
            <w:vAlign w:val="center"/>
          </w:tcPr>
          <w:p w14:paraId="3FD1E81F"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4</w:t>
            </w:r>
          </w:p>
        </w:tc>
        <w:tc>
          <w:tcPr>
            <w:tcW w:w="1809" w:type="dxa"/>
            <w:shd w:val="clear" w:color="auto" w:fill="auto"/>
            <w:vAlign w:val="center"/>
          </w:tcPr>
          <w:p w14:paraId="72C2C5F9"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135</w:t>
            </w:r>
          </w:p>
        </w:tc>
        <w:tc>
          <w:tcPr>
            <w:tcW w:w="1701" w:type="dxa"/>
            <w:shd w:val="clear" w:color="auto" w:fill="auto"/>
          </w:tcPr>
          <w:p w14:paraId="3531E40F"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7%</w:t>
            </w:r>
          </w:p>
        </w:tc>
        <w:tc>
          <w:tcPr>
            <w:tcW w:w="1843" w:type="dxa"/>
            <w:shd w:val="clear" w:color="auto" w:fill="auto"/>
          </w:tcPr>
          <w:p w14:paraId="5606DE00"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60%</w:t>
            </w:r>
          </w:p>
        </w:tc>
      </w:tr>
      <w:tr w:rsidR="00F3304A" w:rsidRPr="00207DC2" w14:paraId="3A3DAE3D" w14:textId="77777777" w:rsidTr="00E40663">
        <w:trPr>
          <w:trHeight w:val="300"/>
        </w:trPr>
        <w:tc>
          <w:tcPr>
            <w:tcW w:w="2449" w:type="dxa"/>
            <w:shd w:val="clear" w:color="auto" w:fill="auto"/>
            <w:noWrap/>
            <w:vAlign w:val="center"/>
          </w:tcPr>
          <w:p w14:paraId="1A8E1C48" w14:textId="77777777" w:rsidR="00F3304A" w:rsidRPr="00207DC2" w:rsidRDefault="00F3304A" w:rsidP="00FB626D">
            <w:pPr>
              <w:keepNext/>
              <w:keepLines/>
              <w:spacing w:before="0" w:after="0" w:line="240" w:lineRule="auto"/>
              <w:ind w:left="142" w:right="142"/>
              <w:rPr>
                <w:b/>
                <w:szCs w:val="20"/>
                <w:lang w:val="en-AU" w:eastAsia="en-AU"/>
              </w:rPr>
            </w:pPr>
            <w:r w:rsidRPr="00207DC2">
              <w:rPr>
                <w:b/>
                <w:szCs w:val="20"/>
                <w:lang w:val="en-AU" w:eastAsia="en-AU"/>
              </w:rPr>
              <w:t>New South Wales</w:t>
            </w:r>
          </w:p>
        </w:tc>
        <w:tc>
          <w:tcPr>
            <w:tcW w:w="1276" w:type="dxa"/>
            <w:shd w:val="clear" w:color="auto" w:fill="auto"/>
            <w:noWrap/>
            <w:vAlign w:val="center"/>
          </w:tcPr>
          <w:p w14:paraId="58DFC4AE"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2</w:t>
            </w:r>
          </w:p>
        </w:tc>
        <w:tc>
          <w:tcPr>
            <w:tcW w:w="1809" w:type="dxa"/>
            <w:shd w:val="clear" w:color="auto" w:fill="auto"/>
            <w:vAlign w:val="center"/>
          </w:tcPr>
          <w:p w14:paraId="1B892ED7"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29</w:t>
            </w:r>
          </w:p>
        </w:tc>
        <w:tc>
          <w:tcPr>
            <w:tcW w:w="1701" w:type="dxa"/>
            <w:shd w:val="clear" w:color="auto" w:fill="auto"/>
          </w:tcPr>
          <w:p w14:paraId="78D6A998"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3%</w:t>
            </w:r>
          </w:p>
        </w:tc>
        <w:tc>
          <w:tcPr>
            <w:tcW w:w="1843" w:type="dxa"/>
            <w:shd w:val="clear" w:color="auto" w:fill="auto"/>
          </w:tcPr>
          <w:p w14:paraId="5E3534F6" w14:textId="77777777" w:rsidR="00F3304A" w:rsidRPr="00207DC2" w:rsidRDefault="00F3304A" w:rsidP="00FB626D">
            <w:pPr>
              <w:pStyle w:val="TableText"/>
              <w:keepNext/>
              <w:keepLines/>
              <w:spacing w:before="0" w:after="0"/>
              <w:ind w:left="142" w:right="142"/>
              <w:jc w:val="right"/>
              <w:rPr>
                <w:szCs w:val="20"/>
                <w:lang w:val="en-AU" w:eastAsia="en-AU"/>
              </w:rPr>
            </w:pPr>
            <w:r w:rsidRPr="00207DC2">
              <w:rPr>
                <w:szCs w:val="20"/>
                <w:lang w:val="en-AU" w:eastAsia="en-AU"/>
              </w:rPr>
              <w:t>74%</w:t>
            </w:r>
          </w:p>
        </w:tc>
      </w:tr>
      <w:tr w:rsidR="00F3304A" w:rsidRPr="00207DC2" w14:paraId="6A5E37DB" w14:textId="77777777" w:rsidTr="00E40663">
        <w:trPr>
          <w:trHeight w:val="300"/>
        </w:trPr>
        <w:tc>
          <w:tcPr>
            <w:tcW w:w="2449" w:type="dxa"/>
            <w:tcBorders>
              <w:top w:val="dashSmallGap" w:sz="4" w:space="0" w:color="auto"/>
              <w:bottom w:val="single" w:sz="4" w:space="0" w:color="auto"/>
            </w:tcBorders>
            <w:shd w:val="clear" w:color="auto" w:fill="auto"/>
            <w:noWrap/>
            <w:vAlign w:val="center"/>
          </w:tcPr>
          <w:p w14:paraId="6B523113" w14:textId="77777777" w:rsidR="00F3304A" w:rsidRPr="00207DC2" w:rsidRDefault="00F3304A" w:rsidP="00FB626D">
            <w:pPr>
              <w:keepNext/>
              <w:keepLines/>
              <w:spacing w:before="0" w:after="0" w:line="240" w:lineRule="auto"/>
              <w:ind w:left="142" w:right="142"/>
              <w:rPr>
                <w:rFonts w:eastAsia="Times New Roman" w:cs="Arial"/>
                <w:b/>
                <w:color w:val="000000"/>
                <w:szCs w:val="20"/>
                <w:lang w:val="en-AU" w:eastAsia="en-AU"/>
              </w:rPr>
            </w:pPr>
            <w:r w:rsidRPr="00207DC2">
              <w:rPr>
                <w:rFonts w:eastAsia="Times New Roman" w:cs="Arial"/>
                <w:b/>
                <w:color w:val="000000"/>
                <w:szCs w:val="20"/>
                <w:lang w:val="en-AU" w:eastAsia="en-AU"/>
              </w:rPr>
              <w:t>Total</w:t>
            </w:r>
          </w:p>
        </w:tc>
        <w:tc>
          <w:tcPr>
            <w:tcW w:w="1276" w:type="dxa"/>
            <w:tcBorders>
              <w:top w:val="dashSmallGap" w:sz="4" w:space="0" w:color="auto"/>
              <w:bottom w:val="single" w:sz="4" w:space="0" w:color="auto"/>
            </w:tcBorders>
            <w:shd w:val="clear" w:color="auto" w:fill="auto"/>
            <w:noWrap/>
            <w:vAlign w:val="center"/>
          </w:tcPr>
          <w:p w14:paraId="4B319AB7" w14:textId="77777777" w:rsidR="00F3304A" w:rsidRPr="00207DC2" w:rsidRDefault="00F3304A" w:rsidP="00FB626D">
            <w:pPr>
              <w:keepNext/>
              <w:keepLines/>
              <w:spacing w:before="0" w:after="0" w:line="240" w:lineRule="auto"/>
              <w:ind w:left="142" w:right="142"/>
              <w:jc w:val="right"/>
              <w:rPr>
                <w:rFonts w:eastAsia="Times New Roman" w:cs="Arial"/>
                <w:b/>
                <w:color w:val="000000"/>
                <w:szCs w:val="20"/>
                <w:lang w:val="en-AU" w:eastAsia="en-AU"/>
              </w:rPr>
            </w:pPr>
            <w:r w:rsidRPr="00207DC2">
              <w:rPr>
                <w:rFonts w:eastAsia="Times New Roman" w:cs="Arial"/>
                <w:b/>
                <w:color w:val="000000"/>
                <w:szCs w:val="20"/>
                <w:lang w:val="en-AU" w:eastAsia="en-AU"/>
              </w:rPr>
              <w:t>60</w:t>
            </w:r>
          </w:p>
        </w:tc>
        <w:tc>
          <w:tcPr>
            <w:tcW w:w="1809" w:type="dxa"/>
            <w:tcBorders>
              <w:top w:val="dashSmallGap" w:sz="4" w:space="0" w:color="auto"/>
              <w:bottom w:val="single" w:sz="4" w:space="0" w:color="auto"/>
            </w:tcBorders>
            <w:shd w:val="clear" w:color="auto" w:fill="auto"/>
            <w:vAlign w:val="center"/>
          </w:tcPr>
          <w:p w14:paraId="49093F36" w14:textId="77777777" w:rsidR="00F3304A" w:rsidRPr="00207DC2" w:rsidRDefault="00F3304A" w:rsidP="00FB626D">
            <w:pPr>
              <w:keepNext/>
              <w:keepLines/>
              <w:spacing w:before="0" w:after="0" w:line="240" w:lineRule="auto"/>
              <w:ind w:left="142" w:right="142"/>
              <w:jc w:val="right"/>
              <w:rPr>
                <w:rFonts w:eastAsia="Times New Roman" w:cs="Arial"/>
                <w:b/>
                <w:color w:val="000000"/>
                <w:szCs w:val="20"/>
                <w:lang w:val="en-AU" w:eastAsia="en-AU"/>
              </w:rPr>
            </w:pPr>
            <w:r w:rsidRPr="00207DC2">
              <w:rPr>
                <w:rFonts w:eastAsia="Times New Roman" w:cs="Arial"/>
                <w:b/>
                <w:color w:val="000000"/>
                <w:szCs w:val="20"/>
                <w:lang w:val="en-AU" w:eastAsia="en-AU"/>
              </w:rPr>
              <w:t>1,077</w:t>
            </w:r>
          </w:p>
        </w:tc>
        <w:tc>
          <w:tcPr>
            <w:tcW w:w="1701" w:type="dxa"/>
            <w:tcBorders>
              <w:top w:val="dashSmallGap" w:sz="4" w:space="0" w:color="auto"/>
              <w:bottom w:val="single" w:sz="4" w:space="0" w:color="auto"/>
            </w:tcBorders>
            <w:shd w:val="clear" w:color="auto" w:fill="auto"/>
            <w:vAlign w:val="center"/>
          </w:tcPr>
          <w:p w14:paraId="02CAE791" w14:textId="77777777" w:rsidR="00F3304A" w:rsidRPr="00207DC2" w:rsidRDefault="00F3304A" w:rsidP="00FB626D">
            <w:pPr>
              <w:keepNext/>
              <w:keepLines/>
              <w:spacing w:before="0" w:after="0" w:line="240" w:lineRule="auto"/>
              <w:ind w:left="142" w:right="142"/>
              <w:jc w:val="right"/>
              <w:rPr>
                <w:rFonts w:eastAsia="Times New Roman" w:cs="Arial"/>
                <w:b/>
                <w:color w:val="000000"/>
                <w:szCs w:val="20"/>
                <w:lang w:val="en-AU" w:eastAsia="en-AU"/>
              </w:rPr>
            </w:pPr>
            <w:r w:rsidRPr="00207DC2">
              <w:rPr>
                <w:rFonts w:eastAsia="Times New Roman" w:cs="Arial"/>
                <w:b/>
                <w:color w:val="000000"/>
                <w:szCs w:val="20"/>
                <w:lang w:val="en-AU" w:eastAsia="en-AU"/>
              </w:rPr>
              <w:t>100%</w:t>
            </w:r>
          </w:p>
        </w:tc>
        <w:tc>
          <w:tcPr>
            <w:tcW w:w="1843" w:type="dxa"/>
            <w:tcBorders>
              <w:top w:val="dashSmallGap" w:sz="4" w:space="0" w:color="auto"/>
              <w:bottom w:val="single" w:sz="4" w:space="0" w:color="auto"/>
            </w:tcBorders>
            <w:shd w:val="clear" w:color="auto" w:fill="auto"/>
            <w:vAlign w:val="center"/>
          </w:tcPr>
          <w:p w14:paraId="3D225D33" w14:textId="77777777" w:rsidR="00F3304A" w:rsidRPr="00207DC2" w:rsidRDefault="00F3304A" w:rsidP="00FB626D">
            <w:pPr>
              <w:keepNext/>
              <w:keepLines/>
              <w:spacing w:before="0" w:after="0" w:line="240" w:lineRule="auto"/>
              <w:ind w:left="142" w:right="142"/>
              <w:jc w:val="right"/>
              <w:rPr>
                <w:rFonts w:eastAsia="Times New Roman" w:cs="Arial"/>
                <w:b/>
                <w:color w:val="000000"/>
                <w:szCs w:val="20"/>
                <w:lang w:val="en-AU" w:eastAsia="en-AU"/>
              </w:rPr>
            </w:pPr>
            <w:r w:rsidRPr="00207DC2">
              <w:rPr>
                <w:rFonts w:eastAsia="Times New Roman" w:cs="Arial"/>
                <w:b/>
                <w:color w:val="000000"/>
                <w:szCs w:val="20"/>
                <w:lang w:val="en-AU" w:eastAsia="en-AU"/>
              </w:rPr>
              <w:t>8</w:t>
            </w:r>
            <w:r w:rsidR="00F84ABE" w:rsidRPr="00207DC2">
              <w:rPr>
                <w:rFonts w:eastAsia="Times New Roman" w:cs="Arial"/>
                <w:b/>
                <w:color w:val="000000"/>
                <w:szCs w:val="20"/>
                <w:lang w:val="en-AU" w:eastAsia="en-AU"/>
              </w:rPr>
              <w:t>4</w:t>
            </w:r>
            <w:r w:rsidRPr="00207DC2">
              <w:rPr>
                <w:rFonts w:eastAsia="Times New Roman" w:cs="Arial"/>
                <w:b/>
                <w:color w:val="000000"/>
                <w:szCs w:val="20"/>
                <w:lang w:val="en-AU" w:eastAsia="en-AU"/>
              </w:rPr>
              <w:t>%</w:t>
            </w:r>
          </w:p>
        </w:tc>
      </w:tr>
    </w:tbl>
    <w:p w14:paraId="3B91C498" w14:textId="77777777" w:rsidR="00DF7D3E" w:rsidRPr="00207DC2" w:rsidRDefault="00F3304A" w:rsidP="00FB626D">
      <w:pPr>
        <w:pStyle w:val="tablenotes"/>
      </w:pPr>
      <w:r w:rsidRPr="00207DC2">
        <w:rPr>
          <w:i/>
        </w:rPr>
        <w:t>Source:</w:t>
      </w:r>
      <w:r w:rsidRPr="00207DC2">
        <w:t xml:space="preserve"> </w:t>
      </w:r>
      <w:r w:rsidR="0057565A" w:rsidRPr="00207DC2">
        <w:t>PMC</w:t>
      </w:r>
      <w:r w:rsidRPr="00207DC2">
        <w:t xml:space="preserve"> estimates based on unpublished ESS operational data (extracted on 5 September 2017). </w:t>
      </w:r>
    </w:p>
    <w:p w14:paraId="622FD49B" w14:textId="09A27BC6" w:rsidR="00F3304A" w:rsidRPr="00207DC2" w:rsidRDefault="00F3304A" w:rsidP="00FB626D">
      <w:pPr>
        <w:pStyle w:val="tablenotes"/>
      </w:pPr>
      <w:r w:rsidRPr="00207DC2">
        <w:rPr>
          <w:i/>
        </w:rPr>
        <w:t>Notes:</w:t>
      </w:r>
      <w:r w:rsidRPr="00207DC2">
        <w:t xml:space="preserve"> (a) 1 January 2016 was selected as the most appropriate time period for descriptive statistics as it is the most frequently used sampling date for analysis in this report (being the earliest date to avoid transitional issues in the administrative data). 269 CDP participants had no labour market region code and state was unknown. (b) Due to the small number of participants living in Christmas and Cocos Islands, these areas are not separately identified </w:t>
      </w:r>
      <w:r w:rsidR="00182441">
        <w:t>however</w:t>
      </w:r>
      <w:r w:rsidRPr="00207DC2">
        <w:t xml:space="preserve"> have been included in the total.</w:t>
      </w:r>
    </w:p>
    <w:p w14:paraId="5FFC32E5" w14:textId="77777777" w:rsidR="00A85E3C" w:rsidRPr="00207DC2" w:rsidRDefault="00A85E3C" w:rsidP="00FB626D">
      <w:pPr>
        <w:rPr>
          <w:lang w:val="en-AU"/>
        </w:rPr>
      </w:pPr>
    </w:p>
    <w:p w14:paraId="69396D4E" w14:textId="77777777" w:rsidR="0025705E" w:rsidRPr="00207DC2" w:rsidRDefault="00581320" w:rsidP="00FB626D">
      <w:pPr>
        <w:pStyle w:val="Table"/>
        <w:outlineLvl w:val="9"/>
      </w:pPr>
      <w:r w:rsidRPr="00207DC2">
        <w:t>Table A.</w:t>
      </w:r>
      <w:r w:rsidR="00E9279F" w:rsidRPr="00207DC2">
        <w:t>4</w:t>
      </w:r>
      <w:r w:rsidRPr="00207DC2">
        <w:t xml:space="preserve"> </w:t>
      </w:r>
      <w:r w:rsidR="0092540A" w:rsidRPr="00207DC2">
        <w:t xml:space="preserve">Change in </w:t>
      </w:r>
      <w:r w:rsidR="00B71AFB" w:rsidRPr="00207DC2">
        <w:t>characteristics</w:t>
      </w:r>
      <w:r w:rsidR="004F528D" w:rsidRPr="00207DC2">
        <w:t xml:space="preserve"> of remote employment program participants</w:t>
      </w:r>
    </w:p>
    <w:tbl>
      <w:tblPr>
        <w:tblStyle w:val="TableGrid"/>
        <w:tblW w:w="90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Change in characteristics of remote employment program participants"/>
        <w:tblDescription w:val="The table shows change in the number of remote employment program participants and their characteristics between June 2015, June 2016 and June 2017. The characteristics examined include: whether identifies as Indigenous, activity requirements, sex and age group. Three activity requirements groups are shown: activity tested and required to attend work for the dole, activity tested and not required to attend work for the dole, and voluntary. Two sex groups are shown: female and male. Age groups include less than 18, 18 to 22 years, 23 to 29 years, 30 to 39 years, 40 to 49 years, and 50 years or more. The total number of program participants decreased from around 37,500 in June 2015 to around 34,500 in June 2016 to around 33,400 in June 2017. Over this time period there were declines in the number of CDP participants in most sub groups shown but proportional declines were largest for those in younger age groups and for volunteers."/>
      </w:tblPr>
      <w:tblGrid>
        <w:gridCol w:w="2235"/>
        <w:gridCol w:w="1234"/>
        <w:gridCol w:w="1233"/>
        <w:gridCol w:w="1233"/>
        <w:gridCol w:w="1555"/>
        <w:gridCol w:w="1555"/>
      </w:tblGrid>
      <w:tr w:rsidR="00581320" w:rsidRPr="00207DC2" w14:paraId="78B87A25" w14:textId="77777777" w:rsidTr="000A3951">
        <w:trPr>
          <w:tblHeader/>
        </w:trPr>
        <w:tc>
          <w:tcPr>
            <w:tcW w:w="2235" w:type="dxa"/>
            <w:tcBorders>
              <w:top w:val="single" w:sz="4" w:space="0" w:color="auto"/>
              <w:bottom w:val="single" w:sz="4" w:space="0" w:color="auto"/>
            </w:tcBorders>
          </w:tcPr>
          <w:p w14:paraId="5B233BAD" w14:textId="77777777" w:rsidR="00581320" w:rsidRPr="00207DC2" w:rsidRDefault="00581320" w:rsidP="00FB626D">
            <w:pPr>
              <w:pStyle w:val="TableText"/>
              <w:keepNext/>
              <w:keepLines/>
              <w:rPr>
                <w:b/>
                <w:lang w:val="en-AU"/>
              </w:rPr>
            </w:pPr>
            <w:r w:rsidRPr="00207DC2">
              <w:rPr>
                <w:b/>
                <w:szCs w:val="20"/>
                <w:lang w:val="en-AU" w:eastAsia="en-AU"/>
              </w:rPr>
              <w:t>C</w:t>
            </w:r>
            <w:r w:rsidR="00B71AFB" w:rsidRPr="00207DC2">
              <w:rPr>
                <w:b/>
                <w:szCs w:val="20"/>
                <w:lang w:val="en-AU" w:eastAsia="en-AU"/>
              </w:rPr>
              <w:t>haracteristic</w:t>
            </w:r>
          </w:p>
        </w:tc>
        <w:tc>
          <w:tcPr>
            <w:tcW w:w="1234" w:type="dxa"/>
            <w:tcBorders>
              <w:top w:val="single" w:sz="4" w:space="0" w:color="auto"/>
              <w:bottom w:val="single" w:sz="4" w:space="0" w:color="auto"/>
            </w:tcBorders>
          </w:tcPr>
          <w:p w14:paraId="71B53CBA" w14:textId="77777777" w:rsidR="00471C20" w:rsidRPr="00207DC2" w:rsidRDefault="00471C20" w:rsidP="00FB626D">
            <w:pPr>
              <w:pStyle w:val="TableText"/>
              <w:keepNext/>
              <w:keepLines/>
              <w:jc w:val="center"/>
              <w:rPr>
                <w:rFonts w:eastAsia="Times New Roman" w:cs="Calibri Light"/>
                <w:b/>
                <w:bCs/>
                <w:color w:val="010A11"/>
                <w:spacing w:val="0"/>
                <w:szCs w:val="20"/>
                <w:lang w:val="en-AU" w:eastAsia="en-AU"/>
              </w:rPr>
            </w:pPr>
            <w:r w:rsidRPr="00207DC2">
              <w:rPr>
                <w:rFonts w:eastAsia="Times New Roman" w:cs="Calibri Light"/>
                <w:b/>
                <w:bCs/>
                <w:color w:val="010A11"/>
                <w:spacing w:val="0"/>
                <w:szCs w:val="20"/>
                <w:lang w:val="en-AU" w:eastAsia="en-AU"/>
              </w:rPr>
              <w:t>12 June 2015</w:t>
            </w:r>
          </w:p>
        </w:tc>
        <w:tc>
          <w:tcPr>
            <w:tcW w:w="1233" w:type="dxa"/>
            <w:tcBorders>
              <w:top w:val="single" w:sz="4" w:space="0" w:color="auto"/>
              <w:bottom w:val="single" w:sz="4" w:space="0" w:color="auto"/>
            </w:tcBorders>
          </w:tcPr>
          <w:p w14:paraId="50E7A674" w14:textId="77777777" w:rsidR="00471C20" w:rsidRPr="00207DC2" w:rsidRDefault="00471C20" w:rsidP="00FB626D">
            <w:pPr>
              <w:pStyle w:val="TableText"/>
              <w:keepNext/>
              <w:keepLines/>
              <w:jc w:val="center"/>
              <w:rPr>
                <w:rFonts w:eastAsia="Times New Roman" w:cs="Calibri Light"/>
                <w:b/>
                <w:bCs/>
                <w:color w:val="010A11"/>
                <w:spacing w:val="0"/>
                <w:szCs w:val="20"/>
                <w:lang w:val="en-AU" w:eastAsia="en-AU"/>
              </w:rPr>
            </w:pPr>
            <w:r w:rsidRPr="00207DC2">
              <w:rPr>
                <w:rFonts w:eastAsia="Times New Roman" w:cs="Calibri Light"/>
                <w:b/>
                <w:bCs/>
                <w:color w:val="010A11"/>
                <w:spacing w:val="0"/>
                <w:szCs w:val="20"/>
                <w:lang w:val="en-AU" w:eastAsia="en-AU"/>
              </w:rPr>
              <w:t>10 June 2016</w:t>
            </w:r>
          </w:p>
        </w:tc>
        <w:tc>
          <w:tcPr>
            <w:tcW w:w="1233" w:type="dxa"/>
            <w:tcBorders>
              <w:top w:val="single" w:sz="4" w:space="0" w:color="auto"/>
              <w:bottom w:val="single" w:sz="4" w:space="0" w:color="auto"/>
            </w:tcBorders>
          </w:tcPr>
          <w:p w14:paraId="61E985C8" w14:textId="77777777" w:rsidR="00471C20" w:rsidRPr="00207DC2" w:rsidRDefault="00471C20" w:rsidP="00FB626D">
            <w:pPr>
              <w:pStyle w:val="TableText"/>
              <w:keepNext/>
              <w:keepLines/>
              <w:jc w:val="center"/>
              <w:rPr>
                <w:rFonts w:eastAsia="Times New Roman" w:cs="Calibri Light"/>
                <w:b/>
                <w:bCs/>
                <w:color w:val="010A11"/>
                <w:spacing w:val="0"/>
                <w:szCs w:val="20"/>
                <w:lang w:val="en-AU" w:eastAsia="en-AU"/>
              </w:rPr>
            </w:pPr>
            <w:r w:rsidRPr="00207DC2">
              <w:rPr>
                <w:rFonts w:eastAsia="Times New Roman" w:cs="Calibri Light"/>
                <w:b/>
                <w:bCs/>
                <w:color w:val="010A11"/>
                <w:spacing w:val="0"/>
                <w:szCs w:val="20"/>
                <w:lang w:val="en-AU" w:eastAsia="en-AU"/>
              </w:rPr>
              <w:t>9 June 2017</w:t>
            </w:r>
          </w:p>
        </w:tc>
        <w:tc>
          <w:tcPr>
            <w:tcW w:w="1555" w:type="dxa"/>
            <w:tcBorders>
              <w:top w:val="single" w:sz="4" w:space="0" w:color="auto"/>
              <w:bottom w:val="single" w:sz="4" w:space="0" w:color="auto"/>
            </w:tcBorders>
            <w:vAlign w:val="center"/>
          </w:tcPr>
          <w:p w14:paraId="56BE3B19" w14:textId="77777777" w:rsidR="00581320" w:rsidRPr="00207DC2" w:rsidRDefault="000A5C18" w:rsidP="00FB626D">
            <w:pPr>
              <w:pStyle w:val="TableText"/>
              <w:keepNext/>
              <w:keepLines/>
              <w:jc w:val="center"/>
              <w:rPr>
                <w:b/>
                <w:lang w:val="en-AU"/>
              </w:rPr>
            </w:pPr>
            <w:r w:rsidRPr="00207DC2">
              <w:rPr>
                <w:rFonts w:cs="Calibri Light"/>
                <w:b/>
                <w:color w:val="010A11"/>
                <w:szCs w:val="20"/>
                <w:lang w:val="en-AU"/>
              </w:rPr>
              <w:t>%</w:t>
            </w:r>
            <w:r w:rsidR="00471C20" w:rsidRPr="00207DC2">
              <w:rPr>
                <w:rFonts w:cs="Calibri Light"/>
                <w:b/>
                <w:color w:val="010A11"/>
                <w:szCs w:val="20"/>
                <w:lang w:val="en-AU"/>
              </w:rPr>
              <w:t xml:space="preserve"> change </w:t>
            </w:r>
            <w:r w:rsidRPr="00207DC2">
              <w:rPr>
                <w:rFonts w:cs="Calibri Light"/>
                <w:b/>
                <w:color w:val="010A11"/>
                <w:szCs w:val="20"/>
                <w:lang w:val="en-AU"/>
              </w:rPr>
              <w:t xml:space="preserve">between </w:t>
            </w:r>
            <w:r w:rsidR="00471C20" w:rsidRPr="00207DC2">
              <w:rPr>
                <w:rFonts w:cs="Calibri Light"/>
                <w:b/>
                <w:bCs/>
                <w:iCs/>
                <w:color w:val="010A11"/>
                <w:szCs w:val="20"/>
                <w:lang w:val="en-AU"/>
              </w:rPr>
              <w:t xml:space="preserve">2015 </w:t>
            </w:r>
            <w:r w:rsidR="00D743A2" w:rsidRPr="00207DC2">
              <w:rPr>
                <w:rFonts w:cs="Calibri Light"/>
                <w:b/>
                <w:bCs/>
                <w:iCs/>
                <w:color w:val="010A11"/>
                <w:szCs w:val="20"/>
                <w:lang w:val="en-AU"/>
              </w:rPr>
              <w:t>and</w:t>
            </w:r>
            <w:r w:rsidR="00471C20" w:rsidRPr="00207DC2">
              <w:rPr>
                <w:rFonts w:cs="Calibri Light"/>
                <w:b/>
                <w:bCs/>
                <w:iCs/>
                <w:color w:val="010A11"/>
                <w:szCs w:val="20"/>
                <w:lang w:val="en-AU"/>
              </w:rPr>
              <w:t xml:space="preserve"> 2016</w:t>
            </w:r>
          </w:p>
        </w:tc>
        <w:tc>
          <w:tcPr>
            <w:tcW w:w="1555" w:type="dxa"/>
            <w:tcBorders>
              <w:top w:val="single" w:sz="4" w:space="0" w:color="auto"/>
              <w:bottom w:val="single" w:sz="4" w:space="0" w:color="auto"/>
            </w:tcBorders>
            <w:vAlign w:val="center"/>
          </w:tcPr>
          <w:p w14:paraId="5AEE0812" w14:textId="77777777" w:rsidR="00581320" w:rsidRPr="00207DC2" w:rsidRDefault="000A5C18" w:rsidP="00FB626D">
            <w:pPr>
              <w:pStyle w:val="TableText"/>
              <w:keepNext/>
              <w:keepLines/>
              <w:jc w:val="center"/>
              <w:rPr>
                <w:b/>
                <w:lang w:val="en-AU"/>
              </w:rPr>
            </w:pPr>
            <w:r w:rsidRPr="00207DC2">
              <w:rPr>
                <w:rFonts w:cs="Calibri Light"/>
                <w:b/>
                <w:bCs/>
                <w:iCs/>
                <w:color w:val="010A11"/>
                <w:szCs w:val="20"/>
                <w:lang w:val="en-AU"/>
              </w:rPr>
              <w:t>%</w:t>
            </w:r>
            <w:r w:rsidR="00471C20" w:rsidRPr="00207DC2">
              <w:rPr>
                <w:rFonts w:cs="Calibri Light"/>
                <w:b/>
                <w:color w:val="010A11"/>
                <w:szCs w:val="20"/>
                <w:lang w:val="en-AU"/>
              </w:rPr>
              <w:t xml:space="preserve"> change</w:t>
            </w:r>
            <w:r w:rsidR="00471C20" w:rsidRPr="00207DC2" w:rsidDel="000A5C18">
              <w:rPr>
                <w:rFonts w:cs="Calibri Light"/>
                <w:b/>
                <w:color w:val="010A11"/>
                <w:szCs w:val="20"/>
                <w:lang w:val="en-AU"/>
              </w:rPr>
              <w:t xml:space="preserve"> between</w:t>
            </w:r>
            <w:r w:rsidR="00471C20" w:rsidRPr="00207DC2">
              <w:rPr>
                <w:rFonts w:cs="Calibri Light"/>
                <w:b/>
                <w:color w:val="010A11"/>
                <w:szCs w:val="20"/>
                <w:lang w:val="en-AU"/>
              </w:rPr>
              <w:t xml:space="preserve"> 2015 </w:t>
            </w:r>
            <w:r w:rsidR="00D743A2" w:rsidRPr="00207DC2">
              <w:rPr>
                <w:rFonts w:cs="Calibri Light"/>
                <w:b/>
                <w:bCs/>
                <w:iCs/>
                <w:color w:val="010A11"/>
                <w:szCs w:val="20"/>
                <w:lang w:val="en-AU"/>
              </w:rPr>
              <w:t>and</w:t>
            </w:r>
            <w:r w:rsidR="00471C20" w:rsidRPr="00207DC2">
              <w:rPr>
                <w:rFonts w:cs="Calibri Light"/>
                <w:b/>
                <w:bCs/>
                <w:iCs/>
                <w:color w:val="010A11"/>
                <w:szCs w:val="20"/>
                <w:lang w:val="en-AU"/>
              </w:rPr>
              <w:t xml:space="preserve"> 2017</w:t>
            </w:r>
          </w:p>
        </w:tc>
      </w:tr>
      <w:tr w:rsidR="00581320" w:rsidRPr="00207DC2" w14:paraId="4298EE59" w14:textId="77777777" w:rsidTr="00880E51">
        <w:trPr>
          <w:trHeight w:val="351"/>
        </w:trPr>
        <w:tc>
          <w:tcPr>
            <w:tcW w:w="2235" w:type="dxa"/>
            <w:tcBorders>
              <w:top w:val="single" w:sz="4" w:space="0" w:color="auto"/>
              <w:bottom w:val="dashSmallGap" w:sz="4" w:space="0" w:color="auto"/>
            </w:tcBorders>
          </w:tcPr>
          <w:p w14:paraId="5832D4F3" w14:textId="77777777" w:rsidR="00581320" w:rsidRPr="00207DC2" w:rsidRDefault="00581320" w:rsidP="00FB626D">
            <w:pPr>
              <w:pStyle w:val="TableText"/>
              <w:keepNext/>
              <w:keepLines/>
              <w:rPr>
                <w:b/>
                <w:lang w:val="en-AU"/>
              </w:rPr>
            </w:pPr>
            <w:r w:rsidRPr="00207DC2">
              <w:rPr>
                <w:b/>
                <w:lang w:val="en-AU" w:eastAsia="en-AU"/>
              </w:rPr>
              <w:t>Total</w:t>
            </w:r>
          </w:p>
        </w:tc>
        <w:tc>
          <w:tcPr>
            <w:tcW w:w="1234" w:type="dxa"/>
            <w:tcBorders>
              <w:top w:val="single" w:sz="4" w:space="0" w:color="auto"/>
              <w:bottom w:val="dashSmallGap" w:sz="4" w:space="0" w:color="auto"/>
            </w:tcBorders>
          </w:tcPr>
          <w:p w14:paraId="312063B1" w14:textId="77777777" w:rsidR="00471C20" w:rsidRPr="00207DC2" w:rsidRDefault="00471C20" w:rsidP="00FB626D">
            <w:pPr>
              <w:pStyle w:val="TableText"/>
              <w:keepNext/>
              <w:keepLines/>
              <w:jc w:val="right"/>
              <w:rPr>
                <w:rFonts w:eastAsia="Times New Roman" w:cs="Calibri Light"/>
                <w:color w:val="010A11"/>
                <w:spacing w:val="0"/>
                <w:lang w:val="en-AU" w:eastAsia="en-AU"/>
              </w:rPr>
            </w:pPr>
            <w:r w:rsidRPr="00207DC2">
              <w:rPr>
                <w:rFonts w:eastAsia="Times New Roman" w:cs="Calibri Light"/>
                <w:color w:val="010A11"/>
                <w:spacing w:val="0"/>
                <w:lang w:val="en-AU" w:eastAsia="en-AU"/>
              </w:rPr>
              <w:t>37,508</w:t>
            </w:r>
          </w:p>
        </w:tc>
        <w:tc>
          <w:tcPr>
            <w:tcW w:w="1233" w:type="dxa"/>
            <w:tcBorders>
              <w:top w:val="single" w:sz="4" w:space="0" w:color="auto"/>
              <w:bottom w:val="dashSmallGap" w:sz="4" w:space="0" w:color="auto"/>
            </w:tcBorders>
          </w:tcPr>
          <w:p w14:paraId="429D48FB" w14:textId="77777777" w:rsidR="00471C20" w:rsidRPr="00207DC2" w:rsidRDefault="00471C20" w:rsidP="00FB626D">
            <w:pPr>
              <w:pStyle w:val="TableText"/>
              <w:keepNext/>
              <w:keepLines/>
              <w:jc w:val="right"/>
              <w:rPr>
                <w:rFonts w:eastAsia="Times New Roman" w:cs="Calibri Light"/>
                <w:color w:val="010A11"/>
                <w:spacing w:val="0"/>
                <w:lang w:val="en-AU" w:eastAsia="en-AU"/>
              </w:rPr>
            </w:pPr>
            <w:r w:rsidRPr="00207DC2">
              <w:rPr>
                <w:rFonts w:eastAsia="Times New Roman" w:cs="Calibri Light"/>
                <w:color w:val="010A11"/>
                <w:spacing w:val="0"/>
                <w:lang w:val="en-AU" w:eastAsia="en-AU"/>
              </w:rPr>
              <w:t>34,444</w:t>
            </w:r>
          </w:p>
        </w:tc>
        <w:tc>
          <w:tcPr>
            <w:tcW w:w="1233" w:type="dxa"/>
            <w:tcBorders>
              <w:top w:val="single" w:sz="4" w:space="0" w:color="auto"/>
              <w:bottom w:val="dashSmallGap" w:sz="4" w:space="0" w:color="auto"/>
            </w:tcBorders>
          </w:tcPr>
          <w:p w14:paraId="27058A32" w14:textId="77777777" w:rsidR="00471C20" w:rsidRPr="00207DC2" w:rsidRDefault="00471C20" w:rsidP="00FB626D">
            <w:pPr>
              <w:pStyle w:val="TableText"/>
              <w:keepNext/>
              <w:keepLines/>
              <w:jc w:val="right"/>
              <w:rPr>
                <w:rFonts w:eastAsia="Times New Roman" w:cs="Calibri Light"/>
                <w:color w:val="010A11"/>
                <w:spacing w:val="0"/>
                <w:lang w:val="en-AU" w:eastAsia="en-AU"/>
              </w:rPr>
            </w:pPr>
            <w:r w:rsidRPr="00207DC2">
              <w:rPr>
                <w:rFonts w:eastAsia="Times New Roman" w:cs="Calibri Light"/>
                <w:color w:val="010A11"/>
                <w:spacing w:val="0"/>
                <w:lang w:val="en-AU" w:eastAsia="en-AU"/>
              </w:rPr>
              <w:t>33,355</w:t>
            </w:r>
          </w:p>
        </w:tc>
        <w:tc>
          <w:tcPr>
            <w:tcW w:w="1555" w:type="dxa"/>
            <w:tcBorders>
              <w:top w:val="single" w:sz="4" w:space="0" w:color="auto"/>
              <w:bottom w:val="dashSmallGap" w:sz="4" w:space="0" w:color="auto"/>
            </w:tcBorders>
            <w:vAlign w:val="center"/>
          </w:tcPr>
          <w:p w14:paraId="1A935ECF" w14:textId="77777777" w:rsidR="00581320" w:rsidRPr="00207DC2" w:rsidRDefault="00471C20" w:rsidP="00FB626D">
            <w:pPr>
              <w:pStyle w:val="TableText"/>
              <w:keepNext/>
              <w:keepLines/>
              <w:jc w:val="center"/>
              <w:rPr>
                <w:lang w:val="en-AU"/>
              </w:rPr>
            </w:pPr>
            <w:r w:rsidRPr="00207DC2">
              <w:rPr>
                <w:rFonts w:cs="Calibri Light"/>
                <w:color w:val="010A11"/>
                <w:lang w:val="en-AU"/>
              </w:rPr>
              <w:t>-8</w:t>
            </w:r>
          </w:p>
        </w:tc>
        <w:tc>
          <w:tcPr>
            <w:tcW w:w="1555" w:type="dxa"/>
            <w:tcBorders>
              <w:top w:val="single" w:sz="4" w:space="0" w:color="auto"/>
              <w:bottom w:val="dashSmallGap" w:sz="4" w:space="0" w:color="auto"/>
            </w:tcBorders>
            <w:vAlign w:val="center"/>
          </w:tcPr>
          <w:p w14:paraId="22A8D8FC" w14:textId="77777777" w:rsidR="00581320" w:rsidRPr="00207DC2" w:rsidRDefault="00471C20" w:rsidP="00FB626D">
            <w:pPr>
              <w:pStyle w:val="TableText"/>
              <w:keepNext/>
              <w:keepLines/>
              <w:jc w:val="center"/>
              <w:rPr>
                <w:rFonts w:eastAsia="Times New Roman" w:cs="Times New Roman"/>
                <w:color w:val="010A11"/>
                <w:spacing w:val="0"/>
                <w:lang w:val="en-AU" w:eastAsia="en-AU"/>
              </w:rPr>
            </w:pPr>
            <w:r w:rsidRPr="00207DC2">
              <w:rPr>
                <w:rFonts w:cs="Calibri Light"/>
                <w:color w:val="010A11"/>
                <w:lang w:val="en-AU"/>
              </w:rPr>
              <w:t>-11</w:t>
            </w:r>
          </w:p>
        </w:tc>
      </w:tr>
      <w:tr w:rsidR="00B71AFB" w:rsidRPr="00207DC2" w14:paraId="57B18E97" w14:textId="77777777" w:rsidTr="00880E51">
        <w:tc>
          <w:tcPr>
            <w:tcW w:w="2235" w:type="dxa"/>
            <w:tcBorders>
              <w:top w:val="dashSmallGap" w:sz="4" w:space="0" w:color="auto"/>
              <w:bottom w:val="nil"/>
            </w:tcBorders>
          </w:tcPr>
          <w:p w14:paraId="7FFCAC03" w14:textId="77777777" w:rsidR="00B71AFB" w:rsidRPr="00207DC2" w:rsidRDefault="00B71AFB" w:rsidP="00FB626D">
            <w:pPr>
              <w:pStyle w:val="TableText"/>
              <w:keepNext/>
              <w:keepLines/>
              <w:rPr>
                <w:b/>
                <w:lang w:val="en-AU"/>
              </w:rPr>
            </w:pPr>
            <w:r w:rsidRPr="00207DC2">
              <w:rPr>
                <w:b/>
                <w:lang w:val="en-AU"/>
              </w:rPr>
              <w:t>Identifies as Indigenous</w:t>
            </w:r>
          </w:p>
        </w:tc>
        <w:tc>
          <w:tcPr>
            <w:tcW w:w="1234" w:type="dxa"/>
            <w:tcBorders>
              <w:top w:val="dashSmallGap" w:sz="4" w:space="0" w:color="auto"/>
              <w:bottom w:val="nil"/>
            </w:tcBorders>
            <w:vAlign w:val="center"/>
          </w:tcPr>
          <w:p w14:paraId="1B5FED92"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31,018</w:t>
            </w:r>
          </w:p>
        </w:tc>
        <w:tc>
          <w:tcPr>
            <w:tcW w:w="1233" w:type="dxa"/>
            <w:tcBorders>
              <w:top w:val="dashSmallGap" w:sz="4" w:space="0" w:color="auto"/>
              <w:bottom w:val="nil"/>
            </w:tcBorders>
            <w:vAlign w:val="center"/>
          </w:tcPr>
          <w:p w14:paraId="4A29C4E4"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28,258</w:t>
            </w:r>
          </w:p>
        </w:tc>
        <w:tc>
          <w:tcPr>
            <w:tcW w:w="1233" w:type="dxa"/>
            <w:tcBorders>
              <w:top w:val="dashSmallGap" w:sz="4" w:space="0" w:color="auto"/>
              <w:bottom w:val="nil"/>
            </w:tcBorders>
            <w:vAlign w:val="center"/>
          </w:tcPr>
          <w:p w14:paraId="3F734A47"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27,474</w:t>
            </w:r>
          </w:p>
        </w:tc>
        <w:tc>
          <w:tcPr>
            <w:tcW w:w="1555" w:type="dxa"/>
            <w:tcBorders>
              <w:top w:val="dashSmallGap" w:sz="4" w:space="0" w:color="auto"/>
              <w:bottom w:val="nil"/>
            </w:tcBorders>
            <w:vAlign w:val="center"/>
          </w:tcPr>
          <w:p w14:paraId="44F54B67" w14:textId="77777777" w:rsidR="00B71AFB" w:rsidRPr="00207DC2" w:rsidRDefault="00471C20" w:rsidP="00FB626D">
            <w:pPr>
              <w:pStyle w:val="TableText"/>
              <w:keepNext/>
              <w:keepLines/>
              <w:jc w:val="center"/>
              <w:rPr>
                <w:lang w:val="en-AU"/>
              </w:rPr>
            </w:pPr>
            <w:r w:rsidRPr="00207DC2">
              <w:rPr>
                <w:rFonts w:cs="Calibri Light"/>
                <w:color w:val="010A11"/>
                <w:lang w:val="en-AU"/>
              </w:rPr>
              <w:t>-9</w:t>
            </w:r>
          </w:p>
        </w:tc>
        <w:tc>
          <w:tcPr>
            <w:tcW w:w="1555" w:type="dxa"/>
            <w:tcBorders>
              <w:top w:val="dashSmallGap" w:sz="4" w:space="0" w:color="auto"/>
              <w:bottom w:val="nil"/>
            </w:tcBorders>
            <w:vAlign w:val="center"/>
          </w:tcPr>
          <w:p w14:paraId="115A7E72" w14:textId="77777777" w:rsidR="00B71AFB" w:rsidRPr="00207DC2" w:rsidRDefault="00471C20" w:rsidP="00FB626D">
            <w:pPr>
              <w:pStyle w:val="TableText"/>
              <w:keepNext/>
              <w:keepLines/>
              <w:jc w:val="center"/>
              <w:rPr>
                <w:lang w:val="en-AU"/>
              </w:rPr>
            </w:pPr>
            <w:r w:rsidRPr="00207DC2">
              <w:rPr>
                <w:rFonts w:cs="Calibri Light"/>
                <w:color w:val="010A11"/>
                <w:lang w:val="en-AU"/>
              </w:rPr>
              <w:t>-11</w:t>
            </w:r>
          </w:p>
        </w:tc>
      </w:tr>
      <w:tr w:rsidR="00B71AFB" w:rsidRPr="00207DC2" w14:paraId="205A8E6B" w14:textId="77777777" w:rsidTr="00880E51">
        <w:tc>
          <w:tcPr>
            <w:tcW w:w="2235" w:type="dxa"/>
            <w:tcBorders>
              <w:top w:val="nil"/>
              <w:bottom w:val="dashSmallGap" w:sz="4" w:space="0" w:color="auto"/>
            </w:tcBorders>
          </w:tcPr>
          <w:p w14:paraId="51B81304" w14:textId="77777777" w:rsidR="00B71AFB" w:rsidRPr="00207DC2" w:rsidRDefault="006449E0" w:rsidP="00FB626D">
            <w:pPr>
              <w:pStyle w:val="TableText"/>
              <w:keepNext/>
              <w:keepLines/>
              <w:rPr>
                <w:b/>
                <w:lang w:val="en-AU"/>
              </w:rPr>
            </w:pPr>
            <w:r w:rsidRPr="00207DC2">
              <w:rPr>
                <w:b/>
                <w:lang w:val="en-AU"/>
              </w:rPr>
              <w:t>Non-</w:t>
            </w:r>
            <w:r w:rsidR="00B71AFB" w:rsidRPr="00207DC2">
              <w:rPr>
                <w:b/>
                <w:lang w:val="en-AU"/>
              </w:rPr>
              <w:t>Indigenous</w:t>
            </w:r>
          </w:p>
        </w:tc>
        <w:tc>
          <w:tcPr>
            <w:tcW w:w="1234" w:type="dxa"/>
            <w:tcBorders>
              <w:top w:val="nil"/>
              <w:bottom w:val="dashSmallGap" w:sz="4" w:space="0" w:color="auto"/>
            </w:tcBorders>
            <w:vAlign w:val="center"/>
          </w:tcPr>
          <w:p w14:paraId="1DBE6A54"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6,490</w:t>
            </w:r>
          </w:p>
        </w:tc>
        <w:tc>
          <w:tcPr>
            <w:tcW w:w="1233" w:type="dxa"/>
            <w:tcBorders>
              <w:top w:val="nil"/>
              <w:bottom w:val="dashSmallGap" w:sz="4" w:space="0" w:color="auto"/>
            </w:tcBorders>
            <w:vAlign w:val="center"/>
          </w:tcPr>
          <w:p w14:paraId="2D01E53E"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6,186</w:t>
            </w:r>
          </w:p>
        </w:tc>
        <w:tc>
          <w:tcPr>
            <w:tcW w:w="1233" w:type="dxa"/>
            <w:tcBorders>
              <w:top w:val="nil"/>
              <w:bottom w:val="dashSmallGap" w:sz="4" w:space="0" w:color="auto"/>
            </w:tcBorders>
            <w:vAlign w:val="center"/>
          </w:tcPr>
          <w:p w14:paraId="3CC4555D"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5,881</w:t>
            </w:r>
          </w:p>
        </w:tc>
        <w:tc>
          <w:tcPr>
            <w:tcW w:w="1555" w:type="dxa"/>
            <w:tcBorders>
              <w:top w:val="nil"/>
              <w:bottom w:val="dashSmallGap" w:sz="4" w:space="0" w:color="auto"/>
            </w:tcBorders>
            <w:vAlign w:val="center"/>
          </w:tcPr>
          <w:p w14:paraId="530BA275" w14:textId="77777777" w:rsidR="00B71AFB" w:rsidRPr="00207DC2" w:rsidRDefault="00471C20" w:rsidP="00FB626D">
            <w:pPr>
              <w:pStyle w:val="TableText"/>
              <w:keepNext/>
              <w:keepLines/>
              <w:jc w:val="center"/>
              <w:rPr>
                <w:lang w:val="en-AU"/>
              </w:rPr>
            </w:pPr>
            <w:r w:rsidRPr="00207DC2">
              <w:rPr>
                <w:rFonts w:cs="Calibri Light"/>
                <w:color w:val="010A11"/>
                <w:lang w:val="en-AU"/>
              </w:rPr>
              <w:t>-5</w:t>
            </w:r>
          </w:p>
        </w:tc>
        <w:tc>
          <w:tcPr>
            <w:tcW w:w="1555" w:type="dxa"/>
            <w:tcBorders>
              <w:top w:val="nil"/>
              <w:bottom w:val="dashSmallGap" w:sz="4" w:space="0" w:color="auto"/>
            </w:tcBorders>
            <w:vAlign w:val="center"/>
          </w:tcPr>
          <w:p w14:paraId="00643BE6" w14:textId="77777777" w:rsidR="00B71AFB" w:rsidRPr="00207DC2" w:rsidRDefault="00880E51" w:rsidP="00FB626D">
            <w:pPr>
              <w:pStyle w:val="TableText"/>
              <w:keepNext/>
              <w:keepLines/>
              <w:jc w:val="center"/>
              <w:rPr>
                <w:lang w:val="en-AU"/>
              </w:rPr>
            </w:pPr>
            <w:r w:rsidRPr="00207DC2">
              <w:rPr>
                <w:rFonts w:cs="Calibri Light"/>
                <w:color w:val="010A11"/>
                <w:lang w:val="en-AU"/>
              </w:rPr>
              <w:t>-</w:t>
            </w:r>
            <w:r w:rsidR="00471C20" w:rsidRPr="00207DC2">
              <w:rPr>
                <w:rFonts w:cs="Calibri Light"/>
                <w:color w:val="010A11"/>
                <w:lang w:val="en-AU"/>
              </w:rPr>
              <w:t>9</w:t>
            </w:r>
          </w:p>
        </w:tc>
      </w:tr>
      <w:tr w:rsidR="00B71AFB" w:rsidRPr="00207DC2" w14:paraId="20681339" w14:textId="77777777" w:rsidTr="00880E51">
        <w:tc>
          <w:tcPr>
            <w:tcW w:w="2235" w:type="dxa"/>
            <w:tcBorders>
              <w:top w:val="dashSmallGap" w:sz="4" w:space="0" w:color="auto"/>
              <w:bottom w:val="nil"/>
            </w:tcBorders>
          </w:tcPr>
          <w:p w14:paraId="4D166AA0" w14:textId="4DFF89FC" w:rsidR="00B71AFB" w:rsidRPr="00207DC2" w:rsidRDefault="00B71AFB" w:rsidP="00FB626D">
            <w:pPr>
              <w:pStyle w:val="TableText"/>
              <w:keepNext/>
              <w:keepLines/>
              <w:rPr>
                <w:b/>
                <w:lang w:val="en-AU"/>
              </w:rPr>
            </w:pPr>
            <w:r w:rsidRPr="00207DC2">
              <w:rPr>
                <w:b/>
                <w:lang w:val="en-AU"/>
              </w:rPr>
              <w:t xml:space="preserve">Activity tested </w:t>
            </w:r>
            <w:r w:rsidR="00205F37" w:rsidRPr="00207DC2">
              <w:rPr>
                <w:b/>
                <w:lang w:val="en-AU"/>
              </w:rPr>
              <w:t>&amp;</w:t>
            </w:r>
            <w:r w:rsidRPr="00207DC2">
              <w:rPr>
                <w:b/>
                <w:lang w:val="en-AU"/>
              </w:rPr>
              <w:t xml:space="preserve"> </w:t>
            </w:r>
            <w:r w:rsidR="007B3B50" w:rsidRPr="00207DC2">
              <w:rPr>
                <w:b/>
                <w:lang w:val="en-AU"/>
              </w:rPr>
              <w:t xml:space="preserve">required to attend </w:t>
            </w:r>
            <w:r w:rsidRPr="00207DC2">
              <w:rPr>
                <w:b/>
                <w:lang w:val="en-AU"/>
              </w:rPr>
              <w:t>W</w:t>
            </w:r>
            <w:r w:rsidR="00341766" w:rsidRPr="00207DC2">
              <w:rPr>
                <w:b/>
                <w:lang w:val="en-AU"/>
              </w:rPr>
              <w:t xml:space="preserve">ork </w:t>
            </w:r>
            <w:r w:rsidRPr="00207DC2">
              <w:rPr>
                <w:b/>
                <w:lang w:val="en-AU"/>
              </w:rPr>
              <w:t>f</w:t>
            </w:r>
            <w:r w:rsidR="00341766" w:rsidRPr="00207DC2">
              <w:rPr>
                <w:b/>
                <w:lang w:val="en-AU"/>
              </w:rPr>
              <w:t xml:space="preserve">or the </w:t>
            </w:r>
            <w:r w:rsidRPr="00207DC2">
              <w:rPr>
                <w:b/>
                <w:lang w:val="en-AU"/>
              </w:rPr>
              <w:t>D</w:t>
            </w:r>
            <w:r w:rsidR="00341766" w:rsidRPr="00207DC2">
              <w:rPr>
                <w:b/>
                <w:lang w:val="en-AU"/>
              </w:rPr>
              <w:t>ole</w:t>
            </w:r>
            <w:r w:rsidRPr="00207DC2">
              <w:rPr>
                <w:b/>
                <w:lang w:val="en-AU"/>
              </w:rPr>
              <w:t xml:space="preserve"> </w:t>
            </w:r>
          </w:p>
        </w:tc>
        <w:tc>
          <w:tcPr>
            <w:tcW w:w="1234" w:type="dxa"/>
            <w:tcBorders>
              <w:top w:val="dashSmallGap" w:sz="4" w:space="0" w:color="auto"/>
              <w:bottom w:val="nil"/>
            </w:tcBorders>
            <w:vAlign w:val="center"/>
          </w:tcPr>
          <w:p w14:paraId="7005567C"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21,897</w:t>
            </w:r>
          </w:p>
        </w:tc>
        <w:tc>
          <w:tcPr>
            <w:tcW w:w="1233" w:type="dxa"/>
            <w:tcBorders>
              <w:top w:val="dashSmallGap" w:sz="4" w:space="0" w:color="auto"/>
              <w:bottom w:val="nil"/>
            </w:tcBorders>
            <w:vAlign w:val="center"/>
          </w:tcPr>
          <w:p w14:paraId="17D3D580"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19,461</w:t>
            </w:r>
          </w:p>
        </w:tc>
        <w:tc>
          <w:tcPr>
            <w:tcW w:w="1233" w:type="dxa"/>
            <w:tcBorders>
              <w:top w:val="dashSmallGap" w:sz="4" w:space="0" w:color="auto"/>
              <w:bottom w:val="nil"/>
            </w:tcBorders>
            <w:vAlign w:val="center"/>
          </w:tcPr>
          <w:p w14:paraId="34B24C1E"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19,530</w:t>
            </w:r>
          </w:p>
        </w:tc>
        <w:tc>
          <w:tcPr>
            <w:tcW w:w="1555" w:type="dxa"/>
            <w:tcBorders>
              <w:top w:val="dashSmallGap" w:sz="4" w:space="0" w:color="auto"/>
              <w:bottom w:val="nil"/>
            </w:tcBorders>
            <w:vAlign w:val="center"/>
          </w:tcPr>
          <w:p w14:paraId="371EF2B7" w14:textId="77777777" w:rsidR="00B71AFB" w:rsidRPr="00207DC2" w:rsidRDefault="00880E51" w:rsidP="00FB626D">
            <w:pPr>
              <w:pStyle w:val="TableText"/>
              <w:keepNext/>
              <w:keepLines/>
              <w:jc w:val="center"/>
              <w:rPr>
                <w:lang w:val="en-AU"/>
              </w:rPr>
            </w:pPr>
            <w:r w:rsidRPr="00207DC2">
              <w:rPr>
                <w:rFonts w:cs="Calibri Light"/>
                <w:color w:val="010A11"/>
                <w:lang w:val="en-AU"/>
              </w:rPr>
              <w:t>-</w:t>
            </w:r>
            <w:r w:rsidR="00471C20" w:rsidRPr="00207DC2">
              <w:rPr>
                <w:rFonts w:cs="Calibri Light"/>
                <w:color w:val="010A11"/>
                <w:lang w:val="en-AU"/>
              </w:rPr>
              <w:t>11</w:t>
            </w:r>
          </w:p>
        </w:tc>
        <w:tc>
          <w:tcPr>
            <w:tcW w:w="1555" w:type="dxa"/>
            <w:tcBorders>
              <w:top w:val="dashSmallGap" w:sz="4" w:space="0" w:color="auto"/>
              <w:bottom w:val="nil"/>
            </w:tcBorders>
            <w:vAlign w:val="center"/>
          </w:tcPr>
          <w:p w14:paraId="39522BD3" w14:textId="77777777" w:rsidR="00B71AFB" w:rsidRPr="00207DC2" w:rsidRDefault="00471C20" w:rsidP="00FB626D">
            <w:pPr>
              <w:pStyle w:val="TableText"/>
              <w:keepNext/>
              <w:keepLines/>
              <w:jc w:val="center"/>
              <w:rPr>
                <w:lang w:val="en-AU"/>
              </w:rPr>
            </w:pPr>
            <w:r w:rsidRPr="00207DC2">
              <w:rPr>
                <w:rFonts w:cs="Calibri Light"/>
                <w:color w:val="010A11"/>
                <w:lang w:val="en-AU"/>
              </w:rPr>
              <w:t>-11</w:t>
            </w:r>
          </w:p>
        </w:tc>
      </w:tr>
      <w:tr w:rsidR="00B71AFB" w:rsidRPr="00207DC2" w14:paraId="583F5BFF" w14:textId="77777777" w:rsidTr="00880E51">
        <w:tc>
          <w:tcPr>
            <w:tcW w:w="2235" w:type="dxa"/>
            <w:tcBorders>
              <w:top w:val="nil"/>
              <w:bottom w:val="nil"/>
            </w:tcBorders>
          </w:tcPr>
          <w:p w14:paraId="53B635D1" w14:textId="773FFEB9" w:rsidR="00B71AFB" w:rsidRPr="00207DC2" w:rsidRDefault="00B71AFB" w:rsidP="00FB626D">
            <w:pPr>
              <w:pStyle w:val="TableText"/>
              <w:keepNext/>
              <w:keepLines/>
              <w:rPr>
                <w:b/>
                <w:lang w:val="en-AU"/>
              </w:rPr>
            </w:pPr>
            <w:r w:rsidRPr="00207DC2">
              <w:rPr>
                <w:b/>
                <w:lang w:val="en-AU"/>
              </w:rPr>
              <w:t>Activity tested</w:t>
            </w:r>
            <w:r w:rsidR="00205F37" w:rsidRPr="00207DC2">
              <w:rPr>
                <w:b/>
                <w:lang w:val="en-AU"/>
              </w:rPr>
              <w:t>,</w:t>
            </w:r>
            <w:r w:rsidRPr="00207DC2">
              <w:rPr>
                <w:b/>
                <w:lang w:val="en-AU"/>
              </w:rPr>
              <w:t xml:space="preserve"> not </w:t>
            </w:r>
            <w:r w:rsidR="007B3B50" w:rsidRPr="00207DC2">
              <w:rPr>
                <w:b/>
                <w:lang w:val="en-AU"/>
              </w:rPr>
              <w:t xml:space="preserve">required to attend </w:t>
            </w:r>
            <w:r w:rsidRPr="00207DC2">
              <w:rPr>
                <w:b/>
                <w:lang w:val="en-AU"/>
              </w:rPr>
              <w:t>W</w:t>
            </w:r>
            <w:r w:rsidR="00341766" w:rsidRPr="00207DC2">
              <w:rPr>
                <w:b/>
                <w:lang w:val="en-AU"/>
              </w:rPr>
              <w:t xml:space="preserve">ork </w:t>
            </w:r>
            <w:r w:rsidRPr="00207DC2">
              <w:rPr>
                <w:b/>
                <w:lang w:val="en-AU"/>
              </w:rPr>
              <w:t>f</w:t>
            </w:r>
            <w:r w:rsidR="00341766" w:rsidRPr="00207DC2">
              <w:rPr>
                <w:b/>
                <w:lang w:val="en-AU"/>
              </w:rPr>
              <w:t xml:space="preserve">or the </w:t>
            </w:r>
            <w:r w:rsidRPr="00207DC2">
              <w:rPr>
                <w:b/>
                <w:lang w:val="en-AU"/>
              </w:rPr>
              <w:t>D</w:t>
            </w:r>
            <w:r w:rsidR="00341766" w:rsidRPr="00207DC2">
              <w:rPr>
                <w:b/>
                <w:lang w:val="en-AU"/>
              </w:rPr>
              <w:t>ole</w:t>
            </w:r>
            <w:r w:rsidRPr="00207DC2">
              <w:rPr>
                <w:b/>
                <w:lang w:val="en-AU"/>
              </w:rPr>
              <w:t xml:space="preserve"> </w:t>
            </w:r>
          </w:p>
        </w:tc>
        <w:tc>
          <w:tcPr>
            <w:tcW w:w="1234" w:type="dxa"/>
            <w:tcBorders>
              <w:top w:val="nil"/>
              <w:bottom w:val="nil"/>
            </w:tcBorders>
            <w:vAlign w:val="center"/>
          </w:tcPr>
          <w:p w14:paraId="103B710A"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10,603</w:t>
            </w:r>
          </w:p>
        </w:tc>
        <w:tc>
          <w:tcPr>
            <w:tcW w:w="1233" w:type="dxa"/>
            <w:tcBorders>
              <w:top w:val="nil"/>
              <w:bottom w:val="nil"/>
            </w:tcBorders>
            <w:vAlign w:val="center"/>
          </w:tcPr>
          <w:p w14:paraId="536C4581"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12,475</w:t>
            </w:r>
          </w:p>
        </w:tc>
        <w:tc>
          <w:tcPr>
            <w:tcW w:w="1233" w:type="dxa"/>
            <w:tcBorders>
              <w:top w:val="nil"/>
              <w:bottom w:val="nil"/>
            </w:tcBorders>
            <w:vAlign w:val="center"/>
          </w:tcPr>
          <w:p w14:paraId="7BB33A87"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11,750</w:t>
            </w:r>
          </w:p>
        </w:tc>
        <w:tc>
          <w:tcPr>
            <w:tcW w:w="1555" w:type="dxa"/>
            <w:tcBorders>
              <w:top w:val="nil"/>
              <w:bottom w:val="nil"/>
            </w:tcBorders>
            <w:vAlign w:val="center"/>
          </w:tcPr>
          <w:p w14:paraId="25D956FD" w14:textId="77777777" w:rsidR="00B71AFB" w:rsidRPr="00207DC2" w:rsidRDefault="00471C20" w:rsidP="00FB626D">
            <w:pPr>
              <w:pStyle w:val="TableText"/>
              <w:keepNext/>
              <w:keepLines/>
              <w:jc w:val="center"/>
              <w:rPr>
                <w:lang w:val="en-AU"/>
              </w:rPr>
            </w:pPr>
            <w:r w:rsidRPr="00207DC2">
              <w:rPr>
                <w:rFonts w:cs="Calibri Light"/>
                <w:color w:val="010A11"/>
                <w:lang w:val="en-AU"/>
              </w:rPr>
              <w:t>18</w:t>
            </w:r>
          </w:p>
        </w:tc>
        <w:tc>
          <w:tcPr>
            <w:tcW w:w="1555" w:type="dxa"/>
            <w:tcBorders>
              <w:top w:val="nil"/>
              <w:bottom w:val="nil"/>
            </w:tcBorders>
            <w:vAlign w:val="center"/>
          </w:tcPr>
          <w:p w14:paraId="1DEAEAD3" w14:textId="77777777" w:rsidR="00B71AFB" w:rsidRPr="00207DC2" w:rsidRDefault="00471C20" w:rsidP="00FB626D">
            <w:pPr>
              <w:pStyle w:val="TableText"/>
              <w:keepNext/>
              <w:keepLines/>
              <w:jc w:val="center"/>
              <w:rPr>
                <w:lang w:val="en-AU"/>
              </w:rPr>
            </w:pPr>
            <w:r w:rsidRPr="00207DC2">
              <w:rPr>
                <w:rFonts w:cs="Calibri Light"/>
                <w:color w:val="010A11"/>
                <w:lang w:val="en-AU"/>
              </w:rPr>
              <w:t>11</w:t>
            </w:r>
          </w:p>
        </w:tc>
      </w:tr>
      <w:tr w:rsidR="00B71AFB" w:rsidRPr="00207DC2" w14:paraId="4506300A" w14:textId="77777777" w:rsidTr="00880E51">
        <w:tc>
          <w:tcPr>
            <w:tcW w:w="2235" w:type="dxa"/>
            <w:tcBorders>
              <w:top w:val="nil"/>
              <w:bottom w:val="dashSmallGap" w:sz="4" w:space="0" w:color="auto"/>
            </w:tcBorders>
          </w:tcPr>
          <w:p w14:paraId="11B91A16" w14:textId="77777777" w:rsidR="00B71AFB" w:rsidRPr="00207DC2" w:rsidRDefault="00B71AFB" w:rsidP="00FB626D">
            <w:pPr>
              <w:pStyle w:val="TableText"/>
              <w:keepNext/>
              <w:keepLines/>
              <w:rPr>
                <w:b/>
                <w:lang w:val="en-AU"/>
              </w:rPr>
            </w:pPr>
            <w:r w:rsidRPr="00207DC2">
              <w:rPr>
                <w:b/>
                <w:lang w:val="en-AU"/>
              </w:rPr>
              <w:t>Voluntary</w:t>
            </w:r>
          </w:p>
        </w:tc>
        <w:tc>
          <w:tcPr>
            <w:tcW w:w="1234" w:type="dxa"/>
            <w:tcBorders>
              <w:top w:val="nil"/>
              <w:bottom w:val="dashSmallGap" w:sz="4" w:space="0" w:color="auto"/>
            </w:tcBorders>
            <w:vAlign w:val="center"/>
          </w:tcPr>
          <w:p w14:paraId="052A664F"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5,008</w:t>
            </w:r>
          </w:p>
        </w:tc>
        <w:tc>
          <w:tcPr>
            <w:tcW w:w="1233" w:type="dxa"/>
            <w:tcBorders>
              <w:top w:val="nil"/>
              <w:bottom w:val="dashSmallGap" w:sz="4" w:space="0" w:color="auto"/>
            </w:tcBorders>
            <w:vAlign w:val="center"/>
          </w:tcPr>
          <w:p w14:paraId="46A38D89"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2,508</w:t>
            </w:r>
          </w:p>
        </w:tc>
        <w:tc>
          <w:tcPr>
            <w:tcW w:w="1233" w:type="dxa"/>
            <w:tcBorders>
              <w:top w:val="nil"/>
              <w:bottom w:val="dashSmallGap" w:sz="4" w:space="0" w:color="auto"/>
            </w:tcBorders>
            <w:vAlign w:val="center"/>
          </w:tcPr>
          <w:p w14:paraId="0B799A63" w14:textId="77777777" w:rsidR="00471C20" w:rsidRPr="00207DC2" w:rsidRDefault="00471C20" w:rsidP="00FB626D">
            <w:pPr>
              <w:pStyle w:val="TableText"/>
              <w:keepNext/>
              <w:keepLines/>
              <w:jc w:val="right"/>
              <w:rPr>
                <w:rFonts w:cs="Calibri Light"/>
                <w:color w:val="010A11"/>
                <w:lang w:val="en-AU"/>
              </w:rPr>
            </w:pPr>
            <w:r w:rsidRPr="00207DC2">
              <w:rPr>
                <w:rFonts w:cs="Calibri Light"/>
                <w:color w:val="010A11"/>
                <w:lang w:val="en-AU"/>
              </w:rPr>
              <w:t>2,075</w:t>
            </w:r>
          </w:p>
        </w:tc>
        <w:tc>
          <w:tcPr>
            <w:tcW w:w="1555" w:type="dxa"/>
            <w:tcBorders>
              <w:top w:val="nil"/>
              <w:bottom w:val="dashSmallGap" w:sz="4" w:space="0" w:color="auto"/>
            </w:tcBorders>
            <w:vAlign w:val="center"/>
          </w:tcPr>
          <w:p w14:paraId="532484BB" w14:textId="77777777" w:rsidR="00B71AFB" w:rsidRPr="00207DC2" w:rsidRDefault="00880E51" w:rsidP="00FB626D">
            <w:pPr>
              <w:pStyle w:val="TableText"/>
              <w:keepNext/>
              <w:keepLines/>
              <w:jc w:val="center"/>
              <w:rPr>
                <w:lang w:val="en-AU"/>
              </w:rPr>
            </w:pPr>
            <w:r w:rsidRPr="00207DC2">
              <w:rPr>
                <w:rFonts w:cs="Calibri Light"/>
                <w:color w:val="010A11"/>
                <w:lang w:val="en-AU"/>
              </w:rPr>
              <w:t>-</w:t>
            </w:r>
            <w:r w:rsidR="00471C20" w:rsidRPr="00207DC2">
              <w:rPr>
                <w:rFonts w:cs="Calibri Light"/>
                <w:color w:val="010A11"/>
                <w:lang w:val="en-AU"/>
              </w:rPr>
              <w:t>50</w:t>
            </w:r>
          </w:p>
        </w:tc>
        <w:tc>
          <w:tcPr>
            <w:tcW w:w="1555" w:type="dxa"/>
            <w:tcBorders>
              <w:top w:val="nil"/>
              <w:bottom w:val="dashSmallGap" w:sz="4" w:space="0" w:color="auto"/>
            </w:tcBorders>
            <w:vAlign w:val="center"/>
          </w:tcPr>
          <w:p w14:paraId="3B04DFB0" w14:textId="77777777" w:rsidR="00B71AFB" w:rsidRPr="00207DC2" w:rsidRDefault="00471C20" w:rsidP="00FB626D">
            <w:pPr>
              <w:pStyle w:val="TableText"/>
              <w:keepNext/>
              <w:keepLines/>
              <w:jc w:val="center"/>
              <w:rPr>
                <w:lang w:val="en-AU"/>
              </w:rPr>
            </w:pPr>
            <w:r w:rsidRPr="00207DC2">
              <w:rPr>
                <w:rFonts w:cs="Calibri Light"/>
                <w:color w:val="010A11"/>
                <w:lang w:val="en-AU"/>
              </w:rPr>
              <w:t>-59</w:t>
            </w:r>
          </w:p>
        </w:tc>
      </w:tr>
      <w:tr w:rsidR="00B71AFB" w:rsidRPr="00207DC2" w14:paraId="5A4BBDCD" w14:textId="77777777" w:rsidTr="00880E51">
        <w:tc>
          <w:tcPr>
            <w:tcW w:w="2235" w:type="dxa"/>
            <w:tcBorders>
              <w:top w:val="dashSmallGap" w:sz="4" w:space="0" w:color="auto"/>
              <w:bottom w:val="nil"/>
            </w:tcBorders>
          </w:tcPr>
          <w:p w14:paraId="196DC5F4" w14:textId="77777777" w:rsidR="00B71AFB" w:rsidRPr="00207DC2" w:rsidRDefault="00B71AFB" w:rsidP="00FB626D">
            <w:pPr>
              <w:pStyle w:val="TableText"/>
              <w:keepNext/>
              <w:keepLines/>
              <w:rPr>
                <w:b/>
                <w:lang w:val="en-AU"/>
              </w:rPr>
            </w:pPr>
            <w:r w:rsidRPr="00207DC2">
              <w:rPr>
                <w:b/>
                <w:lang w:val="en-AU"/>
              </w:rPr>
              <w:t>Male</w:t>
            </w:r>
          </w:p>
        </w:tc>
        <w:tc>
          <w:tcPr>
            <w:tcW w:w="1234" w:type="dxa"/>
            <w:tcBorders>
              <w:top w:val="dashSmallGap" w:sz="4" w:space="0" w:color="auto"/>
              <w:bottom w:val="nil"/>
            </w:tcBorders>
          </w:tcPr>
          <w:p w14:paraId="234FDEB6"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21,143</w:t>
            </w:r>
          </w:p>
        </w:tc>
        <w:tc>
          <w:tcPr>
            <w:tcW w:w="1233" w:type="dxa"/>
            <w:tcBorders>
              <w:top w:val="dashSmallGap" w:sz="4" w:space="0" w:color="auto"/>
              <w:bottom w:val="nil"/>
            </w:tcBorders>
          </w:tcPr>
          <w:p w14:paraId="4A1FA104"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19,376</w:t>
            </w:r>
          </w:p>
        </w:tc>
        <w:tc>
          <w:tcPr>
            <w:tcW w:w="1233" w:type="dxa"/>
            <w:tcBorders>
              <w:top w:val="dashSmallGap" w:sz="4" w:space="0" w:color="auto"/>
              <w:bottom w:val="nil"/>
            </w:tcBorders>
          </w:tcPr>
          <w:p w14:paraId="3A70F96F"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18,687</w:t>
            </w:r>
          </w:p>
        </w:tc>
        <w:tc>
          <w:tcPr>
            <w:tcW w:w="1555" w:type="dxa"/>
            <w:tcBorders>
              <w:top w:val="dashSmallGap" w:sz="4" w:space="0" w:color="auto"/>
              <w:bottom w:val="nil"/>
            </w:tcBorders>
          </w:tcPr>
          <w:p w14:paraId="1B1DEF25" w14:textId="77777777" w:rsidR="00B71AFB" w:rsidRPr="00207DC2" w:rsidRDefault="000A5C18" w:rsidP="00FB626D">
            <w:pPr>
              <w:pStyle w:val="TableText"/>
              <w:keepNext/>
              <w:keepLines/>
              <w:jc w:val="center"/>
              <w:rPr>
                <w:rFonts w:cs="Calibri Light"/>
                <w:color w:val="010A11"/>
                <w:lang w:val="en-AU"/>
              </w:rPr>
            </w:pPr>
            <w:r w:rsidRPr="00207DC2">
              <w:rPr>
                <w:rFonts w:cs="Calibri Light"/>
                <w:color w:val="010A11"/>
                <w:lang w:val="en-AU"/>
              </w:rPr>
              <w:t>-8</w:t>
            </w:r>
          </w:p>
        </w:tc>
        <w:tc>
          <w:tcPr>
            <w:tcW w:w="1555" w:type="dxa"/>
            <w:tcBorders>
              <w:top w:val="dashSmallGap" w:sz="4" w:space="0" w:color="auto"/>
              <w:bottom w:val="nil"/>
            </w:tcBorders>
          </w:tcPr>
          <w:p w14:paraId="666C0D6B" w14:textId="77777777" w:rsidR="00B71AFB" w:rsidRPr="00207DC2" w:rsidRDefault="000A5C18" w:rsidP="00FB626D">
            <w:pPr>
              <w:pStyle w:val="TableText"/>
              <w:keepNext/>
              <w:keepLines/>
              <w:jc w:val="center"/>
              <w:rPr>
                <w:rFonts w:cs="Calibri Light"/>
                <w:color w:val="010A11"/>
                <w:lang w:val="en-AU"/>
              </w:rPr>
            </w:pPr>
            <w:r w:rsidRPr="00207DC2">
              <w:rPr>
                <w:rFonts w:cs="Calibri Light"/>
                <w:color w:val="010A11"/>
                <w:lang w:val="en-AU"/>
              </w:rPr>
              <w:t>-12</w:t>
            </w:r>
          </w:p>
        </w:tc>
      </w:tr>
      <w:tr w:rsidR="00B71AFB" w:rsidRPr="00207DC2" w14:paraId="01105539" w14:textId="77777777" w:rsidTr="00880E51">
        <w:tc>
          <w:tcPr>
            <w:tcW w:w="2235" w:type="dxa"/>
            <w:tcBorders>
              <w:top w:val="nil"/>
              <w:bottom w:val="dashSmallGap" w:sz="4" w:space="0" w:color="auto"/>
            </w:tcBorders>
          </w:tcPr>
          <w:p w14:paraId="26BD4BF3" w14:textId="77777777" w:rsidR="00B71AFB" w:rsidRPr="00207DC2" w:rsidRDefault="00B71AFB" w:rsidP="00FB626D">
            <w:pPr>
              <w:pStyle w:val="TableText"/>
              <w:keepNext/>
              <w:keepLines/>
              <w:rPr>
                <w:b/>
                <w:lang w:val="en-AU"/>
              </w:rPr>
            </w:pPr>
            <w:r w:rsidRPr="00207DC2">
              <w:rPr>
                <w:b/>
                <w:lang w:val="en-AU"/>
              </w:rPr>
              <w:t>Female</w:t>
            </w:r>
          </w:p>
        </w:tc>
        <w:tc>
          <w:tcPr>
            <w:tcW w:w="1234" w:type="dxa"/>
            <w:tcBorders>
              <w:top w:val="nil"/>
              <w:bottom w:val="dashSmallGap" w:sz="4" w:space="0" w:color="auto"/>
            </w:tcBorders>
          </w:tcPr>
          <w:p w14:paraId="47176106"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16,365</w:t>
            </w:r>
          </w:p>
        </w:tc>
        <w:tc>
          <w:tcPr>
            <w:tcW w:w="1233" w:type="dxa"/>
            <w:tcBorders>
              <w:top w:val="nil"/>
              <w:bottom w:val="dashSmallGap" w:sz="4" w:space="0" w:color="auto"/>
            </w:tcBorders>
          </w:tcPr>
          <w:p w14:paraId="66F20269"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15,068</w:t>
            </w:r>
          </w:p>
        </w:tc>
        <w:tc>
          <w:tcPr>
            <w:tcW w:w="1233" w:type="dxa"/>
            <w:tcBorders>
              <w:top w:val="nil"/>
              <w:bottom w:val="dashSmallGap" w:sz="4" w:space="0" w:color="auto"/>
            </w:tcBorders>
          </w:tcPr>
          <w:p w14:paraId="6D53712D" w14:textId="77777777" w:rsidR="000A5C18" w:rsidRPr="00207DC2" w:rsidRDefault="000A5C18" w:rsidP="00FB626D">
            <w:pPr>
              <w:pStyle w:val="TableText"/>
              <w:keepNext/>
              <w:keepLines/>
              <w:jc w:val="right"/>
              <w:rPr>
                <w:rFonts w:cs="Calibri Light"/>
                <w:color w:val="010A11"/>
                <w:lang w:val="en-AU"/>
              </w:rPr>
            </w:pPr>
            <w:r w:rsidRPr="00207DC2">
              <w:rPr>
                <w:rFonts w:cs="Calibri Light"/>
                <w:color w:val="010A11"/>
                <w:lang w:val="en-AU"/>
              </w:rPr>
              <w:t>14,668</w:t>
            </w:r>
          </w:p>
        </w:tc>
        <w:tc>
          <w:tcPr>
            <w:tcW w:w="1555" w:type="dxa"/>
            <w:tcBorders>
              <w:top w:val="nil"/>
              <w:bottom w:val="dashSmallGap" w:sz="4" w:space="0" w:color="auto"/>
            </w:tcBorders>
          </w:tcPr>
          <w:p w14:paraId="3529AEEE" w14:textId="77777777" w:rsidR="00B71AFB" w:rsidRPr="00207DC2" w:rsidRDefault="000A5C18" w:rsidP="00FB626D">
            <w:pPr>
              <w:pStyle w:val="TableText"/>
              <w:keepNext/>
              <w:keepLines/>
              <w:jc w:val="center"/>
              <w:rPr>
                <w:rFonts w:cs="Calibri Light"/>
                <w:color w:val="010A11"/>
                <w:lang w:val="en-AU"/>
              </w:rPr>
            </w:pPr>
            <w:r w:rsidRPr="00207DC2">
              <w:rPr>
                <w:rFonts w:cs="Calibri Light"/>
                <w:color w:val="010A11"/>
                <w:lang w:val="en-AU"/>
              </w:rPr>
              <w:t>-8</w:t>
            </w:r>
          </w:p>
        </w:tc>
        <w:tc>
          <w:tcPr>
            <w:tcW w:w="1555" w:type="dxa"/>
            <w:tcBorders>
              <w:top w:val="nil"/>
              <w:bottom w:val="dashSmallGap" w:sz="4" w:space="0" w:color="auto"/>
            </w:tcBorders>
          </w:tcPr>
          <w:p w14:paraId="1B28A360" w14:textId="77777777" w:rsidR="00B71AFB" w:rsidRPr="00207DC2" w:rsidRDefault="000A5C18" w:rsidP="00FB626D">
            <w:pPr>
              <w:pStyle w:val="TableText"/>
              <w:keepNext/>
              <w:keepLines/>
              <w:jc w:val="center"/>
              <w:rPr>
                <w:rFonts w:cs="Calibri Light"/>
                <w:color w:val="010A11"/>
                <w:lang w:val="en-AU"/>
              </w:rPr>
            </w:pPr>
            <w:r w:rsidRPr="00207DC2">
              <w:rPr>
                <w:rFonts w:cs="Calibri Light"/>
                <w:color w:val="010A11"/>
                <w:lang w:val="en-AU"/>
              </w:rPr>
              <w:t>-10</w:t>
            </w:r>
          </w:p>
        </w:tc>
      </w:tr>
      <w:tr w:rsidR="00B71AFB" w:rsidRPr="00207DC2" w14:paraId="3CFA5A10" w14:textId="77777777" w:rsidTr="00880E51">
        <w:tc>
          <w:tcPr>
            <w:tcW w:w="2235" w:type="dxa"/>
            <w:tcBorders>
              <w:top w:val="dashSmallGap" w:sz="4" w:space="0" w:color="auto"/>
              <w:bottom w:val="nil"/>
            </w:tcBorders>
          </w:tcPr>
          <w:p w14:paraId="6AA219C9" w14:textId="77777777" w:rsidR="00B71AFB" w:rsidRPr="00207DC2" w:rsidRDefault="00B71AFB" w:rsidP="00FB626D">
            <w:pPr>
              <w:pStyle w:val="TableText"/>
              <w:keepNext/>
              <w:keepLines/>
              <w:rPr>
                <w:b/>
                <w:lang w:val="en-AU"/>
              </w:rPr>
            </w:pPr>
            <w:r w:rsidRPr="00207DC2">
              <w:rPr>
                <w:b/>
                <w:lang w:val="en-AU"/>
              </w:rPr>
              <w:t>Less than 18</w:t>
            </w:r>
          </w:p>
        </w:tc>
        <w:tc>
          <w:tcPr>
            <w:tcW w:w="1234" w:type="dxa"/>
            <w:tcBorders>
              <w:top w:val="dashSmallGap" w:sz="4" w:space="0" w:color="auto"/>
              <w:bottom w:val="nil"/>
            </w:tcBorders>
          </w:tcPr>
          <w:p w14:paraId="67C4290E" w14:textId="77777777" w:rsidR="000A5C18" w:rsidRPr="00207DC2" w:rsidRDefault="000A5C18" w:rsidP="00FB626D">
            <w:pPr>
              <w:pStyle w:val="TableText"/>
              <w:keepNext/>
              <w:keepLines/>
              <w:jc w:val="right"/>
              <w:rPr>
                <w:rFonts w:cs="Calibri Light"/>
                <w:lang w:val="en-AU"/>
              </w:rPr>
            </w:pPr>
            <w:r w:rsidRPr="00207DC2">
              <w:rPr>
                <w:rFonts w:cs="Calibri Light"/>
                <w:lang w:val="en-AU"/>
              </w:rPr>
              <w:t>1,217</w:t>
            </w:r>
          </w:p>
        </w:tc>
        <w:tc>
          <w:tcPr>
            <w:tcW w:w="1233" w:type="dxa"/>
            <w:tcBorders>
              <w:top w:val="dashSmallGap" w:sz="4" w:space="0" w:color="auto"/>
              <w:bottom w:val="nil"/>
            </w:tcBorders>
          </w:tcPr>
          <w:p w14:paraId="6B67FF1C" w14:textId="77777777" w:rsidR="000A5C18" w:rsidRPr="00207DC2" w:rsidRDefault="000A5C18" w:rsidP="00FB626D">
            <w:pPr>
              <w:pStyle w:val="TableText"/>
              <w:keepNext/>
              <w:keepLines/>
              <w:jc w:val="right"/>
              <w:rPr>
                <w:rFonts w:cs="Calibri Light"/>
                <w:lang w:val="en-AU"/>
              </w:rPr>
            </w:pPr>
            <w:r w:rsidRPr="00207DC2">
              <w:rPr>
                <w:rFonts w:cs="Calibri Light"/>
                <w:lang w:val="en-AU"/>
              </w:rPr>
              <w:t>871</w:t>
            </w:r>
          </w:p>
        </w:tc>
        <w:tc>
          <w:tcPr>
            <w:tcW w:w="1233" w:type="dxa"/>
            <w:tcBorders>
              <w:top w:val="dashSmallGap" w:sz="4" w:space="0" w:color="auto"/>
              <w:bottom w:val="nil"/>
            </w:tcBorders>
          </w:tcPr>
          <w:p w14:paraId="0FB2CD23" w14:textId="77777777" w:rsidR="000A5C18" w:rsidRPr="00207DC2" w:rsidRDefault="000A5C18" w:rsidP="00FB626D">
            <w:pPr>
              <w:pStyle w:val="TableText"/>
              <w:keepNext/>
              <w:keepLines/>
              <w:jc w:val="right"/>
              <w:rPr>
                <w:rFonts w:cs="Calibri Light"/>
                <w:lang w:val="en-AU"/>
              </w:rPr>
            </w:pPr>
            <w:r w:rsidRPr="00207DC2">
              <w:rPr>
                <w:rFonts w:cs="Calibri Light"/>
                <w:lang w:val="en-AU"/>
              </w:rPr>
              <w:t>932</w:t>
            </w:r>
          </w:p>
        </w:tc>
        <w:tc>
          <w:tcPr>
            <w:tcW w:w="1555" w:type="dxa"/>
            <w:tcBorders>
              <w:top w:val="dashSmallGap" w:sz="4" w:space="0" w:color="auto"/>
              <w:bottom w:val="nil"/>
            </w:tcBorders>
          </w:tcPr>
          <w:p w14:paraId="597463D9" w14:textId="77777777" w:rsidR="00B71AFB" w:rsidRPr="00207DC2" w:rsidRDefault="000A5C18" w:rsidP="00FB626D">
            <w:pPr>
              <w:pStyle w:val="TableText"/>
              <w:keepNext/>
              <w:keepLines/>
              <w:jc w:val="center"/>
              <w:rPr>
                <w:lang w:val="en-AU"/>
              </w:rPr>
            </w:pPr>
            <w:r w:rsidRPr="00207DC2">
              <w:rPr>
                <w:rFonts w:cs="Calibri Light"/>
                <w:lang w:val="en-AU"/>
              </w:rPr>
              <w:t>-28</w:t>
            </w:r>
          </w:p>
        </w:tc>
        <w:tc>
          <w:tcPr>
            <w:tcW w:w="1555" w:type="dxa"/>
            <w:tcBorders>
              <w:top w:val="dashSmallGap" w:sz="4" w:space="0" w:color="auto"/>
              <w:bottom w:val="nil"/>
            </w:tcBorders>
          </w:tcPr>
          <w:p w14:paraId="61275525" w14:textId="77777777" w:rsidR="00B71AFB" w:rsidRPr="00207DC2" w:rsidRDefault="000A5C18" w:rsidP="00FB626D">
            <w:pPr>
              <w:pStyle w:val="TableText"/>
              <w:keepNext/>
              <w:keepLines/>
              <w:jc w:val="center"/>
              <w:rPr>
                <w:lang w:val="en-AU"/>
              </w:rPr>
            </w:pPr>
            <w:r w:rsidRPr="00207DC2">
              <w:rPr>
                <w:rFonts w:cs="Calibri Light"/>
                <w:lang w:val="en-AU"/>
              </w:rPr>
              <w:t>-23</w:t>
            </w:r>
          </w:p>
        </w:tc>
      </w:tr>
      <w:tr w:rsidR="00B71AFB" w:rsidRPr="00207DC2" w14:paraId="30F35462" w14:textId="77777777" w:rsidTr="00880E51">
        <w:tc>
          <w:tcPr>
            <w:tcW w:w="2235" w:type="dxa"/>
            <w:tcBorders>
              <w:top w:val="nil"/>
              <w:bottom w:val="nil"/>
            </w:tcBorders>
          </w:tcPr>
          <w:p w14:paraId="6B5DE7AF" w14:textId="77777777" w:rsidR="00B71AFB" w:rsidRPr="00207DC2" w:rsidRDefault="00B71AFB" w:rsidP="00FB626D">
            <w:pPr>
              <w:pStyle w:val="TableText"/>
              <w:keepNext/>
              <w:keepLines/>
              <w:rPr>
                <w:b/>
                <w:lang w:val="en-AU"/>
              </w:rPr>
            </w:pPr>
            <w:r w:rsidRPr="00207DC2">
              <w:rPr>
                <w:b/>
                <w:lang w:val="en-AU"/>
              </w:rPr>
              <w:t>18-22 years</w:t>
            </w:r>
          </w:p>
        </w:tc>
        <w:tc>
          <w:tcPr>
            <w:tcW w:w="1234" w:type="dxa"/>
            <w:tcBorders>
              <w:top w:val="nil"/>
              <w:bottom w:val="nil"/>
            </w:tcBorders>
          </w:tcPr>
          <w:p w14:paraId="0C8E168B" w14:textId="77777777" w:rsidR="000A5C18" w:rsidRPr="00207DC2" w:rsidRDefault="000A5C18" w:rsidP="00FB626D">
            <w:pPr>
              <w:pStyle w:val="TableText"/>
              <w:keepNext/>
              <w:keepLines/>
              <w:jc w:val="right"/>
              <w:rPr>
                <w:rFonts w:cs="Calibri Light"/>
                <w:lang w:val="en-AU"/>
              </w:rPr>
            </w:pPr>
            <w:r w:rsidRPr="00207DC2">
              <w:rPr>
                <w:rFonts w:cs="Calibri Light"/>
                <w:lang w:val="en-AU"/>
              </w:rPr>
              <w:t>6,723</w:t>
            </w:r>
          </w:p>
        </w:tc>
        <w:tc>
          <w:tcPr>
            <w:tcW w:w="1233" w:type="dxa"/>
            <w:tcBorders>
              <w:top w:val="nil"/>
              <w:bottom w:val="nil"/>
            </w:tcBorders>
          </w:tcPr>
          <w:p w14:paraId="4203909D" w14:textId="77777777" w:rsidR="000A5C18" w:rsidRPr="00207DC2" w:rsidRDefault="000A5C18" w:rsidP="00FB626D">
            <w:pPr>
              <w:pStyle w:val="TableText"/>
              <w:keepNext/>
              <w:keepLines/>
              <w:jc w:val="right"/>
              <w:rPr>
                <w:rFonts w:cs="Calibri Light"/>
                <w:lang w:val="en-AU"/>
              </w:rPr>
            </w:pPr>
            <w:r w:rsidRPr="00207DC2">
              <w:rPr>
                <w:rFonts w:cs="Calibri Light"/>
                <w:lang w:val="en-AU"/>
              </w:rPr>
              <w:t>5,408</w:t>
            </w:r>
          </w:p>
        </w:tc>
        <w:tc>
          <w:tcPr>
            <w:tcW w:w="1233" w:type="dxa"/>
            <w:tcBorders>
              <w:top w:val="nil"/>
              <w:bottom w:val="nil"/>
            </w:tcBorders>
          </w:tcPr>
          <w:p w14:paraId="1DCFA0C4" w14:textId="77777777" w:rsidR="000A5C18" w:rsidRPr="00207DC2" w:rsidRDefault="000A5C18" w:rsidP="00FB626D">
            <w:pPr>
              <w:pStyle w:val="TableText"/>
              <w:keepNext/>
              <w:keepLines/>
              <w:jc w:val="right"/>
              <w:rPr>
                <w:rFonts w:cs="Calibri Light"/>
                <w:lang w:val="en-AU"/>
              </w:rPr>
            </w:pPr>
            <w:r w:rsidRPr="00207DC2">
              <w:rPr>
                <w:rFonts w:cs="Calibri Light"/>
                <w:lang w:val="en-AU"/>
              </w:rPr>
              <w:t>5,009</w:t>
            </w:r>
          </w:p>
        </w:tc>
        <w:tc>
          <w:tcPr>
            <w:tcW w:w="1555" w:type="dxa"/>
            <w:tcBorders>
              <w:top w:val="nil"/>
              <w:bottom w:val="nil"/>
            </w:tcBorders>
          </w:tcPr>
          <w:p w14:paraId="41574EDA" w14:textId="77777777" w:rsidR="00B71AFB" w:rsidRPr="00207DC2" w:rsidRDefault="000A5C18" w:rsidP="00FB626D">
            <w:pPr>
              <w:pStyle w:val="TableText"/>
              <w:keepNext/>
              <w:keepLines/>
              <w:jc w:val="center"/>
              <w:rPr>
                <w:lang w:val="en-AU"/>
              </w:rPr>
            </w:pPr>
            <w:r w:rsidRPr="00207DC2">
              <w:rPr>
                <w:rFonts w:cs="Calibri Light"/>
                <w:lang w:val="en-AU"/>
              </w:rPr>
              <w:t>-20</w:t>
            </w:r>
          </w:p>
        </w:tc>
        <w:tc>
          <w:tcPr>
            <w:tcW w:w="1555" w:type="dxa"/>
            <w:tcBorders>
              <w:top w:val="nil"/>
              <w:bottom w:val="nil"/>
            </w:tcBorders>
          </w:tcPr>
          <w:p w14:paraId="4D78DE41" w14:textId="77777777" w:rsidR="00B71AFB" w:rsidRPr="00207DC2" w:rsidRDefault="000A5C18" w:rsidP="00FB626D">
            <w:pPr>
              <w:pStyle w:val="TableText"/>
              <w:keepNext/>
              <w:keepLines/>
              <w:jc w:val="center"/>
              <w:rPr>
                <w:lang w:val="en-AU"/>
              </w:rPr>
            </w:pPr>
            <w:r w:rsidRPr="00207DC2">
              <w:rPr>
                <w:rFonts w:cs="Calibri Light"/>
                <w:lang w:val="en-AU"/>
              </w:rPr>
              <w:t>-25</w:t>
            </w:r>
          </w:p>
        </w:tc>
      </w:tr>
      <w:tr w:rsidR="00B71AFB" w:rsidRPr="00207DC2" w14:paraId="691BE4A3" w14:textId="77777777" w:rsidTr="00880E51">
        <w:tc>
          <w:tcPr>
            <w:tcW w:w="2235" w:type="dxa"/>
            <w:tcBorders>
              <w:top w:val="nil"/>
              <w:bottom w:val="nil"/>
            </w:tcBorders>
          </w:tcPr>
          <w:p w14:paraId="01F8F53E" w14:textId="77777777" w:rsidR="00B71AFB" w:rsidRPr="00207DC2" w:rsidRDefault="00B71AFB" w:rsidP="00FB626D">
            <w:pPr>
              <w:pStyle w:val="TableText"/>
              <w:keepNext/>
              <w:keepLines/>
              <w:rPr>
                <w:b/>
                <w:lang w:val="en-AU"/>
              </w:rPr>
            </w:pPr>
            <w:r w:rsidRPr="00207DC2">
              <w:rPr>
                <w:b/>
                <w:lang w:val="en-AU"/>
              </w:rPr>
              <w:t>23-29 years</w:t>
            </w:r>
          </w:p>
        </w:tc>
        <w:tc>
          <w:tcPr>
            <w:tcW w:w="1234" w:type="dxa"/>
            <w:tcBorders>
              <w:top w:val="nil"/>
              <w:bottom w:val="nil"/>
            </w:tcBorders>
          </w:tcPr>
          <w:p w14:paraId="46E5037F" w14:textId="77777777" w:rsidR="000A5C18" w:rsidRPr="00207DC2" w:rsidRDefault="000A5C18" w:rsidP="00FB626D">
            <w:pPr>
              <w:pStyle w:val="TableText"/>
              <w:keepNext/>
              <w:keepLines/>
              <w:jc w:val="right"/>
              <w:rPr>
                <w:rFonts w:cs="Calibri Light"/>
                <w:lang w:val="en-AU"/>
              </w:rPr>
            </w:pPr>
            <w:r w:rsidRPr="00207DC2">
              <w:rPr>
                <w:rFonts w:cs="Calibri Light"/>
                <w:lang w:val="en-AU"/>
              </w:rPr>
              <w:t>7,366</w:t>
            </w:r>
          </w:p>
        </w:tc>
        <w:tc>
          <w:tcPr>
            <w:tcW w:w="1233" w:type="dxa"/>
            <w:tcBorders>
              <w:top w:val="nil"/>
              <w:bottom w:val="nil"/>
            </w:tcBorders>
          </w:tcPr>
          <w:p w14:paraId="5AC3ECEA" w14:textId="77777777" w:rsidR="000A5C18" w:rsidRPr="00207DC2" w:rsidRDefault="000A5C18" w:rsidP="00FB626D">
            <w:pPr>
              <w:pStyle w:val="TableText"/>
              <w:keepNext/>
              <w:keepLines/>
              <w:jc w:val="right"/>
              <w:rPr>
                <w:rFonts w:cs="Calibri Light"/>
                <w:lang w:val="en-AU"/>
              </w:rPr>
            </w:pPr>
            <w:r w:rsidRPr="00207DC2">
              <w:rPr>
                <w:rFonts w:cs="Calibri Light"/>
                <w:lang w:val="en-AU"/>
              </w:rPr>
              <w:t>6,559</w:t>
            </w:r>
          </w:p>
        </w:tc>
        <w:tc>
          <w:tcPr>
            <w:tcW w:w="1233" w:type="dxa"/>
            <w:tcBorders>
              <w:top w:val="nil"/>
              <w:bottom w:val="nil"/>
            </w:tcBorders>
          </w:tcPr>
          <w:p w14:paraId="2964AC51" w14:textId="77777777" w:rsidR="000A5C18" w:rsidRPr="00207DC2" w:rsidRDefault="000A5C18" w:rsidP="00FB626D">
            <w:pPr>
              <w:pStyle w:val="TableText"/>
              <w:keepNext/>
              <w:keepLines/>
              <w:jc w:val="right"/>
              <w:rPr>
                <w:rFonts w:cs="Calibri Light"/>
                <w:lang w:val="en-AU"/>
              </w:rPr>
            </w:pPr>
            <w:r w:rsidRPr="00207DC2">
              <w:rPr>
                <w:rFonts w:cs="Calibri Light"/>
                <w:lang w:val="en-AU"/>
              </w:rPr>
              <w:t>6,189</w:t>
            </w:r>
          </w:p>
        </w:tc>
        <w:tc>
          <w:tcPr>
            <w:tcW w:w="1555" w:type="dxa"/>
            <w:tcBorders>
              <w:top w:val="nil"/>
              <w:bottom w:val="nil"/>
            </w:tcBorders>
          </w:tcPr>
          <w:p w14:paraId="16337B11" w14:textId="77777777" w:rsidR="00B71AFB" w:rsidRPr="00207DC2" w:rsidRDefault="000A5C18" w:rsidP="00FB626D">
            <w:pPr>
              <w:pStyle w:val="TableText"/>
              <w:keepNext/>
              <w:keepLines/>
              <w:jc w:val="center"/>
              <w:rPr>
                <w:lang w:val="en-AU"/>
              </w:rPr>
            </w:pPr>
            <w:r w:rsidRPr="00207DC2">
              <w:rPr>
                <w:rFonts w:cs="Calibri Light"/>
                <w:lang w:val="en-AU"/>
              </w:rPr>
              <w:t>-11</w:t>
            </w:r>
          </w:p>
        </w:tc>
        <w:tc>
          <w:tcPr>
            <w:tcW w:w="1555" w:type="dxa"/>
            <w:tcBorders>
              <w:top w:val="nil"/>
              <w:bottom w:val="nil"/>
            </w:tcBorders>
          </w:tcPr>
          <w:p w14:paraId="5004F445" w14:textId="77777777" w:rsidR="00B71AFB" w:rsidRPr="00207DC2" w:rsidRDefault="000A5C18" w:rsidP="00FB626D">
            <w:pPr>
              <w:pStyle w:val="TableText"/>
              <w:keepNext/>
              <w:keepLines/>
              <w:jc w:val="center"/>
              <w:rPr>
                <w:lang w:val="en-AU"/>
              </w:rPr>
            </w:pPr>
            <w:r w:rsidRPr="00207DC2">
              <w:rPr>
                <w:rFonts w:cs="Calibri Light"/>
                <w:lang w:val="en-AU"/>
              </w:rPr>
              <w:t>-16</w:t>
            </w:r>
          </w:p>
        </w:tc>
      </w:tr>
      <w:tr w:rsidR="008B0229" w:rsidRPr="00207DC2" w14:paraId="4568EDA8" w14:textId="77777777" w:rsidTr="00880E51">
        <w:tc>
          <w:tcPr>
            <w:tcW w:w="2235" w:type="dxa"/>
            <w:tcBorders>
              <w:top w:val="nil"/>
              <w:bottom w:val="nil"/>
            </w:tcBorders>
          </w:tcPr>
          <w:p w14:paraId="6E1F3ECB" w14:textId="77777777" w:rsidR="008B0229" w:rsidRPr="00207DC2" w:rsidRDefault="008B0229" w:rsidP="00FB626D">
            <w:pPr>
              <w:pStyle w:val="TableText"/>
              <w:keepNext/>
              <w:keepLines/>
              <w:rPr>
                <w:b/>
                <w:lang w:val="en-AU"/>
              </w:rPr>
            </w:pPr>
            <w:r w:rsidRPr="00207DC2">
              <w:rPr>
                <w:b/>
                <w:lang w:val="en-AU"/>
              </w:rPr>
              <w:t>30-39 years</w:t>
            </w:r>
          </w:p>
        </w:tc>
        <w:tc>
          <w:tcPr>
            <w:tcW w:w="1234" w:type="dxa"/>
            <w:tcBorders>
              <w:top w:val="nil"/>
              <w:bottom w:val="nil"/>
            </w:tcBorders>
          </w:tcPr>
          <w:p w14:paraId="3FB8DC12" w14:textId="77777777" w:rsidR="008B0229" w:rsidRPr="00207DC2" w:rsidRDefault="00C65B91" w:rsidP="00FB626D">
            <w:pPr>
              <w:pStyle w:val="TableText"/>
              <w:keepNext/>
              <w:keepLines/>
              <w:jc w:val="right"/>
              <w:rPr>
                <w:rFonts w:cs="Calibri Light"/>
                <w:lang w:val="en-AU"/>
              </w:rPr>
            </w:pPr>
            <w:r w:rsidRPr="00207DC2">
              <w:rPr>
                <w:rFonts w:cs="Calibri Light"/>
                <w:lang w:val="en-AU"/>
              </w:rPr>
              <w:t>8,811</w:t>
            </w:r>
          </w:p>
        </w:tc>
        <w:tc>
          <w:tcPr>
            <w:tcW w:w="1233" w:type="dxa"/>
            <w:tcBorders>
              <w:top w:val="nil"/>
              <w:bottom w:val="nil"/>
            </w:tcBorders>
          </w:tcPr>
          <w:p w14:paraId="31DF6ECA" w14:textId="77777777" w:rsidR="008B0229" w:rsidRPr="00207DC2" w:rsidRDefault="00C65B91" w:rsidP="00FB626D">
            <w:pPr>
              <w:pStyle w:val="TableText"/>
              <w:keepNext/>
              <w:keepLines/>
              <w:jc w:val="right"/>
              <w:rPr>
                <w:rFonts w:cs="Calibri Light"/>
                <w:lang w:val="en-AU"/>
              </w:rPr>
            </w:pPr>
            <w:r w:rsidRPr="00207DC2">
              <w:rPr>
                <w:rFonts w:cs="Calibri Light"/>
                <w:lang w:val="en-AU"/>
              </w:rPr>
              <w:t>8,279</w:t>
            </w:r>
          </w:p>
        </w:tc>
        <w:tc>
          <w:tcPr>
            <w:tcW w:w="1233" w:type="dxa"/>
            <w:tcBorders>
              <w:top w:val="nil"/>
              <w:bottom w:val="nil"/>
            </w:tcBorders>
          </w:tcPr>
          <w:p w14:paraId="63AA0376" w14:textId="77777777" w:rsidR="008B0229" w:rsidRPr="00207DC2" w:rsidRDefault="00C65B91" w:rsidP="00FB626D">
            <w:pPr>
              <w:pStyle w:val="TableText"/>
              <w:keepNext/>
              <w:keepLines/>
              <w:jc w:val="right"/>
              <w:rPr>
                <w:rFonts w:cs="Calibri Light"/>
                <w:lang w:val="en-AU"/>
              </w:rPr>
            </w:pPr>
            <w:r w:rsidRPr="00207DC2">
              <w:rPr>
                <w:rFonts w:cs="Calibri Light"/>
                <w:lang w:val="en-AU"/>
              </w:rPr>
              <w:t>7,940</w:t>
            </w:r>
          </w:p>
        </w:tc>
        <w:tc>
          <w:tcPr>
            <w:tcW w:w="1555" w:type="dxa"/>
            <w:tcBorders>
              <w:top w:val="nil"/>
              <w:bottom w:val="nil"/>
            </w:tcBorders>
          </w:tcPr>
          <w:p w14:paraId="0C53BC08" w14:textId="77777777" w:rsidR="008B0229" w:rsidRPr="00207DC2" w:rsidRDefault="00C65B91" w:rsidP="00FB626D">
            <w:pPr>
              <w:pStyle w:val="TableText"/>
              <w:keepNext/>
              <w:keepLines/>
              <w:jc w:val="center"/>
              <w:rPr>
                <w:rFonts w:cs="Calibri Light"/>
                <w:lang w:val="en-AU"/>
              </w:rPr>
            </w:pPr>
            <w:r w:rsidRPr="00207DC2">
              <w:rPr>
                <w:rFonts w:cs="Calibri Light"/>
                <w:lang w:val="en-AU"/>
              </w:rPr>
              <w:t>-6</w:t>
            </w:r>
          </w:p>
        </w:tc>
        <w:tc>
          <w:tcPr>
            <w:tcW w:w="1555" w:type="dxa"/>
            <w:tcBorders>
              <w:top w:val="nil"/>
              <w:bottom w:val="nil"/>
            </w:tcBorders>
          </w:tcPr>
          <w:p w14:paraId="0361438B" w14:textId="77777777" w:rsidR="008B0229" w:rsidRPr="00207DC2" w:rsidRDefault="00C65B91" w:rsidP="00FB626D">
            <w:pPr>
              <w:pStyle w:val="TableText"/>
              <w:keepNext/>
              <w:keepLines/>
              <w:jc w:val="center"/>
              <w:rPr>
                <w:rFonts w:cs="Calibri Light"/>
                <w:lang w:val="en-AU"/>
              </w:rPr>
            </w:pPr>
            <w:r w:rsidRPr="00207DC2">
              <w:rPr>
                <w:rFonts w:cs="Calibri Light"/>
                <w:lang w:val="en-AU"/>
              </w:rPr>
              <w:t>-10</w:t>
            </w:r>
          </w:p>
        </w:tc>
      </w:tr>
      <w:tr w:rsidR="00B71AFB" w:rsidRPr="00207DC2" w14:paraId="3DD9B3C3" w14:textId="77777777" w:rsidTr="00880E51">
        <w:tc>
          <w:tcPr>
            <w:tcW w:w="2235" w:type="dxa"/>
            <w:tcBorders>
              <w:top w:val="nil"/>
              <w:bottom w:val="nil"/>
            </w:tcBorders>
          </w:tcPr>
          <w:p w14:paraId="65722EC7" w14:textId="77777777" w:rsidR="00B71AFB" w:rsidRPr="00207DC2" w:rsidRDefault="00B71AFB" w:rsidP="00FB626D">
            <w:pPr>
              <w:pStyle w:val="TableText"/>
              <w:keepNext/>
              <w:keepLines/>
              <w:rPr>
                <w:b/>
                <w:lang w:val="en-AU"/>
              </w:rPr>
            </w:pPr>
            <w:r w:rsidRPr="00207DC2">
              <w:rPr>
                <w:b/>
                <w:lang w:val="en-AU"/>
              </w:rPr>
              <w:t>40-49 years</w:t>
            </w:r>
          </w:p>
        </w:tc>
        <w:tc>
          <w:tcPr>
            <w:tcW w:w="1234" w:type="dxa"/>
            <w:tcBorders>
              <w:top w:val="nil"/>
              <w:bottom w:val="nil"/>
            </w:tcBorders>
          </w:tcPr>
          <w:p w14:paraId="687985F2" w14:textId="77777777" w:rsidR="000A5C18" w:rsidRPr="00207DC2" w:rsidRDefault="00C65B91" w:rsidP="00FB626D">
            <w:pPr>
              <w:pStyle w:val="TableText"/>
              <w:keepNext/>
              <w:keepLines/>
              <w:jc w:val="right"/>
              <w:rPr>
                <w:rFonts w:cs="Calibri Light"/>
                <w:lang w:val="en-AU"/>
              </w:rPr>
            </w:pPr>
            <w:r w:rsidRPr="00207DC2">
              <w:rPr>
                <w:rFonts w:cs="Calibri Light"/>
                <w:lang w:val="en-AU"/>
              </w:rPr>
              <w:t>7,473</w:t>
            </w:r>
          </w:p>
        </w:tc>
        <w:tc>
          <w:tcPr>
            <w:tcW w:w="1233" w:type="dxa"/>
            <w:tcBorders>
              <w:top w:val="nil"/>
              <w:bottom w:val="nil"/>
            </w:tcBorders>
          </w:tcPr>
          <w:p w14:paraId="19148635" w14:textId="77777777" w:rsidR="000A5C18" w:rsidRPr="00207DC2" w:rsidRDefault="00C65B91" w:rsidP="00FB626D">
            <w:pPr>
              <w:pStyle w:val="TableText"/>
              <w:keepNext/>
              <w:keepLines/>
              <w:jc w:val="right"/>
              <w:rPr>
                <w:rFonts w:cs="Calibri Light"/>
                <w:lang w:val="en-AU"/>
              </w:rPr>
            </w:pPr>
            <w:r w:rsidRPr="00207DC2">
              <w:rPr>
                <w:rFonts w:cs="Calibri Light"/>
                <w:lang w:val="en-AU"/>
              </w:rPr>
              <w:t>7,159</w:t>
            </w:r>
          </w:p>
        </w:tc>
        <w:tc>
          <w:tcPr>
            <w:tcW w:w="1233" w:type="dxa"/>
            <w:tcBorders>
              <w:top w:val="nil"/>
              <w:bottom w:val="nil"/>
            </w:tcBorders>
          </w:tcPr>
          <w:p w14:paraId="436D6B4E" w14:textId="77777777" w:rsidR="000A5C18" w:rsidRPr="00207DC2" w:rsidRDefault="00C65B91" w:rsidP="00FB626D">
            <w:pPr>
              <w:pStyle w:val="TableText"/>
              <w:keepNext/>
              <w:keepLines/>
              <w:jc w:val="right"/>
              <w:rPr>
                <w:rFonts w:cs="Calibri Light"/>
                <w:lang w:val="en-AU"/>
              </w:rPr>
            </w:pPr>
            <w:r w:rsidRPr="00207DC2">
              <w:rPr>
                <w:rFonts w:cs="Calibri Light"/>
                <w:lang w:val="en-AU"/>
              </w:rPr>
              <w:t>6,923</w:t>
            </w:r>
          </w:p>
        </w:tc>
        <w:tc>
          <w:tcPr>
            <w:tcW w:w="1555" w:type="dxa"/>
            <w:tcBorders>
              <w:top w:val="nil"/>
              <w:bottom w:val="nil"/>
            </w:tcBorders>
          </w:tcPr>
          <w:p w14:paraId="57BA772F" w14:textId="77777777" w:rsidR="00B71AFB" w:rsidRPr="00207DC2" w:rsidRDefault="00C65B91" w:rsidP="00FB626D">
            <w:pPr>
              <w:pStyle w:val="TableText"/>
              <w:keepNext/>
              <w:keepLines/>
              <w:jc w:val="center"/>
              <w:rPr>
                <w:lang w:val="en-AU"/>
              </w:rPr>
            </w:pPr>
            <w:r w:rsidRPr="00207DC2">
              <w:rPr>
                <w:rFonts w:cs="Calibri Light"/>
                <w:lang w:val="en-AU"/>
              </w:rPr>
              <w:t>-4</w:t>
            </w:r>
          </w:p>
        </w:tc>
        <w:tc>
          <w:tcPr>
            <w:tcW w:w="1555" w:type="dxa"/>
            <w:tcBorders>
              <w:top w:val="nil"/>
              <w:bottom w:val="nil"/>
            </w:tcBorders>
          </w:tcPr>
          <w:p w14:paraId="277B3CD6" w14:textId="77777777" w:rsidR="00B71AFB" w:rsidRPr="00207DC2" w:rsidRDefault="00C65B91" w:rsidP="00FB626D">
            <w:pPr>
              <w:pStyle w:val="TableText"/>
              <w:keepNext/>
              <w:keepLines/>
              <w:jc w:val="center"/>
              <w:rPr>
                <w:lang w:val="en-AU"/>
              </w:rPr>
            </w:pPr>
            <w:r w:rsidRPr="00207DC2">
              <w:rPr>
                <w:rFonts w:cs="Calibri Light"/>
                <w:lang w:val="en-AU"/>
              </w:rPr>
              <w:t>-7</w:t>
            </w:r>
          </w:p>
        </w:tc>
      </w:tr>
      <w:tr w:rsidR="00B71AFB" w:rsidRPr="00207DC2" w14:paraId="4FD3C48D" w14:textId="77777777" w:rsidTr="00880E51">
        <w:tc>
          <w:tcPr>
            <w:tcW w:w="2235" w:type="dxa"/>
            <w:tcBorders>
              <w:top w:val="nil"/>
              <w:bottom w:val="single" w:sz="4" w:space="0" w:color="auto"/>
            </w:tcBorders>
          </w:tcPr>
          <w:p w14:paraId="63D20765" w14:textId="77777777" w:rsidR="00B71AFB" w:rsidRPr="00207DC2" w:rsidRDefault="00B71AFB" w:rsidP="00FB626D">
            <w:pPr>
              <w:pStyle w:val="TableText"/>
              <w:keepNext/>
              <w:keepLines/>
              <w:rPr>
                <w:b/>
                <w:lang w:val="en-AU"/>
              </w:rPr>
            </w:pPr>
            <w:r w:rsidRPr="00207DC2">
              <w:rPr>
                <w:b/>
                <w:lang w:val="en-AU"/>
              </w:rPr>
              <w:t>50 years or older</w:t>
            </w:r>
          </w:p>
        </w:tc>
        <w:tc>
          <w:tcPr>
            <w:tcW w:w="1234" w:type="dxa"/>
            <w:tcBorders>
              <w:top w:val="nil"/>
              <w:bottom w:val="single" w:sz="4" w:space="0" w:color="auto"/>
            </w:tcBorders>
          </w:tcPr>
          <w:p w14:paraId="0B729971" w14:textId="77777777" w:rsidR="000A5C18" w:rsidRPr="00207DC2" w:rsidRDefault="00C65B91" w:rsidP="00FB626D">
            <w:pPr>
              <w:pStyle w:val="TableText"/>
              <w:keepNext/>
              <w:keepLines/>
              <w:jc w:val="right"/>
              <w:rPr>
                <w:rFonts w:cs="Calibri Light"/>
                <w:lang w:val="en-AU"/>
              </w:rPr>
            </w:pPr>
            <w:r w:rsidRPr="00207DC2">
              <w:rPr>
                <w:lang w:val="en-AU"/>
              </w:rPr>
              <w:t>5,918</w:t>
            </w:r>
          </w:p>
        </w:tc>
        <w:tc>
          <w:tcPr>
            <w:tcW w:w="1233" w:type="dxa"/>
            <w:tcBorders>
              <w:top w:val="nil"/>
              <w:bottom w:val="single" w:sz="4" w:space="0" w:color="auto"/>
            </w:tcBorders>
          </w:tcPr>
          <w:p w14:paraId="46753F2B" w14:textId="77777777" w:rsidR="000A5C18" w:rsidRPr="00207DC2" w:rsidRDefault="00C65B91" w:rsidP="00FB626D">
            <w:pPr>
              <w:pStyle w:val="TableText"/>
              <w:keepNext/>
              <w:keepLines/>
              <w:jc w:val="right"/>
              <w:rPr>
                <w:rFonts w:cs="Calibri Light"/>
                <w:lang w:val="en-AU"/>
              </w:rPr>
            </w:pPr>
            <w:r w:rsidRPr="00207DC2">
              <w:rPr>
                <w:lang w:val="en-AU"/>
              </w:rPr>
              <w:t>6,168</w:t>
            </w:r>
          </w:p>
        </w:tc>
        <w:tc>
          <w:tcPr>
            <w:tcW w:w="1233" w:type="dxa"/>
            <w:tcBorders>
              <w:top w:val="nil"/>
              <w:bottom w:val="single" w:sz="4" w:space="0" w:color="auto"/>
            </w:tcBorders>
          </w:tcPr>
          <w:p w14:paraId="1B053A87" w14:textId="77777777" w:rsidR="000A5C18" w:rsidRPr="00207DC2" w:rsidRDefault="00C65B91" w:rsidP="00FB626D">
            <w:pPr>
              <w:pStyle w:val="TableText"/>
              <w:keepNext/>
              <w:keepLines/>
              <w:jc w:val="right"/>
              <w:rPr>
                <w:rFonts w:cs="Calibri Light"/>
                <w:lang w:val="en-AU"/>
              </w:rPr>
            </w:pPr>
            <w:r w:rsidRPr="00207DC2">
              <w:rPr>
                <w:lang w:val="en-AU"/>
              </w:rPr>
              <w:t>6,362</w:t>
            </w:r>
          </w:p>
        </w:tc>
        <w:tc>
          <w:tcPr>
            <w:tcW w:w="1555" w:type="dxa"/>
            <w:tcBorders>
              <w:top w:val="nil"/>
              <w:bottom w:val="single" w:sz="4" w:space="0" w:color="auto"/>
            </w:tcBorders>
          </w:tcPr>
          <w:p w14:paraId="32A301B8" w14:textId="77777777" w:rsidR="00B71AFB" w:rsidRPr="00207DC2" w:rsidRDefault="00C65B91" w:rsidP="00FB626D">
            <w:pPr>
              <w:pStyle w:val="TableText"/>
              <w:keepNext/>
              <w:keepLines/>
              <w:jc w:val="center"/>
              <w:rPr>
                <w:lang w:val="en-AU"/>
              </w:rPr>
            </w:pPr>
            <w:r w:rsidRPr="00207DC2">
              <w:rPr>
                <w:lang w:val="en-AU"/>
              </w:rPr>
              <w:t xml:space="preserve"> 4 </w:t>
            </w:r>
          </w:p>
        </w:tc>
        <w:tc>
          <w:tcPr>
            <w:tcW w:w="1555" w:type="dxa"/>
            <w:tcBorders>
              <w:top w:val="nil"/>
              <w:bottom w:val="single" w:sz="4" w:space="0" w:color="auto"/>
            </w:tcBorders>
          </w:tcPr>
          <w:p w14:paraId="3285BDEC" w14:textId="77777777" w:rsidR="00B71AFB" w:rsidRPr="00207DC2" w:rsidRDefault="00C65B91" w:rsidP="00FB626D">
            <w:pPr>
              <w:pStyle w:val="TableText"/>
              <w:keepNext/>
              <w:keepLines/>
              <w:jc w:val="center"/>
              <w:rPr>
                <w:lang w:val="en-AU"/>
              </w:rPr>
            </w:pPr>
            <w:r w:rsidRPr="00207DC2">
              <w:rPr>
                <w:lang w:val="en-AU"/>
              </w:rPr>
              <w:t xml:space="preserve"> 8 </w:t>
            </w:r>
          </w:p>
        </w:tc>
      </w:tr>
    </w:tbl>
    <w:p w14:paraId="0A282972" w14:textId="77777777" w:rsidR="00DF7D3E" w:rsidRPr="00207DC2" w:rsidRDefault="00E35E39" w:rsidP="00FB626D">
      <w:pPr>
        <w:pStyle w:val="tablenotes"/>
      </w:pPr>
      <w:r w:rsidRPr="00207DC2">
        <w:rPr>
          <w:i/>
        </w:rPr>
        <w:t>Source:</w:t>
      </w:r>
      <w:r w:rsidRPr="00207DC2">
        <w:t xml:space="preserve"> ESS operational data (extracted by </w:t>
      </w:r>
      <w:r w:rsidR="0057565A" w:rsidRPr="00207DC2">
        <w:t>PMC</w:t>
      </w:r>
      <w:r w:rsidRPr="00207DC2">
        <w:t xml:space="preserve"> on 5 September 2017). </w:t>
      </w:r>
    </w:p>
    <w:p w14:paraId="41CAB42F" w14:textId="77777777" w:rsidR="00AA5FCA" w:rsidRPr="00207DC2" w:rsidRDefault="00AA5FCA" w:rsidP="00FB626D">
      <w:pPr>
        <w:pStyle w:val="tablenotes"/>
      </w:pPr>
    </w:p>
    <w:p w14:paraId="186F4AA4" w14:textId="77777777" w:rsidR="00C00896" w:rsidRPr="00207DC2" w:rsidRDefault="00C00896" w:rsidP="00FB626D">
      <w:pPr>
        <w:spacing w:after="160"/>
        <w:rPr>
          <w:rFonts w:asciiTheme="majorHAnsi" w:eastAsiaTheme="majorEastAsia" w:hAnsiTheme="majorHAnsi" w:cstheme="majorBidi"/>
          <w:color w:val="15202A" w:themeColor="accent1" w:themeShade="BF"/>
          <w:spacing w:val="22"/>
          <w:sz w:val="24"/>
          <w:szCs w:val="22"/>
          <w:lang w:val="en-AU" w:eastAsia="en-US"/>
        </w:rPr>
      </w:pPr>
      <w:r w:rsidRPr="00207DC2">
        <w:rPr>
          <w:lang w:val="en-AU"/>
        </w:rPr>
        <w:br w:type="page"/>
      </w:r>
    </w:p>
    <w:p w14:paraId="008F27B6" w14:textId="77777777" w:rsidR="00AA5FCA" w:rsidRPr="00207DC2" w:rsidRDefault="00AA5FCA" w:rsidP="00FB626D">
      <w:pPr>
        <w:pStyle w:val="Table"/>
        <w:outlineLvl w:val="9"/>
      </w:pPr>
      <w:r w:rsidRPr="00207DC2">
        <w:t xml:space="preserve">Table A.5 Reasons for being </w:t>
      </w:r>
      <w:r w:rsidR="003F31C7" w:rsidRPr="00207DC2">
        <w:t>temporarily exempt</w:t>
      </w:r>
      <w:r w:rsidRPr="00207DC2">
        <w:t xml:space="preserve"> </w:t>
      </w:r>
      <w:r w:rsidR="003F31C7" w:rsidRPr="00207DC2">
        <w:t>from activity test requirements</w:t>
      </w:r>
      <w:r w:rsidR="003F31C7" w:rsidRPr="00207DC2">
        <w:rPr>
          <w:b/>
          <w:vertAlign w:val="superscript"/>
        </w:rPr>
        <w:t>a</w:t>
      </w:r>
    </w:p>
    <w:tbl>
      <w:tblPr>
        <w:tblStyle w:val="TableGrid"/>
        <w:tblW w:w="87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Reasons for being temporarily exempt from activity test requirements"/>
        <w:tblDescription w:val="The table shows recorded reasons for being exempt from activity requirements for all registered CDP participants that were recorded as exempt in January 2014 and January 2016. The most common reasons for being exempt from activity test requirements were: medical, followed by reduced/partial work capacity, personal issues and paid work, then caring responsibilities.  There were increases in the number of participants with exemptions for all these reasons between January 2014 and January 2016."/>
      </w:tblPr>
      <w:tblGrid>
        <w:gridCol w:w="3652"/>
        <w:gridCol w:w="1701"/>
        <w:gridCol w:w="1701"/>
        <w:gridCol w:w="1701"/>
      </w:tblGrid>
      <w:tr w:rsidR="00214637" w:rsidRPr="00207DC2" w14:paraId="019708FC" w14:textId="77777777" w:rsidTr="000A3951">
        <w:trPr>
          <w:tblHeader/>
        </w:trPr>
        <w:tc>
          <w:tcPr>
            <w:tcW w:w="3652" w:type="dxa"/>
            <w:tcBorders>
              <w:top w:val="single" w:sz="4" w:space="0" w:color="auto"/>
              <w:bottom w:val="single" w:sz="4" w:space="0" w:color="auto"/>
            </w:tcBorders>
          </w:tcPr>
          <w:p w14:paraId="0EF31217" w14:textId="77777777" w:rsidR="00AA5FCA" w:rsidRPr="00207DC2" w:rsidRDefault="003F31C7" w:rsidP="00FB626D">
            <w:pPr>
              <w:pStyle w:val="TableText"/>
              <w:keepNext/>
              <w:keepLines/>
              <w:rPr>
                <w:b/>
                <w:lang w:val="en-AU"/>
              </w:rPr>
            </w:pPr>
            <w:r w:rsidRPr="00207DC2">
              <w:rPr>
                <w:b/>
                <w:szCs w:val="20"/>
                <w:lang w:val="en-AU" w:eastAsia="en-AU"/>
              </w:rPr>
              <w:t>Exemption</w:t>
            </w:r>
            <w:r w:rsidR="002E4D35" w:rsidRPr="00207DC2">
              <w:rPr>
                <w:b/>
                <w:szCs w:val="20"/>
                <w:lang w:val="en-AU" w:eastAsia="en-AU"/>
              </w:rPr>
              <w:t xml:space="preserve"> reason</w:t>
            </w:r>
          </w:p>
        </w:tc>
        <w:tc>
          <w:tcPr>
            <w:tcW w:w="1701" w:type="dxa"/>
            <w:tcBorders>
              <w:top w:val="single" w:sz="4" w:space="0" w:color="auto"/>
              <w:bottom w:val="single" w:sz="4" w:space="0" w:color="auto"/>
            </w:tcBorders>
          </w:tcPr>
          <w:p w14:paraId="1E09ACD6" w14:textId="77777777" w:rsidR="00AA5FCA" w:rsidRPr="00207DC2" w:rsidRDefault="00AA5FCA" w:rsidP="00FB626D">
            <w:pPr>
              <w:pStyle w:val="TableText"/>
              <w:keepNext/>
              <w:keepLines/>
              <w:jc w:val="center"/>
              <w:rPr>
                <w:rFonts w:eastAsia="Times New Roman" w:cs="Calibri Light"/>
                <w:b/>
                <w:bCs/>
                <w:color w:val="010A11"/>
                <w:spacing w:val="0"/>
                <w:szCs w:val="20"/>
                <w:lang w:val="en-AU" w:eastAsia="en-AU"/>
              </w:rPr>
            </w:pPr>
            <w:r w:rsidRPr="00207DC2">
              <w:rPr>
                <w:rFonts w:eastAsia="Times New Roman" w:cs="Calibri Light"/>
                <w:b/>
                <w:bCs/>
                <w:color w:val="010A11"/>
                <w:spacing w:val="0"/>
                <w:szCs w:val="20"/>
                <w:lang w:val="en-AU" w:eastAsia="en-AU"/>
              </w:rPr>
              <w:t>1 Jan 2014</w:t>
            </w:r>
            <w:r w:rsidR="00214637" w:rsidRPr="00207DC2">
              <w:rPr>
                <w:rFonts w:eastAsia="Times New Roman" w:cs="Calibri Light"/>
                <w:b/>
                <w:bCs/>
                <w:color w:val="010A11"/>
                <w:spacing w:val="0"/>
                <w:szCs w:val="20"/>
                <w:lang w:val="en-AU" w:eastAsia="en-AU"/>
              </w:rPr>
              <w:t xml:space="preserve"> (N)</w:t>
            </w:r>
          </w:p>
        </w:tc>
        <w:tc>
          <w:tcPr>
            <w:tcW w:w="1701" w:type="dxa"/>
            <w:tcBorders>
              <w:top w:val="single" w:sz="4" w:space="0" w:color="auto"/>
              <w:bottom w:val="single" w:sz="4" w:space="0" w:color="auto"/>
            </w:tcBorders>
          </w:tcPr>
          <w:p w14:paraId="743860B9" w14:textId="77777777" w:rsidR="00AA5FCA" w:rsidRPr="00207DC2" w:rsidRDefault="00AA5FCA" w:rsidP="00FB626D">
            <w:pPr>
              <w:pStyle w:val="TableText"/>
              <w:keepNext/>
              <w:keepLines/>
              <w:jc w:val="center"/>
              <w:rPr>
                <w:rFonts w:eastAsia="Times New Roman" w:cs="Calibri Light"/>
                <w:b/>
                <w:bCs/>
                <w:color w:val="010A11"/>
                <w:spacing w:val="0"/>
                <w:szCs w:val="20"/>
                <w:lang w:val="en-AU" w:eastAsia="en-AU"/>
              </w:rPr>
            </w:pPr>
            <w:r w:rsidRPr="00207DC2">
              <w:rPr>
                <w:rFonts w:eastAsia="Times New Roman" w:cs="Calibri Light"/>
                <w:b/>
                <w:bCs/>
                <w:color w:val="010A11"/>
                <w:spacing w:val="0"/>
                <w:szCs w:val="20"/>
                <w:lang w:val="en-AU" w:eastAsia="en-AU"/>
              </w:rPr>
              <w:t>1 Jan 2016</w:t>
            </w:r>
            <w:r w:rsidR="00214637" w:rsidRPr="00207DC2">
              <w:rPr>
                <w:rFonts w:eastAsia="Times New Roman" w:cs="Calibri Light"/>
                <w:b/>
                <w:bCs/>
                <w:color w:val="010A11"/>
                <w:spacing w:val="0"/>
                <w:szCs w:val="20"/>
                <w:lang w:val="en-AU" w:eastAsia="en-AU"/>
              </w:rPr>
              <w:t xml:space="preserve"> (N)</w:t>
            </w:r>
          </w:p>
        </w:tc>
        <w:tc>
          <w:tcPr>
            <w:tcW w:w="1701" w:type="dxa"/>
            <w:tcBorders>
              <w:top w:val="single" w:sz="4" w:space="0" w:color="auto"/>
              <w:bottom w:val="single" w:sz="4" w:space="0" w:color="auto"/>
            </w:tcBorders>
            <w:vAlign w:val="center"/>
          </w:tcPr>
          <w:p w14:paraId="31E38CA3" w14:textId="77777777" w:rsidR="00AA5FCA" w:rsidRPr="00207DC2" w:rsidRDefault="00AA5FCA" w:rsidP="00FB626D">
            <w:pPr>
              <w:pStyle w:val="TableText"/>
              <w:keepNext/>
              <w:keepLines/>
              <w:jc w:val="center"/>
              <w:rPr>
                <w:b/>
                <w:lang w:val="en-AU"/>
              </w:rPr>
            </w:pPr>
            <w:r w:rsidRPr="00207DC2">
              <w:rPr>
                <w:rFonts w:cs="Calibri Light"/>
                <w:b/>
                <w:bCs/>
                <w:iCs/>
                <w:color w:val="010A11"/>
                <w:szCs w:val="20"/>
                <w:lang w:val="en-AU"/>
              </w:rPr>
              <w:t>%</w:t>
            </w:r>
            <w:r w:rsidRPr="00207DC2">
              <w:rPr>
                <w:rFonts w:cs="Calibri Light"/>
                <w:b/>
                <w:color w:val="010A11"/>
                <w:szCs w:val="20"/>
                <w:lang w:val="en-AU"/>
              </w:rPr>
              <w:t xml:space="preserve"> </w:t>
            </w:r>
            <w:r w:rsidR="00214637" w:rsidRPr="00207DC2">
              <w:rPr>
                <w:rFonts w:cs="Calibri Light"/>
                <w:b/>
                <w:color w:val="010A11"/>
                <w:szCs w:val="20"/>
                <w:lang w:val="en-AU"/>
              </w:rPr>
              <w:t>increase</w:t>
            </w:r>
            <w:r w:rsidRPr="00207DC2" w:rsidDel="000A5C18">
              <w:rPr>
                <w:rFonts w:cs="Calibri Light"/>
                <w:b/>
                <w:color w:val="010A11"/>
                <w:szCs w:val="20"/>
                <w:lang w:val="en-AU"/>
              </w:rPr>
              <w:t xml:space="preserve"> </w:t>
            </w:r>
          </w:p>
        </w:tc>
      </w:tr>
      <w:tr w:rsidR="00214637" w:rsidRPr="00207DC2" w14:paraId="69BF3BBE" w14:textId="77777777" w:rsidTr="00214637">
        <w:tc>
          <w:tcPr>
            <w:tcW w:w="3652" w:type="dxa"/>
            <w:tcBorders>
              <w:top w:val="dashSmallGap" w:sz="4" w:space="0" w:color="auto"/>
              <w:bottom w:val="nil"/>
            </w:tcBorders>
            <w:vAlign w:val="center"/>
          </w:tcPr>
          <w:p w14:paraId="1A404EC4" w14:textId="77777777" w:rsidR="002E4D35" w:rsidRPr="00207DC2" w:rsidRDefault="002E4D35" w:rsidP="00FB626D">
            <w:pPr>
              <w:pStyle w:val="TableText"/>
              <w:keepNext/>
              <w:keepLines/>
              <w:rPr>
                <w:rFonts w:cs="Calibri Light"/>
                <w:color w:val="000000"/>
                <w:szCs w:val="20"/>
                <w:lang w:val="en-AU"/>
              </w:rPr>
            </w:pPr>
            <w:r w:rsidRPr="00207DC2">
              <w:rPr>
                <w:rFonts w:cs="Calibri Light"/>
                <w:color w:val="000000"/>
                <w:szCs w:val="20"/>
                <w:lang w:val="en-AU"/>
              </w:rPr>
              <w:t>Caring</w:t>
            </w:r>
          </w:p>
        </w:tc>
        <w:tc>
          <w:tcPr>
            <w:tcW w:w="1701" w:type="dxa"/>
            <w:tcBorders>
              <w:top w:val="dashSmallGap" w:sz="4" w:space="0" w:color="auto"/>
              <w:bottom w:val="nil"/>
            </w:tcBorders>
            <w:vAlign w:val="center"/>
          </w:tcPr>
          <w:p w14:paraId="301A76EB"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130</w:t>
            </w:r>
          </w:p>
        </w:tc>
        <w:tc>
          <w:tcPr>
            <w:tcW w:w="1701" w:type="dxa"/>
            <w:tcBorders>
              <w:top w:val="dashSmallGap" w:sz="4" w:space="0" w:color="auto"/>
              <w:bottom w:val="nil"/>
            </w:tcBorders>
            <w:vAlign w:val="center"/>
          </w:tcPr>
          <w:p w14:paraId="0250DFD1"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220</w:t>
            </w:r>
          </w:p>
        </w:tc>
        <w:tc>
          <w:tcPr>
            <w:tcW w:w="1701" w:type="dxa"/>
            <w:tcBorders>
              <w:top w:val="dashSmallGap" w:sz="4" w:space="0" w:color="auto"/>
              <w:bottom w:val="nil"/>
            </w:tcBorders>
            <w:vAlign w:val="center"/>
          </w:tcPr>
          <w:p w14:paraId="73A706DD"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69</w:t>
            </w:r>
          </w:p>
        </w:tc>
      </w:tr>
      <w:tr w:rsidR="00214637" w:rsidRPr="00207DC2" w14:paraId="4123B079" w14:textId="77777777" w:rsidTr="00214637">
        <w:tc>
          <w:tcPr>
            <w:tcW w:w="3652" w:type="dxa"/>
            <w:tcBorders>
              <w:top w:val="nil"/>
              <w:bottom w:val="nil"/>
            </w:tcBorders>
            <w:vAlign w:val="center"/>
          </w:tcPr>
          <w:p w14:paraId="6863CD19" w14:textId="77777777" w:rsidR="002E4D35" w:rsidRPr="00207DC2" w:rsidRDefault="002E4D35" w:rsidP="00FB626D">
            <w:pPr>
              <w:pStyle w:val="TableText"/>
              <w:keepNext/>
              <w:keepLines/>
              <w:rPr>
                <w:b/>
                <w:lang w:val="en-AU"/>
              </w:rPr>
            </w:pPr>
            <w:r w:rsidRPr="00207DC2">
              <w:rPr>
                <w:rFonts w:cs="Calibri Light"/>
                <w:color w:val="000000"/>
                <w:szCs w:val="20"/>
                <w:lang w:val="en-AU"/>
              </w:rPr>
              <w:t>DSP (claiming)</w:t>
            </w:r>
          </w:p>
        </w:tc>
        <w:tc>
          <w:tcPr>
            <w:tcW w:w="1701" w:type="dxa"/>
            <w:tcBorders>
              <w:top w:val="nil"/>
              <w:bottom w:val="nil"/>
            </w:tcBorders>
            <w:vAlign w:val="center"/>
          </w:tcPr>
          <w:p w14:paraId="57C0398F"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59</w:t>
            </w:r>
          </w:p>
        </w:tc>
        <w:tc>
          <w:tcPr>
            <w:tcW w:w="1701" w:type="dxa"/>
            <w:tcBorders>
              <w:top w:val="nil"/>
              <w:bottom w:val="nil"/>
            </w:tcBorders>
            <w:vAlign w:val="center"/>
          </w:tcPr>
          <w:p w14:paraId="046CF7FF"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185</w:t>
            </w:r>
          </w:p>
        </w:tc>
        <w:tc>
          <w:tcPr>
            <w:tcW w:w="1701" w:type="dxa"/>
            <w:tcBorders>
              <w:top w:val="nil"/>
              <w:bottom w:val="nil"/>
            </w:tcBorders>
            <w:vAlign w:val="center"/>
          </w:tcPr>
          <w:p w14:paraId="6372AB54"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214</w:t>
            </w:r>
          </w:p>
        </w:tc>
      </w:tr>
      <w:tr w:rsidR="00214637" w:rsidRPr="00207DC2" w14:paraId="53F804E6" w14:textId="77777777" w:rsidTr="00214637">
        <w:tc>
          <w:tcPr>
            <w:tcW w:w="3652" w:type="dxa"/>
            <w:tcBorders>
              <w:top w:val="nil"/>
              <w:bottom w:val="nil"/>
            </w:tcBorders>
            <w:vAlign w:val="center"/>
          </w:tcPr>
          <w:p w14:paraId="1135EE92" w14:textId="77777777" w:rsidR="002E4D35" w:rsidRPr="00207DC2" w:rsidRDefault="002E4D35" w:rsidP="00FB626D">
            <w:pPr>
              <w:pStyle w:val="TableText"/>
              <w:keepNext/>
              <w:keepLines/>
              <w:rPr>
                <w:b/>
                <w:lang w:val="en-AU"/>
              </w:rPr>
            </w:pPr>
            <w:r w:rsidRPr="00207DC2">
              <w:rPr>
                <w:rFonts w:cs="Calibri Light"/>
                <w:color w:val="000000"/>
                <w:szCs w:val="20"/>
                <w:lang w:val="en-AU"/>
              </w:rPr>
              <w:t>Medical</w:t>
            </w:r>
          </w:p>
        </w:tc>
        <w:tc>
          <w:tcPr>
            <w:tcW w:w="1701" w:type="dxa"/>
            <w:tcBorders>
              <w:top w:val="nil"/>
              <w:bottom w:val="nil"/>
            </w:tcBorders>
            <w:vAlign w:val="center"/>
          </w:tcPr>
          <w:p w14:paraId="5D0E1DFF"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477</w:t>
            </w:r>
          </w:p>
        </w:tc>
        <w:tc>
          <w:tcPr>
            <w:tcW w:w="1701" w:type="dxa"/>
            <w:tcBorders>
              <w:top w:val="nil"/>
              <w:bottom w:val="nil"/>
            </w:tcBorders>
            <w:vAlign w:val="center"/>
          </w:tcPr>
          <w:p w14:paraId="01A19A01"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865</w:t>
            </w:r>
          </w:p>
        </w:tc>
        <w:tc>
          <w:tcPr>
            <w:tcW w:w="1701" w:type="dxa"/>
            <w:tcBorders>
              <w:top w:val="nil"/>
              <w:bottom w:val="nil"/>
            </w:tcBorders>
            <w:vAlign w:val="center"/>
          </w:tcPr>
          <w:p w14:paraId="2F9DCE17"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81</w:t>
            </w:r>
          </w:p>
        </w:tc>
      </w:tr>
      <w:tr w:rsidR="00214637" w:rsidRPr="00207DC2" w14:paraId="46A0440C" w14:textId="77777777" w:rsidTr="00214637">
        <w:tc>
          <w:tcPr>
            <w:tcW w:w="3652" w:type="dxa"/>
            <w:tcBorders>
              <w:top w:val="nil"/>
              <w:bottom w:val="nil"/>
            </w:tcBorders>
            <w:vAlign w:val="center"/>
          </w:tcPr>
          <w:p w14:paraId="6CE0C7E7" w14:textId="77777777" w:rsidR="002E4D35" w:rsidRPr="00207DC2" w:rsidRDefault="002E4D35" w:rsidP="00FB626D">
            <w:pPr>
              <w:pStyle w:val="TableText"/>
              <w:keepNext/>
              <w:keepLines/>
              <w:rPr>
                <w:b/>
                <w:lang w:val="en-AU"/>
              </w:rPr>
            </w:pPr>
            <w:r w:rsidRPr="00207DC2">
              <w:rPr>
                <w:rFonts w:cs="Calibri Light"/>
                <w:color w:val="000000"/>
                <w:szCs w:val="20"/>
                <w:lang w:val="en-AU"/>
              </w:rPr>
              <w:t>Reduced/Partial work capacity</w:t>
            </w:r>
          </w:p>
        </w:tc>
        <w:tc>
          <w:tcPr>
            <w:tcW w:w="1701" w:type="dxa"/>
            <w:tcBorders>
              <w:top w:val="nil"/>
              <w:bottom w:val="nil"/>
            </w:tcBorders>
            <w:vAlign w:val="center"/>
          </w:tcPr>
          <w:p w14:paraId="0661D112"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465</w:t>
            </w:r>
          </w:p>
        </w:tc>
        <w:tc>
          <w:tcPr>
            <w:tcW w:w="1701" w:type="dxa"/>
            <w:tcBorders>
              <w:top w:val="nil"/>
              <w:bottom w:val="nil"/>
            </w:tcBorders>
            <w:vAlign w:val="center"/>
          </w:tcPr>
          <w:p w14:paraId="719E6598"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533</w:t>
            </w:r>
          </w:p>
        </w:tc>
        <w:tc>
          <w:tcPr>
            <w:tcW w:w="1701" w:type="dxa"/>
            <w:tcBorders>
              <w:top w:val="nil"/>
              <w:bottom w:val="nil"/>
            </w:tcBorders>
            <w:vAlign w:val="center"/>
          </w:tcPr>
          <w:p w14:paraId="64AC720D"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15</w:t>
            </w:r>
          </w:p>
        </w:tc>
      </w:tr>
      <w:tr w:rsidR="00214637" w:rsidRPr="00207DC2" w14:paraId="7587438C" w14:textId="77777777" w:rsidTr="00214637">
        <w:tc>
          <w:tcPr>
            <w:tcW w:w="3652" w:type="dxa"/>
            <w:tcBorders>
              <w:top w:val="nil"/>
              <w:bottom w:val="nil"/>
            </w:tcBorders>
            <w:vAlign w:val="center"/>
          </w:tcPr>
          <w:p w14:paraId="0D5F6CB6" w14:textId="77777777" w:rsidR="002E4D35" w:rsidRPr="00207DC2" w:rsidRDefault="002E4D35" w:rsidP="00FB626D">
            <w:pPr>
              <w:pStyle w:val="TableText"/>
              <w:keepNext/>
              <w:keepLines/>
              <w:rPr>
                <w:b/>
                <w:lang w:val="en-AU"/>
              </w:rPr>
            </w:pPr>
            <w:r w:rsidRPr="00207DC2">
              <w:rPr>
                <w:rFonts w:cs="Calibri Light"/>
                <w:color w:val="000000"/>
                <w:szCs w:val="20"/>
                <w:lang w:val="en-AU"/>
              </w:rPr>
              <w:t xml:space="preserve">Personal issues </w:t>
            </w:r>
          </w:p>
        </w:tc>
        <w:tc>
          <w:tcPr>
            <w:tcW w:w="1701" w:type="dxa"/>
            <w:tcBorders>
              <w:top w:val="nil"/>
              <w:bottom w:val="nil"/>
            </w:tcBorders>
            <w:vAlign w:val="center"/>
          </w:tcPr>
          <w:p w14:paraId="20DA2842"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158</w:t>
            </w:r>
          </w:p>
        </w:tc>
        <w:tc>
          <w:tcPr>
            <w:tcW w:w="1701" w:type="dxa"/>
            <w:tcBorders>
              <w:top w:val="nil"/>
              <w:bottom w:val="nil"/>
            </w:tcBorders>
            <w:vAlign w:val="center"/>
          </w:tcPr>
          <w:p w14:paraId="6C4730E9"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258</w:t>
            </w:r>
          </w:p>
        </w:tc>
        <w:tc>
          <w:tcPr>
            <w:tcW w:w="1701" w:type="dxa"/>
            <w:tcBorders>
              <w:top w:val="nil"/>
              <w:bottom w:val="nil"/>
            </w:tcBorders>
            <w:vAlign w:val="center"/>
          </w:tcPr>
          <w:p w14:paraId="022C38AF"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63</w:t>
            </w:r>
          </w:p>
        </w:tc>
      </w:tr>
      <w:tr w:rsidR="00214637" w:rsidRPr="00207DC2" w14:paraId="0DF5B25E" w14:textId="77777777" w:rsidTr="00214637">
        <w:tc>
          <w:tcPr>
            <w:tcW w:w="3652" w:type="dxa"/>
            <w:tcBorders>
              <w:top w:val="nil"/>
              <w:bottom w:val="nil"/>
            </w:tcBorders>
            <w:vAlign w:val="center"/>
          </w:tcPr>
          <w:p w14:paraId="613757FB" w14:textId="77777777" w:rsidR="002E4D35" w:rsidRPr="00207DC2" w:rsidRDefault="002E4D35" w:rsidP="00FB626D">
            <w:pPr>
              <w:pStyle w:val="TableText"/>
              <w:keepNext/>
              <w:keepLines/>
              <w:rPr>
                <w:b/>
                <w:lang w:val="en-AU"/>
              </w:rPr>
            </w:pPr>
            <w:r w:rsidRPr="00207DC2">
              <w:rPr>
                <w:rFonts w:cs="Calibri Light"/>
                <w:color w:val="000000"/>
                <w:szCs w:val="20"/>
                <w:lang w:val="en-AU"/>
              </w:rPr>
              <w:t>Paid work</w:t>
            </w:r>
          </w:p>
        </w:tc>
        <w:tc>
          <w:tcPr>
            <w:tcW w:w="1701" w:type="dxa"/>
            <w:tcBorders>
              <w:top w:val="nil"/>
              <w:bottom w:val="nil"/>
            </w:tcBorders>
            <w:vAlign w:val="center"/>
          </w:tcPr>
          <w:p w14:paraId="23372E59"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154</w:t>
            </w:r>
          </w:p>
        </w:tc>
        <w:tc>
          <w:tcPr>
            <w:tcW w:w="1701" w:type="dxa"/>
            <w:tcBorders>
              <w:top w:val="nil"/>
              <w:bottom w:val="nil"/>
            </w:tcBorders>
            <w:vAlign w:val="center"/>
          </w:tcPr>
          <w:p w14:paraId="16F9D0F8"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505</w:t>
            </w:r>
          </w:p>
        </w:tc>
        <w:tc>
          <w:tcPr>
            <w:tcW w:w="1701" w:type="dxa"/>
            <w:tcBorders>
              <w:top w:val="nil"/>
              <w:bottom w:val="nil"/>
            </w:tcBorders>
            <w:vAlign w:val="center"/>
          </w:tcPr>
          <w:p w14:paraId="08D27C42" w14:textId="77777777" w:rsidR="002E4D35" w:rsidRPr="00207DC2" w:rsidRDefault="002E4D35" w:rsidP="00FB626D">
            <w:pPr>
              <w:pStyle w:val="TableText"/>
              <w:keepNext/>
              <w:keepLines/>
              <w:tabs>
                <w:tab w:val="decimal" w:pos="964"/>
              </w:tabs>
              <w:jc w:val="center"/>
              <w:rPr>
                <w:rFonts w:cs="Calibri Light"/>
                <w:color w:val="010A11"/>
                <w:lang w:val="en-AU"/>
              </w:rPr>
            </w:pPr>
            <w:r w:rsidRPr="00207DC2">
              <w:rPr>
                <w:rFonts w:cs="Calibri Light"/>
                <w:color w:val="000000"/>
                <w:szCs w:val="20"/>
                <w:lang w:val="en-AU"/>
              </w:rPr>
              <w:t>228</w:t>
            </w:r>
          </w:p>
        </w:tc>
      </w:tr>
      <w:tr w:rsidR="00214637" w:rsidRPr="00207DC2" w14:paraId="022379C8" w14:textId="77777777" w:rsidTr="00214637">
        <w:tc>
          <w:tcPr>
            <w:tcW w:w="3652" w:type="dxa"/>
            <w:tcBorders>
              <w:top w:val="nil"/>
              <w:bottom w:val="nil"/>
            </w:tcBorders>
            <w:vAlign w:val="center"/>
          </w:tcPr>
          <w:p w14:paraId="25C87114" w14:textId="77777777" w:rsidR="002E4D35" w:rsidRPr="00207DC2" w:rsidRDefault="002E4D35" w:rsidP="00FB626D">
            <w:pPr>
              <w:pStyle w:val="TableText"/>
              <w:keepNext/>
              <w:keepLines/>
              <w:rPr>
                <w:b/>
                <w:lang w:val="en-AU"/>
              </w:rPr>
            </w:pPr>
            <w:r w:rsidRPr="00207DC2">
              <w:rPr>
                <w:rFonts w:cs="Calibri Light"/>
                <w:color w:val="000000"/>
                <w:szCs w:val="20"/>
                <w:lang w:val="en-AU"/>
              </w:rPr>
              <w:t>Study</w:t>
            </w:r>
          </w:p>
        </w:tc>
        <w:tc>
          <w:tcPr>
            <w:tcW w:w="1701" w:type="dxa"/>
            <w:tcBorders>
              <w:top w:val="nil"/>
              <w:bottom w:val="nil"/>
            </w:tcBorders>
            <w:vAlign w:val="center"/>
          </w:tcPr>
          <w:p w14:paraId="15A6D732" w14:textId="77777777" w:rsidR="002E4D35" w:rsidRPr="00207DC2" w:rsidRDefault="002E4D35" w:rsidP="00FB626D">
            <w:pPr>
              <w:pStyle w:val="TableText"/>
              <w:keepNext/>
              <w:keepLines/>
              <w:tabs>
                <w:tab w:val="decimal" w:pos="923"/>
              </w:tabs>
              <w:jc w:val="center"/>
              <w:rPr>
                <w:rFonts w:cs="Calibri Light"/>
                <w:color w:val="010A11"/>
                <w:lang w:val="en-AU"/>
              </w:rPr>
            </w:pPr>
            <w:r w:rsidRPr="00207DC2">
              <w:rPr>
                <w:rFonts w:cs="Calibri Light"/>
                <w:color w:val="000000"/>
                <w:szCs w:val="20"/>
                <w:lang w:val="en-AU"/>
              </w:rPr>
              <w:t>18</w:t>
            </w:r>
          </w:p>
        </w:tc>
        <w:tc>
          <w:tcPr>
            <w:tcW w:w="1701" w:type="dxa"/>
            <w:tcBorders>
              <w:top w:val="nil"/>
              <w:bottom w:val="nil"/>
            </w:tcBorders>
            <w:vAlign w:val="center"/>
          </w:tcPr>
          <w:p w14:paraId="3C9A6538" w14:textId="77777777" w:rsidR="002E4D35" w:rsidRPr="00207DC2" w:rsidRDefault="002E4D35" w:rsidP="00FB626D">
            <w:pPr>
              <w:pStyle w:val="TableText"/>
              <w:keepNext/>
              <w:keepLines/>
              <w:tabs>
                <w:tab w:val="decimal" w:pos="1018"/>
              </w:tabs>
              <w:jc w:val="center"/>
              <w:rPr>
                <w:rFonts w:cs="Calibri Light"/>
                <w:color w:val="010A11"/>
                <w:lang w:val="en-AU"/>
              </w:rPr>
            </w:pPr>
            <w:r w:rsidRPr="00207DC2">
              <w:rPr>
                <w:rFonts w:cs="Calibri Light"/>
                <w:color w:val="000000"/>
                <w:szCs w:val="20"/>
                <w:lang w:val="en-AU"/>
              </w:rPr>
              <w:t>23</w:t>
            </w:r>
          </w:p>
        </w:tc>
        <w:tc>
          <w:tcPr>
            <w:tcW w:w="1701" w:type="dxa"/>
            <w:tcBorders>
              <w:top w:val="nil"/>
              <w:bottom w:val="nil"/>
            </w:tcBorders>
            <w:vAlign w:val="center"/>
          </w:tcPr>
          <w:p w14:paraId="0A29D6D6" w14:textId="77777777" w:rsidR="002E4D35" w:rsidRPr="00207DC2" w:rsidRDefault="002E4D35" w:rsidP="00FB626D">
            <w:pPr>
              <w:pStyle w:val="TableText"/>
              <w:keepNext/>
              <w:keepLines/>
              <w:tabs>
                <w:tab w:val="decimal" w:pos="964"/>
              </w:tabs>
              <w:jc w:val="center"/>
              <w:rPr>
                <w:rFonts w:cs="Calibri Light"/>
                <w:color w:val="010A11"/>
                <w:lang w:val="en-AU"/>
              </w:rPr>
            </w:pPr>
            <w:r w:rsidRPr="00207DC2">
              <w:rPr>
                <w:rFonts w:cs="Calibri Light"/>
                <w:color w:val="000000"/>
                <w:szCs w:val="20"/>
                <w:lang w:val="en-AU"/>
              </w:rPr>
              <w:t>28</w:t>
            </w:r>
          </w:p>
        </w:tc>
      </w:tr>
      <w:tr w:rsidR="00214637" w:rsidRPr="00207DC2" w14:paraId="70C87DF0" w14:textId="77777777" w:rsidTr="00214637">
        <w:tc>
          <w:tcPr>
            <w:tcW w:w="3652" w:type="dxa"/>
            <w:tcBorders>
              <w:top w:val="nil"/>
              <w:bottom w:val="nil"/>
            </w:tcBorders>
            <w:vAlign w:val="center"/>
          </w:tcPr>
          <w:p w14:paraId="26039D50" w14:textId="77777777" w:rsidR="002E4D35" w:rsidRPr="00207DC2" w:rsidRDefault="002E4D35" w:rsidP="00FB626D">
            <w:pPr>
              <w:pStyle w:val="TableText"/>
              <w:keepNext/>
              <w:keepLines/>
              <w:rPr>
                <w:b/>
                <w:lang w:val="en-AU"/>
              </w:rPr>
            </w:pPr>
            <w:r w:rsidRPr="00207DC2">
              <w:rPr>
                <w:rFonts w:cs="Calibri Light"/>
                <w:color w:val="000000"/>
                <w:szCs w:val="20"/>
                <w:lang w:val="en-AU"/>
              </w:rPr>
              <w:t>Voluntary/Community work</w:t>
            </w:r>
          </w:p>
        </w:tc>
        <w:tc>
          <w:tcPr>
            <w:tcW w:w="1701" w:type="dxa"/>
            <w:tcBorders>
              <w:top w:val="nil"/>
              <w:bottom w:val="nil"/>
            </w:tcBorders>
            <w:vAlign w:val="center"/>
          </w:tcPr>
          <w:p w14:paraId="73B6CD9E" w14:textId="77777777" w:rsidR="002E4D35" w:rsidRPr="00207DC2" w:rsidRDefault="002E4D35" w:rsidP="00FB626D">
            <w:pPr>
              <w:pStyle w:val="TableText"/>
              <w:keepNext/>
              <w:keepLines/>
              <w:tabs>
                <w:tab w:val="decimal" w:pos="923"/>
              </w:tabs>
              <w:jc w:val="center"/>
              <w:rPr>
                <w:rFonts w:cs="Calibri Light"/>
                <w:lang w:val="en-AU"/>
              </w:rPr>
            </w:pPr>
            <w:r w:rsidRPr="00207DC2">
              <w:rPr>
                <w:rFonts w:cs="Calibri Light"/>
                <w:color w:val="000000"/>
                <w:szCs w:val="20"/>
                <w:lang w:val="en-AU"/>
              </w:rPr>
              <w:t>97</w:t>
            </w:r>
          </w:p>
        </w:tc>
        <w:tc>
          <w:tcPr>
            <w:tcW w:w="1701" w:type="dxa"/>
            <w:tcBorders>
              <w:top w:val="nil"/>
              <w:bottom w:val="nil"/>
            </w:tcBorders>
            <w:vAlign w:val="center"/>
          </w:tcPr>
          <w:p w14:paraId="46FB2926" w14:textId="77777777" w:rsidR="002E4D35" w:rsidRPr="00207DC2" w:rsidRDefault="002E4D35" w:rsidP="00FB626D">
            <w:pPr>
              <w:pStyle w:val="TableText"/>
              <w:keepNext/>
              <w:keepLines/>
              <w:tabs>
                <w:tab w:val="decimal" w:pos="1018"/>
              </w:tabs>
              <w:jc w:val="center"/>
              <w:rPr>
                <w:rFonts w:cs="Calibri Light"/>
                <w:lang w:val="en-AU"/>
              </w:rPr>
            </w:pPr>
            <w:r w:rsidRPr="00207DC2">
              <w:rPr>
                <w:rFonts w:cs="Calibri Light"/>
                <w:color w:val="000000"/>
                <w:szCs w:val="20"/>
                <w:lang w:val="en-AU"/>
              </w:rPr>
              <w:t>107</w:t>
            </w:r>
          </w:p>
        </w:tc>
        <w:tc>
          <w:tcPr>
            <w:tcW w:w="1701" w:type="dxa"/>
            <w:tcBorders>
              <w:top w:val="nil"/>
              <w:bottom w:val="nil"/>
            </w:tcBorders>
            <w:vAlign w:val="center"/>
          </w:tcPr>
          <w:p w14:paraId="2C666F4C"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10</w:t>
            </w:r>
          </w:p>
        </w:tc>
      </w:tr>
      <w:tr w:rsidR="00214637" w:rsidRPr="00207DC2" w14:paraId="1AE9E5DC" w14:textId="77777777" w:rsidTr="00214637">
        <w:tc>
          <w:tcPr>
            <w:tcW w:w="3652" w:type="dxa"/>
            <w:tcBorders>
              <w:top w:val="nil"/>
              <w:bottom w:val="nil"/>
            </w:tcBorders>
            <w:vAlign w:val="center"/>
          </w:tcPr>
          <w:p w14:paraId="56945D64" w14:textId="77777777" w:rsidR="002E4D35" w:rsidRPr="00207DC2" w:rsidRDefault="002E4D35" w:rsidP="00FB626D">
            <w:pPr>
              <w:pStyle w:val="TableText"/>
              <w:keepNext/>
              <w:keepLines/>
              <w:rPr>
                <w:b/>
                <w:lang w:val="en-AU"/>
              </w:rPr>
            </w:pPr>
            <w:r w:rsidRPr="00207DC2">
              <w:rPr>
                <w:rFonts w:cs="Calibri Light"/>
                <w:color w:val="000000"/>
                <w:szCs w:val="20"/>
                <w:lang w:val="en-AU"/>
              </w:rPr>
              <w:t>Other</w:t>
            </w:r>
          </w:p>
        </w:tc>
        <w:tc>
          <w:tcPr>
            <w:tcW w:w="1701" w:type="dxa"/>
            <w:tcBorders>
              <w:top w:val="nil"/>
              <w:bottom w:val="nil"/>
            </w:tcBorders>
            <w:vAlign w:val="center"/>
          </w:tcPr>
          <w:p w14:paraId="14CFB340" w14:textId="77777777" w:rsidR="002E4D35" w:rsidRPr="00207DC2" w:rsidRDefault="002E4D35" w:rsidP="00FB626D">
            <w:pPr>
              <w:pStyle w:val="TableText"/>
              <w:keepNext/>
              <w:keepLines/>
              <w:tabs>
                <w:tab w:val="decimal" w:pos="923"/>
              </w:tabs>
              <w:jc w:val="center"/>
              <w:rPr>
                <w:rFonts w:cs="Calibri Light"/>
                <w:lang w:val="en-AU"/>
              </w:rPr>
            </w:pPr>
            <w:r w:rsidRPr="00207DC2">
              <w:rPr>
                <w:rFonts w:cs="Calibri Light"/>
                <w:color w:val="000000"/>
                <w:szCs w:val="20"/>
                <w:lang w:val="en-AU"/>
              </w:rPr>
              <w:t>164</w:t>
            </w:r>
          </w:p>
        </w:tc>
        <w:tc>
          <w:tcPr>
            <w:tcW w:w="1701" w:type="dxa"/>
            <w:tcBorders>
              <w:top w:val="nil"/>
              <w:bottom w:val="nil"/>
            </w:tcBorders>
            <w:vAlign w:val="center"/>
          </w:tcPr>
          <w:p w14:paraId="7F1C63A1" w14:textId="77777777" w:rsidR="002E4D35" w:rsidRPr="00207DC2" w:rsidRDefault="002E4D35" w:rsidP="00FB626D">
            <w:pPr>
              <w:pStyle w:val="TableText"/>
              <w:keepNext/>
              <w:keepLines/>
              <w:tabs>
                <w:tab w:val="decimal" w:pos="1018"/>
              </w:tabs>
              <w:jc w:val="center"/>
              <w:rPr>
                <w:rFonts w:cs="Calibri Light"/>
                <w:lang w:val="en-AU"/>
              </w:rPr>
            </w:pPr>
            <w:r w:rsidRPr="00207DC2">
              <w:rPr>
                <w:rFonts w:cs="Calibri Light"/>
                <w:color w:val="000000"/>
                <w:szCs w:val="20"/>
                <w:lang w:val="en-AU"/>
              </w:rPr>
              <w:t>225</w:t>
            </w:r>
          </w:p>
        </w:tc>
        <w:tc>
          <w:tcPr>
            <w:tcW w:w="1701" w:type="dxa"/>
            <w:tcBorders>
              <w:top w:val="nil"/>
              <w:bottom w:val="nil"/>
            </w:tcBorders>
            <w:vAlign w:val="center"/>
          </w:tcPr>
          <w:p w14:paraId="7F271F54"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37</w:t>
            </w:r>
          </w:p>
        </w:tc>
      </w:tr>
      <w:tr w:rsidR="00214637" w:rsidRPr="00207DC2" w14:paraId="0E27B26F" w14:textId="77777777" w:rsidTr="00214637">
        <w:tc>
          <w:tcPr>
            <w:tcW w:w="3652" w:type="dxa"/>
            <w:tcBorders>
              <w:top w:val="nil"/>
              <w:bottom w:val="single" w:sz="4" w:space="0" w:color="auto"/>
            </w:tcBorders>
          </w:tcPr>
          <w:p w14:paraId="1A23E4A4" w14:textId="77777777" w:rsidR="002E4D35" w:rsidRPr="00207DC2" w:rsidRDefault="002E4D35" w:rsidP="00FB626D">
            <w:pPr>
              <w:pStyle w:val="TableText"/>
              <w:keepNext/>
              <w:keepLines/>
              <w:rPr>
                <w:b/>
                <w:lang w:val="en-AU"/>
              </w:rPr>
            </w:pPr>
            <w:r w:rsidRPr="00207DC2">
              <w:rPr>
                <w:b/>
                <w:lang w:val="en-AU"/>
              </w:rPr>
              <w:t>Grand total</w:t>
            </w:r>
          </w:p>
        </w:tc>
        <w:tc>
          <w:tcPr>
            <w:tcW w:w="1701" w:type="dxa"/>
            <w:tcBorders>
              <w:top w:val="nil"/>
              <w:bottom w:val="single" w:sz="4" w:space="0" w:color="auto"/>
            </w:tcBorders>
            <w:vAlign w:val="center"/>
          </w:tcPr>
          <w:p w14:paraId="6E073880" w14:textId="77777777" w:rsidR="002E4D35" w:rsidRPr="00207DC2" w:rsidRDefault="002E4D35" w:rsidP="00FB626D">
            <w:pPr>
              <w:pStyle w:val="TableText"/>
              <w:keepNext/>
              <w:keepLines/>
              <w:tabs>
                <w:tab w:val="decimal" w:pos="923"/>
              </w:tabs>
              <w:jc w:val="center"/>
              <w:rPr>
                <w:rFonts w:cs="Calibri Light"/>
                <w:lang w:val="en-AU"/>
              </w:rPr>
            </w:pPr>
            <w:r w:rsidRPr="00207DC2">
              <w:rPr>
                <w:rFonts w:cs="Calibri Light"/>
                <w:color w:val="000000"/>
                <w:szCs w:val="20"/>
                <w:lang w:val="en-AU"/>
              </w:rPr>
              <w:t>1</w:t>
            </w:r>
            <w:r w:rsidR="008E46B1" w:rsidRPr="00207DC2">
              <w:rPr>
                <w:rFonts w:cs="Calibri Light"/>
                <w:color w:val="000000"/>
                <w:szCs w:val="20"/>
                <w:lang w:val="en-AU"/>
              </w:rPr>
              <w:t>,</w:t>
            </w:r>
            <w:r w:rsidRPr="00207DC2">
              <w:rPr>
                <w:rFonts w:cs="Calibri Light"/>
                <w:color w:val="000000"/>
                <w:szCs w:val="20"/>
                <w:lang w:val="en-AU"/>
              </w:rPr>
              <w:t>722</w:t>
            </w:r>
          </w:p>
        </w:tc>
        <w:tc>
          <w:tcPr>
            <w:tcW w:w="1701" w:type="dxa"/>
            <w:tcBorders>
              <w:top w:val="nil"/>
              <w:bottom w:val="single" w:sz="4" w:space="0" w:color="auto"/>
            </w:tcBorders>
            <w:vAlign w:val="center"/>
          </w:tcPr>
          <w:p w14:paraId="260F66EF" w14:textId="77777777" w:rsidR="002E4D35" w:rsidRPr="00207DC2" w:rsidRDefault="002E4D35" w:rsidP="00FB626D">
            <w:pPr>
              <w:pStyle w:val="TableText"/>
              <w:keepNext/>
              <w:keepLines/>
              <w:tabs>
                <w:tab w:val="decimal" w:pos="1018"/>
              </w:tabs>
              <w:jc w:val="center"/>
              <w:rPr>
                <w:rFonts w:cs="Calibri Light"/>
                <w:lang w:val="en-AU"/>
              </w:rPr>
            </w:pPr>
            <w:r w:rsidRPr="00207DC2">
              <w:rPr>
                <w:rFonts w:cs="Calibri Light"/>
                <w:color w:val="000000"/>
                <w:szCs w:val="20"/>
                <w:lang w:val="en-AU"/>
              </w:rPr>
              <w:t>2</w:t>
            </w:r>
            <w:r w:rsidR="008E46B1" w:rsidRPr="00207DC2">
              <w:rPr>
                <w:rFonts w:cs="Calibri Light"/>
                <w:color w:val="000000"/>
                <w:szCs w:val="20"/>
                <w:lang w:val="en-AU"/>
              </w:rPr>
              <w:t>,</w:t>
            </w:r>
            <w:r w:rsidRPr="00207DC2">
              <w:rPr>
                <w:rFonts w:cs="Calibri Light"/>
                <w:color w:val="000000"/>
                <w:szCs w:val="20"/>
                <w:lang w:val="en-AU"/>
              </w:rPr>
              <w:t>921</w:t>
            </w:r>
          </w:p>
        </w:tc>
        <w:tc>
          <w:tcPr>
            <w:tcW w:w="1701" w:type="dxa"/>
            <w:tcBorders>
              <w:top w:val="nil"/>
              <w:bottom w:val="single" w:sz="4" w:space="0" w:color="auto"/>
            </w:tcBorders>
            <w:vAlign w:val="center"/>
          </w:tcPr>
          <w:p w14:paraId="37ECAFF9" w14:textId="77777777" w:rsidR="002E4D35" w:rsidRPr="00207DC2" w:rsidRDefault="002E4D35" w:rsidP="00FB626D">
            <w:pPr>
              <w:pStyle w:val="TableText"/>
              <w:keepNext/>
              <w:keepLines/>
              <w:tabs>
                <w:tab w:val="decimal" w:pos="964"/>
              </w:tabs>
              <w:jc w:val="center"/>
              <w:rPr>
                <w:lang w:val="en-AU"/>
              </w:rPr>
            </w:pPr>
            <w:r w:rsidRPr="00207DC2">
              <w:rPr>
                <w:rFonts w:cs="Calibri Light"/>
                <w:color w:val="000000"/>
                <w:szCs w:val="20"/>
                <w:lang w:val="en-AU"/>
              </w:rPr>
              <w:t>70</w:t>
            </w:r>
          </w:p>
        </w:tc>
      </w:tr>
    </w:tbl>
    <w:p w14:paraId="23F51109" w14:textId="77777777" w:rsidR="00AA5FCA" w:rsidRPr="00207DC2" w:rsidRDefault="00AA5FCA" w:rsidP="00FB626D">
      <w:pPr>
        <w:pStyle w:val="tablenotes"/>
      </w:pPr>
      <w:r w:rsidRPr="00207DC2">
        <w:rPr>
          <w:i/>
        </w:rPr>
        <w:t>Source:</w:t>
      </w:r>
      <w:r w:rsidRPr="00207DC2">
        <w:t xml:space="preserve"> ESS operational data (extracted by </w:t>
      </w:r>
      <w:r w:rsidR="0057565A" w:rsidRPr="00207DC2">
        <w:t>PMC</w:t>
      </w:r>
      <w:r w:rsidRPr="00207DC2">
        <w:t xml:space="preserve"> </w:t>
      </w:r>
      <w:r w:rsidR="002E4D35" w:rsidRPr="00207DC2">
        <w:t>in March 2018</w:t>
      </w:r>
      <w:r w:rsidRPr="00207DC2">
        <w:t>). </w:t>
      </w:r>
    </w:p>
    <w:p w14:paraId="0B9B4F67" w14:textId="77777777" w:rsidR="00AA5FCA" w:rsidRPr="00207DC2" w:rsidRDefault="00AA5FCA" w:rsidP="00FB626D">
      <w:pPr>
        <w:pStyle w:val="tablenotes"/>
      </w:pPr>
      <w:r w:rsidRPr="00207DC2">
        <w:rPr>
          <w:i/>
        </w:rPr>
        <w:t>Notes:</w:t>
      </w:r>
      <w:r w:rsidRPr="00207DC2">
        <w:t xml:space="preserve"> </w:t>
      </w:r>
      <w:r w:rsidR="003F31C7" w:rsidRPr="00207DC2">
        <w:t xml:space="preserve">(a) </w:t>
      </w:r>
      <w:r w:rsidR="00401A92" w:rsidRPr="00207DC2">
        <w:t>A participant can have multiple related suspension reasons at any point in time.</w:t>
      </w:r>
    </w:p>
    <w:p w14:paraId="6041E0AF" w14:textId="77777777" w:rsidR="00AA5FCA" w:rsidRPr="00207DC2" w:rsidRDefault="00AA5FCA" w:rsidP="00FB626D">
      <w:pPr>
        <w:pStyle w:val="tablenotes"/>
      </w:pPr>
    </w:p>
    <w:p w14:paraId="5A55713D" w14:textId="77777777" w:rsidR="00AA5FCA" w:rsidRPr="00207DC2" w:rsidRDefault="00AA5FCA" w:rsidP="00FB626D">
      <w:pPr>
        <w:pStyle w:val="tablenotes"/>
      </w:pPr>
    </w:p>
    <w:p w14:paraId="1AE61EEF" w14:textId="28D04704" w:rsidR="002E1B54" w:rsidRPr="00207DC2" w:rsidRDefault="00792ED1" w:rsidP="00221CB8">
      <w:pPr>
        <w:pStyle w:val="Heading1nonumber"/>
        <w:outlineLvl w:val="1"/>
        <w:rPr>
          <w:lang w:val="en-AU"/>
        </w:rPr>
      </w:pPr>
      <w:bookmarkStart w:id="706" w:name="_Toc509412984"/>
      <w:bookmarkStart w:id="707" w:name="_Toc509587052"/>
      <w:bookmarkStart w:id="708" w:name="_Toc509588078"/>
      <w:bookmarkStart w:id="709" w:name="_Toc509588341"/>
      <w:bookmarkStart w:id="710" w:name="_Toc509589489"/>
      <w:bookmarkStart w:id="711" w:name="_Toc509926907"/>
      <w:bookmarkStart w:id="712" w:name="_Toc511661256"/>
      <w:bookmarkStart w:id="713" w:name="_Toc511826313"/>
      <w:bookmarkStart w:id="714" w:name="_Toc511940630"/>
      <w:bookmarkStart w:id="715" w:name="_Toc515185482"/>
      <w:bookmarkStart w:id="716" w:name="_Toc516219855"/>
      <w:bookmarkStart w:id="717" w:name="_Toc516220496"/>
      <w:bookmarkStart w:id="718" w:name="_Toc516223316"/>
      <w:bookmarkStart w:id="719" w:name="_Toc516225224"/>
      <w:bookmarkStart w:id="720" w:name="_Toc516229000"/>
      <w:bookmarkStart w:id="721" w:name="_Toc518468064"/>
      <w:bookmarkStart w:id="722" w:name="_Toc518487845"/>
      <w:bookmarkStart w:id="723" w:name="_Toc518558810"/>
      <w:bookmarkStart w:id="724" w:name="_Toc518565333"/>
      <w:bookmarkStart w:id="725" w:name="_Toc518565577"/>
      <w:bookmarkStart w:id="726" w:name="_Toc519504748"/>
      <w:bookmarkStart w:id="727" w:name="_Toc519505972"/>
      <w:bookmarkStart w:id="728" w:name="_Toc519844078"/>
      <w:bookmarkStart w:id="729" w:name="_Toc521068580"/>
      <w:bookmarkStart w:id="730" w:name="_Toc521391094"/>
      <w:bookmarkStart w:id="731" w:name="_Toc522013263"/>
      <w:bookmarkStart w:id="732" w:name="_Toc534965177"/>
      <w:bookmarkStart w:id="733" w:name="_Toc535935073"/>
      <w:r w:rsidRPr="00207DC2">
        <w:rPr>
          <w:lang w:val="en-AU"/>
        </w:rPr>
        <w:t>Appendix B</w:t>
      </w:r>
      <w:r w:rsidR="00375E8A" w:rsidRPr="00207DC2">
        <w:rPr>
          <w:lang w:val="en-AU"/>
        </w:rPr>
        <w:t>:</w:t>
      </w:r>
      <w:r w:rsidR="00BD26BB" w:rsidRPr="00207DC2">
        <w:rPr>
          <w:lang w:val="en-AU"/>
        </w:rPr>
        <w:t xml:space="preserve"> </w:t>
      </w:r>
      <w:r w:rsidR="00DF3872" w:rsidRPr="00207DC2">
        <w:rPr>
          <w:lang w:val="en-AU"/>
        </w:rPr>
        <w:t xml:space="preserve">Analysis of </w:t>
      </w:r>
      <w:r w:rsidR="0025705E" w:rsidRPr="00207DC2">
        <w:rPr>
          <w:lang w:val="en-AU"/>
        </w:rPr>
        <w:t>attendance and</w:t>
      </w:r>
      <w:r w:rsidR="002E1B54" w:rsidRPr="00207DC2">
        <w:rPr>
          <w:lang w:val="en-AU"/>
        </w:rPr>
        <w:t xml:space="preserve"> penalties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625C2A22" w14:textId="77777777" w:rsidR="00713149" w:rsidRPr="008050A9" w:rsidRDefault="009067DF" w:rsidP="00221CB8">
      <w:pPr>
        <w:pStyle w:val="ZED5"/>
      </w:pPr>
      <w:bookmarkStart w:id="734" w:name="_Toc511661258"/>
      <w:bookmarkStart w:id="735" w:name="_Toc511826315"/>
      <w:bookmarkStart w:id="736" w:name="_Toc511940632"/>
      <w:bookmarkStart w:id="737" w:name="_Toc515185484"/>
      <w:bookmarkStart w:id="738" w:name="_Toc516219857"/>
      <w:bookmarkStart w:id="739" w:name="_Toc516220498"/>
      <w:bookmarkStart w:id="740" w:name="_Toc516223318"/>
      <w:bookmarkStart w:id="741" w:name="_Toc516225226"/>
      <w:bookmarkStart w:id="742" w:name="_Toc516229002"/>
      <w:bookmarkStart w:id="743" w:name="_Toc533064490"/>
      <w:bookmarkStart w:id="744" w:name="_Toc534965178"/>
      <w:bookmarkStart w:id="745" w:name="_Toc535935074"/>
      <w:r w:rsidRPr="008050A9">
        <w:t>Statistical models</w:t>
      </w:r>
      <w:bookmarkEnd w:id="734"/>
      <w:bookmarkEnd w:id="735"/>
      <w:bookmarkEnd w:id="736"/>
      <w:bookmarkEnd w:id="737"/>
      <w:bookmarkEnd w:id="738"/>
      <w:bookmarkEnd w:id="739"/>
      <w:bookmarkEnd w:id="740"/>
      <w:bookmarkEnd w:id="741"/>
      <w:bookmarkEnd w:id="742"/>
      <w:bookmarkEnd w:id="743"/>
      <w:bookmarkEnd w:id="744"/>
      <w:bookmarkEnd w:id="745"/>
    </w:p>
    <w:p w14:paraId="04C94979" w14:textId="77777777" w:rsidR="00713149" w:rsidRPr="00D7266B" w:rsidRDefault="00713149" w:rsidP="00221CB8">
      <w:pPr>
        <w:pStyle w:val="ZED6"/>
      </w:pPr>
      <w:r w:rsidRPr="00D7266B">
        <w:t>Attendance (</w:t>
      </w:r>
      <w:r w:rsidR="00052DC1" w:rsidRPr="00D7266B">
        <w:t>Chapter</w:t>
      </w:r>
      <w:r w:rsidRPr="00D7266B">
        <w:t xml:space="preserve"> 2)</w:t>
      </w:r>
    </w:p>
    <w:p w14:paraId="391468BF" w14:textId="77777777" w:rsidR="000C6A62" w:rsidRPr="00207DC2" w:rsidRDefault="000C6A62" w:rsidP="003E440F">
      <w:pPr>
        <w:jc w:val="both"/>
        <w:rPr>
          <w:lang w:val="en-AU"/>
        </w:rPr>
      </w:pPr>
      <w:r w:rsidRPr="00207DC2">
        <w:rPr>
          <w:lang w:val="en-AU"/>
        </w:rPr>
        <w:t>For each person, two attendance statistics for 2016 were calculated:</w:t>
      </w:r>
    </w:p>
    <w:p w14:paraId="5F032D4B" w14:textId="29B19CC0" w:rsidR="000C6A62" w:rsidRPr="00207DC2" w:rsidRDefault="000C6A62" w:rsidP="00F90446">
      <w:pPr>
        <w:pStyle w:val="ListParagraph"/>
        <w:numPr>
          <w:ilvl w:val="0"/>
          <w:numId w:val="34"/>
        </w:numPr>
        <w:tabs>
          <w:tab w:val="left" w:pos="6379"/>
        </w:tabs>
        <w:spacing w:before="0" w:after="160" w:line="259" w:lineRule="auto"/>
        <w:jc w:val="both"/>
        <w:rPr>
          <w:lang w:val="en-AU"/>
        </w:rPr>
      </w:pPr>
      <w:r w:rsidRPr="00207DC2">
        <w:rPr>
          <w:i/>
          <w:lang w:val="en-AU"/>
        </w:rPr>
        <w:t>Attended</w:t>
      </w:r>
      <w:r w:rsidR="00396552">
        <w:rPr>
          <w:lang w:val="en-AU"/>
        </w:rPr>
        <w:t xml:space="preserve"> – </w:t>
      </w:r>
      <w:r w:rsidR="008B57F7" w:rsidRPr="00207DC2">
        <w:rPr>
          <w:lang w:val="en-AU"/>
        </w:rPr>
        <w:t>t</w:t>
      </w:r>
      <w:r w:rsidRPr="00207DC2">
        <w:rPr>
          <w:lang w:val="en-AU"/>
        </w:rPr>
        <w:t>he proportion of total attendance records in 2016 marked as attended</w:t>
      </w:r>
    </w:p>
    <w:p w14:paraId="17ED8225" w14:textId="7F01B1ED" w:rsidR="000C6A62" w:rsidRPr="00207DC2" w:rsidRDefault="00D279E5" w:rsidP="00F90446">
      <w:pPr>
        <w:pStyle w:val="ListParagraph"/>
        <w:numPr>
          <w:ilvl w:val="0"/>
          <w:numId w:val="34"/>
        </w:numPr>
        <w:tabs>
          <w:tab w:val="left" w:pos="6379"/>
        </w:tabs>
        <w:spacing w:before="0" w:after="160" w:line="259" w:lineRule="auto"/>
        <w:jc w:val="both"/>
        <w:rPr>
          <w:lang w:val="en-AU"/>
        </w:rPr>
      </w:pPr>
      <w:r w:rsidRPr="00207DC2">
        <w:rPr>
          <w:i/>
          <w:lang w:val="en-AU"/>
        </w:rPr>
        <w:t>Did Not Attend Invalid (</w:t>
      </w:r>
      <w:r w:rsidR="000C6A62" w:rsidRPr="00207DC2">
        <w:rPr>
          <w:i/>
          <w:lang w:val="en-AU"/>
        </w:rPr>
        <w:t>DNAI</w:t>
      </w:r>
      <w:r w:rsidRPr="00207DC2">
        <w:rPr>
          <w:i/>
          <w:lang w:val="en-AU"/>
        </w:rPr>
        <w:t>)</w:t>
      </w:r>
      <w:r w:rsidR="00396552">
        <w:rPr>
          <w:lang w:val="en-AU"/>
        </w:rPr>
        <w:t xml:space="preserve"> – </w:t>
      </w:r>
      <w:r w:rsidR="008B57F7" w:rsidRPr="00207DC2">
        <w:rPr>
          <w:lang w:val="en-AU"/>
        </w:rPr>
        <w:t>t</w:t>
      </w:r>
      <w:r w:rsidR="000C6A62" w:rsidRPr="00207DC2">
        <w:rPr>
          <w:lang w:val="en-AU"/>
        </w:rPr>
        <w:t>he proportion of total attendance records in 2016 marked as invalid non-attendance.</w:t>
      </w:r>
    </w:p>
    <w:p w14:paraId="0DA68E80" w14:textId="77777777" w:rsidR="006B465E" w:rsidRPr="00207DC2" w:rsidRDefault="000C6A62" w:rsidP="003E440F">
      <w:pPr>
        <w:spacing w:before="0" w:after="160" w:line="259" w:lineRule="auto"/>
        <w:jc w:val="both"/>
        <w:rPr>
          <w:lang w:val="en-AU"/>
        </w:rPr>
      </w:pPr>
      <w:r w:rsidRPr="00207DC2">
        <w:rPr>
          <w:lang w:val="en-AU"/>
        </w:rPr>
        <w:t xml:space="preserve">Each of the two proportions </w:t>
      </w:r>
      <w:r w:rsidR="00D279E5" w:rsidRPr="00207DC2">
        <w:rPr>
          <w:lang w:val="en-AU"/>
        </w:rPr>
        <w:t>were</w:t>
      </w:r>
      <w:r w:rsidRPr="00207DC2">
        <w:rPr>
          <w:lang w:val="en-AU"/>
        </w:rPr>
        <w:t xml:space="preserve"> modelled separately, although using the same set of control variables. The models were general</w:t>
      </w:r>
      <w:r w:rsidR="000330D2" w:rsidRPr="00207DC2">
        <w:rPr>
          <w:lang w:val="en-AU"/>
        </w:rPr>
        <w:t>ised</w:t>
      </w:r>
      <w:r w:rsidRPr="00207DC2">
        <w:rPr>
          <w:lang w:val="en-AU"/>
        </w:rPr>
        <w:t xml:space="preserve"> linear models, estimated using least squares regression.</w:t>
      </w:r>
      <w:r w:rsidR="000330D2" w:rsidRPr="00207DC2">
        <w:rPr>
          <w:lang w:val="en-AU"/>
        </w:rPr>
        <w:t xml:space="preserve"> Generalised linear </w:t>
      </w:r>
      <w:r w:rsidR="0070329B" w:rsidRPr="00207DC2">
        <w:rPr>
          <w:lang w:val="en-AU"/>
        </w:rPr>
        <w:t>regression</w:t>
      </w:r>
      <w:r w:rsidR="000330D2" w:rsidRPr="00207DC2">
        <w:rPr>
          <w:lang w:val="en-AU"/>
        </w:rPr>
        <w:t xml:space="preserve"> models were chosen as a straightforward way to model the continuous attendance data. The variable effects were estimated as additions (in percentage points) to</w:t>
      </w:r>
      <w:r w:rsidR="000330D2" w:rsidRPr="00207DC2">
        <w:rPr>
          <w:b/>
          <w:lang w:val="en-AU"/>
        </w:rPr>
        <w:t xml:space="preserve"> </w:t>
      </w:r>
      <w:r w:rsidR="000330D2" w:rsidRPr="00207DC2">
        <w:rPr>
          <w:lang w:val="en-AU"/>
        </w:rPr>
        <w:t>the expected rate.</w:t>
      </w:r>
    </w:p>
    <w:p w14:paraId="49B57BCC" w14:textId="77777777" w:rsidR="0025705E" w:rsidRPr="00D7266B" w:rsidRDefault="0025705E" w:rsidP="00221CB8">
      <w:pPr>
        <w:pStyle w:val="ZED6"/>
      </w:pPr>
      <w:r w:rsidRPr="00D7266B">
        <w:t>Penalties</w:t>
      </w:r>
      <w:r w:rsidR="009673D5" w:rsidRPr="00D7266B">
        <w:t xml:space="preserve"> (</w:t>
      </w:r>
      <w:r w:rsidR="00052DC1" w:rsidRPr="00D7266B">
        <w:t>Chapter</w:t>
      </w:r>
      <w:r w:rsidR="009673D5" w:rsidRPr="00D7266B">
        <w:t xml:space="preserve"> 3)</w:t>
      </w:r>
    </w:p>
    <w:p w14:paraId="525B1CE5" w14:textId="15563064" w:rsidR="0025705E" w:rsidRPr="00207DC2" w:rsidRDefault="00602500" w:rsidP="003E440F">
      <w:pPr>
        <w:jc w:val="both"/>
        <w:rPr>
          <w:lang w:val="en-AU"/>
        </w:rPr>
      </w:pPr>
      <w:r w:rsidRPr="00207DC2">
        <w:rPr>
          <w:lang w:val="en-AU"/>
        </w:rPr>
        <w:t>Among the 2016 penalty outcomes recorded for each person w</w:t>
      </w:r>
      <w:r w:rsidR="00D279E5" w:rsidRPr="00207DC2">
        <w:rPr>
          <w:lang w:val="en-AU"/>
        </w:rPr>
        <w:t>ere</w:t>
      </w:r>
      <w:r w:rsidR="009433F2" w:rsidRPr="00207DC2">
        <w:rPr>
          <w:lang w:val="en-AU"/>
        </w:rPr>
        <w:t>:</w:t>
      </w:r>
      <w:r w:rsidRPr="00207DC2">
        <w:rPr>
          <w:lang w:val="en-AU"/>
        </w:rPr>
        <w:t xml:space="preserve"> </w:t>
      </w:r>
      <w:r w:rsidR="009433F2" w:rsidRPr="00207DC2">
        <w:rPr>
          <w:lang w:val="en-AU"/>
        </w:rPr>
        <w:t>the number of</w:t>
      </w:r>
      <w:r w:rsidRPr="00207DC2">
        <w:rPr>
          <w:lang w:val="en-AU"/>
        </w:rPr>
        <w:t xml:space="preserve"> reduction penalties and zero-rate penalties </w:t>
      </w:r>
      <w:r w:rsidR="009433F2" w:rsidRPr="00207DC2">
        <w:rPr>
          <w:lang w:val="en-AU"/>
        </w:rPr>
        <w:t xml:space="preserve">they had determined </w:t>
      </w:r>
      <w:r w:rsidRPr="00207DC2">
        <w:rPr>
          <w:lang w:val="en-AU"/>
        </w:rPr>
        <w:t xml:space="preserve">in the year, and the amount of </w:t>
      </w:r>
      <w:r w:rsidR="00B712F2" w:rsidRPr="00207DC2">
        <w:rPr>
          <w:lang w:val="en-AU"/>
        </w:rPr>
        <w:t>Australian Government payments</w:t>
      </w:r>
      <w:r w:rsidRPr="00207DC2">
        <w:rPr>
          <w:lang w:val="en-AU"/>
        </w:rPr>
        <w:t xml:space="preserve"> lost due to penalties. </w:t>
      </w:r>
      <w:r w:rsidR="0025705E" w:rsidRPr="00207DC2">
        <w:rPr>
          <w:lang w:val="en-AU"/>
        </w:rPr>
        <w:t xml:space="preserve">To estimate the effects of </w:t>
      </w:r>
      <w:r w:rsidR="00D279E5" w:rsidRPr="00207DC2">
        <w:rPr>
          <w:lang w:val="en-AU"/>
        </w:rPr>
        <w:t>participant</w:t>
      </w:r>
      <w:r w:rsidR="0025705E" w:rsidRPr="00207DC2">
        <w:rPr>
          <w:lang w:val="en-AU"/>
        </w:rPr>
        <w:t xml:space="preserve"> characteristics on penalties</w:t>
      </w:r>
      <w:r w:rsidR="00713149" w:rsidRPr="00207DC2">
        <w:rPr>
          <w:lang w:val="en-AU"/>
        </w:rPr>
        <w:t>,</w:t>
      </w:r>
      <w:r w:rsidR="0025705E" w:rsidRPr="00207DC2">
        <w:rPr>
          <w:lang w:val="en-AU"/>
        </w:rPr>
        <w:t xml:space="preserve"> three regression models</w:t>
      </w:r>
      <w:r w:rsidR="002B5389" w:rsidRPr="00207DC2">
        <w:rPr>
          <w:lang w:val="en-AU"/>
        </w:rPr>
        <w:t xml:space="preserve"> were estimated</w:t>
      </w:r>
      <w:r w:rsidRPr="00207DC2">
        <w:rPr>
          <w:lang w:val="en-AU"/>
        </w:rPr>
        <w:t>:</w:t>
      </w:r>
    </w:p>
    <w:p w14:paraId="0C706A97" w14:textId="3603AC23" w:rsidR="0025705E" w:rsidRPr="00207DC2" w:rsidRDefault="0025705E" w:rsidP="00F90446">
      <w:pPr>
        <w:pStyle w:val="ListParagraph"/>
        <w:numPr>
          <w:ilvl w:val="0"/>
          <w:numId w:val="28"/>
        </w:numPr>
        <w:spacing w:before="0" w:after="160" w:line="259" w:lineRule="auto"/>
        <w:jc w:val="both"/>
        <w:rPr>
          <w:lang w:val="en-AU"/>
        </w:rPr>
      </w:pPr>
      <w:r w:rsidRPr="00207DC2">
        <w:rPr>
          <w:i/>
          <w:lang w:val="en-AU"/>
        </w:rPr>
        <w:t>Ever had any penalty</w:t>
      </w:r>
      <w:r w:rsidR="00396552">
        <w:rPr>
          <w:lang w:val="en-AU"/>
        </w:rPr>
        <w:t xml:space="preserve"> – </w:t>
      </w:r>
      <w:r w:rsidRPr="00207DC2">
        <w:rPr>
          <w:lang w:val="en-AU"/>
        </w:rPr>
        <w:t>a logistic regression model</w:t>
      </w:r>
      <w:r w:rsidR="00D279E5" w:rsidRPr="00207DC2">
        <w:rPr>
          <w:lang w:val="en-AU"/>
        </w:rPr>
        <w:t>, estimating</w:t>
      </w:r>
      <w:r w:rsidRPr="00207DC2">
        <w:rPr>
          <w:lang w:val="en-AU"/>
        </w:rPr>
        <w:t xml:space="preserve"> the probability that a person received a penalty at any time during 2016.</w:t>
      </w:r>
    </w:p>
    <w:p w14:paraId="4FB5DDD3" w14:textId="1281E481" w:rsidR="0025705E" w:rsidRPr="00207DC2" w:rsidRDefault="0025705E" w:rsidP="00F90446">
      <w:pPr>
        <w:pStyle w:val="ListParagraph"/>
        <w:numPr>
          <w:ilvl w:val="0"/>
          <w:numId w:val="28"/>
        </w:numPr>
        <w:spacing w:before="0" w:after="160" w:line="259" w:lineRule="auto"/>
        <w:jc w:val="both"/>
        <w:rPr>
          <w:lang w:val="en-AU"/>
        </w:rPr>
      </w:pPr>
      <w:r w:rsidRPr="00207DC2">
        <w:rPr>
          <w:i/>
          <w:lang w:val="en-AU"/>
        </w:rPr>
        <w:t>Ever had a zero-rate penalty</w:t>
      </w:r>
      <w:r w:rsidR="00396552">
        <w:rPr>
          <w:lang w:val="en-AU"/>
        </w:rPr>
        <w:t xml:space="preserve"> – </w:t>
      </w:r>
      <w:r w:rsidR="002B5389" w:rsidRPr="00207DC2">
        <w:rPr>
          <w:lang w:val="en-AU"/>
        </w:rPr>
        <w:t xml:space="preserve">of those who had received a penalty, </w:t>
      </w:r>
      <w:r w:rsidRPr="00207DC2">
        <w:rPr>
          <w:lang w:val="en-AU"/>
        </w:rPr>
        <w:t xml:space="preserve">a logistic regression model </w:t>
      </w:r>
      <w:r w:rsidR="002B5389" w:rsidRPr="00207DC2">
        <w:rPr>
          <w:lang w:val="en-AU"/>
        </w:rPr>
        <w:t>estimat</w:t>
      </w:r>
      <w:r w:rsidR="00D279E5" w:rsidRPr="00207DC2">
        <w:rPr>
          <w:lang w:val="en-AU"/>
        </w:rPr>
        <w:t>ing</w:t>
      </w:r>
      <w:r w:rsidR="002B5389" w:rsidRPr="00207DC2">
        <w:rPr>
          <w:lang w:val="en-AU"/>
        </w:rPr>
        <w:t xml:space="preserve"> </w:t>
      </w:r>
      <w:r w:rsidRPr="00207DC2">
        <w:rPr>
          <w:lang w:val="en-AU"/>
        </w:rPr>
        <w:t xml:space="preserve">the probability </w:t>
      </w:r>
      <w:r w:rsidR="002B5389" w:rsidRPr="00207DC2">
        <w:rPr>
          <w:lang w:val="en-AU"/>
        </w:rPr>
        <w:t xml:space="preserve">of receiving a </w:t>
      </w:r>
      <w:r w:rsidRPr="00207DC2">
        <w:rPr>
          <w:lang w:val="en-AU"/>
        </w:rPr>
        <w:t>zero-rate</w:t>
      </w:r>
      <w:r w:rsidR="002B5389" w:rsidRPr="00207DC2">
        <w:rPr>
          <w:lang w:val="en-AU"/>
        </w:rPr>
        <w:t xml:space="preserve"> penalty</w:t>
      </w:r>
      <w:r w:rsidRPr="00207DC2">
        <w:rPr>
          <w:lang w:val="en-AU"/>
        </w:rPr>
        <w:t>.</w:t>
      </w:r>
    </w:p>
    <w:p w14:paraId="0F0BBF9F" w14:textId="77777777" w:rsidR="0025705E" w:rsidRPr="00207DC2" w:rsidRDefault="0025705E" w:rsidP="003E440F">
      <w:pPr>
        <w:jc w:val="both"/>
        <w:rPr>
          <w:lang w:val="en-AU"/>
        </w:rPr>
      </w:pPr>
      <w:r w:rsidRPr="00207DC2">
        <w:rPr>
          <w:lang w:val="en-AU"/>
        </w:rPr>
        <w:t xml:space="preserve">Variable effects </w:t>
      </w:r>
      <w:r w:rsidR="00602500" w:rsidRPr="00207DC2">
        <w:rPr>
          <w:lang w:val="en-AU"/>
        </w:rPr>
        <w:t xml:space="preserve">were estimated as </w:t>
      </w:r>
      <w:r w:rsidRPr="00207DC2">
        <w:rPr>
          <w:lang w:val="en-AU"/>
        </w:rPr>
        <w:t>odds ratios</w:t>
      </w:r>
      <w:r w:rsidR="006B279E" w:rsidRPr="00207DC2">
        <w:rPr>
          <w:lang w:val="en-AU"/>
        </w:rPr>
        <w:t>, that is</w:t>
      </w:r>
      <w:r w:rsidR="006E46FA" w:rsidRPr="00207DC2">
        <w:rPr>
          <w:lang w:val="en-AU"/>
        </w:rPr>
        <w:t>,</w:t>
      </w:r>
      <w:r w:rsidR="006B279E" w:rsidRPr="00207DC2">
        <w:rPr>
          <w:lang w:val="en-AU"/>
        </w:rPr>
        <w:t xml:space="preserve"> </w:t>
      </w:r>
      <w:r w:rsidRPr="00207DC2">
        <w:rPr>
          <w:lang w:val="en-AU"/>
        </w:rPr>
        <w:t>multipliers of the probabil</w:t>
      </w:r>
      <w:r w:rsidR="00E74BE8" w:rsidRPr="00207DC2">
        <w:rPr>
          <w:lang w:val="en-AU"/>
        </w:rPr>
        <w:t>i</w:t>
      </w:r>
      <w:r w:rsidRPr="00207DC2">
        <w:rPr>
          <w:lang w:val="en-AU"/>
        </w:rPr>
        <w:t xml:space="preserve">ty compared to the reference value. </w:t>
      </w:r>
    </w:p>
    <w:p w14:paraId="50C2F3AD" w14:textId="40428705" w:rsidR="0025705E" w:rsidRPr="00207DC2" w:rsidRDefault="0025705E" w:rsidP="00F90446">
      <w:pPr>
        <w:pStyle w:val="ListParagraph"/>
        <w:numPr>
          <w:ilvl w:val="0"/>
          <w:numId w:val="28"/>
        </w:numPr>
        <w:spacing w:before="0" w:after="160" w:line="259" w:lineRule="auto"/>
        <w:jc w:val="both"/>
        <w:rPr>
          <w:lang w:val="en-AU"/>
        </w:rPr>
      </w:pPr>
      <w:r w:rsidRPr="00207DC2">
        <w:rPr>
          <w:i/>
          <w:lang w:val="en-AU"/>
        </w:rPr>
        <w:t>Penalty amount</w:t>
      </w:r>
      <w:r w:rsidR="00396552">
        <w:rPr>
          <w:lang w:val="en-AU"/>
        </w:rPr>
        <w:t xml:space="preserve"> – </w:t>
      </w:r>
      <w:r w:rsidRPr="00207DC2">
        <w:rPr>
          <w:lang w:val="en-AU"/>
        </w:rPr>
        <w:t>A</w:t>
      </w:r>
      <w:r w:rsidR="006B279E" w:rsidRPr="00207DC2">
        <w:rPr>
          <w:lang w:val="en-AU"/>
        </w:rPr>
        <w:t xml:space="preserve"> </w:t>
      </w:r>
      <w:r w:rsidR="00D279E5" w:rsidRPr="00207DC2">
        <w:rPr>
          <w:lang w:val="en-AU"/>
        </w:rPr>
        <w:t>general linear model</w:t>
      </w:r>
      <w:r w:rsidRPr="00207DC2">
        <w:rPr>
          <w:lang w:val="en-AU"/>
        </w:rPr>
        <w:t xml:space="preserve"> </w:t>
      </w:r>
      <w:r w:rsidR="00867CF1" w:rsidRPr="00207DC2">
        <w:rPr>
          <w:lang w:val="en-AU"/>
        </w:rPr>
        <w:t>estimat</w:t>
      </w:r>
      <w:r w:rsidR="00D279E5" w:rsidRPr="00207DC2">
        <w:rPr>
          <w:lang w:val="en-AU"/>
        </w:rPr>
        <w:t>ing the</w:t>
      </w:r>
      <w:r w:rsidR="00867CF1" w:rsidRPr="00207DC2">
        <w:rPr>
          <w:lang w:val="en-AU"/>
        </w:rPr>
        <w:t xml:space="preserve"> </w:t>
      </w:r>
      <w:r w:rsidR="00713149" w:rsidRPr="00207DC2">
        <w:rPr>
          <w:lang w:val="en-AU"/>
        </w:rPr>
        <w:t xml:space="preserve">total </w:t>
      </w:r>
      <w:r w:rsidRPr="00207DC2">
        <w:rPr>
          <w:lang w:val="en-AU"/>
        </w:rPr>
        <w:t>value of penalties to a person</w:t>
      </w:r>
      <w:r w:rsidR="00713149" w:rsidRPr="00207DC2">
        <w:rPr>
          <w:lang w:val="en-AU"/>
        </w:rPr>
        <w:t>,</w:t>
      </w:r>
      <w:r w:rsidRPr="00207DC2">
        <w:rPr>
          <w:lang w:val="en-AU"/>
        </w:rPr>
        <w:t xml:space="preserve"> </w:t>
      </w:r>
      <w:r w:rsidR="00D279E5" w:rsidRPr="00207DC2">
        <w:rPr>
          <w:lang w:val="en-AU"/>
        </w:rPr>
        <w:t xml:space="preserve">of those </w:t>
      </w:r>
      <w:r w:rsidRPr="00207DC2">
        <w:rPr>
          <w:lang w:val="en-AU"/>
        </w:rPr>
        <w:t>who had at least one penalty in 2016.</w:t>
      </w:r>
    </w:p>
    <w:p w14:paraId="620B2789" w14:textId="77777777" w:rsidR="0025705E" w:rsidRPr="00207DC2" w:rsidRDefault="0025705E" w:rsidP="003E440F">
      <w:pPr>
        <w:jc w:val="both"/>
        <w:rPr>
          <w:lang w:val="en-AU"/>
        </w:rPr>
      </w:pPr>
      <w:r w:rsidRPr="00207DC2">
        <w:rPr>
          <w:lang w:val="en-AU"/>
        </w:rPr>
        <w:t xml:space="preserve">Variable effects </w:t>
      </w:r>
      <w:r w:rsidR="00602500" w:rsidRPr="00207DC2">
        <w:rPr>
          <w:lang w:val="en-AU"/>
        </w:rPr>
        <w:t xml:space="preserve">were estimated as </w:t>
      </w:r>
      <w:r w:rsidRPr="00207DC2">
        <w:rPr>
          <w:lang w:val="en-AU"/>
        </w:rPr>
        <w:t>additions</w:t>
      </w:r>
      <w:r w:rsidR="006E46FA" w:rsidRPr="00207DC2">
        <w:rPr>
          <w:lang w:val="en-AU"/>
        </w:rPr>
        <w:t xml:space="preserve"> (in dollars)</w:t>
      </w:r>
      <w:r w:rsidRPr="00207DC2">
        <w:rPr>
          <w:lang w:val="en-AU"/>
        </w:rPr>
        <w:t xml:space="preserve"> to</w:t>
      </w:r>
      <w:r w:rsidRPr="00207DC2">
        <w:rPr>
          <w:b/>
          <w:lang w:val="en-AU"/>
        </w:rPr>
        <w:t xml:space="preserve"> </w:t>
      </w:r>
      <w:r w:rsidRPr="00207DC2">
        <w:rPr>
          <w:lang w:val="en-AU"/>
        </w:rPr>
        <w:t>the expected value.</w:t>
      </w:r>
    </w:p>
    <w:p w14:paraId="60F89DFD" w14:textId="66FF04C5" w:rsidR="0025705E" w:rsidRPr="00207DC2" w:rsidRDefault="00D279E5" w:rsidP="003E440F">
      <w:pPr>
        <w:jc w:val="both"/>
        <w:rPr>
          <w:lang w:val="en-AU"/>
        </w:rPr>
      </w:pPr>
      <w:r w:rsidRPr="00207DC2">
        <w:rPr>
          <w:lang w:val="en-AU"/>
        </w:rPr>
        <w:t>L</w:t>
      </w:r>
      <w:r w:rsidR="0025705E" w:rsidRPr="00207DC2">
        <w:rPr>
          <w:lang w:val="en-AU"/>
        </w:rPr>
        <w:t>ogistic regression</w:t>
      </w:r>
      <w:r w:rsidRPr="00207DC2">
        <w:rPr>
          <w:lang w:val="en-AU"/>
        </w:rPr>
        <w:t>s</w:t>
      </w:r>
      <w:r w:rsidR="0025705E" w:rsidRPr="00207DC2">
        <w:rPr>
          <w:lang w:val="en-AU"/>
        </w:rPr>
        <w:t xml:space="preserve"> w</w:t>
      </w:r>
      <w:r w:rsidRPr="00207DC2">
        <w:rPr>
          <w:lang w:val="en-AU"/>
        </w:rPr>
        <w:t>ere</w:t>
      </w:r>
      <w:r w:rsidR="0025705E" w:rsidRPr="00207DC2">
        <w:rPr>
          <w:lang w:val="en-AU"/>
        </w:rPr>
        <w:t xml:space="preserve"> chosen as a straightforward way to model binary data, with results that are easy to interpret.</w:t>
      </w:r>
      <w:r w:rsidR="00602500" w:rsidRPr="00207DC2">
        <w:rPr>
          <w:lang w:val="en-AU"/>
        </w:rPr>
        <w:t xml:space="preserve"> </w:t>
      </w:r>
      <w:r w:rsidR="00DE6E79" w:rsidRPr="00207DC2">
        <w:rPr>
          <w:lang w:val="en-AU"/>
        </w:rPr>
        <w:t>Similarly, a general linear model was chosen as a straightforward way to model continuous data with easy interpretation.</w:t>
      </w:r>
      <w:r w:rsidR="00602500" w:rsidRPr="00207DC2">
        <w:rPr>
          <w:lang w:val="en-AU"/>
        </w:rPr>
        <w:t xml:space="preserve"> All three models were estimated using least squares regression.</w:t>
      </w:r>
    </w:p>
    <w:p w14:paraId="3CD1F057" w14:textId="77777777" w:rsidR="006B465E" w:rsidRPr="00207DC2" w:rsidRDefault="006B465E" w:rsidP="003E440F">
      <w:pPr>
        <w:jc w:val="both"/>
        <w:rPr>
          <w:lang w:val="en-AU"/>
        </w:rPr>
      </w:pPr>
      <w:r w:rsidRPr="00207DC2">
        <w:rPr>
          <w:lang w:val="en-AU"/>
        </w:rPr>
        <w:t xml:space="preserve">The </w:t>
      </w:r>
      <w:r w:rsidR="003E440F" w:rsidRPr="00207DC2">
        <w:rPr>
          <w:lang w:val="en-AU"/>
        </w:rPr>
        <w:t xml:space="preserve">attendance </w:t>
      </w:r>
      <w:r w:rsidR="00DE6E79" w:rsidRPr="00207DC2">
        <w:rPr>
          <w:lang w:val="en-AU"/>
        </w:rPr>
        <w:t>models (in Chapter 2)</w:t>
      </w:r>
      <w:r w:rsidR="003E440F" w:rsidRPr="00207DC2">
        <w:rPr>
          <w:lang w:val="en-AU"/>
        </w:rPr>
        <w:t xml:space="preserve"> and </w:t>
      </w:r>
      <w:r w:rsidR="00DE6E79" w:rsidRPr="00207DC2">
        <w:rPr>
          <w:lang w:val="en-AU"/>
        </w:rPr>
        <w:t xml:space="preserve">the </w:t>
      </w:r>
      <w:r w:rsidR="003E440F" w:rsidRPr="00207DC2">
        <w:rPr>
          <w:lang w:val="en-AU"/>
        </w:rPr>
        <w:t>penalty</w:t>
      </w:r>
      <w:r w:rsidRPr="00207DC2">
        <w:rPr>
          <w:lang w:val="en-AU"/>
        </w:rPr>
        <w:t xml:space="preserve"> models </w:t>
      </w:r>
      <w:r w:rsidR="00DE6E79" w:rsidRPr="00207DC2">
        <w:rPr>
          <w:lang w:val="en-AU"/>
        </w:rPr>
        <w:t>(in Chapter 3)</w:t>
      </w:r>
      <w:r w:rsidRPr="00207DC2">
        <w:rPr>
          <w:lang w:val="en-AU"/>
        </w:rPr>
        <w:t xml:space="preserve"> were also run on 2016-17 data, to check that the results from the 2016 data were consistent over time. Most variable effects were the same; only a few marginal effects gained or lost significance in the 2016-17 results.</w:t>
      </w:r>
    </w:p>
    <w:p w14:paraId="5CFE15FE" w14:textId="7D570706" w:rsidR="009067DF" w:rsidRPr="00036CCB" w:rsidRDefault="005F3C58" w:rsidP="00D6637F">
      <w:pPr>
        <w:pStyle w:val="ZED5"/>
      </w:pPr>
      <w:bookmarkStart w:id="746" w:name="_Toc533064491"/>
      <w:bookmarkStart w:id="747" w:name="_Toc534965179"/>
      <w:bookmarkStart w:id="748" w:name="_Toc535935075"/>
      <w:r w:rsidRPr="00036CCB">
        <w:t xml:space="preserve">Dataset for </w:t>
      </w:r>
      <w:r w:rsidRPr="00D6637F">
        <w:t>regression</w:t>
      </w:r>
      <w:r w:rsidRPr="00036CCB">
        <w:t xml:space="preserve"> models</w:t>
      </w:r>
      <w:bookmarkEnd w:id="746"/>
      <w:bookmarkEnd w:id="747"/>
      <w:bookmarkEnd w:id="748"/>
    </w:p>
    <w:p w14:paraId="37982A35" w14:textId="77777777" w:rsidR="00526118" w:rsidRPr="00207DC2" w:rsidRDefault="0025705E" w:rsidP="00CE16F6">
      <w:pPr>
        <w:jc w:val="both"/>
        <w:rPr>
          <w:lang w:val="en-AU"/>
        </w:rPr>
      </w:pPr>
      <w:bookmarkStart w:id="749" w:name="_Toc509412986"/>
      <w:bookmarkStart w:id="750" w:name="_Toc509587054"/>
      <w:bookmarkStart w:id="751" w:name="_Toc509588080"/>
      <w:bookmarkStart w:id="752" w:name="_Toc509588343"/>
      <w:bookmarkStart w:id="753" w:name="_Toc509589491"/>
      <w:bookmarkEnd w:id="749"/>
      <w:bookmarkEnd w:id="750"/>
      <w:bookmarkEnd w:id="751"/>
      <w:bookmarkEnd w:id="752"/>
      <w:bookmarkEnd w:id="753"/>
      <w:r w:rsidRPr="00207DC2">
        <w:rPr>
          <w:lang w:val="en-AU"/>
        </w:rPr>
        <w:t xml:space="preserve">The models </w:t>
      </w:r>
      <w:r w:rsidR="00DE6E79" w:rsidRPr="00207DC2">
        <w:rPr>
          <w:lang w:val="en-AU"/>
        </w:rPr>
        <w:t>described above</w:t>
      </w:r>
      <w:r w:rsidRPr="00207DC2">
        <w:rPr>
          <w:lang w:val="en-AU"/>
        </w:rPr>
        <w:t xml:space="preserve"> all use the same dataset – administrative data from the CDP system, containing all persons who were </w:t>
      </w:r>
      <w:r w:rsidR="008C3DF8" w:rsidRPr="00207DC2">
        <w:rPr>
          <w:lang w:val="en-AU"/>
        </w:rPr>
        <w:t>registered with a CDP provider</w:t>
      </w:r>
      <w:r w:rsidRPr="00207DC2">
        <w:rPr>
          <w:lang w:val="en-AU"/>
        </w:rPr>
        <w:t xml:space="preserve"> </w:t>
      </w:r>
      <w:r w:rsidR="008C3DF8" w:rsidRPr="00207DC2">
        <w:rPr>
          <w:lang w:val="en-AU"/>
        </w:rPr>
        <w:t>on</w:t>
      </w:r>
      <w:r w:rsidRPr="00207DC2">
        <w:rPr>
          <w:lang w:val="en-AU"/>
        </w:rPr>
        <w:t xml:space="preserve"> 1 January 2016.</w:t>
      </w:r>
      <w:r w:rsidR="00875918" w:rsidRPr="00207DC2">
        <w:rPr>
          <w:lang w:val="en-AU"/>
        </w:rPr>
        <w:t xml:space="preserve"> </w:t>
      </w:r>
    </w:p>
    <w:p w14:paraId="756D53B8" w14:textId="7570C159" w:rsidR="00C03703" w:rsidRPr="00207DC2" w:rsidRDefault="00EE7075" w:rsidP="00CE16F6">
      <w:pPr>
        <w:jc w:val="both"/>
        <w:rPr>
          <w:lang w:val="en-AU"/>
        </w:rPr>
      </w:pPr>
      <w:r w:rsidRPr="00207DC2">
        <w:rPr>
          <w:lang w:val="en-AU"/>
        </w:rPr>
        <w:t xml:space="preserve">Those who were volunteers (on 1 January 2016) were excluded from the dataset, as the relationship between attendance and the characteristics of participants </w:t>
      </w:r>
      <w:r w:rsidR="00DE6E79" w:rsidRPr="00207DC2">
        <w:rPr>
          <w:lang w:val="en-AU"/>
        </w:rPr>
        <w:t>wa</w:t>
      </w:r>
      <w:r w:rsidRPr="00207DC2">
        <w:rPr>
          <w:lang w:val="en-AU"/>
        </w:rPr>
        <w:t xml:space="preserve">s expected to be different for volunteers than for </w:t>
      </w:r>
      <w:r w:rsidR="00903A7A">
        <w:rPr>
          <w:lang w:val="en-AU"/>
        </w:rPr>
        <w:t>activity-tested</w:t>
      </w:r>
      <w:r w:rsidRPr="00207DC2">
        <w:rPr>
          <w:lang w:val="en-AU"/>
        </w:rPr>
        <w:t xml:space="preserve"> participants. The attendance models also exclude</w:t>
      </w:r>
      <w:r w:rsidR="00DE6E79" w:rsidRPr="00207DC2">
        <w:rPr>
          <w:lang w:val="en-AU"/>
        </w:rPr>
        <w:t>d</w:t>
      </w:r>
      <w:r w:rsidRPr="00207DC2">
        <w:rPr>
          <w:lang w:val="en-AU"/>
        </w:rPr>
        <w:t xml:space="preserve"> participants who were activity tested on 1 January 2016, but </w:t>
      </w:r>
      <w:r w:rsidR="00526118" w:rsidRPr="00207DC2">
        <w:rPr>
          <w:lang w:val="en-AU"/>
        </w:rPr>
        <w:t>had no attendance records</w:t>
      </w:r>
      <w:r w:rsidRPr="00207DC2">
        <w:rPr>
          <w:lang w:val="en-AU"/>
        </w:rPr>
        <w:t xml:space="preserve"> at any time in 2016</w:t>
      </w:r>
      <w:r w:rsidR="00526118" w:rsidRPr="00207DC2">
        <w:rPr>
          <w:lang w:val="en-AU"/>
        </w:rPr>
        <w:t xml:space="preserve"> (</w:t>
      </w:r>
      <w:r w:rsidR="00ED0E82" w:rsidRPr="00207DC2">
        <w:rPr>
          <w:lang w:val="en-AU"/>
        </w:rPr>
        <w:t>a</w:t>
      </w:r>
      <w:r w:rsidR="00526118" w:rsidRPr="00207DC2">
        <w:rPr>
          <w:lang w:val="en-AU"/>
        </w:rPr>
        <w:t xml:space="preserve"> participant’s attendance </w:t>
      </w:r>
      <w:r w:rsidR="00ED0E82" w:rsidRPr="00207DC2">
        <w:rPr>
          <w:lang w:val="en-AU"/>
        </w:rPr>
        <w:t>is</w:t>
      </w:r>
      <w:r w:rsidR="00526118" w:rsidRPr="00207DC2">
        <w:rPr>
          <w:lang w:val="en-AU"/>
        </w:rPr>
        <w:t xml:space="preserve"> recorded periodically as long as they are enrolled in Work for the Dole). </w:t>
      </w:r>
      <w:r w:rsidR="00C73871" w:rsidRPr="00207DC2">
        <w:rPr>
          <w:lang w:val="en-AU"/>
        </w:rPr>
        <w:t xml:space="preserve">Some participants in this dataset </w:t>
      </w:r>
      <w:r w:rsidR="00ED0E82" w:rsidRPr="00207DC2">
        <w:rPr>
          <w:lang w:val="en-AU"/>
        </w:rPr>
        <w:t xml:space="preserve">may </w:t>
      </w:r>
      <w:r w:rsidR="00C73871" w:rsidRPr="00207DC2">
        <w:rPr>
          <w:lang w:val="en-AU"/>
        </w:rPr>
        <w:t>have periods with</w:t>
      </w:r>
      <w:r w:rsidR="00442CBB" w:rsidRPr="00207DC2">
        <w:rPr>
          <w:lang w:val="en-AU"/>
        </w:rPr>
        <w:t xml:space="preserve"> zero expected hours in Work for the Dole </w:t>
      </w:r>
      <w:r w:rsidR="003B7CF5" w:rsidRPr="00207DC2">
        <w:rPr>
          <w:lang w:val="en-AU"/>
        </w:rPr>
        <w:t>activities at</w:t>
      </w:r>
      <w:r w:rsidR="00C73871" w:rsidRPr="00207DC2">
        <w:rPr>
          <w:lang w:val="en-AU"/>
        </w:rPr>
        <w:t xml:space="preserve"> some time</w:t>
      </w:r>
      <w:r w:rsidR="00DE6E79" w:rsidRPr="00207DC2">
        <w:rPr>
          <w:lang w:val="en-AU"/>
        </w:rPr>
        <w:t>(s)</w:t>
      </w:r>
      <w:r w:rsidR="00C73871" w:rsidRPr="00207DC2">
        <w:rPr>
          <w:lang w:val="en-AU"/>
        </w:rPr>
        <w:t xml:space="preserve"> during 2016</w:t>
      </w:r>
      <w:r w:rsidR="00C03703" w:rsidRPr="00207DC2">
        <w:rPr>
          <w:lang w:val="en-AU"/>
        </w:rPr>
        <w:t>.</w:t>
      </w:r>
    </w:p>
    <w:p w14:paraId="51EC9070" w14:textId="1A168E6A" w:rsidR="0025705E" w:rsidRPr="00207DC2" w:rsidRDefault="004C215F" w:rsidP="00CE16F6">
      <w:pPr>
        <w:jc w:val="both"/>
        <w:rPr>
          <w:lang w:val="en-AU"/>
        </w:rPr>
      </w:pPr>
      <w:r w:rsidRPr="00207DC2">
        <w:rPr>
          <w:lang w:val="en-AU"/>
        </w:rPr>
        <w:t>T</w:t>
      </w:r>
      <w:r w:rsidR="0025705E" w:rsidRPr="00207DC2">
        <w:rPr>
          <w:lang w:val="en-AU"/>
        </w:rPr>
        <w:t xml:space="preserve">he number of persons that were excluded due to missing values was small. The largest number was due to the criminal history variable, where </w:t>
      </w:r>
      <w:r w:rsidR="00E7278B" w:rsidRPr="00207DC2">
        <w:rPr>
          <w:lang w:val="en-AU"/>
        </w:rPr>
        <w:t>eight</w:t>
      </w:r>
      <w:r w:rsidR="0025705E" w:rsidRPr="00207DC2">
        <w:rPr>
          <w:lang w:val="en-AU"/>
        </w:rPr>
        <w:t xml:space="preserve"> per cent of persons had missing values. The other independent variables had about </w:t>
      </w:r>
      <w:r w:rsidR="00E7278B" w:rsidRPr="00207DC2">
        <w:rPr>
          <w:lang w:val="en-AU"/>
        </w:rPr>
        <w:t>one</w:t>
      </w:r>
      <w:r w:rsidR="004B66A9" w:rsidRPr="00207DC2">
        <w:rPr>
          <w:lang w:val="en-AU"/>
        </w:rPr>
        <w:t xml:space="preserve"> to </w:t>
      </w:r>
      <w:r w:rsidR="00E7278B" w:rsidRPr="00207DC2">
        <w:rPr>
          <w:lang w:val="en-AU"/>
        </w:rPr>
        <w:t>two</w:t>
      </w:r>
      <w:r w:rsidR="0025705E" w:rsidRPr="00207DC2">
        <w:rPr>
          <w:lang w:val="en-AU"/>
        </w:rPr>
        <w:t xml:space="preserve"> per cent missing values each.</w:t>
      </w:r>
    </w:p>
    <w:p w14:paraId="6E62290F" w14:textId="4162B139" w:rsidR="00ED7426" w:rsidRPr="00207DC2" w:rsidRDefault="00ED7426" w:rsidP="00ED7426">
      <w:pPr>
        <w:jc w:val="both"/>
        <w:rPr>
          <w:lang w:val="en-AU"/>
        </w:rPr>
      </w:pPr>
      <w:r w:rsidRPr="00207DC2">
        <w:rPr>
          <w:lang w:val="en-AU"/>
        </w:rPr>
        <w:t>Work for the Dole attendance records used in Chapter 2 include attendance and type of non-attendance (valid and invalid attendance), but exclude records marked as cancelled, created in error, rescheduled or blank.</w:t>
      </w:r>
    </w:p>
    <w:p w14:paraId="488452FF" w14:textId="77777777" w:rsidR="00ED7426" w:rsidRPr="00207DC2" w:rsidRDefault="00ED7426" w:rsidP="00ED7426">
      <w:pPr>
        <w:tabs>
          <w:tab w:val="left" w:pos="8222"/>
        </w:tabs>
        <w:jc w:val="both"/>
        <w:rPr>
          <w:lang w:val="en-AU"/>
        </w:rPr>
      </w:pPr>
      <w:r w:rsidRPr="00207DC2">
        <w:rPr>
          <w:lang w:val="en-AU"/>
        </w:rPr>
        <w:t xml:space="preserve">The penalties estimates in Chapter 3 are based on administrative data on penalties determined by the Department of Human Services (DHS), sourced from the DHS circumstances files. These estimates do not account for when or whether the penalty was applied (for example, if the person’s payments were cancelled then the penalty would not have been applied). They also do not include penalties that were reversed prior to the extract date. </w:t>
      </w:r>
    </w:p>
    <w:p w14:paraId="7B6DF392" w14:textId="77777777" w:rsidR="007C2F3A" w:rsidRPr="00207DC2" w:rsidRDefault="0025705E" w:rsidP="00CE16F6">
      <w:pPr>
        <w:jc w:val="both"/>
        <w:rPr>
          <w:lang w:val="en-AU"/>
        </w:rPr>
      </w:pPr>
      <w:r w:rsidRPr="00207DC2">
        <w:rPr>
          <w:lang w:val="en-AU"/>
        </w:rPr>
        <w:t xml:space="preserve">The dataset contains variables for a range of </w:t>
      </w:r>
      <w:r w:rsidR="00DE6E79" w:rsidRPr="00207DC2">
        <w:rPr>
          <w:lang w:val="en-AU"/>
        </w:rPr>
        <w:t>participant</w:t>
      </w:r>
      <w:r w:rsidRPr="00207DC2">
        <w:rPr>
          <w:lang w:val="en-AU"/>
        </w:rPr>
        <w:t xml:space="preserve"> characteristics </w:t>
      </w:r>
      <w:r w:rsidR="008C3DF8" w:rsidRPr="00207DC2">
        <w:rPr>
          <w:lang w:val="en-AU"/>
        </w:rPr>
        <w:t>and</w:t>
      </w:r>
      <w:r w:rsidRPr="00207DC2">
        <w:rPr>
          <w:lang w:val="en-AU"/>
        </w:rPr>
        <w:t xml:space="preserve"> CDP outcomes.</w:t>
      </w:r>
      <w:r w:rsidR="00F009B3" w:rsidRPr="00207DC2">
        <w:rPr>
          <w:lang w:val="en-AU"/>
        </w:rPr>
        <w:t xml:space="preserve"> A variable for the </w:t>
      </w:r>
      <w:r w:rsidR="006E2083" w:rsidRPr="00207DC2">
        <w:rPr>
          <w:lang w:val="en-AU"/>
        </w:rPr>
        <w:t>total</w:t>
      </w:r>
      <w:r w:rsidR="00F009B3" w:rsidRPr="00207DC2">
        <w:rPr>
          <w:lang w:val="en-AU"/>
        </w:rPr>
        <w:t xml:space="preserve"> number of </w:t>
      </w:r>
      <w:r w:rsidR="006E2083" w:rsidRPr="00207DC2">
        <w:rPr>
          <w:lang w:val="en-AU"/>
        </w:rPr>
        <w:t xml:space="preserve">days the </w:t>
      </w:r>
      <w:r w:rsidR="000F33EC" w:rsidRPr="00207DC2">
        <w:rPr>
          <w:lang w:val="en-AU"/>
        </w:rPr>
        <w:t>participant was c</w:t>
      </w:r>
      <w:r w:rsidR="006E2083" w:rsidRPr="00207DC2">
        <w:rPr>
          <w:lang w:val="en-AU"/>
        </w:rPr>
        <w:t xml:space="preserve">ommenced </w:t>
      </w:r>
      <w:r w:rsidR="00BE7D5B" w:rsidRPr="00207DC2">
        <w:rPr>
          <w:lang w:val="en-AU"/>
        </w:rPr>
        <w:t>(in 2016) wa</w:t>
      </w:r>
      <w:r w:rsidR="00F009B3" w:rsidRPr="00207DC2">
        <w:rPr>
          <w:lang w:val="en-AU"/>
        </w:rPr>
        <w:t xml:space="preserve">s included to control for the proportion of the year that the person </w:t>
      </w:r>
      <w:r w:rsidR="00AD5AC7" w:rsidRPr="00207DC2">
        <w:rPr>
          <w:lang w:val="en-AU"/>
        </w:rPr>
        <w:t>was p</w:t>
      </w:r>
      <w:r w:rsidR="00DF3DBE" w:rsidRPr="00207DC2">
        <w:rPr>
          <w:lang w:val="en-AU"/>
        </w:rPr>
        <w:t>articipating in the CDP</w:t>
      </w:r>
      <w:r w:rsidR="00F009B3" w:rsidRPr="00207DC2">
        <w:rPr>
          <w:lang w:val="en-AU"/>
        </w:rPr>
        <w:t>.</w:t>
      </w:r>
      <w:r w:rsidR="007C2F3A" w:rsidRPr="00207DC2">
        <w:rPr>
          <w:lang w:val="en-AU"/>
        </w:rPr>
        <w:t xml:space="preserve"> </w:t>
      </w:r>
    </w:p>
    <w:p w14:paraId="442634E8" w14:textId="77777777" w:rsidR="00DA2710" w:rsidRPr="00207DC2" w:rsidRDefault="00DC1BB0" w:rsidP="00CE16F6">
      <w:pPr>
        <w:jc w:val="both"/>
        <w:rPr>
          <w:lang w:val="en-AU"/>
        </w:rPr>
      </w:pPr>
      <w:r w:rsidRPr="00207DC2">
        <w:rPr>
          <w:lang w:val="en-AU"/>
        </w:rPr>
        <w:t>The measures of remoteness are based on Markham’s (2016) 1x1km remoteness classification across Australia. Each 1x1km area is assigned a remoteness value between 0 (not remote) and 15 (most remote).</w:t>
      </w:r>
      <w:r w:rsidR="00DA2710" w:rsidRPr="00207DC2">
        <w:rPr>
          <w:lang w:val="en-AU"/>
        </w:rPr>
        <w:t>The home addresses of participants were mapped to the remoteness grid of A</w:t>
      </w:r>
      <w:r w:rsidR="00CC150A" w:rsidRPr="00207DC2">
        <w:rPr>
          <w:lang w:val="en-AU"/>
        </w:rPr>
        <w:t xml:space="preserve">ustralia </w:t>
      </w:r>
      <w:r w:rsidRPr="00207DC2">
        <w:rPr>
          <w:lang w:val="en-AU"/>
        </w:rPr>
        <w:t>with the local value</w:t>
      </w:r>
      <w:r w:rsidR="00CC150A" w:rsidRPr="00207DC2">
        <w:rPr>
          <w:lang w:val="en-AU"/>
        </w:rPr>
        <w:t xml:space="preserve"> </w:t>
      </w:r>
      <w:r w:rsidR="00DA2710" w:rsidRPr="00207DC2">
        <w:rPr>
          <w:lang w:val="en-AU"/>
        </w:rPr>
        <w:t>assigned to each participant. These values were then used in the attendance and penalty models as a continuous variable for each participant.</w:t>
      </w:r>
    </w:p>
    <w:p w14:paraId="08C86E58" w14:textId="77777777" w:rsidR="0025705E" w:rsidRPr="00207DC2" w:rsidRDefault="0025705E" w:rsidP="00FB626D">
      <w:pPr>
        <w:pStyle w:val="Table"/>
        <w:outlineLvl w:val="9"/>
      </w:pPr>
      <w:r w:rsidRPr="00207DC2">
        <w:t xml:space="preserve">Table </w:t>
      </w:r>
      <w:r w:rsidR="00404559" w:rsidRPr="00207DC2">
        <w:t>B</w:t>
      </w:r>
      <w:r w:rsidRPr="00207DC2">
        <w:t xml:space="preserve">.1 </w:t>
      </w:r>
      <w:r w:rsidR="00EA2092" w:rsidRPr="00207DC2">
        <w:t>D</w:t>
      </w:r>
      <w:r w:rsidRPr="00207DC2">
        <w:t>ependent and independent variables used in the models</w:t>
      </w:r>
    </w:p>
    <w:tbl>
      <w:tblPr>
        <w:tblW w:w="9127" w:type="dxa"/>
        <w:jc w:val="center"/>
        <w:tblBorders>
          <w:top w:val="dashSmallGap" w:sz="4" w:space="0" w:color="auto"/>
          <w:bottom w:val="dashSmallGap" w:sz="4" w:space="0" w:color="auto"/>
          <w:insideH w:val="dashSmallGap" w:sz="4" w:space="0" w:color="auto"/>
        </w:tblBorders>
        <w:tblCellMar>
          <w:left w:w="0" w:type="dxa"/>
          <w:right w:w="0" w:type="dxa"/>
        </w:tblCellMar>
        <w:tblLook w:val="04A0" w:firstRow="1" w:lastRow="0" w:firstColumn="1" w:lastColumn="0" w:noHBand="0" w:noVBand="1"/>
        <w:tblCaption w:val="Dependent and independent variables used in the models"/>
        <w:tblDescription w:val="The table lists all the variables that are used in the regression models of attendance and penalties (in column 1), and provides a description of each variable (in column 2)."/>
      </w:tblPr>
      <w:tblGrid>
        <w:gridCol w:w="2891"/>
        <w:gridCol w:w="6236"/>
      </w:tblGrid>
      <w:tr w:rsidR="006E2083" w:rsidRPr="00207DC2" w14:paraId="749A48AC" w14:textId="77777777" w:rsidTr="00F31ED4">
        <w:trPr>
          <w:cantSplit/>
          <w:trHeight w:val="454"/>
          <w:tblHeader/>
          <w:jc w:val="center"/>
        </w:trPr>
        <w:tc>
          <w:tcPr>
            <w:tcW w:w="2891" w:type="dxa"/>
            <w:tcBorders>
              <w:top w:val="single" w:sz="8" w:space="0" w:color="auto"/>
              <w:bottom w:val="single" w:sz="8" w:space="0" w:color="auto"/>
            </w:tcBorders>
            <w:tcMar>
              <w:top w:w="0" w:type="dxa"/>
              <w:left w:w="108" w:type="dxa"/>
              <w:bottom w:w="0" w:type="dxa"/>
              <w:right w:w="108" w:type="dxa"/>
            </w:tcMar>
            <w:vAlign w:val="center"/>
            <w:hideMark/>
          </w:tcPr>
          <w:p w14:paraId="0C3DD314" w14:textId="77777777" w:rsidR="006E2083" w:rsidRPr="00207DC2" w:rsidRDefault="006E2083" w:rsidP="00FB626D">
            <w:pPr>
              <w:pStyle w:val="TableText"/>
              <w:keepNext/>
              <w:rPr>
                <w:b/>
                <w:lang w:val="en-AU"/>
              </w:rPr>
            </w:pPr>
            <w:r w:rsidRPr="00207DC2">
              <w:rPr>
                <w:b/>
                <w:lang w:val="en-AU"/>
              </w:rPr>
              <w:t>Variable</w:t>
            </w:r>
          </w:p>
        </w:tc>
        <w:tc>
          <w:tcPr>
            <w:tcW w:w="6236" w:type="dxa"/>
            <w:tcBorders>
              <w:top w:val="single" w:sz="8" w:space="0" w:color="auto"/>
              <w:bottom w:val="single" w:sz="8" w:space="0" w:color="auto"/>
            </w:tcBorders>
            <w:vAlign w:val="center"/>
          </w:tcPr>
          <w:p w14:paraId="3AD76714" w14:textId="77777777" w:rsidR="006E2083" w:rsidRPr="00207DC2" w:rsidRDefault="00120B76" w:rsidP="00FB626D">
            <w:pPr>
              <w:pStyle w:val="TableText"/>
              <w:keepNext/>
              <w:rPr>
                <w:b/>
                <w:lang w:val="en-AU"/>
              </w:rPr>
            </w:pPr>
            <w:r w:rsidRPr="00207DC2">
              <w:rPr>
                <w:b/>
                <w:lang w:val="en-AU"/>
              </w:rPr>
              <w:t>Description</w:t>
            </w:r>
          </w:p>
        </w:tc>
      </w:tr>
      <w:tr w:rsidR="006E2083" w:rsidRPr="00207DC2" w14:paraId="51D8A45E" w14:textId="77777777" w:rsidTr="00F31ED4">
        <w:trPr>
          <w:cantSplit/>
          <w:trHeight w:val="300"/>
          <w:jc w:val="center"/>
        </w:trPr>
        <w:tc>
          <w:tcPr>
            <w:tcW w:w="2891" w:type="dxa"/>
            <w:tcBorders>
              <w:top w:val="single" w:sz="8" w:space="0" w:color="auto"/>
            </w:tcBorders>
            <w:noWrap/>
            <w:tcMar>
              <w:top w:w="0" w:type="dxa"/>
              <w:left w:w="108" w:type="dxa"/>
              <w:bottom w:w="0" w:type="dxa"/>
              <w:right w:w="108" w:type="dxa"/>
            </w:tcMar>
            <w:vAlign w:val="center"/>
          </w:tcPr>
          <w:p w14:paraId="5DE2E997" w14:textId="77777777" w:rsidR="006E2083" w:rsidRPr="00207DC2" w:rsidRDefault="006E2083" w:rsidP="00FB626D">
            <w:pPr>
              <w:pStyle w:val="TableText"/>
              <w:keepNext/>
              <w:rPr>
                <w:color w:val="000000"/>
                <w:lang w:val="en-AU"/>
              </w:rPr>
            </w:pPr>
            <w:r w:rsidRPr="00207DC2">
              <w:rPr>
                <w:lang w:val="en-AU"/>
              </w:rPr>
              <w:t xml:space="preserve">Indigenous status </w:t>
            </w:r>
          </w:p>
        </w:tc>
        <w:tc>
          <w:tcPr>
            <w:tcW w:w="6236" w:type="dxa"/>
            <w:tcBorders>
              <w:top w:val="single" w:sz="8" w:space="0" w:color="auto"/>
            </w:tcBorders>
            <w:vAlign w:val="center"/>
          </w:tcPr>
          <w:p w14:paraId="6528307A" w14:textId="0ADB14CE" w:rsidR="006E2083" w:rsidRPr="00207DC2" w:rsidRDefault="00120B76" w:rsidP="00B24E7D">
            <w:pPr>
              <w:pStyle w:val="TableText"/>
              <w:keepNext/>
              <w:jc w:val="both"/>
              <w:rPr>
                <w:lang w:val="en-AU"/>
              </w:rPr>
            </w:pPr>
            <w:r w:rsidRPr="00207DC2">
              <w:rPr>
                <w:lang w:val="en-AU"/>
              </w:rPr>
              <w:t>W</w:t>
            </w:r>
            <w:r w:rsidR="008C3DF8" w:rsidRPr="00207DC2">
              <w:rPr>
                <w:lang w:val="en-AU"/>
              </w:rPr>
              <w:t xml:space="preserve">hether </w:t>
            </w:r>
            <w:r w:rsidR="001B040D" w:rsidRPr="00207DC2">
              <w:rPr>
                <w:lang w:val="en-AU"/>
              </w:rPr>
              <w:t xml:space="preserve">participant </w:t>
            </w:r>
            <w:r w:rsidR="008C3DF8" w:rsidRPr="00207DC2">
              <w:rPr>
                <w:lang w:val="en-AU"/>
              </w:rPr>
              <w:t>identifie</w:t>
            </w:r>
            <w:r w:rsidR="006E1848" w:rsidRPr="00207DC2">
              <w:rPr>
                <w:lang w:val="en-AU"/>
              </w:rPr>
              <w:t>d</w:t>
            </w:r>
            <w:r w:rsidR="008C3DF8" w:rsidRPr="00207DC2">
              <w:rPr>
                <w:lang w:val="en-AU"/>
              </w:rPr>
              <w:t xml:space="preserve"> as Indigenous</w:t>
            </w:r>
            <w:r w:rsidR="006E1848" w:rsidRPr="00207DC2">
              <w:rPr>
                <w:lang w:val="en-AU"/>
              </w:rPr>
              <w:t xml:space="preserve"> as at 1</w:t>
            </w:r>
            <w:r w:rsidR="004B1105" w:rsidRPr="00207DC2">
              <w:rPr>
                <w:lang w:val="en-AU"/>
              </w:rPr>
              <w:t> </w:t>
            </w:r>
            <w:r w:rsidR="006E1848" w:rsidRPr="00207DC2">
              <w:rPr>
                <w:lang w:val="en-AU"/>
              </w:rPr>
              <w:t>Jan</w:t>
            </w:r>
            <w:r w:rsidR="00880780" w:rsidRPr="00207DC2">
              <w:rPr>
                <w:lang w:val="en-AU"/>
              </w:rPr>
              <w:t>uary</w:t>
            </w:r>
            <w:r w:rsidR="004B1105" w:rsidRPr="00207DC2">
              <w:rPr>
                <w:lang w:val="en-AU"/>
              </w:rPr>
              <w:t> </w:t>
            </w:r>
            <w:r w:rsidR="006E1848" w:rsidRPr="00207DC2">
              <w:rPr>
                <w:lang w:val="en-AU"/>
              </w:rPr>
              <w:t>2016</w:t>
            </w:r>
            <w:r w:rsidR="001B040D" w:rsidRPr="00207DC2">
              <w:rPr>
                <w:lang w:val="en-AU"/>
              </w:rPr>
              <w:t>.</w:t>
            </w:r>
            <w:r w:rsidRPr="00207DC2">
              <w:rPr>
                <w:lang w:val="en-AU"/>
              </w:rPr>
              <w:t xml:space="preserve"> </w:t>
            </w:r>
            <w:r w:rsidR="001B040D" w:rsidRPr="00207DC2">
              <w:rPr>
                <w:lang w:val="en-AU"/>
              </w:rPr>
              <w:t>V</w:t>
            </w:r>
            <w:r w:rsidR="008C3DF8" w:rsidRPr="00207DC2">
              <w:rPr>
                <w:lang w:val="en-AU"/>
              </w:rPr>
              <w:t xml:space="preserve">oluntary disclosure based on </w:t>
            </w:r>
            <w:r w:rsidR="004B1105" w:rsidRPr="00207DC2">
              <w:rPr>
                <w:lang w:val="en-AU"/>
              </w:rPr>
              <w:t xml:space="preserve">JSCI </w:t>
            </w:r>
            <w:r w:rsidR="008C3DF8" w:rsidRPr="00207DC2">
              <w:rPr>
                <w:lang w:val="en-AU"/>
              </w:rPr>
              <w:t>Q16</w:t>
            </w:r>
            <w:r w:rsidR="00F94949" w:rsidRPr="00207DC2">
              <w:rPr>
                <w:lang w:val="en-AU"/>
              </w:rPr>
              <w:t>: ‘Are you Aboriginal or Torres Strait Islander?’</w:t>
            </w:r>
            <w:r w:rsidR="007234B1" w:rsidRPr="00207DC2">
              <w:rPr>
                <w:lang w:val="en-AU"/>
              </w:rPr>
              <w:t>.</w:t>
            </w:r>
          </w:p>
        </w:tc>
      </w:tr>
      <w:tr w:rsidR="006E2083" w:rsidRPr="00207DC2" w14:paraId="26D33FAD" w14:textId="77777777" w:rsidTr="00F31ED4">
        <w:trPr>
          <w:cantSplit/>
          <w:trHeight w:val="300"/>
          <w:jc w:val="center"/>
        </w:trPr>
        <w:tc>
          <w:tcPr>
            <w:tcW w:w="2891" w:type="dxa"/>
            <w:noWrap/>
            <w:tcMar>
              <w:top w:w="0" w:type="dxa"/>
              <w:left w:w="108" w:type="dxa"/>
              <w:bottom w:w="0" w:type="dxa"/>
              <w:right w:w="108" w:type="dxa"/>
            </w:tcMar>
            <w:vAlign w:val="center"/>
          </w:tcPr>
          <w:p w14:paraId="7F268123" w14:textId="77777777" w:rsidR="006E2083" w:rsidRPr="00207DC2" w:rsidRDefault="006E2083" w:rsidP="00FB626D">
            <w:pPr>
              <w:pStyle w:val="TableText"/>
              <w:keepNext/>
              <w:rPr>
                <w:color w:val="000000"/>
                <w:lang w:val="en-AU"/>
              </w:rPr>
            </w:pPr>
            <w:r w:rsidRPr="00207DC2">
              <w:rPr>
                <w:lang w:val="en-AU"/>
              </w:rPr>
              <w:t>Disability</w:t>
            </w:r>
            <w:r w:rsidR="00773FEE" w:rsidRPr="00207DC2">
              <w:rPr>
                <w:lang w:val="en-AU"/>
              </w:rPr>
              <w:t xml:space="preserve"> </w:t>
            </w:r>
          </w:p>
        </w:tc>
        <w:tc>
          <w:tcPr>
            <w:tcW w:w="6236" w:type="dxa"/>
            <w:vAlign w:val="center"/>
          </w:tcPr>
          <w:p w14:paraId="03351780" w14:textId="5C66365A" w:rsidR="006E2083" w:rsidRPr="00207DC2" w:rsidRDefault="001B040D" w:rsidP="00B24E7D">
            <w:pPr>
              <w:pStyle w:val="TableText"/>
              <w:keepNext/>
              <w:jc w:val="both"/>
              <w:rPr>
                <w:lang w:val="en-AU"/>
              </w:rPr>
            </w:pPr>
            <w:r w:rsidRPr="00207DC2">
              <w:rPr>
                <w:lang w:val="en-AU"/>
              </w:rPr>
              <w:t xml:space="preserve">Whether </w:t>
            </w:r>
            <w:r w:rsidR="007234B1" w:rsidRPr="00207DC2">
              <w:rPr>
                <w:lang w:val="en-AU"/>
              </w:rPr>
              <w:t>participant</w:t>
            </w:r>
            <w:r w:rsidRPr="00207DC2">
              <w:rPr>
                <w:lang w:val="en-AU"/>
              </w:rPr>
              <w:t xml:space="preserve"> </w:t>
            </w:r>
            <w:r w:rsidR="006E1848" w:rsidRPr="00207DC2">
              <w:rPr>
                <w:lang w:val="en-AU"/>
              </w:rPr>
              <w:t>had</w:t>
            </w:r>
            <w:r w:rsidR="00120B76" w:rsidRPr="00207DC2">
              <w:rPr>
                <w:lang w:val="en-AU"/>
              </w:rPr>
              <w:t xml:space="preserve"> any disabilities or medical conditions </w:t>
            </w:r>
            <w:r w:rsidR="006E1848" w:rsidRPr="00207DC2">
              <w:rPr>
                <w:lang w:val="en-AU"/>
              </w:rPr>
              <w:t xml:space="preserve">at 1 </w:t>
            </w:r>
            <w:r w:rsidR="00880780" w:rsidRPr="00207DC2">
              <w:rPr>
                <w:lang w:val="en-AU"/>
              </w:rPr>
              <w:t>January</w:t>
            </w:r>
            <w:r w:rsidR="006E1848" w:rsidRPr="00207DC2">
              <w:rPr>
                <w:lang w:val="en-AU"/>
              </w:rPr>
              <w:t xml:space="preserve"> 2016</w:t>
            </w:r>
            <w:r w:rsidRPr="00207DC2">
              <w:rPr>
                <w:lang w:val="en-AU"/>
              </w:rPr>
              <w:t>,</w:t>
            </w:r>
            <w:r w:rsidR="00120B76" w:rsidRPr="00207DC2">
              <w:rPr>
                <w:lang w:val="en-AU"/>
              </w:rPr>
              <w:t xml:space="preserve"> and whether they need additional support at work as a result of their condition</w:t>
            </w:r>
            <w:r w:rsidRPr="00207DC2">
              <w:rPr>
                <w:lang w:val="en-AU"/>
              </w:rPr>
              <w:t>.</w:t>
            </w:r>
            <w:r w:rsidR="00867CF1" w:rsidRPr="00207DC2">
              <w:rPr>
                <w:lang w:val="en-AU"/>
              </w:rPr>
              <w:t xml:space="preserve"> </w:t>
            </w:r>
            <w:r w:rsidR="006E1848" w:rsidRPr="00207DC2">
              <w:rPr>
                <w:lang w:val="en-AU"/>
              </w:rPr>
              <w:t xml:space="preserve">Defined to include any disability </w:t>
            </w:r>
            <w:r w:rsidR="00346D5A" w:rsidRPr="00207DC2">
              <w:rPr>
                <w:lang w:val="en-AU"/>
              </w:rPr>
              <w:t xml:space="preserve">that </w:t>
            </w:r>
            <w:r w:rsidRPr="00207DC2">
              <w:rPr>
                <w:lang w:val="en-AU"/>
              </w:rPr>
              <w:t>affect</w:t>
            </w:r>
            <w:r w:rsidR="006E1848" w:rsidRPr="00207DC2">
              <w:rPr>
                <w:lang w:val="en-AU"/>
              </w:rPr>
              <w:t>s</w:t>
            </w:r>
            <w:r w:rsidRPr="00207DC2">
              <w:rPr>
                <w:lang w:val="en-AU"/>
              </w:rPr>
              <w:t xml:space="preserve"> the number of hours they are able to work.</w:t>
            </w:r>
            <w:r w:rsidR="00867CF1" w:rsidRPr="00207DC2">
              <w:rPr>
                <w:lang w:val="en-AU"/>
              </w:rPr>
              <w:t xml:space="preserve"> </w:t>
            </w:r>
            <w:r w:rsidR="00A768AF" w:rsidRPr="00207DC2">
              <w:rPr>
                <w:lang w:val="en-AU"/>
              </w:rPr>
              <w:t>Based on participant’s last job capacity assessment if one exists</w:t>
            </w:r>
            <w:r w:rsidR="00F94949" w:rsidRPr="00207DC2">
              <w:rPr>
                <w:lang w:val="en-AU"/>
              </w:rPr>
              <w:t>;</w:t>
            </w:r>
            <w:r w:rsidR="00A768AF" w:rsidRPr="00207DC2">
              <w:rPr>
                <w:lang w:val="en-AU"/>
              </w:rPr>
              <w:t xml:space="preserve"> otherwise</w:t>
            </w:r>
            <w:r w:rsidR="00867CF1" w:rsidRPr="00207DC2">
              <w:rPr>
                <w:lang w:val="en-AU"/>
              </w:rPr>
              <w:t xml:space="preserve"> </w:t>
            </w:r>
            <w:r w:rsidR="00120B76" w:rsidRPr="00207DC2">
              <w:rPr>
                <w:lang w:val="en-AU"/>
              </w:rPr>
              <w:t xml:space="preserve">on </w:t>
            </w:r>
            <w:r w:rsidRPr="00207DC2">
              <w:rPr>
                <w:lang w:val="en-AU"/>
              </w:rPr>
              <w:t xml:space="preserve">participant responses to </w:t>
            </w:r>
            <w:r w:rsidR="00120B76" w:rsidRPr="00207DC2">
              <w:rPr>
                <w:lang w:val="en-AU"/>
              </w:rPr>
              <w:t>Q21 and Q24 from th</w:t>
            </w:r>
            <w:r w:rsidR="004072F2" w:rsidRPr="00207DC2">
              <w:rPr>
                <w:lang w:val="en-AU"/>
              </w:rPr>
              <w:t>eir latest</w:t>
            </w:r>
            <w:r w:rsidR="006F48D0" w:rsidRPr="00207DC2">
              <w:rPr>
                <w:lang w:val="en-AU"/>
              </w:rPr>
              <w:t xml:space="preserve"> JSCI</w:t>
            </w:r>
            <w:r w:rsidR="004072F2" w:rsidRPr="00207DC2">
              <w:rPr>
                <w:lang w:val="en-AU"/>
              </w:rPr>
              <w:t xml:space="preserve"> assessment</w:t>
            </w:r>
            <w:r w:rsidR="00F94949" w:rsidRPr="00207DC2">
              <w:rPr>
                <w:lang w:val="en-AU"/>
              </w:rPr>
              <w:t>: ‘Do you have any disabilities or medical conditions that affect the hours that you are able to work?’ and ‘Do you think you need additional support to help you at work as a result of your conditions(s)?’</w:t>
            </w:r>
            <w:r w:rsidR="007234B1" w:rsidRPr="00207DC2">
              <w:rPr>
                <w:lang w:val="en-AU"/>
              </w:rPr>
              <w:t>.</w:t>
            </w:r>
          </w:p>
        </w:tc>
      </w:tr>
      <w:tr w:rsidR="006E2083" w:rsidRPr="00207DC2" w14:paraId="142C7C15" w14:textId="77777777" w:rsidTr="00F31ED4">
        <w:trPr>
          <w:cantSplit/>
          <w:trHeight w:val="300"/>
          <w:jc w:val="center"/>
        </w:trPr>
        <w:tc>
          <w:tcPr>
            <w:tcW w:w="2891" w:type="dxa"/>
            <w:noWrap/>
            <w:tcMar>
              <w:top w:w="0" w:type="dxa"/>
              <w:left w:w="108" w:type="dxa"/>
              <w:bottom w:w="0" w:type="dxa"/>
              <w:right w:w="108" w:type="dxa"/>
            </w:tcMar>
            <w:vAlign w:val="center"/>
          </w:tcPr>
          <w:p w14:paraId="113E8FD8" w14:textId="77777777" w:rsidR="006E2083" w:rsidRPr="00207DC2" w:rsidRDefault="006E2083" w:rsidP="00FB626D">
            <w:pPr>
              <w:pStyle w:val="TableText"/>
              <w:rPr>
                <w:color w:val="000000"/>
                <w:lang w:val="en-AU"/>
              </w:rPr>
            </w:pPr>
            <w:r w:rsidRPr="00207DC2">
              <w:rPr>
                <w:lang w:val="en-AU"/>
              </w:rPr>
              <w:t>English skills</w:t>
            </w:r>
            <w:r w:rsidR="00773FEE" w:rsidRPr="00207DC2">
              <w:rPr>
                <w:lang w:val="en-AU"/>
              </w:rPr>
              <w:t xml:space="preserve"> </w:t>
            </w:r>
          </w:p>
        </w:tc>
        <w:tc>
          <w:tcPr>
            <w:tcW w:w="6236" w:type="dxa"/>
            <w:vAlign w:val="center"/>
          </w:tcPr>
          <w:p w14:paraId="2820FA3B" w14:textId="0C8BF918" w:rsidR="006E2083" w:rsidRPr="00207DC2" w:rsidRDefault="00120B76" w:rsidP="00B24E7D">
            <w:pPr>
              <w:pStyle w:val="TableText"/>
              <w:jc w:val="both"/>
              <w:rPr>
                <w:lang w:val="en-AU"/>
              </w:rPr>
            </w:pPr>
            <w:r w:rsidRPr="00207DC2">
              <w:rPr>
                <w:lang w:val="en-AU"/>
              </w:rPr>
              <w:t>Self-reported English proficienc</w:t>
            </w:r>
            <w:r w:rsidR="00C37F2F" w:rsidRPr="00207DC2">
              <w:rPr>
                <w:lang w:val="en-AU"/>
              </w:rPr>
              <w:t>y</w:t>
            </w:r>
            <w:r w:rsidR="006E1848" w:rsidRPr="00207DC2">
              <w:rPr>
                <w:lang w:val="en-AU"/>
              </w:rPr>
              <w:t>. B</w:t>
            </w:r>
            <w:r w:rsidRPr="00207DC2">
              <w:rPr>
                <w:lang w:val="en-AU"/>
              </w:rPr>
              <w:t xml:space="preserve">ased on participants responses to </w:t>
            </w:r>
            <w:r w:rsidR="004B1105" w:rsidRPr="00207DC2">
              <w:rPr>
                <w:lang w:val="en-AU"/>
              </w:rPr>
              <w:t xml:space="preserve">JSCI </w:t>
            </w:r>
            <w:r w:rsidR="007949DB" w:rsidRPr="00207DC2">
              <w:rPr>
                <w:lang w:val="en-AU"/>
              </w:rPr>
              <w:t>Q12 to Q14</w:t>
            </w:r>
            <w:r w:rsidR="007234B1" w:rsidRPr="00207DC2">
              <w:rPr>
                <w:lang w:val="en-AU"/>
              </w:rPr>
              <w:t>: ‘</w:t>
            </w:r>
            <w:r w:rsidR="001B040D" w:rsidRPr="00207DC2">
              <w:rPr>
                <w:lang w:val="en-AU"/>
              </w:rPr>
              <w:t>Do you c</w:t>
            </w:r>
            <w:r w:rsidR="00867CF1" w:rsidRPr="00207DC2">
              <w:rPr>
                <w:lang w:val="en-AU"/>
              </w:rPr>
              <w:t>onsider you speak</w:t>
            </w:r>
            <w:r w:rsidR="001B040D" w:rsidRPr="00207DC2">
              <w:rPr>
                <w:lang w:val="en-AU"/>
              </w:rPr>
              <w:t>, read</w:t>
            </w:r>
            <w:r w:rsidRPr="00207DC2">
              <w:rPr>
                <w:lang w:val="en-AU"/>
              </w:rPr>
              <w:t xml:space="preserve"> and </w:t>
            </w:r>
            <w:r w:rsidR="001B040D" w:rsidRPr="00207DC2">
              <w:rPr>
                <w:lang w:val="en-AU"/>
              </w:rPr>
              <w:t>write</w:t>
            </w:r>
            <w:r w:rsidRPr="00207DC2">
              <w:rPr>
                <w:lang w:val="en-AU"/>
              </w:rPr>
              <w:t xml:space="preserve"> English </w:t>
            </w:r>
            <w:r w:rsidR="001B040D" w:rsidRPr="00207DC2">
              <w:rPr>
                <w:lang w:val="en-AU"/>
              </w:rPr>
              <w:t>well</w:t>
            </w:r>
            <w:r w:rsidR="007234B1" w:rsidRPr="00207DC2">
              <w:rPr>
                <w:lang w:val="en-AU"/>
              </w:rPr>
              <w:t>?’</w:t>
            </w:r>
            <w:r w:rsidR="004072F2" w:rsidRPr="00207DC2">
              <w:rPr>
                <w:lang w:val="en-AU"/>
              </w:rPr>
              <w:t xml:space="preserve"> (</w:t>
            </w:r>
            <w:r w:rsidR="007234B1" w:rsidRPr="00207DC2">
              <w:rPr>
                <w:lang w:val="en-AU"/>
              </w:rPr>
              <w:t>based on</w:t>
            </w:r>
            <w:r w:rsidR="004072F2" w:rsidRPr="00207DC2">
              <w:rPr>
                <w:lang w:val="en-AU"/>
              </w:rPr>
              <w:t xml:space="preserve"> latest </w:t>
            </w:r>
            <w:r w:rsidR="00C37F2F" w:rsidRPr="00207DC2">
              <w:rPr>
                <w:lang w:val="en-AU"/>
              </w:rPr>
              <w:t xml:space="preserve">JSCI </w:t>
            </w:r>
            <w:r w:rsidR="004072F2" w:rsidRPr="00207DC2">
              <w:rPr>
                <w:lang w:val="en-AU"/>
              </w:rPr>
              <w:t>assessment at 1</w:t>
            </w:r>
            <w:r w:rsidR="007234B1" w:rsidRPr="00207DC2">
              <w:rPr>
                <w:lang w:val="en-AU"/>
              </w:rPr>
              <w:t xml:space="preserve"> January 2016</w:t>
            </w:r>
            <w:r w:rsidR="004072F2" w:rsidRPr="00207DC2">
              <w:rPr>
                <w:lang w:val="en-AU"/>
              </w:rPr>
              <w:t>)</w:t>
            </w:r>
            <w:r w:rsidR="007234B1" w:rsidRPr="00207DC2">
              <w:rPr>
                <w:lang w:val="en-AU"/>
              </w:rPr>
              <w:t>.</w:t>
            </w:r>
          </w:p>
        </w:tc>
      </w:tr>
      <w:tr w:rsidR="006E2083" w:rsidRPr="00207DC2" w14:paraId="3FAE6881" w14:textId="77777777" w:rsidTr="00F31ED4">
        <w:trPr>
          <w:cantSplit/>
          <w:trHeight w:val="300"/>
          <w:jc w:val="center"/>
        </w:trPr>
        <w:tc>
          <w:tcPr>
            <w:tcW w:w="2891" w:type="dxa"/>
            <w:noWrap/>
            <w:tcMar>
              <w:top w:w="0" w:type="dxa"/>
              <w:left w:w="108" w:type="dxa"/>
              <w:bottom w:w="0" w:type="dxa"/>
              <w:right w:w="108" w:type="dxa"/>
            </w:tcMar>
            <w:vAlign w:val="center"/>
          </w:tcPr>
          <w:p w14:paraId="09A0F285" w14:textId="77777777" w:rsidR="006E2083" w:rsidRPr="00207DC2" w:rsidRDefault="006E2083" w:rsidP="00FB626D">
            <w:pPr>
              <w:pStyle w:val="TableText"/>
              <w:rPr>
                <w:color w:val="000000"/>
                <w:lang w:val="en-AU"/>
              </w:rPr>
            </w:pPr>
            <w:r w:rsidRPr="00207DC2">
              <w:rPr>
                <w:lang w:val="en-AU"/>
              </w:rPr>
              <w:t>Education level</w:t>
            </w:r>
            <w:r w:rsidR="00773FEE" w:rsidRPr="00207DC2">
              <w:rPr>
                <w:lang w:val="en-AU"/>
              </w:rPr>
              <w:t xml:space="preserve"> </w:t>
            </w:r>
          </w:p>
        </w:tc>
        <w:tc>
          <w:tcPr>
            <w:tcW w:w="6236" w:type="dxa"/>
            <w:vAlign w:val="center"/>
          </w:tcPr>
          <w:p w14:paraId="7E849754" w14:textId="7B050531" w:rsidR="006E2083" w:rsidRPr="00207DC2" w:rsidRDefault="001B040D" w:rsidP="00B24E7D">
            <w:pPr>
              <w:pStyle w:val="TableText"/>
              <w:jc w:val="both"/>
              <w:rPr>
                <w:lang w:val="en-AU"/>
              </w:rPr>
            </w:pPr>
            <w:r w:rsidRPr="00207DC2">
              <w:rPr>
                <w:lang w:val="en-AU"/>
              </w:rPr>
              <w:t xml:space="preserve">Participant level of education. </w:t>
            </w:r>
            <w:r w:rsidR="009359B7" w:rsidRPr="00207DC2">
              <w:rPr>
                <w:lang w:val="en-AU"/>
              </w:rPr>
              <w:t xml:space="preserve">Based on participant’s responses to </w:t>
            </w:r>
            <w:r w:rsidR="004B1105" w:rsidRPr="00207DC2">
              <w:rPr>
                <w:lang w:val="en-AU"/>
              </w:rPr>
              <w:t xml:space="preserve">JSCI </w:t>
            </w:r>
            <w:r w:rsidR="009359B7" w:rsidRPr="00207DC2">
              <w:rPr>
                <w:lang w:val="en-AU"/>
              </w:rPr>
              <w:t>Q4 to Q6</w:t>
            </w:r>
            <w:r w:rsidR="00880780" w:rsidRPr="00207DC2">
              <w:rPr>
                <w:lang w:val="en-AU"/>
              </w:rPr>
              <w:t>: ‘</w:t>
            </w:r>
            <w:r w:rsidRPr="00207DC2">
              <w:rPr>
                <w:lang w:val="en-AU"/>
              </w:rPr>
              <w:t>What is the highest level of schooling you have completed?</w:t>
            </w:r>
            <w:r w:rsidR="00880780" w:rsidRPr="00207DC2">
              <w:rPr>
                <w:lang w:val="en-AU"/>
              </w:rPr>
              <w:t>’,</w:t>
            </w:r>
            <w:r w:rsidRPr="00207DC2">
              <w:rPr>
                <w:lang w:val="en-AU"/>
              </w:rPr>
              <w:t xml:space="preserve"> </w:t>
            </w:r>
            <w:r w:rsidR="00880780" w:rsidRPr="00207DC2">
              <w:rPr>
                <w:lang w:val="en-AU"/>
              </w:rPr>
              <w:t>‘</w:t>
            </w:r>
            <w:r w:rsidR="00867CF1" w:rsidRPr="00207DC2">
              <w:rPr>
                <w:lang w:val="en-AU"/>
              </w:rPr>
              <w:t>Hav</w:t>
            </w:r>
            <w:r w:rsidRPr="00207DC2">
              <w:rPr>
                <w:lang w:val="en-AU"/>
              </w:rPr>
              <w:t>e you completed any other qualifications?</w:t>
            </w:r>
            <w:r w:rsidR="00880780" w:rsidRPr="00207DC2">
              <w:rPr>
                <w:lang w:val="en-AU"/>
              </w:rPr>
              <w:t>’ and</w:t>
            </w:r>
            <w:r w:rsidRPr="00207DC2">
              <w:rPr>
                <w:lang w:val="en-AU"/>
              </w:rPr>
              <w:t xml:space="preserve"> </w:t>
            </w:r>
            <w:r w:rsidR="00880780" w:rsidRPr="00207DC2">
              <w:rPr>
                <w:lang w:val="en-AU"/>
              </w:rPr>
              <w:t>‘</w:t>
            </w:r>
            <w:r w:rsidRPr="00207DC2">
              <w:rPr>
                <w:lang w:val="en-AU"/>
              </w:rPr>
              <w:t>What are they?’</w:t>
            </w:r>
            <w:r w:rsidR="00C37F2F" w:rsidRPr="00207DC2">
              <w:rPr>
                <w:lang w:val="en-AU"/>
              </w:rPr>
              <w:t xml:space="preserve"> </w:t>
            </w:r>
            <w:r w:rsidR="004072F2" w:rsidRPr="00207DC2">
              <w:rPr>
                <w:lang w:val="en-AU"/>
              </w:rPr>
              <w:t>(</w:t>
            </w:r>
            <w:r w:rsidR="00C37F2F" w:rsidRPr="00207DC2">
              <w:rPr>
                <w:lang w:val="en-AU"/>
              </w:rPr>
              <w:t xml:space="preserve">based on </w:t>
            </w:r>
            <w:r w:rsidR="004072F2" w:rsidRPr="00207DC2">
              <w:rPr>
                <w:lang w:val="en-AU"/>
              </w:rPr>
              <w:t xml:space="preserve">latest </w:t>
            </w:r>
            <w:r w:rsidR="00C37F2F" w:rsidRPr="00207DC2">
              <w:rPr>
                <w:lang w:val="en-AU"/>
              </w:rPr>
              <w:t xml:space="preserve">JSCI assessment </w:t>
            </w:r>
            <w:r w:rsidR="004072F2" w:rsidRPr="00207DC2">
              <w:rPr>
                <w:lang w:val="en-AU"/>
              </w:rPr>
              <w:t xml:space="preserve">at 1 </w:t>
            </w:r>
            <w:r w:rsidR="00880780" w:rsidRPr="00207DC2">
              <w:rPr>
                <w:lang w:val="en-AU"/>
              </w:rPr>
              <w:t>January</w:t>
            </w:r>
            <w:r w:rsidR="004072F2" w:rsidRPr="00207DC2">
              <w:rPr>
                <w:lang w:val="en-AU"/>
              </w:rPr>
              <w:t xml:space="preserve"> 2016)</w:t>
            </w:r>
            <w:r w:rsidR="007234B1" w:rsidRPr="00207DC2">
              <w:rPr>
                <w:lang w:val="en-AU"/>
              </w:rPr>
              <w:t>.</w:t>
            </w:r>
          </w:p>
        </w:tc>
      </w:tr>
      <w:tr w:rsidR="006E2083" w:rsidRPr="00207DC2" w14:paraId="226AAB41" w14:textId="77777777" w:rsidTr="00F31ED4">
        <w:trPr>
          <w:cantSplit/>
          <w:trHeight w:val="300"/>
          <w:jc w:val="center"/>
        </w:trPr>
        <w:tc>
          <w:tcPr>
            <w:tcW w:w="2891" w:type="dxa"/>
            <w:noWrap/>
            <w:tcMar>
              <w:top w:w="0" w:type="dxa"/>
              <w:left w:w="108" w:type="dxa"/>
              <w:bottom w:w="0" w:type="dxa"/>
              <w:right w:w="108" w:type="dxa"/>
            </w:tcMar>
            <w:vAlign w:val="center"/>
          </w:tcPr>
          <w:p w14:paraId="20EBE16D" w14:textId="77777777" w:rsidR="006E2083" w:rsidRPr="00207DC2" w:rsidRDefault="006E2083" w:rsidP="00FB626D">
            <w:pPr>
              <w:pStyle w:val="TableText"/>
              <w:rPr>
                <w:color w:val="000000"/>
                <w:lang w:val="en-AU"/>
              </w:rPr>
            </w:pPr>
            <w:r w:rsidRPr="00207DC2">
              <w:rPr>
                <w:lang w:val="en-AU"/>
              </w:rPr>
              <w:t>Criminal history</w:t>
            </w:r>
            <w:r w:rsidR="00773FEE" w:rsidRPr="00207DC2">
              <w:rPr>
                <w:lang w:val="en-AU"/>
              </w:rPr>
              <w:t xml:space="preserve"> </w:t>
            </w:r>
          </w:p>
        </w:tc>
        <w:tc>
          <w:tcPr>
            <w:tcW w:w="6236" w:type="dxa"/>
            <w:vAlign w:val="center"/>
          </w:tcPr>
          <w:p w14:paraId="1433CDCB" w14:textId="6D5BD8BD" w:rsidR="006E2083" w:rsidRPr="00207DC2" w:rsidRDefault="001B040D" w:rsidP="00B24E7D">
            <w:pPr>
              <w:pStyle w:val="TableText"/>
              <w:jc w:val="both"/>
              <w:rPr>
                <w:lang w:val="en-AU"/>
              </w:rPr>
            </w:pPr>
            <w:r w:rsidRPr="00207DC2">
              <w:rPr>
                <w:lang w:val="en-AU"/>
              </w:rPr>
              <w:t>Whether participant h</w:t>
            </w:r>
            <w:r w:rsidR="009359B7" w:rsidRPr="00207DC2">
              <w:rPr>
                <w:lang w:val="en-AU"/>
              </w:rPr>
              <w:t>a</w:t>
            </w:r>
            <w:r w:rsidR="006E1848" w:rsidRPr="00207DC2">
              <w:rPr>
                <w:lang w:val="en-AU"/>
              </w:rPr>
              <w:t>d</w:t>
            </w:r>
            <w:r w:rsidR="009359B7" w:rsidRPr="00207DC2">
              <w:rPr>
                <w:lang w:val="en-AU"/>
              </w:rPr>
              <w:t xml:space="preserve"> been </w:t>
            </w:r>
            <w:r w:rsidR="006E1848" w:rsidRPr="00207DC2">
              <w:rPr>
                <w:lang w:val="en-AU"/>
              </w:rPr>
              <w:t xml:space="preserve">previously </w:t>
            </w:r>
            <w:r w:rsidR="009359B7" w:rsidRPr="00207DC2">
              <w:rPr>
                <w:lang w:val="en-AU"/>
              </w:rPr>
              <w:t>sentenced or convicted</w:t>
            </w:r>
            <w:r w:rsidR="006E1848" w:rsidRPr="00207DC2">
              <w:rPr>
                <w:lang w:val="en-AU"/>
              </w:rPr>
              <w:t xml:space="preserve"> as at </w:t>
            </w:r>
            <w:r w:rsidR="004072F2" w:rsidRPr="00207DC2">
              <w:rPr>
                <w:lang w:val="en-AU"/>
              </w:rPr>
              <w:t xml:space="preserve">1 </w:t>
            </w:r>
            <w:r w:rsidR="00880780" w:rsidRPr="00207DC2">
              <w:rPr>
                <w:lang w:val="en-AU"/>
              </w:rPr>
              <w:t>January</w:t>
            </w:r>
            <w:r w:rsidR="004072F2" w:rsidRPr="00207DC2">
              <w:rPr>
                <w:lang w:val="en-AU"/>
              </w:rPr>
              <w:t xml:space="preserve"> </w:t>
            </w:r>
            <w:r w:rsidR="006E1848" w:rsidRPr="00207DC2">
              <w:rPr>
                <w:lang w:val="en-AU"/>
              </w:rPr>
              <w:t>2016</w:t>
            </w:r>
            <w:r w:rsidRPr="00207DC2">
              <w:rPr>
                <w:lang w:val="en-AU"/>
              </w:rPr>
              <w:t>.</w:t>
            </w:r>
            <w:r w:rsidR="009359B7" w:rsidRPr="00207DC2">
              <w:rPr>
                <w:lang w:val="en-AU"/>
              </w:rPr>
              <w:t xml:space="preserve"> </w:t>
            </w:r>
            <w:r w:rsidR="00120B76" w:rsidRPr="00207DC2">
              <w:rPr>
                <w:lang w:val="en-AU"/>
              </w:rPr>
              <w:t xml:space="preserve">Voluntary disclosure based on </w:t>
            </w:r>
            <w:r w:rsidR="004B1105" w:rsidRPr="00207DC2">
              <w:rPr>
                <w:lang w:val="en-AU"/>
              </w:rPr>
              <w:t xml:space="preserve">JSCI </w:t>
            </w:r>
            <w:r w:rsidR="00120B76" w:rsidRPr="00207DC2">
              <w:rPr>
                <w:lang w:val="en-AU"/>
              </w:rPr>
              <w:t xml:space="preserve">Q37 </w:t>
            </w:r>
            <w:r w:rsidR="006E1848" w:rsidRPr="00207DC2">
              <w:rPr>
                <w:lang w:val="en-AU"/>
              </w:rPr>
              <w:t>to</w:t>
            </w:r>
            <w:r w:rsidR="00120B76" w:rsidRPr="00207DC2">
              <w:rPr>
                <w:lang w:val="en-AU"/>
              </w:rPr>
              <w:t xml:space="preserve"> Q45</w:t>
            </w:r>
            <w:r w:rsidRPr="00207DC2">
              <w:rPr>
                <w:lang w:val="en-AU"/>
              </w:rPr>
              <w:t xml:space="preserve">: ‘Have you spent time in custody in the last </w:t>
            </w:r>
            <w:r w:rsidR="00E7278B" w:rsidRPr="00207DC2">
              <w:rPr>
                <w:lang w:val="en-AU"/>
              </w:rPr>
              <w:t>two</w:t>
            </w:r>
            <w:r w:rsidRPr="00207DC2">
              <w:rPr>
                <w:lang w:val="en-AU"/>
              </w:rPr>
              <w:t xml:space="preserve"> years as a result of a criminal conviction?’, ‘Have you been convicted of a criminal offence in the last five years but received a non-custodial sentence?’, ‘Have you sp</w:t>
            </w:r>
            <w:r w:rsidR="00867CF1" w:rsidRPr="00207DC2">
              <w:rPr>
                <w:lang w:val="en-AU"/>
              </w:rPr>
              <w:t>ent</w:t>
            </w:r>
            <w:r w:rsidRPr="00207DC2">
              <w:rPr>
                <w:lang w:val="en-AU"/>
              </w:rPr>
              <w:t xml:space="preserve"> time in custody since tuning 21 as a result of a criminal conviction?’, ‘Have you spent time in custody in the last seven years as a result of a criminal conviction?’ and ‘Have you been convicted of a criminal offence in the last ten years but received a non-custodial sentence?’</w:t>
            </w:r>
            <w:r w:rsidR="007234B1" w:rsidRPr="00207DC2">
              <w:rPr>
                <w:lang w:val="en-AU"/>
              </w:rPr>
              <w:t>.</w:t>
            </w:r>
          </w:p>
        </w:tc>
      </w:tr>
      <w:tr w:rsidR="006E2083" w:rsidRPr="00207DC2" w14:paraId="31E1504B" w14:textId="77777777" w:rsidTr="00F31ED4">
        <w:trPr>
          <w:cantSplit/>
          <w:trHeight w:val="300"/>
          <w:jc w:val="center"/>
        </w:trPr>
        <w:tc>
          <w:tcPr>
            <w:tcW w:w="2891" w:type="dxa"/>
            <w:noWrap/>
            <w:tcMar>
              <w:top w:w="0" w:type="dxa"/>
              <w:left w:w="108" w:type="dxa"/>
              <w:bottom w:w="0" w:type="dxa"/>
              <w:right w:w="108" w:type="dxa"/>
            </w:tcMar>
            <w:vAlign w:val="center"/>
          </w:tcPr>
          <w:p w14:paraId="7138B387" w14:textId="77777777" w:rsidR="006E2083" w:rsidRPr="00207DC2" w:rsidRDefault="006E2083" w:rsidP="00FB626D">
            <w:pPr>
              <w:pStyle w:val="TableText"/>
              <w:rPr>
                <w:color w:val="000000"/>
                <w:lang w:val="en-AU"/>
              </w:rPr>
            </w:pPr>
            <w:r w:rsidRPr="00207DC2">
              <w:rPr>
                <w:lang w:val="en-AU"/>
              </w:rPr>
              <w:t xml:space="preserve">Indigenous status of </w:t>
            </w:r>
            <w:r w:rsidR="00580EF4" w:rsidRPr="00207DC2">
              <w:rPr>
                <w:lang w:val="en-AU"/>
              </w:rPr>
              <w:t>provider</w:t>
            </w:r>
            <w:r w:rsidR="00773FEE" w:rsidRPr="00207DC2">
              <w:rPr>
                <w:lang w:val="en-AU"/>
              </w:rPr>
              <w:t xml:space="preserve"> </w:t>
            </w:r>
          </w:p>
        </w:tc>
        <w:tc>
          <w:tcPr>
            <w:tcW w:w="6236" w:type="dxa"/>
            <w:vAlign w:val="center"/>
          </w:tcPr>
          <w:p w14:paraId="274C36DC" w14:textId="77777777" w:rsidR="006E2083" w:rsidRPr="00207DC2" w:rsidRDefault="009359B7" w:rsidP="00B24E7D">
            <w:pPr>
              <w:pStyle w:val="TableText"/>
              <w:jc w:val="both"/>
              <w:rPr>
                <w:lang w:val="en-AU"/>
              </w:rPr>
            </w:pPr>
            <w:r w:rsidRPr="00207DC2">
              <w:rPr>
                <w:lang w:val="en-AU"/>
              </w:rPr>
              <w:t xml:space="preserve">Indigenous status of CDP provider </w:t>
            </w:r>
            <w:r w:rsidR="006E1848" w:rsidRPr="00207DC2">
              <w:rPr>
                <w:lang w:val="en-AU"/>
              </w:rPr>
              <w:t xml:space="preserve">that participant was serviced by </w:t>
            </w:r>
            <w:r w:rsidRPr="00207DC2">
              <w:rPr>
                <w:lang w:val="en-AU"/>
              </w:rPr>
              <w:t xml:space="preserve">as at 1 </w:t>
            </w:r>
            <w:r w:rsidR="00880780" w:rsidRPr="00207DC2">
              <w:rPr>
                <w:lang w:val="en-AU"/>
              </w:rPr>
              <w:t>January</w:t>
            </w:r>
            <w:r w:rsidRPr="00207DC2">
              <w:rPr>
                <w:lang w:val="en-AU"/>
              </w:rPr>
              <w:t xml:space="preserve"> 2016</w:t>
            </w:r>
            <w:r w:rsidR="007234B1" w:rsidRPr="00207DC2">
              <w:rPr>
                <w:lang w:val="en-AU"/>
              </w:rPr>
              <w:t>.</w:t>
            </w:r>
          </w:p>
        </w:tc>
      </w:tr>
      <w:tr w:rsidR="006E2083" w:rsidRPr="00207DC2" w14:paraId="476A2D3F" w14:textId="77777777" w:rsidTr="00F31ED4">
        <w:trPr>
          <w:cantSplit/>
          <w:trHeight w:val="300"/>
          <w:jc w:val="center"/>
        </w:trPr>
        <w:tc>
          <w:tcPr>
            <w:tcW w:w="2891" w:type="dxa"/>
            <w:noWrap/>
            <w:tcMar>
              <w:top w:w="0" w:type="dxa"/>
              <w:left w:w="108" w:type="dxa"/>
              <w:bottom w:w="0" w:type="dxa"/>
              <w:right w:w="108" w:type="dxa"/>
            </w:tcMar>
            <w:vAlign w:val="center"/>
          </w:tcPr>
          <w:p w14:paraId="2BD213D5" w14:textId="77777777" w:rsidR="006E2083" w:rsidRPr="00207DC2" w:rsidRDefault="006E2083" w:rsidP="00FB626D">
            <w:pPr>
              <w:pStyle w:val="TableText"/>
              <w:rPr>
                <w:color w:val="000000"/>
                <w:lang w:val="en-AU"/>
              </w:rPr>
            </w:pPr>
            <w:r w:rsidRPr="00207DC2">
              <w:rPr>
                <w:lang w:val="en-AU"/>
              </w:rPr>
              <w:t>Gender</w:t>
            </w:r>
            <w:r w:rsidR="00773FEE" w:rsidRPr="00207DC2">
              <w:rPr>
                <w:lang w:val="en-AU"/>
              </w:rPr>
              <w:t xml:space="preserve"> </w:t>
            </w:r>
          </w:p>
        </w:tc>
        <w:tc>
          <w:tcPr>
            <w:tcW w:w="6236" w:type="dxa"/>
            <w:vAlign w:val="center"/>
          </w:tcPr>
          <w:p w14:paraId="354F89E7" w14:textId="77777777" w:rsidR="006E2083" w:rsidRPr="00207DC2" w:rsidRDefault="009359B7" w:rsidP="00B24E7D">
            <w:pPr>
              <w:pStyle w:val="TableText"/>
              <w:jc w:val="both"/>
              <w:rPr>
                <w:lang w:val="en-AU"/>
              </w:rPr>
            </w:pPr>
            <w:r w:rsidRPr="00207DC2">
              <w:rPr>
                <w:lang w:val="en-AU"/>
              </w:rPr>
              <w:t>Based on administrative data provided by the participant to DHS</w:t>
            </w:r>
            <w:r w:rsidR="006E1848" w:rsidRPr="00207DC2">
              <w:rPr>
                <w:lang w:val="en-AU"/>
              </w:rPr>
              <w:t xml:space="preserve"> as at 1 </w:t>
            </w:r>
            <w:r w:rsidR="00880780" w:rsidRPr="00207DC2">
              <w:rPr>
                <w:lang w:val="en-AU"/>
              </w:rPr>
              <w:t>January</w:t>
            </w:r>
            <w:r w:rsidR="006E1848" w:rsidRPr="00207DC2">
              <w:rPr>
                <w:lang w:val="en-AU"/>
              </w:rPr>
              <w:t xml:space="preserve"> 2016</w:t>
            </w:r>
            <w:r w:rsidR="007234B1" w:rsidRPr="00207DC2">
              <w:rPr>
                <w:lang w:val="en-AU"/>
              </w:rPr>
              <w:t>.</w:t>
            </w:r>
          </w:p>
        </w:tc>
      </w:tr>
      <w:tr w:rsidR="009359B7" w:rsidRPr="00207DC2" w14:paraId="3BE9216B" w14:textId="77777777" w:rsidTr="00F31ED4">
        <w:trPr>
          <w:cantSplit/>
          <w:trHeight w:val="300"/>
          <w:jc w:val="center"/>
        </w:trPr>
        <w:tc>
          <w:tcPr>
            <w:tcW w:w="2891" w:type="dxa"/>
            <w:shd w:val="clear" w:color="auto" w:fill="auto"/>
            <w:noWrap/>
            <w:tcMar>
              <w:top w:w="0" w:type="dxa"/>
              <w:left w:w="108" w:type="dxa"/>
              <w:bottom w:w="0" w:type="dxa"/>
              <w:right w:w="108" w:type="dxa"/>
            </w:tcMar>
            <w:vAlign w:val="center"/>
          </w:tcPr>
          <w:p w14:paraId="4F56AAEB" w14:textId="77777777" w:rsidR="009359B7" w:rsidRPr="00207DC2" w:rsidRDefault="009359B7" w:rsidP="00FB626D">
            <w:pPr>
              <w:pStyle w:val="TableText"/>
              <w:rPr>
                <w:color w:val="000000"/>
                <w:lang w:val="en-AU"/>
              </w:rPr>
            </w:pPr>
            <w:r w:rsidRPr="00207DC2">
              <w:rPr>
                <w:lang w:val="en-AU"/>
              </w:rPr>
              <w:t xml:space="preserve">Age (group) </w:t>
            </w:r>
          </w:p>
        </w:tc>
        <w:tc>
          <w:tcPr>
            <w:tcW w:w="6236" w:type="dxa"/>
          </w:tcPr>
          <w:p w14:paraId="4AE7DBD4" w14:textId="77777777" w:rsidR="009359B7" w:rsidRPr="00207DC2" w:rsidRDefault="009359B7" w:rsidP="00B24E7D">
            <w:pPr>
              <w:pStyle w:val="TableText"/>
              <w:jc w:val="both"/>
              <w:rPr>
                <w:lang w:val="en-AU"/>
              </w:rPr>
            </w:pPr>
            <w:r w:rsidRPr="00207DC2">
              <w:rPr>
                <w:lang w:val="en-AU"/>
              </w:rPr>
              <w:t xml:space="preserve">Based on administrative data provided by the participant to </w:t>
            </w:r>
            <w:r w:rsidR="006E1848" w:rsidRPr="00207DC2">
              <w:rPr>
                <w:lang w:val="en-AU"/>
              </w:rPr>
              <w:t>DH</w:t>
            </w:r>
            <w:r w:rsidR="004072F2" w:rsidRPr="00207DC2">
              <w:rPr>
                <w:lang w:val="en-AU"/>
              </w:rPr>
              <w:t>S</w:t>
            </w:r>
            <w:r w:rsidR="003E440F" w:rsidRPr="00207DC2">
              <w:rPr>
                <w:lang w:val="en-AU"/>
              </w:rPr>
              <w:t xml:space="preserve"> as at 1 </w:t>
            </w:r>
            <w:r w:rsidR="00880780" w:rsidRPr="00207DC2">
              <w:rPr>
                <w:lang w:val="en-AU"/>
              </w:rPr>
              <w:t>January</w:t>
            </w:r>
            <w:r w:rsidR="003E440F" w:rsidRPr="00207DC2">
              <w:rPr>
                <w:lang w:val="en-AU"/>
              </w:rPr>
              <w:t xml:space="preserve"> 2016</w:t>
            </w:r>
            <w:r w:rsidR="007234B1" w:rsidRPr="00207DC2">
              <w:rPr>
                <w:lang w:val="en-AU"/>
              </w:rPr>
              <w:t>.</w:t>
            </w:r>
          </w:p>
        </w:tc>
      </w:tr>
      <w:tr w:rsidR="009359B7" w:rsidRPr="00207DC2" w14:paraId="1993374C" w14:textId="77777777" w:rsidTr="00F31ED4">
        <w:trPr>
          <w:cantSplit/>
          <w:trHeight w:val="300"/>
          <w:jc w:val="center"/>
        </w:trPr>
        <w:tc>
          <w:tcPr>
            <w:tcW w:w="2891" w:type="dxa"/>
            <w:noWrap/>
            <w:tcMar>
              <w:top w:w="0" w:type="dxa"/>
              <w:left w:w="108" w:type="dxa"/>
              <w:bottom w:w="0" w:type="dxa"/>
              <w:right w:w="108" w:type="dxa"/>
            </w:tcMar>
            <w:vAlign w:val="center"/>
          </w:tcPr>
          <w:p w14:paraId="79B3D1B2" w14:textId="77777777" w:rsidR="009359B7" w:rsidRPr="00207DC2" w:rsidRDefault="009359B7" w:rsidP="00FB626D">
            <w:pPr>
              <w:pStyle w:val="TableText"/>
              <w:rPr>
                <w:lang w:val="en-AU"/>
              </w:rPr>
            </w:pPr>
            <w:r w:rsidRPr="00207DC2">
              <w:rPr>
                <w:lang w:val="en-AU"/>
              </w:rPr>
              <w:t>Duration of unemployment (group)</w:t>
            </w:r>
          </w:p>
        </w:tc>
        <w:tc>
          <w:tcPr>
            <w:tcW w:w="6236" w:type="dxa"/>
          </w:tcPr>
          <w:p w14:paraId="028092FA" w14:textId="77777777" w:rsidR="009359B7" w:rsidRPr="00207DC2" w:rsidRDefault="00B141B6" w:rsidP="00B24E7D">
            <w:pPr>
              <w:pStyle w:val="TableText"/>
              <w:jc w:val="both"/>
              <w:rPr>
                <w:lang w:val="en-AU"/>
              </w:rPr>
            </w:pPr>
            <w:r w:rsidRPr="00207DC2">
              <w:rPr>
                <w:lang w:val="en-AU"/>
              </w:rPr>
              <w:t xml:space="preserve">Length of time that </w:t>
            </w:r>
            <w:r w:rsidR="007234B1" w:rsidRPr="00207DC2">
              <w:rPr>
                <w:lang w:val="en-AU"/>
              </w:rPr>
              <w:t>the participant</w:t>
            </w:r>
            <w:r w:rsidRPr="00207DC2">
              <w:rPr>
                <w:lang w:val="en-AU"/>
              </w:rPr>
              <w:t xml:space="preserve"> has been registered for employment services</w:t>
            </w:r>
            <w:r w:rsidR="006E1848" w:rsidRPr="00207DC2">
              <w:rPr>
                <w:lang w:val="en-AU"/>
              </w:rPr>
              <w:t xml:space="preserve"> </w:t>
            </w:r>
            <w:r w:rsidR="003E440F" w:rsidRPr="00207DC2">
              <w:rPr>
                <w:lang w:val="en-AU"/>
              </w:rPr>
              <w:t xml:space="preserve">as at 1 </w:t>
            </w:r>
            <w:r w:rsidR="00880780" w:rsidRPr="00207DC2">
              <w:rPr>
                <w:lang w:val="en-AU"/>
              </w:rPr>
              <w:t>January</w:t>
            </w:r>
            <w:r w:rsidR="003E440F" w:rsidRPr="00207DC2">
              <w:rPr>
                <w:lang w:val="en-AU"/>
              </w:rPr>
              <w:t xml:space="preserve"> 2016</w:t>
            </w:r>
            <w:r w:rsidR="007234B1" w:rsidRPr="00207DC2">
              <w:rPr>
                <w:lang w:val="en-AU"/>
              </w:rPr>
              <w:t>.</w:t>
            </w:r>
          </w:p>
        </w:tc>
      </w:tr>
      <w:tr w:rsidR="009359B7" w:rsidRPr="00207DC2" w14:paraId="08EBA17F" w14:textId="77777777" w:rsidTr="00F31ED4">
        <w:trPr>
          <w:cantSplit/>
          <w:trHeight w:val="300"/>
          <w:jc w:val="center"/>
        </w:trPr>
        <w:tc>
          <w:tcPr>
            <w:tcW w:w="2891" w:type="dxa"/>
            <w:noWrap/>
            <w:tcMar>
              <w:top w:w="0" w:type="dxa"/>
              <w:left w:w="108" w:type="dxa"/>
              <w:bottom w:w="0" w:type="dxa"/>
              <w:right w:w="108" w:type="dxa"/>
            </w:tcMar>
            <w:vAlign w:val="center"/>
          </w:tcPr>
          <w:p w14:paraId="3FBD141C" w14:textId="77777777" w:rsidR="009359B7" w:rsidRPr="00207DC2" w:rsidRDefault="009359B7" w:rsidP="00FB626D">
            <w:pPr>
              <w:pStyle w:val="TableText"/>
              <w:rPr>
                <w:color w:val="000000"/>
                <w:lang w:val="en-AU"/>
              </w:rPr>
            </w:pPr>
            <w:r w:rsidRPr="00207DC2">
              <w:rPr>
                <w:lang w:val="en-AU"/>
              </w:rPr>
              <w:t xml:space="preserve">Proportion of commenced days that </w:t>
            </w:r>
            <w:r w:rsidR="007234B1" w:rsidRPr="00207DC2">
              <w:rPr>
                <w:lang w:val="en-AU"/>
              </w:rPr>
              <w:t>participant</w:t>
            </w:r>
            <w:r w:rsidRPr="00207DC2">
              <w:rPr>
                <w:lang w:val="en-AU"/>
              </w:rPr>
              <w:t xml:space="preserve"> had no transport </w:t>
            </w:r>
          </w:p>
        </w:tc>
        <w:tc>
          <w:tcPr>
            <w:tcW w:w="6236" w:type="dxa"/>
            <w:shd w:val="clear" w:color="auto" w:fill="auto"/>
          </w:tcPr>
          <w:p w14:paraId="53B95B2D" w14:textId="45DF06FA" w:rsidR="009359B7" w:rsidRPr="00207DC2" w:rsidRDefault="006E1848" w:rsidP="00B24E7D">
            <w:pPr>
              <w:pStyle w:val="TableText"/>
              <w:jc w:val="both"/>
              <w:rPr>
                <w:lang w:val="en-AU"/>
              </w:rPr>
            </w:pPr>
            <w:r w:rsidRPr="00207DC2">
              <w:rPr>
                <w:lang w:val="en-AU"/>
              </w:rPr>
              <w:t xml:space="preserve">Estimate of the proportion of participant’s total commenced days on the CDP </w:t>
            </w:r>
            <w:r w:rsidR="005B1BD7" w:rsidRPr="00207DC2">
              <w:rPr>
                <w:lang w:val="en-AU"/>
              </w:rPr>
              <w:t>in 2016</w:t>
            </w:r>
            <w:r w:rsidRPr="00207DC2">
              <w:rPr>
                <w:lang w:val="en-AU"/>
              </w:rPr>
              <w:t xml:space="preserve"> that th</w:t>
            </w:r>
            <w:r w:rsidR="006F48D0" w:rsidRPr="00207DC2">
              <w:rPr>
                <w:lang w:val="en-AU"/>
              </w:rPr>
              <w:t xml:space="preserve">ey had no access to transport. </w:t>
            </w:r>
            <w:r w:rsidR="009359B7" w:rsidRPr="00207DC2">
              <w:rPr>
                <w:lang w:val="en-AU"/>
              </w:rPr>
              <w:t>Derived from</w:t>
            </w:r>
            <w:r w:rsidR="004B1105" w:rsidRPr="00207DC2">
              <w:rPr>
                <w:lang w:val="en-AU"/>
              </w:rPr>
              <w:t xml:space="preserve"> JSCI</w:t>
            </w:r>
            <w:r w:rsidR="009359B7" w:rsidRPr="00207DC2">
              <w:rPr>
                <w:lang w:val="en-AU"/>
              </w:rPr>
              <w:t xml:space="preserve"> Q35 and </w:t>
            </w:r>
            <w:r w:rsidR="005B1BD7" w:rsidRPr="00207DC2">
              <w:rPr>
                <w:lang w:val="en-AU"/>
              </w:rPr>
              <w:t>Q</w:t>
            </w:r>
            <w:r w:rsidR="009359B7" w:rsidRPr="00207DC2">
              <w:rPr>
                <w:lang w:val="en-AU"/>
              </w:rPr>
              <w:t>36</w:t>
            </w:r>
            <w:r w:rsidR="004072F2" w:rsidRPr="00207DC2">
              <w:rPr>
                <w:lang w:val="en-AU"/>
              </w:rPr>
              <w:t xml:space="preserve"> (from all assessments current in 2016)</w:t>
            </w:r>
            <w:r w:rsidR="006E4975" w:rsidRPr="00207DC2">
              <w:rPr>
                <w:lang w:val="en-AU"/>
              </w:rPr>
              <w:t>: ‘Do you have your own car or motorcycle that you can use to travel to and from work?’ and ‘What can you use to travel to and from work?’</w:t>
            </w:r>
            <w:r w:rsidR="007234B1" w:rsidRPr="00207DC2">
              <w:rPr>
                <w:lang w:val="en-AU"/>
              </w:rPr>
              <w:t>.</w:t>
            </w:r>
          </w:p>
        </w:tc>
      </w:tr>
      <w:tr w:rsidR="009359B7" w:rsidRPr="00207DC2" w14:paraId="2F4D3021" w14:textId="77777777" w:rsidTr="00F31ED4">
        <w:trPr>
          <w:cantSplit/>
          <w:trHeight w:val="300"/>
          <w:jc w:val="center"/>
        </w:trPr>
        <w:tc>
          <w:tcPr>
            <w:tcW w:w="2891" w:type="dxa"/>
            <w:noWrap/>
            <w:tcMar>
              <w:top w:w="0" w:type="dxa"/>
              <w:left w:w="108" w:type="dxa"/>
              <w:bottom w:w="0" w:type="dxa"/>
              <w:right w:w="108" w:type="dxa"/>
            </w:tcMar>
            <w:vAlign w:val="center"/>
          </w:tcPr>
          <w:p w14:paraId="529F37F0" w14:textId="77777777" w:rsidR="009359B7" w:rsidRPr="00207DC2" w:rsidRDefault="009359B7" w:rsidP="00FB626D">
            <w:pPr>
              <w:pStyle w:val="TableText"/>
              <w:rPr>
                <w:lang w:val="en-AU"/>
              </w:rPr>
            </w:pPr>
            <w:r w:rsidRPr="00207DC2">
              <w:rPr>
                <w:lang w:val="en-AU"/>
              </w:rPr>
              <w:t xml:space="preserve">Proportion of commenced days that </w:t>
            </w:r>
            <w:r w:rsidR="007234B1" w:rsidRPr="00207DC2">
              <w:rPr>
                <w:lang w:val="en-AU"/>
              </w:rPr>
              <w:t>participant</w:t>
            </w:r>
            <w:r w:rsidRPr="00207DC2">
              <w:rPr>
                <w:lang w:val="en-AU"/>
              </w:rPr>
              <w:t xml:space="preserve"> had public or other private </w:t>
            </w:r>
            <w:r w:rsidR="007234B1" w:rsidRPr="00207DC2">
              <w:rPr>
                <w:lang w:val="en-AU"/>
              </w:rPr>
              <w:t>transport</w:t>
            </w:r>
          </w:p>
        </w:tc>
        <w:tc>
          <w:tcPr>
            <w:tcW w:w="6236" w:type="dxa"/>
            <w:shd w:val="clear" w:color="auto" w:fill="auto"/>
          </w:tcPr>
          <w:p w14:paraId="4131D1DF" w14:textId="1FEA2261" w:rsidR="009359B7" w:rsidRPr="00207DC2" w:rsidRDefault="006E1848" w:rsidP="00B24E7D">
            <w:pPr>
              <w:pStyle w:val="TableText"/>
              <w:jc w:val="both"/>
              <w:rPr>
                <w:lang w:val="en-AU"/>
              </w:rPr>
            </w:pPr>
            <w:r w:rsidRPr="00207DC2">
              <w:rPr>
                <w:lang w:val="en-AU"/>
              </w:rPr>
              <w:t xml:space="preserve">Estimate of the proportion of participant’s total commenced days </w:t>
            </w:r>
            <w:r w:rsidR="00526118" w:rsidRPr="00207DC2">
              <w:rPr>
                <w:lang w:val="en-AU"/>
              </w:rPr>
              <w:t>i</w:t>
            </w:r>
            <w:r w:rsidRPr="00207DC2">
              <w:rPr>
                <w:lang w:val="en-AU"/>
              </w:rPr>
              <w:t xml:space="preserve">n the CDP </w:t>
            </w:r>
            <w:r w:rsidR="005B1BD7" w:rsidRPr="00207DC2">
              <w:rPr>
                <w:lang w:val="en-AU"/>
              </w:rPr>
              <w:t>in 2016</w:t>
            </w:r>
            <w:r w:rsidRPr="00207DC2">
              <w:rPr>
                <w:lang w:val="en-AU"/>
              </w:rPr>
              <w:t xml:space="preserve"> that the participant only had access to public or other private transport. </w:t>
            </w:r>
            <w:r w:rsidR="009359B7" w:rsidRPr="00207DC2">
              <w:rPr>
                <w:lang w:val="en-AU"/>
              </w:rPr>
              <w:t xml:space="preserve">Derived from </w:t>
            </w:r>
            <w:r w:rsidR="004B1105" w:rsidRPr="00207DC2">
              <w:rPr>
                <w:lang w:val="en-AU"/>
              </w:rPr>
              <w:t xml:space="preserve">JSCI </w:t>
            </w:r>
            <w:r w:rsidR="009359B7" w:rsidRPr="00207DC2">
              <w:rPr>
                <w:lang w:val="en-AU"/>
              </w:rPr>
              <w:t xml:space="preserve">Q35 and </w:t>
            </w:r>
            <w:r w:rsidR="005B1BD7" w:rsidRPr="00207DC2">
              <w:rPr>
                <w:lang w:val="en-AU"/>
              </w:rPr>
              <w:t>Q</w:t>
            </w:r>
            <w:r w:rsidR="009359B7" w:rsidRPr="00207DC2">
              <w:rPr>
                <w:lang w:val="en-AU"/>
              </w:rPr>
              <w:t>36</w:t>
            </w:r>
            <w:r w:rsidR="004072F2" w:rsidRPr="00207DC2">
              <w:rPr>
                <w:lang w:val="en-AU"/>
              </w:rPr>
              <w:t xml:space="preserve"> (from all assessments current in 2016)</w:t>
            </w:r>
            <w:r w:rsidR="00623BE2" w:rsidRPr="00207DC2">
              <w:rPr>
                <w:lang w:val="en-AU"/>
              </w:rPr>
              <w:t>: ‘Do you have your own car or motorcycle that you can use to travel to and from work?’ and ‘What can you use to travel to and from work?’</w:t>
            </w:r>
            <w:r w:rsidR="007234B1" w:rsidRPr="00207DC2">
              <w:rPr>
                <w:lang w:val="en-AU"/>
              </w:rPr>
              <w:t>.</w:t>
            </w:r>
          </w:p>
        </w:tc>
      </w:tr>
      <w:tr w:rsidR="009359B7" w:rsidRPr="00207DC2" w14:paraId="14745033" w14:textId="77777777" w:rsidTr="00F31ED4">
        <w:trPr>
          <w:cantSplit/>
          <w:trHeight w:val="300"/>
          <w:jc w:val="center"/>
        </w:trPr>
        <w:tc>
          <w:tcPr>
            <w:tcW w:w="2891" w:type="dxa"/>
            <w:noWrap/>
            <w:tcMar>
              <w:top w:w="0" w:type="dxa"/>
              <w:left w:w="108" w:type="dxa"/>
              <w:bottom w:w="0" w:type="dxa"/>
              <w:right w:w="108" w:type="dxa"/>
            </w:tcMar>
            <w:vAlign w:val="center"/>
          </w:tcPr>
          <w:p w14:paraId="3F3C2CD8" w14:textId="77777777" w:rsidR="009359B7" w:rsidRPr="00207DC2" w:rsidRDefault="009359B7" w:rsidP="00FB626D">
            <w:pPr>
              <w:pStyle w:val="TableText"/>
              <w:rPr>
                <w:lang w:val="en-AU"/>
              </w:rPr>
            </w:pPr>
            <w:r w:rsidRPr="00207DC2">
              <w:rPr>
                <w:lang w:val="en-AU"/>
              </w:rPr>
              <w:t xml:space="preserve">Proportion of commenced days </w:t>
            </w:r>
            <w:r w:rsidR="007234B1" w:rsidRPr="00207DC2">
              <w:rPr>
                <w:lang w:val="en-AU"/>
              </w:rPr>
              <w:t>participant</w:t>
            </w:r>
            <w:r w:rsidRPr="00207DC2">
              <w:rPr>
                <w:lang w:val="en-AU"/>
              </w:rPr>
              <w:t xml:space="preserve"> was a parent </w:t>
            </w:r>
          </w:p>
        </w:tc>
        <w:tc>
          <w:tcPr>
            <w:tcW w:w="6236" w:type="dxa"/>
            <w:shd w:val="clear" w:color="auto" w:fill="auto"/>
          </w:tcPr>
          <w:p w14:paraId="02911F8F" w14:textId="5EDF4366" w:rsidR="009359B7" w:rsidRPr="00207DC2" w:rsidRDefault="006E1848" w:rsidP="00B24E7D">
            <w:pPr>
              <w:pStyle w:val="TableText"/>
              <w:jc w:val="both"/>
              <w:rPr>
                <w:lang w:val="en-AU"/>
              </w:rPr>
            </w:pPr>
            <w:r w:rsidRPr="00207DC2">
              <w:rPr>
                <w:lang w:val="en-AU"/>
              </w:rPr>
              <w:t xml:space="preserve">Estimate of the proportion of participant’s total commenced days </w:t>
            </w:r>
            <w:r w:rsidR="00526118" w:rsidRPr="00207DC2">
              <w:rPr>
                <w:lang w:val="en-AU"/>
              </w:rPr>
              <w:t>i</w:t>
            </w:r>
            <w:r w:rsidRPr="00207DC2">
              <w:rPr>
                <w:lang w:val="en-AU"/>
              </w:rPr>
              <w:t xml:space="preserve">n the CDP </w:t>
            </w:r>
            <w:r w:rsidR="005B1BD7" w:rsidRPr="00207DC2">
              <w:rPr>
                <w:lang w:val="en-AU"/>
              </w:rPr>
              <w:t>in 2016,</w:t>
            </w:r>
            <w:r w:rsidRPr="00207DC2">
              <w:rPr>
                <w:lang w:val="en-AU"/>
              </w:rPr>
              <w:t xml:space="preserve"> that they were </w:t>
            </w:r>
            <w:r w:rsidR="00140C1B" w:rsidRPr="00207DC2">
              <w:rPr>
                <w:lang w:val="en-AU"/>
              </w:rPr>
              <w:t>living with one or more (of their)</w:t>
            </w:r>
            <w:r w:rsidRPr="00207DC2">
              <w:rPr>
                <w:lang w:val="en-AU"/>
              </w:rPr>
              <w:t xml:space="preserve"> child</w:t>
            </w:r>
            <w:r w:rsidR="00140C1B" w:rsidRPr="00207DC2">
              <w:rPr>
                <w:lang w:val="en-AU"/>
              </w:rPr>
              <w:t>ren</w:t>
            </w:r>
            <w:r w:rsidR="004F528D" w:rsidRPr="00207DC2">
              <w:rPr>
                <w:lang w:val="en-AU"/>
              </w:rPr>
              <w:t xml:space="preserve"> aged less than 15</w:t>
            </w:r>
            <w:r w:rsidR="004B1105" w:rsidRPr="00207DC2">
              <w:rPr>
                <w:lang w:val="en-AU"/>
              </w:rPr>
              <w:t> </w:t>
            </w:r>
            <w:r w:rsidR="004F528D" w:rsidRPr="00207DC2">
              <w:rPr>
                <w:lang w:val="en-AU"/>
              </w:rPr>
              <w:t>years</w:t>
            </w:r>
            <w:r w:rsidRPr="00207DC2">
              <w:rPr>
                <w:lang w:val="en-AU"/>
              </w:rPr>
              <w:t xml:space="preserve">. </w:t>
            </w:r>
            <w:r w:rsidR="00F530AE" w:rsidRPr="00207DC2">
              <w:rPr>
                <w:lang w:val="en-AU"/>
              </w:rPr>
              <w:t xml:space="preserve">Based on </w:t>
            </w:r>
            <w:r w:rsidR="004B1105" w:rsidRPr="00207DC2">
              <w:rPr>
                <w:lang w:val="en-AU"/>
              </w:rPr>
              <w:t xml:space="preserve">JSCI </w:t>
            </w:r>
            <w:r w:rsidR="00F530AE" w:rsidRPr="00207DC2">
              <w:rPr>
                <w:lang w:val="en-AU"/>
              </w:rPr>
              <w:t>Q31</w:t>
            </w:r>
            <w:r w:rsidR="004B1105" w:rsidRPr="00207DC2">
              <w:rPr>
                <w:lang w:val="en-AU"/>
              </w:rPr>
              <w:t xml:space="preserve">: </w:t>
            </w:r>
            <w:r w:rsidR="00F530AE" w:rsidRPr="00207DC2">
              <w:rPr>
                <w:lang w:val="en-AU"/>
              </w:rPr>
              <w:t>‘</w:t>
            </w:r>
            <w:r w:rsidR="006E4975" w:rsidRPr="00207DC2">
              <w:rPr>
                <w:lang w:val="en-AU"/>
              </w:rPr>
              <w:t>W</w:t>
            </w:r>
            <w:r w:rsidR="00F530AE" w:rsidRPr="00207DC2">
              <w:rPr>
                <w:lang w:val="en-AU"/>
              </w:rPr>
              <w:t>ho lives with you?</w:t>
            </w:r>
            <w:r w:rsidR="006E4975" w:rsidRPr="00207DC2">
              <w:rPr>
                <w:lang w:val="en-AU"/>
              </w:rPr>
              <w:t>’</w:t>
            </w:r>
            <w:r w:rsidR="007234B1" w:rsidRPr="00207DC2">
              <w:rPr>
                <w:lang w:val="en-AU"/>
              </w:rPr>
              <w:t>.</w:t>
            </w:r>
          </w:p>
        </w:tc>
      </w:tr>
      <w:tr w:rsidR="009359B7" w:rsidRPr="00207DC2" w14:paraId="15B53B48" w14:textId="77777777" w:rsidTr="00F31ED4">
        <w:trPr>
          <w:cantSplit/>
          <w:trHeight w:val="300"/>
          <w:jc w:val="center"/>
        </w:trPr>
        <w:tc>
          <w:tcPr>
            <w:tcW w:w="2891" w:type="dxa"/>
            <w:noWrap/>
            <w:tcMar>
              <w:top w:w="0" w:type="dxa"/>
              <w:left w:w="108" w:type="dxa"/>
              <w:bottom w:w="0" w:type="dxa"/>
              <w:right w:w="108" w:type="dxa"/>
            </w:tcMar>
            <w:vAlign w:val="center"/>
          </w:tcPr>
          <w:p w14:paraId="4D355E30" w14:textId="77777777" w:rsidR="009359B7" w:rsidRPr="00207DC2" w:rsidRDefault="009359B7" w:rsidP="00FB626D">
            <w:pPr>
              <w:pStyle w:val="TableText"/>
              <w:rPr>
                <w:lang w:val="en-AU"/>
              </w:rPr>
            </w:pPr>
            <w:r w:rsidRPr="00207DC2">
              <w:rPr>
                <w:lang w:val="en-AU"/>
              </w:rPr>
              <w:t xml:space="preserve">Proportion of commenced days that </w:t>
            </w:r>
            <w:r w:rsidR="00211B45" w:rsidRPr="00207DC2">
              <w:rPr>
                <w:lang w:val="en-AU"/>
              </w:rPr>
              <w:t>participant</w:t>
            </w:r>
            <w:r w:rsidRPr="00207DC2">
              <w:rPr>
                <w:lang w:val="en-AU"/>
              </w:rPr>
              <w:t xml:space="preserve"> was a primary carer for a child under 16 years</w:t>
            </w:r>
          </w:p>
        </w:tc>
        <w:tc>
          <w:tcPr>
            <w:tcW w:w="6236" w:type="dxa"/>
            <w:shd w:val="clear" w:color="auto" w:fill="auto"/>
          </w:tcPr>
          <w:p w14:paraId="136B47FC" w14:textId="6431D1E3" w:rsidR="009359B7" w:rsidRPr="00207DC2" w:rsidRDefault="00140C1B" w:rsidP="00B24E7D">
            <w:pPr>
              <w:pStyle w:val="TableText"/>
              <w:jc w:val="both"/>
              <w:rPr>
                <w:lang w:val="en-AU"/>
              </w:rPr>
            </w:pPr>
            <w:r w:rsidRPr="00207DC2">
              <w:rPr>
                <w:lang w:val="en-AU"/>
              </w:rPr>
              <w:t xml:space="preserve">Estimate of the proportion of participant’s total commenced days </w:t>
            </w:r>
            <w:r w:rsidR="00526118" w:rsidRPr="00207DC2">
              <w:rPr>
                <w:lang w:val="en-AU"/>
              </w:rPr>
              <w:t>i</w:t>
            </w:r>
            <w:r w:rsidRPr="00207DC2">
              <w:rPr>
                <w:lang w:val="en-AU"/>
              </w:rPr>
              <w:t xml:space="preserve">n the CDP </w:t>
            </w:r>
            <w:r w:rsidR="005B1BD7" w:rsidRPr="00207DC2">
              <w:rPr>
                <w:lang w:val="en-AU"/>
              </w:rPr>
              <w:t>in 2016</w:t>
            </w:r>
            <w:r w:rsidRPr="00207DC2">
              <w:rPr>
                <w:lang w:val="en-AU"/>
              </w:rPr>
              <w:t xml:space="preserve"> that the participant was a primary carer for a child under 16 years. </w:t>
            </w:r>
            <w:r w:rsidR="00F530AE" w:rsidRPr="00207DC2">
              <w:rPr>
                <w:lang w:val="en-AU"/>
              </w:rPr>
              <w:t xml:space="preserve">Based on </w:t>
            </w:r>
            <w:r w:rsidR="004B1105" w:rsidRPr="00207DC2">
              <w:rPr>
                <w:lang w:val="en-AU"/>
              </w:rPr>
              <w:t xml:space="preserve">JSCI </w:t>
            </w:r>
            <w:r w:rsidR="00F530AE" w:rsidRPr="00207DC2">
              <w:rPr>
                <w:lang w:val="en-AU"/>
              </w:rPr>
              <w:t>Q</w:t>
            </w:r>
            <w:r w:rsidR="006E4975" w:rsidRPr="00207DC2">
              <w:rPr>
                <w:lang w:val="en-AU"/>
              </w:rPr>
              <w:t>3</w:t>
            </w:r>
            <w:r w:rsidR="00F530AE" w:rsidRPr="00207DC2">
              <w:rPr>
                <w:lang w:val="en-AU"/>
              </w:rPr>
              <w:t xml:space="preserve">1 and </w:t>
            </w:r>
            <w:r w:rsidR="005B1BD7" w:rsidRPr="00207DC2">
              <w:rPr>
                <w:lang w:val="en-AU"/>
              </w:rPr>
              <w:t>Q</w:t>
            </w:r>
            <w:r w:rsidR="00F530AE" w:rsidRPr="00207DC2">
              <w:rPr>
                <w:lang w:val="en-AU"/>
              </w:rPr>
              <w:t>32</w:t>
            </w:r>
            <w:r w:rsidR="004B1105" w:rsidRPr="00207DC2">
              <w:rPr>
                <w:lang w:val="en-AU"/>
              </w:rPr>
              <w:t>:</w:t>
            </w:r>
            <w:r w:rsidR="006E4975" w:rsidRPr="00207DC2">
              <w:rPr>
                <w:lang w:val="en-AU"/>
              </w:rPr>
              <w:t xml:space="preserve"> ‘Are you the main caregiver for this child/these children?’</w:t>
            </w:r>
            <w:r w:rsidR="007234B1" w:rsidRPr="00207DC2">
              <w:rPr>
                <w:lang w:val="en-AU"/>
              </w:rPr>
              <w:t>.</w:t>
            </w:r>
          </w:p>
        </w:tc>
      </w:tr>
      <w:tr w:rsidR="00D2703A" w:rsidRPr="00207DC2" w14:paraId="686A0377" w14:textId="77777777" w:rsidTr="00F31ED4">
        <w:trPr>
          <w:cantSplit/>
          <w:trHeight w:val="300"/>
          <w:jc w:val="center"/>
        </w:trPr>
        <w:tc>
          <w:tcPr>
            <w:tcW w:w="2891" w:type="dxa"/>
            <w:noWrap/>
            <w:tcMar>
              <w:top w:w="0" w:type="dxa"/>
              <w:left w:w="108" w:type="dxa"/>
              <w:bottom w:w="0" w:type="dxa"/>
              <w:right w:w="108" w:type="dxa"/>
            </w:tcMar>
            <w:vAlign w:val="center"/>
          </w:tcPr>
          <w:p w14:paraId="64AFFD7D" w14:textId="77777777" w:rsidR="00D2703A" w:rsidRPr="00207DC2" w:rsidRDefault="008C3DF8" w:rsidP="00FB626D">
            <w:pPr>
              <w:pStyle w:val="TableText"/>
              <w:rPr>
                <w:lang w:val="en-AU"/>
              </w:rPr>
            </w:pPr>
            <w:r w:rsidRPr="00207DC2">
              <w:rPr>
                <w:lang w:val="en-AU"/>
              </w:rPr>
              <w:t xml:space="preserve">Proportion of </w:t>
            </w:r>
            <w:r w:rsidR="00211B45" w:rsidRPr="00207DC2">
              <w:rPr>
                <w:lang w:val="en-AU"/>
              </w:rPr>
              <w:t>commenced days</w:t>
            </w:r>
            <w:r w:rsidRPr="00207DC2">
              <w:rPr>
                <w:lang w:val="en-AU"/>
              </w:rPr>
              <w:t xml:space="preserve"> </w:t>
            </w:r>
            <w:r w:rsidR="00A768AF" w:rsidRPr="00207DC2">
              <w:rPr>
                <w:lang w:val="en-AU"/>
              </w:rPr>
              <w:t xml:space="preserve">that the </w:t>
            </w:r>
            <w:r w:rsidR="00211B45" w:rsidRPr="00207DC2">
              <w:rPr>
                <w:lang w:val="en-AU"/>
              </w:rPr>
              <w:t>participant</w:t>
            </w:r>
            <w:r w:rsidR="00A768AF" w:rsidRPr="00207DC2">
              <w:rPr>
                <w:lang w:val="en-AU"/>
              </w:rPr>
              <w:t xml:space="preserve"> was </w:t>
            </w:r>
            <w:r w:rsidRPr="00207DC2">
              <w:rPr>
                <w:lang w:val="en-AU"/>
              </w:rPr>
              <w:t>h</w:t>
            </w:r>
            <w:r w:rsidR="00211B45" w:rsidRPr="00207DC2">
              <w:rPr>
                <w:lang w:val="en-AU"/>
              </w:rPr>
              <w:t>omeless</w:t>
            </w:r>
          </w:p>
        </w:tc>
        <w:tc>
          <w:tcPr>
            <w:tcW w:w="6236" w:type="dxa"/>
            <w:shd w:val="clear" w:color="auto" w:fill="auto"/>
          </w:tcPr>
          <w:p w14:paraId="4E9C976D" w14:textId="1E831877" w:rsidR="00D2703A" w:rsidRPr="00207DC2" w:rsidRDefault="00140C1B" w:rsidP="00B24E7D">
            <w:pPr>
              <w:pStyle w:val="TableText"/>
              <w:jc w:val="both"/>
              <w:rPr>
                <w:lang w:val="en-AU"/>
              </w:rPr>
            </w:pPr>
            <w:r w:rsidRPr="00207DC2">
              <w:rPr>
                <w:lang w:val="en-AU"/>
              </w:rPr>
              <w:t xml:space="preserve">Estimate of the proportion of participant’s total commenced days </w:t>
            </w:r>
            <w:r w:rsidR="00526118" w:rsidRPr="00207DC2">
              <w:rPr>
                <w:lang w:val="en-AU"/>
              </w:rPr>
              <w:t>i</w:t>
            </w:r>
            <w:r w:rsidRPr="00207DC2">
              <w:rPr>
                <w:lang w:val="en-AU"/>
              </w:rPr>
              <w:t xml:space="preserve">n the CDP </w:t>
            </w:r>
            <w:r w:rsidR="005B1BD7" w:rsidRPr="00207DC2">
              <w:rPr>
                <w:lang w:val="en-AU"/>
              </w:rPr>
              <w:t>in 2016,</w:t>
            </w:r>
            <w:r w:rsidRPr="00207DC2">
              <w:rPr>
                <w:lang w:val="en-AU"/>
              </w:rPr>
              <w:t xml:space="preserve"> that the participant was recorded as homeless. </w:t>
            </w:r>
            <w:r w:rsidR="00211B45" w:rsidRPr="00207DC2">
              <w:rPr>
                <w:lang w:val="en-AU"/>
              </w:rPr>
              <w:t xml:space="preserve">Based on </w:t>
            </w:r>
            <w:r w:rsidR="004B1105" w:rsidRPr="00207DC2">
              <w:rPr>
                <w:lang w:val="en-AU"/>
              </w:rPr>
              <w:t xml:space="preserve">JSCI </w:t>
            </w:r>
            <w:r w:rsidR="00211B45" w:rsidRPr="00207DC2">
              <w:rPr>
                <w:lang w:val="en-AU"/>
              </w:rPr>
              <w:t>Q27 and Q28</w:t>
            </w:r>
            <w:r w:rsidR="004B1105" w:rsidRPr="00207DC2">
              <w:rPr>
                <w:lang w:val="en-AU"/>
              </w:rPr>
              <w:t>:</w:t>
            </w:r>
            <w:r w:rsidR="00211B45" w:rsidRPr="00207DC2">
              <w:rPr>
                <w:lang w:val="en-AU"/>
              </w:rPr>
              <w:t>‘</w:t>
            </w:r>
            <w:r w:rsidR="006E4975" w:rsidRPr="00207DC2">
              <w:rPr>
                <w:lang w:val="en-AU"/>
              </w:rPr>
              <w:t>H</w:t>
            </w:r>
            <w:r w:rsidR="00211B45" w:rsidRPr="00207DC2">
              <w:rPr>
                <w:lang w:val="en-AU"/>
              </w:rPr>
              <w:t>ave you been living in secure accommodation, such as rented accommodation or your own home, for the last 12 months or longer?’ and ‘Are you currently staying in emergency or temporary accommodation?’ Categories include stable residence versus homeless</w:t>
            </w:r>
            <w:r w:rsidR="004F528D" w:rsidRPr="00207DC2">
              <w:rPr>
                <w:lang w:val="en-AU"/>
              </w:rPr>
              <w:t xml:space="preserve"> (primary and secondary homeless combined)</w:t>
            </w:r>
            <w:r w:rsidR="00211B45" w:rsidRPr="00207DC2">
              <w:rPr>
                <w:lang w:val="en-AU"/>
              </w:rPr>
              <w:t>.</w:t>
            </w:r>
          </w:p>
        </w:tc>
      </w:tr>
      <w:tr w:rsidR="00D2703A" w:rsidRPr="00207DC2" w14:paraId="5FFDCCEE" w14:textId="77777777" w:rsidTr="00F31ED4">
        <w:trPr>
          <w:cantSplit/>
          <w:trHeight w:val="300"/>
          <w:jc w:val="center"/>
        </w:trPr>
        <w:tc>
          <w:tcPr>
            <w:tcW w:w="2891" w:type="dxa"/>
            <w:noWrap/>
            <w:tcMar>
              <w:top w:w="0" w:type="dxa"/>
              <w:left w:w="108" w:type="dxa"/>
              <w:bottom w:w="0" w:type="dxa"/>
              <w:right w:w="108" w:type="dxa"/>
            </w:tcMar>
            <w:vAlign w:val="center"/>
          </w:tcPr>
          <w:p w14:paraId="4613E863" w14:textId="77777777" w:rsidR="00D2703A" w:rsidRPr="00207DC2" w:rsidRDefault="00A768AF" w:rsidP="00FB626D">
            <w:pPr>
              <w:pStyle w:val="TableText"/>
              <w:rPr>
                <w:lang w:val="en-AU"/>
              </w:rPr>
            </w:pPr>
            <w:r w:rsidRPr="00207DC2">
              <w:rPr>
                <w:lang w:val="en-AU"/>
              </w:rPr>
              <w:t xml:space="preserve">Proportion of commenced days that </w:t>
            </w:r>
            <w:r w:rsidR="00211B45" w:rsidRPr="00207DC2">
              <w:rPr>
                <w:lang w:val="en-AU"/>
              </w:rPr>
              <w:t>participant</w:t>
            </w:r>
            <w:r w:rsidRPr="00207DC2">
              <w:rPr>
                <w:lang w:val="en-AU"/>
              </w:rPr>
              <w:t xml:space="preserve"> was c</w:t>
            </w:r>
            <w:r w:rsidR="00D2703A" w:rsidRPr="00207DC2">
              <w:rPr>
                <w:lang w:val="en-AU"/>
              </w:rPr>
              <w:t>ontactable by phone</w:t>
            </w:r>
          </w:p>
        </w:tc>
        <w:tc>
          <w:tcPr>
            <w:tcW w:w="6236" w:type="dxa"/>
            <w:shd w:val="clear" w:color="auto" w:fill="auto"/>
          </w:tcPr>
          <w:p w14:paraId="04C6F6FC" w14:textId="541DD638" w:rsidR="00D2703A" w:rsidRPr="00207DC2" w:rsidRDefault="00140C1B" w:rsidP="00B24E7D">
            <w:pPr>
              <w:pStyle w:val="TableText"/>
              <w:jc w:val="both"/>
              <w:rPr>
                <w:lang w:val="en-AU"/>
              </w:rPr>
            </w:pPr>
            <w:r w:rsidRPr="00207DC2">
              <w:rPr>
                <w:lang w:val="en-AU"/>
              </w:rPr>
              <w:t xml:space="preserve">Estimate of the proportion of participant’s total commenced days </w:t>
            </w:r>
            <w:r w:rsidR="00526118" w:rsidRPr="00207DC2">
              <w:rPr>
                <w:lang w:val="en-AU"/>
              </w:rPr>
              <w:t>in</w:t>
            </w:r>
            <w:r w:rsidRPr="00207DC2">
              <w:rPr>
                <w:lang w:val="en-AU"/>
              </w:rPr>
              <w:t xml:space="preserve"> the CDP </w:t>
            </w:r>
            <w:r w:rsidR="005B1BD7" w:rsidRPr="00207DC2">
              <w:rPr>
                <w:lang w:val="en-AU"/>
              </w:rPr>
              <w:t>in 2016,</w:t>
            </w:r>
            <w:r w:rsidRPr="00207DC2">
              <w:rPr>
                <w:lang w:val="en-AU"/>
              </w:rPr>
              <w:t xml:space="preserve"> that the participant was not contactable by phone. </w:t>
            </w:r>
            <w:r w:rsidR="00211B45" w:rsidRPr="00207DC2">
              <w:rPr>
                <w:lang w:val="en-AU"/>
              </w:rPr>
              <w:t xml:space="preserve">Determined by administrative data provided by the job seeker to DHS. The categories are: </w:t>
            </w:r>
            <w:r w:rsidR="007234B1" w:rsidRPr="00207DC2">
              <w:rPr>
                <w:lang w:val="en-AU"/>
              </w:rPr>
              <w:t>‘</w:t>
            </w:r>
            <w:r w:rsidR="00211B45" w:rsidRPr="00207DC2">
              <w:rPr>
                <w:lang w:val="en-AU"/>
              </w:rPr>
              <w:t>Contactable by phone</w:t>
            </w:r>
            <w:r w:rsidR="007234B1" w:rsidRPr="00207DC2">
              <w:rPr>
                <w:lang w:val="en-AU"/>
              </w:rPr>
              <w:t>’ and</w:t>
            </w:r>
            <w:r w:rsidR="00211B45" w:rsidRPr="00207DC2">
              <w:rPr>
                <w:lang w:val="en-AU"/>
              </w:rPr>
              <w:t xml:space="preserve"> </w:t>
            </w:r>
            <w:r w:rsidR="007234B1" w:rsidRPr="00207DC2">
              <w:rPr>
                <w:lang w:val="en-AU"/>
              </w:rPr>
              <w:t>‘</w:t>
            </w:r>
            <w:r w:rsidR="00211B45" w:rsidRPr="00207DC2">
              <w:rPr>
                <w:lang w:val="en-AU"/>
              </w:rPr>
              <w:t>Not contactable by phone</w:t>
            </w:r>
            <w:r w:rsidR="007234B1" w:rsidRPr="00207DC2">
              <w:rPr>
                <w:lang w:val="en-AU"/>
              </w:rPr>
              <w:t>’</w:t>
            </w:r>
            <w:r w:rsidR="00211B45" w:rsidRPr="00207DC2">
              <w:rPr>
                <w:lang w:val="en-AU"/>
              </w:rPr>
              <w:t>.</w:t>
            </w:r>
          </w:p>
        </w:tc>
      </w:tr>
      <w:tr w:rsidR="00D2703A" w:rsidRPr="00207DC2" w14:paraId="7C4F3ED1" w14:textId="77777777" w:rsidTr="00F31ED4">
        <w:trPr>
          <w:cantSplit/>
          <w:trHeight w:val="300"/>
          <w:jc w:val="center"/>
        </w:trPr>
        <w:tc>
          <w:tcPr>
            <w:tcW w:w="2891" w:type="dxa"/>
            <w:noWrap/>
            <w:tcMar>
              <w:top w:w="0" w:type="dxa"/>
              <w:left w:w="108" w:type="dxa"/>
              <w:bottom w:w="0" w:type="dxa"/>
              <w:right w:w="108" w:type="dxa"/>
            </w:tcMar>
            <w:vAlign w:val="center"/>
          </w:tcPr>
          <w:p w14:paraId="26ABA6D2" w14:textId="18AF6B0F" w:rsidR="00D2703A" w:rsidRPr="00207DC2" w:rsidRDefault="00A768AF" w:rsidP="00FB626D">
            <w:pPr>
              <w:pStyle w:val="TableText"/>
              <w:rPr>
                <w:lang w:val="en-AU"/>
              </w:rPr>
            </w:pPr>
            <w:r w:rsidRPr="00207DC2">
              <w:rPr>
                <w:lang w:val="en-AU"/>
              </w:rPr>
              <w:t xml:space="preserve">Proportion of commenced days that </w:t>
            </w:r>
            <w:r w:rsidR="00211B45" w:rsidRPr="00207DC2">
              <w:rPr>
                <w:lang w:val="en-AU"/>
              </w:rPr>
              <w:t>participant</w:t>
            </w:r>
            <w:r w:rsidRPr="00207DC2">
              <w:rPr>
                <w:lang w:val="en-AU"/>
              </w:rPr>
              <w:t xml:space="preserve"> was </w:t>
            </w:r>
            <w:r w:rsidR="009C289D" w:rsidRPr="00207DC2">
              <w:rPr>
                <w:lang w:val="en-AU"/>
              </w:rPr>
              <w:t xml:space="preserve">required to attend </w:t>
            </w:r>
            <w:r w:rsidR="00D2703A" w:rsidRPr="00207DC2">
              <w:rPr>
                <w:lang w:val="en-AU"/>
              </w:rPr>
              <w:t>W</w:t>
            </w:r>
            <w:r w:rsidR="00341766" w:rsidRPr="00207DC2">
              <w:rPr>
                <w:lang w:val="en-AU"/>
              </w:rPr>
              <w:t xml:space="preserve">ork </w:t>
            </w:r>
            <w:r w:rsidR="00D2703A" w:rsidRPr="00207DC2">
              <w:rPr>
                <w:lang w:val="en-AU"/>
              </w:rPr>
              <w:t>f</w:t>
            </w:r>
            <w:r w:rsidR="00341766" w:rsidRPr="00207DC2">
              <w:rPr>
                <w:lang w:val="en-AU"/>
              </w:rPr>
              <w:t xml:space="preserve">or the </w:t>
            </w:r>
            <w:r w:rsidR="00D2703A" w:rsidRPr="00207DC2">
              <w:rPr>
                <w:lang w:val="en-AU"/>
              </w:rPr>
              <w:t>D</w:t>
            </w:r>
            <w:r w:rsidR="00341766" w:rsidRPr="00207DC2">
              <w:rPr>
                <w:lang w:val="en-AU"/>
              </w:rPr>
              <w:t>ole</w:t>
            </w:r>
            <w:r w:rsidR="00D2703A" w:rsidRPr="00207DC2">
              <w:rPr>
                <w:lang w:val="en-AU"/>
              </w:rPr>
              <w:t xml:space="preserve"> </w:t>
            </w:r>
          </w:p>
        </w:tc>
        <w:tc>
          <w:tcPr>
            <w:tcW w:w="6236" w:type="dxa"/>
            <w:shd w:val="clear" w:color="auto" w:fill="auto"/>
          </w:tcPr>
          <w:p w14:paraId="222B9065" w14:textId="3826DDD7" w:rsidR="00D2703A" w:rsidRPr="00207DC2" w:rsidRDefault="00140C1B" w:rsidP="00B24E7D">
            <w:pPr>
              <w:pStyle w:val="TableText"/>
              <w:tabs>
                <w:tab w:val="left" w:pos="3744"/>
              </w:tabs>
              <w:jc w:val="both"/>
              <w:rPr>
                <w:lang w:val="en-AU"/>
              </w:rPr>
            </w:pPr>
            <w:r w:rsidRPr="00207DC2">
              <w:rPr>
                <w:lang w:val="en-AU"/>
              </w:rPr>
              <w:t>Estimate</w:t>
            </w:r>
            <w:r w:rsidR="00DF3DBE" w:rsidRPr="00207DC2">
              <w:rPr>
                <w:lang w:val="en-AU"/>
              </w:rPr>
              <w:t xml:space="preserve"> of </w:t>
            </w:r>
            <w:r w:rsidRPr="00207DC2">
              <w:rPr>
                <w:lang w:val="en-AU"/>
              </w:rPr>
              <w:t xml:space="preserve">the proportion of participant’s total </w:t>
            </w:r>
            <w:r w:rsidR="00DF3DBE" w:rsidRPr="00207DC2">
              <w:rPr>
                <w:lang w:val="en-AU"/>
              </w:rPr>
              <w:t xml:space="preserve">commenced days </w:t>
            </w:r>
            <w:r w:rsidR="00526118" w:rsidRPr="00207DC2">
              <w:rPr>
                <w:lang w:val="en-AU"/>
              </w:rPr>
              <w:t>i</w:t>
            </w:r>
            <w:r w:rsidRPr="00207DC2">
              <w:rPr>
                <w:lang w:val="en-AU"/>
              </w:rPr>
              <w:t xml:space="preserve">n the CDP </w:t>
            </w:r>
            <w:r w:rsidR="005B1BD7" w:rsidRPr="00207DC2">
              <w:rPr>
                <w:lang w:val="en-AU"/>
              </w:rPr>
              <w:t>in 2016</w:t>
            </w:r>
            <w:r w:rsidR="00DF3DBE" w:rsidRPr="00207DC2">
              <w:rPr>
                <w:lang w:val="en-AU"/>
              </w:rPr>
              <w:t xml:space="preserve"> that the participant was </w:t>
            </w:r>
            <w:r w:rsidR="009C289D" w:rsidRPr="00207DC2">
              <w:rPr>
                <w:lang w:val="en-AU"/>
              </w:rPr>
              <w:t xml:space="preserve">required to attend </w:t>
            </w:r>
            <w:r w:rsidR="00DF3DBE" w:rsidRPr="00207DC2">
              <w:rPr>
                <w:lang w:val="en-AU"/>
              </w:rPr>
              <w:t xml:space="preserve">Work for the Dole </w:t>
            </w:r>
            <w:r w:rsidR="00103A92" w:rsidRPr="00207DC2">
              <w:rPr>
                <w:lang w:val="en-AU"/>
              </w:rPr>
              <w:t>(</w:t>
            </w:r>
            <w:r w:rsidR="00ED0E82" w:rsidRPr="00207DC2">
              <w:rPr>
                <w:lang w:val="en-AU"/>
              </w:rPr>
              <w:t>that</w:t>
            </w:r>
            <w:r w:rsidR="003B7CF5" w:rsidRPr="00207DC2">
              <w:rPr>
                <w:lang w:val="en-AU"/>
              </w:rPr>
              <w:t xml:space="preserve"> </w:t>
            </w:r>
            <w:r w:rsidR="00ED0E82" w:rsidRPr="00207DC2">
              <w:rPr>
                <w:lang w:val="en-AU"/>
              </w:rPr>
              <w:t>is,</w:t>
            </w:r>
            <w:r w:rsidR="00DF3DBE" w:rsidRPr="00207DC2">
              <w:rPr>
                <w:lang w:val="en-AU"/>
              </w:rPr>
              <w:t xml:space="preserve"> aged between 18 and 49 years and receiving the full rate of income support and without an exemption due to illness, injury or disability</w:t>
            </w:r>
            <w:r w:rsidR="00103A92" w:rsidRPr="00207DC2">
              <w:rPr>
                <w:lang w:val="en-AU"/>
              </w:rPr>
              <w:t>).</w:t>
            </w:r>
          </w:p>
        </w:tc>
      </w:tr>
      <w:tr w:rsidR="00D2703A" w:rsidRPr="00207DC2" w14:paraId="50118505" w14:textId="77777777" w:rsidTr="00F31ED4">
        <w:trPr>
          <w:cantSplit/>
          <w:trHeight w:val="300"/>
          <w:jc w:val="center"/>
        </w:trPr>
        <w:tc>
          <w:tcPr>
            <w:tcW w:w="2891" w:type="dxa"/>
            <w:noWrap/>
            <w:tcMar>
              <w:top w:w="0" w:type="dxa"/>
              <w:left w:w="108" w:type="dxa"/>
              <w:bottom w:w="0" w:type="dxa"/>
              <w:right w:w="108" w:type="dxa"/>
            </w:tcMar>
            <w:vAlign w:val="center"/>
          </w:tcPr>
          <w:p w14:paraId="0729C6C0" w14:textId="77777777" w:rsidR="00D2703A" w:rsidRPr="00207DC2" w:rsidRDefault="00D2703A" w:rsidP="00FB626D">
            <w:pPr>
              <w:pStyle w:val="TableText"/>
              <w:rPr>
                <w:lang w:val="en-AU"/>
              </w:rPr>
            </w:pPr>
            <w:r w:rsidRPr="00207DC2">
              <w:rPr>
                <w:lang w:val="en-AU"/>
              </w:rPr>
              <w:t xml:space="preserve">Total days </w:t>
            </w:r>
            <w:r w:rsidR="00A768AF" w:rsidRPr="00207DC2">
              <w:rPr>
                <w:lang w:val="en-AU"/>
              </w:rPr>
              <w:t>c</w:t>
            </w:r>
            <w:r w:rsidRPr="00207DC2">
              <w:rPr>
                <w:lang w:val="en-AU"/>
              </w:rPr>
              <w:t xml:space="preserve">ommenced </w:t>
            </w:r>
            <w:r w:rsidR="00A768AF" w:rsidRPr="00207DC2">
              <w:rPr>
                <w:lang w:val="en-AU"/>
              </w:rPr>
              <w:t>with a CDP provider</w:t>
            </w:r>
          </w:p>
        </w:tc>
        <w:tc>
          <w:tcPr>
            <w:tcW w:w="6236" w:type="dxa"/>
            <w:vAlign w:val="center"/>
          </w:tcPr>
          <w:p w14:paraId="68BA59BD" w14:textId="6E0DEEDB" w:rsidR="00D2703A" w:rsidRPr="00207DC2" w:rsidRDefault="00DF3DBE" w:rsidP="00B24E7D">
            <w:pPr>
              <w:pStyle w:val="TableText"/>
              <w:tabs>
                <w:tab w:val="left" w:pos="3901"/>
              </w:tabs>
              <w:jc w:val="both"/>
              <w:rPr>
                <w:lang w:val="en-AU"/>
              </w:rPr>
            </w:pPr>
            <w:r w:rsidRPr="00207DC2">
              <w:rPr>
                <w:lang w:val="en-AU"/>
              </w:rPr>
              <w:t xml:space="preserve">Total number of days in 2016 that the participant was registered and commenced </w:t>
            </w:r>
            <w:r w:rsidR="00BE645B" w:rsidRPr="00207DC2">
              <w:rPr>
                <w:lang w:val="en-AU"/>
              </w:rPr>
              <w:t>(</w:t>
            </w:r>
            <w:r w:rsidR="00ED0E82" w:rsidRPr="00207DC2">
              <w:rPr>
                <w:lang w:val="en-AU"/>
              </w:rPr>
              <w:t>that is,</w:t>
            </w:r>
            <w:r w:rsidR="008A464A" w:rsidRPr="00207DC2">
              <w:rPr>
                <w:lang w:val="en-AU"/>
              </w:rPr>
              <w:t xml:space="preserve"> not suspended or pending</w:t>
            </w:r>
            <w:r w:rsidR="00BE645B" w:rsidRPr="00207DC2">
              <w:rPr>
                <w:lang w:val="en-AU"/>
              </w:rPr>
              <w:t xml:space="preserve">) </w:t>
            </w:r>
            <w:r w:rsidR="00526118" w:rsidRPr="00207DC2">
              <w:rPr>
                <w:lang w:val="en-AU"/>
              </w:rPr>
              <w:t>in the CDP</w:t>
            </w:r>
            <w:r w:rsidRPr="00207DC2">
              <w:rPr>
                <w:lang w:val="en-AU"/>
              </w:rPr>
              <w:t>.</w:t>
            </w:r>
            <w:r w:rsidR="007234B1" w:rsidRPr="00207DC2">
              <w:rPr>
                <w:lang w:val="en-AU"/>
              </w:rPr>
              <w:t xml:space="preserve"> The denominator for proportions of a participant’s total commenced days </w:t>
            </w:r>
            <w:r w:rsidR="00526118" w:rsidRPr="00207DC2">
              <w:rPr>
                <w:lang w:val="en-AU"/>
              </w:rPr>
              <w:t>i</w:t>
            </w:r>
            <w:r w:rsidR="007234B1" w:rsidRPr="00207DC2">
              <w:rPr>
                <w:lang w:val="en-AU"/>
              </w:rPr>
              <w:t>n the CDP in 2016</w:t>
            </w:r>
            <w:r w:rsidR="00526118" w:rsidRPr="00207DC2">
              <w:rPr>
                <w:lang w:val="en-AU"/>
              </w:rPr>
              <w:t>.</w:t>
            </w:r>
          </w:p>
        </w:tc>
      </w:tr>
      <w:tr w:rsidR="00D2703A" w:rsidRPr="00207DC2" w14:paraId="6B337CA1" w14:textId="77777777" w:rsidTr="00F31ED4">
        <w:trPr>
          <w:cantSplit/>
          <w:trHeight w:val="300"/>
          <w:jc w:val="center"/>
        </w:trPr>
        <w:tc>
          <w:tcPr>
            <w:tcW w:w="2891" w:type="dxa"/>
            <w:noWrap/>
            <w:tcMar>
              <w:top w:w="0" w:type="dxa"/>
              <w:left w:w="108" w:type="dxa"/>
              <w:bottom w:w="0" w:type="dxa"/>
              <w:right w:w="108" w:type="dxa"/>
            </w:tcMar>
            <w:vAlign w:val="center"/>
          </w:tcPr>
          <w:p w14:paraId="4B28F718" w14:textId="77777777" w:rsidR="00D2703A" w:rsidRPr="00207DC2" w:rsidRDefault="00D2703A" w:rsidP="00FB626D">
            <w:pPr>
              <w:pStyle w:val="TableText"/>
              <w:rPr>
                <w:lang w:val="en-AU"/>
              </w:rPr>
            </w:pPr>
            <w:r w:rsidRPr="00207DC2">
              <w:rPr>
                <w:lang w:val="en-AU"/>
              </w:rPr>
              <w:t>Remoteness index</w:t>
            </w:r>
          </w:p>
        </w:tc>
        <w:tc>
          <w:tcPr>
            <w:tcW w:w="6236" w:type="dxa"/>
            <w:vAlign w:val="center"/>
          </w:tcPr>
          <w:p w14:paraId="7D9C2B3B" w14:textId="41936472" w:rsidR="00D2703A" w:rsidRPr="00207DC2" w:rsidRDefault="00DF3DBE" w:rsidP="00B24E7D">
            <w:pPr>
              <w:pStyle w:val="TableText"/>
              <w:jc w:val="both"/>
              <w:rPr>
                <w:lang w:val="en-AU"/>
              </w:rPr>
            </w:pPr>
            <w:r w:rsidRPr="00207DC2">
              <w:rPr>
                <w:lang w:val="en-AU"/>
              </w:rPr>
              <w:t>Remoteness based on participant</w:t>
            </w:r>
            <w:r w:rsidR="00811798" w:rsidRPr="00207DC2">
              <w:rPr>
                <w:lang w:val="en-AU"/>
              </w:rPr>
              <w:t>’</w:t>
            </w:r>
            <w:r w:rsidRPr="00207DC2">
              <w:rPr>
                <w:lang w:val="en-AU"/>
              </w:rPr>
              <w:t>s home address</w:t>
            </w:r>
            <w:r w:rsidR="00ED0E82" w:rsidRPr="00207DC2">
              <w:rPr>
                <w:lang w:val="en-AU"/>
              </w:rPr>
              <w:t xml:space="preserve"> (as at 1 January 2016)</w:t>
            </w:r>
            <w:r w:rsidRPr="00207DC2">
              <w:rPr>
                <w:lang w:val="en-AU"/>
              </w:rPr>
              <w:t xml:space="preserve"> and measured on a scale of 0</w:t>
            </w:r>
            <w:r w:rsidR="00140C1B" w:rsidRPr="00207DC2">
              <w:rPr>
                <w:lang w:val="en-AU"/>
              </w:rPr>
              <w:t xml:space="preserve"> to </w:t>
            </w:r>
            <w:r w:rsidRPr="00207DC2">
              <w:rPr>
                <w:lang w:val="en-AU"/>
              </w:rPr>
              <w:t>15</w:t>
            </w:r>
            <w:r w:rsidR="007234B1" w:rsidRPr="00207DC2">
              <w:rPr>
                <w:lang w:val="en-AU"/>
              </w:rPr>
              <w:t>.</w:t>
            </w:r>
          </w:p>
        </w:tc>
      </w:tr>
      <w:tr w:rsidR="00D2703A" w:rsidRPr="00207DC2" w14:paraId="05593EC5" w14:textId="77777777" w:rsidTr="00F31ED4">
        <w:trPr>
          <w:cantSplit/>
          <w:trHeight w:val="300"/>
          <w:jc w:val="center"/>
        </w:trPr>
        <w:tc>
          <w:tcPr>
            <w:tcW w:w="2891" w:type="dxa"/>
            <w:noWrap/>
            <w:tcMar>
              <w:top w:w="0" w:type="dxa"/>
              <w:left w:w="108" w:type="dxa"/>
              <w:bottom w:w="0" w:type="dxa"/>
              <w:right w:w="108" w:type="dxa"/>
            </w:tcMar>
            <w:vAlign w:val="center"/>
          </w:tcPr>
          <w:p w14:paraId="3141129E" w14:textId="77777777" w:rsidR="00D2703A" w:rsidRPr="00207DC2" w:rsidRDefault="00D2703A" w:rsidP="00FB626D">
            <w:pPr>
              <w:pStyle w:val="TableText"/>
              <w:rPr>
                <w:lang w:val="en-AU"/>
              </w:rPr>
            </w:pPr>
            <w:r w:rsidRPr="00207DC2">
              <w:rPr>
                <w:lang w:val="en-AU"/>
              </w:rPr>
              <w:t>CDP region of residence</w:t>
            </w:r>
          </w:p>
        </w:tc>
        <w:tc>
          <w:tcPr>
            <w:tcW w:w="6236" w:type="dxa"/>
            <w:vAlign w:val="center"/>
          </w:tcPr>
          <w:p w14:paraId="2874010E" w14:textId="71DE3FCC" w:rsidR="00D2703A" w:rsidRPr="00207DC2" w:rsidRDefault="00DF3DBE" w:rsidP="00B24E7D">
            <w:pPr>
              <w:pStyle w:val="TableText"/>
              <w:jc w:val="both"/>
              <w:rPr>
                <w:lang w:val="en-AU"/>
              </w:rPr>
            </w:pPr>
            <w:r w:rsidRPr="00207DC2">
              <w:rPr>
                <w:lang w:val="en-AU"/>
              </w:rPr>
              <w:t>CDP region in which the participant lives</w:t>
            </w:r>
            <w:r w:rsidR="00ED0E82" w:rsidRPr="00207DC2">
              <w:rPr>
                <w:lang w:val="en-AU"/>
              </w:rPr>
              <w:t xml:space="preserve"> (</w:t>
            </w:r>
            <w:r w:rsidR="005B1BD7" w:rsidRPr="00207DC2">
              <w:rPr>
                <w:lang w:val="en-AU"/>
              </w:rPr>
              <w:t>as at 1</w:t>
            </w:r>
            <w:r w:rsidR="00ED0E82" w:rsidRPr="00207DC2">
              <w:rPr>
                <w:lang w:val="en-AU"/>
              </w:rPr>
              <w:t> </w:t>
            </w:r>
            <w:r w:rsidR="00880780" w:rsidRPr="00207DC2">
              <w:rPr>
                <w:lang w:val="en-AU"/>
              </w:rPr>
              <w:t>January</w:t>
            </w:r>
            <w:r w:rsidR="005B1BD7" w:rsidRPr="00207DC2">
              <w:rPr>
                <w:lang w:val="en-AU"/>
              </w:rPr>
              <w:t xml:space="preserve"> 2016</w:t>
            </w:r>
            <w:r w:rsidR="00ED0E82" w:rsidRPr="00207DC2">
              <w:rPr>
                <w:lang w:val="en-AU"/>
              </w:rPr>
              <w:t>)</w:t>
            </w:r>
            <w:r w:rsidR="007234B1" w:rsidRPr="00207DC2">
              <w:rPr>
                <w:lang w:val="en-AU"/>
              </w:rPr>
              <w:t>.</w:t>
            </w:r>
          </w:p>
        </w:tc>
      </w:tr>
      <w:tr w:rsidR="00D2703A" w:rsidRPr="00207DC2" w14:paraId="407034CC" w14:textId="77777777" w:rsidTr="00F31ED4">
        <w:trPr>
          <w:cantSplit/>
          <w:trHeight w:val="300"/>
          <w:jc w:val="center"/>
        </w:trPr>
        <w:tc>
          <w:tcPr>
            <w:tcW w:w="2891" w:type="dxa"/>
            <w:noWrap/>
            <w:tcMar>
              <w:top w:w="0" w:type="dxa"/>
              <w:left w:w="108" w:type="dxa"/>
              <w:bottom w:w="0" w:type="dxa"/>
              <w:right w:w="108" w:type="dxa"/>
            </w:tcMar>
            <w:vAlign w:val="center"/>
          </w:tcPr>
          <w:p w14:paraId="4BC9C662" w14:textId="77777777" w:rsidR="00D2703A" w:rsidRPr="00207DC2" w:rsidRDefault="00D2703A" w:rsidP="00FB626D">
            <w:pPr>
              <w:pStyle w:val="TableText"/>
              <w:rPr>
                <w:lang w:val="en-AU"/>
              </w:rPr>
            </w:pPr>
            <w:r w:rsidRPr="00207DC2">
              <w:rPr>
                <w:lang w:val="en-AU"/>
              </w:rPr>
              <w:t>Proportion of</w:t>
            </w:r>
            <w:r w:rsidR="00A768AF" w:rsidRPr="00207DC2">
              <w:rPr>
                <w:lang w:val="en-AU"/>
              </w:rPr>
              <w:t xml:space="preserve"> </w:t>
            </w:r>
            <w:r w:rsidRPr="00207DC2">
              <w:rPr>
                <w:lang w:val="en-AU"/>
              </w:rPr>
              <w:t xml:space="preserve">records </w:t>
            </w:r>
            <w:r w:rsidR="004F528D" w:rsidRPr="00207DC2">
              <w:rPr>
                <w:i/>
                <w:lang w:val="en-AU"/>
              </w:rPr>
              <w:t>A</w:t>
            </w:r>
            <w:r w:rsidRPr="00207DC2">
              <w:rPr>
                <w:i/>
                <w:lang w:val="en-AU"/>
              </w:rPr>
              <w:t>ttended</w:t>
            </w:r>
            <w:r w:rsidR="00A768AF" w:rsidRPr="00207DC2">
              <w:rPr>
                <w:i/>
                <w:lang w:val="en-AU"/>
              </w:rPr>
              <w:t xml:space="preserve"> </w:t>
            </w:r>
          </w:p>
        </w:tc>
        <w:tc>
          <w:tcPr>
            <w:tcW w:w="6236" w:type="dxa"/>
            <w:vAlign w:val="center"/>
          </w:tcPr>
          <w:p w14:paraId="16CC8DFF" w14:textId="6A946800" w:rsidR="00D2703A" w:rsidRPr="00207DC2" w:rsidRDefault="006E4975" w:rsidP="00B24E7D">
            <w:pPr>
              <w:pStyle w:val="TableText"/>
              <w:jc w:val="both"/>
              <w:rPr>
                <w:lang w:val="en-AU"/>
              </w:rPr>
            </w:pPr>
            <w:r w:rsidRPr="00207DC2">
              <w:rPr>
                <w:lang w:val="en-AU"/>
              </w:rPr>
              <w:t>Proportion of participant’s W</w:t>
            </w:r>
            <w:r w:rsidR="00341766" w:rsidRPr="00207DC2">
              <w:rPr>
                <w:lang w:val="en-AU"/>
              </w:rPr>
              <w:t xml:space="preserve">ork </w:t>
            </w:r>
            <w:r w:rsidRPr="00207DC2">
              <w:rPr>
                <w:lang w:val="en-AU"/>
              </w:rPr>
              <w:t>f</w:t>
            </w:r>
            <w:r w:rsidR="00341766" w:rsidRPr="00207DC2">
              <w:rPr>
                <w:lang w:val="en-AU"/>
              </w:rPr>
              <w:t xml:space="preserve">or the </w:t>
            </w:r>
            <w:r w:rsidRPr="00207DC2">
              <w:rPr>
                <w:lang w:val="en-AU"/>
              </w:rPr>
              <w:t>D</w:t>
            </w:r>
            <w:r w:rsidR="00341766" w:rsidRPr="00207DC2">
              <w:rPr>
                <w:lang w:val="en-AU"/>
              </w:rPr>
              <w:t>ole</w:t>
            </w:r>
            <w:r w:rsidRPr="00207DC2">
              <w:rPr>
                <w:lang w:val="en-AU"/>
              </w:rPr>
              <w:t xml:space="preserve"> records marked as </w:t>
            </w:r>
            <w:r w:rsidRPr="00207DC2">
              <w:rPr>
                <w:i/>
                <w:lang w:val="en-AU"/>
              </w:rPr>
              <w:t>Attended</w:t>
            </w:r>
            <w:r w:rsidRPr="00207DC2">
              <w:rPr>
                <w:lang w:val="en-AU"/>
              </w:rPr>
              <w:t xml:space="preserve"> during 2016</w:t>
            </w:r>
            <w:r w:rsidR="007234B1" w:rsidRPr="00207DC2">
              <w:rPr>
                <w:lang w:val="en-AU"/>
              </w:rPr>
              <w:t>.</w:t>
            </w:r>
          </w:p>
        </w:tc>
      </w:tr>
      <w:tr w:rsidR="00D2703A" w:rsidRPr="00207DC2" w14:paraId="0B0D8306" w14:textId="77777777" w:rsidTr="00F31ED4">
        <w:trPr>
          <w:cantSplit/>
          <w:trHeight w:val="300"/>
          <w:jc w:val="center"/>
        </w:trPr>
        <w:tc>
          <w:tcPr>
            <w:tcW w:w="2891" w:type="dxa"/>
            <w:noWrap/>
            <w:tcMar>
              <w:top w:w="0" w:type="dxa"/>
              <w:left w:w="108" w:type="dxa"/>
              <w:bottom w:w="0" w:type="dxa"/>
              <w:right w:w="108" w:type="dxa"/>
            </w:tcMar>
            <w:vAlign w:val="center"/>
          </w:tcPr>
          <w:p w14:paraId="2BA642B0" w14:textId="77777777" w:rsidR="00D2703A" w:rsidRPr="00207DC2" w:rsidRDefault="00D2703A" w:rsidP="00FB626D">
            <w:pPr>
              <w:pStyle w:val="TableText"/>
              <w:rPr>
                <w:lang w:val="en-AU"/>
              </w:rPr>
            </w:pPr>
            <w:r w:rsidRPr="00207DC2">
              <w:rPr>
                <w:lang w:val="en-AU"/>
              </w:rPr>
              <w:t xml:space="preserve">Proportion of records marked as </w:t>
            </w:r>
            <w:r w:rsidRPr="00207DC2">
              <w:rPr>
                <w:i/>
                <w:lang w:val="en-AU"/>
              </w:rPr>
              <w:t>D</w:t>
            </w:r>
            <w:r w:rsidR="00120B76" w:rsidRPr="00207DC2">
              <w:rPr>
                <w:i/>
                <w:lang w:val="en-AU"/>
              </w:rPr>
              <w:t>id Not</w:t>
            </w:r>
            <w:r w:rsidR="00A768AF" w:rsidRPr="00207DC2">
              <w:rPr>
                <w:i/>
                <w:lang w:val="en-AU"/>
              </w:rPr>
              <w:t xml:space="preserve"> Attend Invalid</w:t>
            </w:r>
            <w:r w:rsidR="00A768AF" w:rsidRPr="00207DC2">
              <w:rPr>
                <w:lang w:val="en-AU"/>
              </w:rPr>
              <w:t xml:space="preserve"> </w:t>
            </w:r>
          </w:p>
        </w:tc>
        <w:tc>
          <w:tcPr>
            <w:tcW w:w="6236" w:type="dxa"/>
            <w:vAlign w:val="center"/>
          </w:tcPr>
          <w:p w14:paraId="245925D8" w14:textId="1299E738" w:rsidR="00D2703A" w:rsidRPr="00207DC2" w:rsidRDefault="006E4975" w:rsidP="00B24E7D">
            <w:pPr>
              <w:pStyle w:val="TableText"/>
              <w:jc w:val="both"/>
              <w:rPr>
                <w:lang w:val="en-AU"/>
              </w:rPr>
            </w:pPr>
            <w:r w:rsidRPr="00207DC2">
              <w:rPr>
                <w:lang w:val="en-AU"/>
              </w:rPr>
              <w:t>Proportion of participant’s W</w:t>
            </w:r>
            <w:r w:rsidR="00341766" w:rsidRPr="00207DC2">
              <w:rPr>
                <w:lang w:val="en-AU"/>
              </w:rPr>
              <w:t xml:space="preserve">ork </w:t>
            </w:r>
            <w:r w:rsidRPr="00207DC2">
              <w:rPr>
                <w:lang w:val="en-AU"/>
              </w:rPr>
              <w:t>f</w:t>
            </w:r>
            <w:r w:rsidR="00341766" w:rsidRPr="00207DC2">
              <w:rPr>
                <w:lang w:val="en-AU"/>
              </w:rPr>
              <w:t xml:space="preserve">or the </w:t>
            </w:r>
            <w:r w:rsidRPr="00207DC2">
              <w:rPr>
                <w:lang w:val="en-AU"/>
              </w:rPr>
              <w:t>D</w:t>
            </w:r>
            <w:r w:rsidR="00341766" w:rsidRPr="00207DC2">
              <w:rPr>
                <w:lang w:val="en-AU"/>
              </w:rPr>
              <w:t>ole</w:t>
            </w:r>
            <w:r w:rsidRPr="00207DC2">
              <w:rPr>
                <w:lang w:val="en-AU"/>
              </w:rPr>
              <w:t xml:space="preserve"> records marked as </w:t>
            </w:r>
            <w:r w:rsidRPr="00207DC2">
              <w:rPr>
                <w:i/>
                <w:lang w:val="en-AU"/>
              </w:rPr>
              <w:t>Did Not Attend Invalid</w:t>
            </w:r>
            <w:r w:rsidRPr="00207DC2">
              <w:rPr>
                <w:lang w:val="en-AU"/>
              </w:rPr>
              <w:t xml:space="preserve"> </w:t>
            </w:r>
            <w:r w:rsidR="00A127FB" w:rsidRPr="00207DC2">
              <w:rPr>
                <w:lang w:val="en-AU"/>
              </w:rPr>
              <w:t>(</w:t>
            </w:r>
            <w:r w:rsidR="00A127FB" w:rsidRPr="00207DC2">
              <w:rPr>
                <w:i/>
                <w:lang w:val="en-AU"/>
              </w:rPr>
              <w:t xml:space="preserve">invalid </w:t>
            </w:r>
            <w:r w:rsidR="00317DDA" w:rsidRPr="00207DC2">
              <w:rPr>
                <w:i/>
                <w:lang w:val="en-AU"/>
              </w:rPr>
              <w:t>non-attendance</w:t>
            </w:r>
            <w:r w:rsidR="00A127FB" w:rsidRPr="00207DC2">
              <w:rPr>
                <w:lang w:val="en-AU"/>
              </w:rPr>
              <w:t xml:space="preserve">) </w:t>
            </w:r>
            <w:r w:rsidRPr="00207DC2">
              <w:rPr>
                <w:lang w:val="en-AU"/>
              </w:rPr>
              <w:t>during 2016</w:t>
            </w:r>
            <w:r w:rsidR="007234B1" w:rsidRPr="00207DC2">
              <w:rPr>
                <w:lang w:val="en-AU"/>
              </w:rPr>
              <w:t>.</w:t>
            </w:r>
          </w:p>
        </w:tc>
      </w:tr>
      <w:tr w:rsidR="00D2703A" w:rsidRPr="00207DC2" w14:paraId="64802A87" w14:textId="77777777" w:rsidTr="00F31ED4">
        <w:trPr>
          <w:cantSplit/>
          <w:trHeight w:val="300"/>
          <w:jc w:val="center"/>
        </w:trPr>
        <w:tc>
          <w:tcPr>
            <w:tcW w:w="2891" w:type="dxa"/>
            <w:noWrap/>
            <w:tcMar>
              <w:top w:w="0" w:type="dxa"/>
              <w:left w:w="108" w:type="dxa"/>
              <w:bottom w:w="0" w:type="dxa"/>
              <w:right w:w="108" w:type="dxa"/>
            </w:tcMar>
            <w:vAlign w:val="center"/>
          </w:tcPr>
          <w:p w14:paraId="20682F75" w14:textId="77777777" w:rsidR="00D2703A" w:rsidRPr="00207DC2" w:rsidRDefault="00D2703A" w:rsidP="00FB626D">
            <w:pPr>
              <w:pStyle w:val="TableText"/>
              <w:rPr>
                <w:lang w:val="en-AU"/>
              </w:rPr>
            </w:pPr>
            <w:r w:rsidRPr="00207DC2">
              <w:rPr>
                <w:lang w:val="en-AU"/>
              </w:rPr>
              <w:t>Whether subject to any penalty</w:t>
            </w:r>
          </w:p>
        </w:tc>
        <w:tc>
          <w:tcPr>
            <w:tcW w:w="6236" w:type="dxa"/>
            <w:vAlign w:val="center"/>
          </w:tcPr>
          <w:p w14:paraId="57F170C5" w14:textId="77777777" w:rsidR="00D2703A" w:rsidRPr="00207DC2" w:rsidRDefault="00DF3DBE" w:rsidP="00B24E7D">
            <w:pPr>
              <w:pStyle w:val="TableText"/>
              <w:jc w:val="both"/>
              <w:rPr>
                <w:lang w:val="en-AU"/>
              </w:rPr>
            </w:pPr>
            <w:r w:rsidRPr="00207DC2">
              <w:rPr>
                <w:lang w:val="en-AU"/>
              </w:rPr>
              <w:t xml:space="preserve">Whether participant received </w:t>
            </w:r>
            <w:r w:rsidR="006E4975" w:rsidRPr="00207DC2">
              <w:rPr>
                <w:lang w:val="en-AU"/>
              </w:rPr>
              <w:t>at least one financial</w:t>
            </w:r>
            <w:r w:rsidRPr="00207DC2">
              <w:rPr>
                <w:lang w:val="en-AU"/>
              </w:rPr>
              <w:t xml:space="preserve"> penalty </w:t>
            </w:r>
            <w:r w:rsidR="006E4975" w:rsidRPr="00207DC2">
              <w:rPr>
                <w:lang w:val="en-AU"/>
              </w:rPr>
              <w:t>(of</w:t>
            </w:r>
            <w:r w:rsidRPr="00207DC2">
              <w:rPr>
                <w:lang w:val="en-AU"/>
              </w:rPr>
              <w:t xml:space="preserve"> any </w:t>
            </w:r>
            <w:r w:rsidR="006E4975" w:rsidRPr="00207DC2">
              <w:rPr>
                <w:lang w:val="en-AU"/>
              </w:rPr>
              <w:t xml:space="preserve">kind) in 2016. </w:t>
            </w:r>
            <w:r w:rsidR="003D7EE0" w:rsidRPr="00207DC2">
              <w:rPr>
                <w:lang w:val="en-AU"/>
              </w:rPr>
              <w:t>B</w:t>
            </w:r>
            <w:r w:rsidRPr="00207DC2">
              <w:rPr>
                <w:lang w:val="en-AU"/>
              </w:rPr>
              <w:t xml:space="preserve">ased on administrative data </w:t>
            </w:r>
            <w:r w:rsidR="003D7EE0" w:rsidRPr="00207DC2">
              <w:rPr>
                <w:lang w:val="en-AU"/>
              </w:rPr>
              <w:t>on penalty determinations</w:t>
            </w:r>
            <w:r w:rsidR="007234B1" w:rsidRPr="00207DC2">
              <w:rPr>
                <w:lang w:val="en-AU"/>
              </w:rPr>
              <w:t>.</w:t>
            </w:r>
          </w:p>
        </w:tc>
      </w:tr>
      <w:tr w:rsidR="00D2703A" w:rsidRPr="00207DC2" w14:paraId="15583209" w14:textId="77777777" w:rsidTr="00F31ED4">
        <w:trPr>
          <w:cantSplit/>
          <w:trHeight w:val="300"/>
          <w:jc w:val="center"/>
        </w:trPr>
        <w:tc>
          <w:tcPr>
            <w:tcW w:w="2891" w:type="dxa"/>
            <w:noWrap/>
            <w:tcMar>
              <w:top w:w="0" w:type="dxa"/>
              <w:left w:w="108" w:type="dxa"/>
              <w:bottom w:w="0" w:type="dxa"/>
              <w:right w:w="108" w:type="dxa"/>
            </w:tcMar>
            <w:vAlign w:val="center"/>
          </w:tcPr>
          <w:p w14:paraId="23EC6BA4" w14:textId="77777777" w:rsidR="00D2703A" w:rsidRPr="00207DC2" w:rsidRDefault="00D2703A" w:rsidP="00FB626D">
            <w:pPr>
              <w:pStyle w:val="TableText"/>
              <w:rPr>
                <w:lang w:val="en-AU"/>
              </w:rPr>
            </w:pPr>
            <w:r w:rsidRPr="00207DC2">
              <w:rPr>
                <w:lang w:val="en-AU"/>
              </w:rPr>
              <w:t>Whether subject to a zero-rate penalty</w:t>
            </w:r>
          </w:p>
        </w:tc>
        <w:tc>
          <w:tcPr>
            <w:tcW w:w="6236" w:type="dxa"/>
            <w:vAlign w:val="center"/>
          </w:tcPr>
          <w:p w14:paraId="3FEA29F3" w14:textId="77777777" w:rsidR="00D2703A" w:rsidRPr="00207DC2" w:rsidRDefault="006E4975" w:rsidP="00B24E7D">
            <w:pPr>
              <w:pStyle w:val="TableText"/>
              <w:jc w:val="both"/>
              <w:rPr>
                <w:lang w:val="en-AU"/>
              </w:rPr>
            </w:pPr>
            <w:r w:rsidRPr="00207DC2">
              <w:rPr>
                <w:lang w:val="en-AU"/>
              </w:rPr>
              <w:t>Whether participant received at least one zero-rate penalty in 2016. Based on administrative data on penalty determinations</w:t>
            </w:r>
            <w:r w:rsidR="007234B1" w:rsidRPr="00207DC2">
              <w:rPr>
                <w:lang w:val="en-AU"/>
              </w:rPr>
              <w:t>.</w:t>
            </w:r>
          </w:p>
        </w:tc>
      </w:tr>
      <w:tr w:rsidR="00D2703A" w:rsidRPr="00207DC2" w14:paraId="7538C150" w14:textId="77777777" w:rsidTr="003708F4">
        <w:trPr>
          <w:cantSplit/>
          <w:trHeight w:val="300"/>
          <w:jc w:val="center"/>
        </w:trPr>
        <w:tc>
          <w:tcPr>
            <w:tcW w:w="2891" w:type="dxa"/>
            <w:tcBorders>
              <w:bottom w:val="single" w:sz="8" w:space="0" w:color="auto"/>
            </w:tcBorders>
            <w:noWrap/>
            <w:tcMar>
              <w:top w:w="0" w:type="dxa"/>
              <w:left w:w="108" w:type="dxa"/>
              <w:bottom w:w="0" w:type="dxa"/>
              <w:right w:w="108" w:type="dxa"/>
            </w:tcMar>
            <w:vAlign w:val="center"/>
          </w:tcPr>
          <w:p w14:paraId="7384462D" w14:textId="30521851" w:rsidR="00D2703A" w:rsidRPr="00207DC2" w:rsidRDefault="003E440F" w:rsidP="00FB626D">
            <w:pPr>
              <w:pStyle w:val="TableText"/>
              <w:rPr>
                <w:bCs/>
                <w:color w:val="000000"/>
                <w:lang w:val="en-AU"/>
              </w:rPr>
            </w:pPr>
            <w:r w:rsidRPr="00207DC2">
              <w:rPr>
                <w:lang w:val="en-AU"/>
              </w:rPr>
              <w:t xml:space="preserve">Total </w:t>
            </w:r>
            <w:r w:rsidR="00B712F2" w:rsidRPr="00207DC2">
              <w:rPr>
                <w:lang w:val="en-AU"/>
              </w:rPr>
              <w:t xml:space="preserve">payments </w:t>
            </w:r>
            <w:r w:rsidR="00D2703A" w:rsidRPr="00207DC2">
              <w:rPr>
                <w:lang w:val="en-AU"/>
              </w:rPr>
              <w:t>lost to penalties</w:t>
            </w:r>
          </w:p>
        </w:tc>
        <w:tc>
          <w:tcPr>
            <w:tcW w:w="6236" w:type="dxa"/>
            <w:tcBorders>
              <w:bottom w:val="single" w:sz="8" w:space="0" w:color="auto"/>
            </w:tcBorders>
            <w:vAlign w:val="center"/>
          </w:tcPr>
          <w:p w14:paraId="3485346B" w14:textId="38815182" w:rsidR="00D2703A" w:rsidRPr="00207DC2" w:rsidRDefault="006E4975" w:rsidP="00B24E7D">
            <w:pPr>
              <w:pStyle w:val="TableText"/>
              <w:jc w:val="both"/>
              <w:rPr>
                <w:lang w:val="en-AU"/>
              </w:rPr>
            </w:pPr>
            <w:r w:rsidRPr="00207DC2">
              <w:rPr>
                <w:lang w:val="en-AU"/>
              </w:rPr>
              <w:t xml:space="preserve">Estimated amount of participant’s </w:t>
            </w:r>
            <w:r w:rsidR="00ED0E82" w:rsidRPr="00207DC2">
              <w:rPr>
                <w:lang w:val="en-AU"/>
              </w:rPr>
              <w:t xml:space="preserve">Australian Government </w:t>
            </w:r>
            <w:r w:rsidRPr="00207DC2">
              <w:rPr>
                <w:lang w:val="en-AU"/>
              </w:rPr>
              <w:t>payment</w:t>
            </w:r>
            <w:r w:rsidR="00ED0E82" w:rsidRPr="00207DC2">
              <w:rPr>
                <w:lang w:val="en-AU"/>
              </w:rPr>
              <w:t>s</w:t>
            </w:r>
            <w:r w:rsidRPr="00207DC2">
              <w:rPr>
                <w:lang w:val="en-AU"/>
              </w:rPr>
              <w:t xml:space="preserve"> lost to penalties in 2016. Based on administrative</w:t>
            </w:r>
            <w:r w:rsidR="003E440F" w:rsidRPr="00207DC2">
              <w:rPr>
                <w:lang w:val="en-AU"/>
              </w:rPr>
              <w:t xml:space="preserve"> data on penalty determinations</w:t>
            </w:r>
            <w:r w:rsidR="007234B1" w:rsidRPr="00207DC2">
              <w:rPr>
                <w:lang w:val="en-AU"/>
              </w:rPr>
              <w:t>.</w:t>
            </w:r>
          </w:p>
        </w:tc>
      </w:tr>
    </w:tbl>
    <w:p w14:paraId="1D5D0F1A" w14:textId="77777777" w:rsidR="003F17BA" w:rsidRPr="00207DC2" w:rsidRDefault="003F17BA" w:rsidP="00FB626D">
      <w:pPr>
        <w:jc w:val="both"/>
        <w:rPr>
          <w:lang w:val="en-AU"/>
        </w:rPr>
      </w:pPr>
    </w:p>
    <w:p w14:paraId="161927CC" w14:textId="77777777" w:rsidR="0025705E" w:rsidRPr="00207DC2" w:rsidRDefault="00404559" w:rsidP="00FB626D">
      <w:pPr>
        <w:pStyle w:val="Table"/>
        <w:outlineLvl w:val="9"/>
      </w:pPr>
      <w:r w:rsidRPr="00207DC2">
        <w:t>Table B</w:t>
      </w:r>
      <w:r w:rsidR="0025705E" w:rsidRPr="00207DC2">
        <w:t xml:space="preserve">.2 </w:t>
      </w:r>
      <w:r w:rsidR="004B66A9" w:rsidRPr="00207DC2">
        <w:t>Descriptive statistics</w:t>
      </w:r>
      <w:r w:rsidR="0025705E" w:rsidRPr="00207DC2">
        <w:t xml:space="preserve"> for continuous </w:t>
      </w:r>
      <w:r w:rsidR="00A5070C" w:rsidRPr="00207DC2">
        <w:t xml:space="preserve">CDP </w:t>
      </w:r>
      <w:r w:rsidR="0025705E" w:rsidRPr="00207DC2">
        <w:t>variables</w:t>
      </w:r>
      <w:r w:rsidR="006F4AD5" w:rsidRPr="00207DC2">
        <w:rPr>
          <w:b/>
          <w:vertAlign w:val="superscript"/>
        </w:rPr>
        <w:t>a</w:t>
      </w:r>
    </w:p>
    <w:tbl>
      <w:tblPr>
        <w:tblW w:w="8969" w:type="dxa"/>
        <w:tblInd w:w="103" w:type="dxa"/>
        <w:tblCellMar>
          <w:left w:w="0" w:type="dxa"/>
          <w:right w:w="0" w:type="dxa"/>
        </w:tblCellMar>
        <w:tblLook w:val="04A0" w:firstRow="1" w:lastRow="0" w:firstColumn="1" w:lastColumn="0" w:noHBand="0" w:noVBand="1"/>
        <w:tblCaption w:val="Descriptive statistics for continuous CDP variables"/>
        <w:tblDescription w:val="The table shows means and standard deviations of continuous variables that are used in the regression models of attendance and penalties, by Indigenous status. The last row of the table lists the number of persons included in the modelling dataset, by Indigenous status."/>
      </w:tblPr>
      <w:tblGrid>
        <w:gridCol w:w="4150"/>
        <w:gridCol w:w="1701"/>
        <w:gridCol w:w="1559"/>
        <w:gridCol w:w="1559"/>
      </w:tblGrid>
      <w:tr w:rsidR="006E2083" w:rsidRPr="00207DC2" w14:paraId="724E87AF" w14:textId="77777777" w:rsidTr="00317DDA">
        <w:trPr>
          <w:trHeight w:val="454"/>
          <w:tblHeader/>
        </w:trPr>
        <w:tc>
          <w:tcPr>
            <w:tcW w:w="4150" w:type="dxa"/>
            <w:tcBorders>
              <w:top w:val="single" w:sz="4" w:space="0" w:color="auto"/>
              <w:left w:val="nil"/>
              <w:right w:val="nil"/>
            </w:tcBorders>
            <w:shd w:val="clear" w:color="auto" w:fill="auto"/>
            <w:vAlign w:val="center"/>
          </w:tcPr>
          <w:p w14:paraId="5E187E4C" w14:textId="77777777" w:rsidR="006E2083" w:rsidRPr="00207DC2" w:rsidRDefault="006E2083" w:rsidP="00FB626D">
            <w:pPr>
              <w:pStyle w:val="TableText"/>
              <w:keepNext/>
              <w:keepLines/>
              <w:spacing w:before="0" w:after="0"/>
              <w:ind w:left="142" w:right="142"/>
              <w:rPr>
                <w:b/>
                <w:lang w:val="en-AU"/>
              </w:rPr>
            </w:pPr>
            <w:r w:rsidRPr="00207DC2">
              <w:rPr>
                <w:b/>
                <w:lang w:val="en-AU"/>
              </w:rPr>
              <w:t>Variable</w:t>
            </w:r>
          </w:p>
        </w:tc>
        <w:tc>
          <w:tcPr>
            <w:tcW w:w="1701" w:type="dxa"/>
            <w:tcBorders>
              <w:top w:val="single" w:sz="8" w:space="0" w:color="auto"/>
              <w:left w:val="nil"/>
              <w:bottom w:val="dashSmallGap" w:sz="4" w:space="0" w:color="auto"/>
              <w:right w:val="nil"/>
            </w:tcBorders>
            <w:shd w:val="clear" w:color="auto" w:fill="auto"/>
            <w:tcMar>
              <w:top w:w="0" w:type="dxa"/>
              <w:left w:w="108" w:type="dxa"/>
              <w:bottom w:w="0" w:type="dxa"/>
              <w:right w:w="108" w:type="dxa"/>
            </w:tcMar>
            <w:vAlign w:val="center"/>
            <w:hideMark/>
          </w:tcPr>
          <w:p w14:paraId="6CB2047F" w14:textId="77777777" w:rsidR="006E2083" w:rsidRPr="00207DC2" w:rsidRDefault="006E2083" w:rsidP="00281CF6">
            <w:pPr>
              <w:pStyle w:val="TableText"/>
              <w:keepNext/>
              <w:keepLines/>
              <w:spacing w:before="0" w:after="0"/>
              <w:ind w:left="142" w:right="142"/>
              <w:rPr>
                <w:b/>
                <w:lang w:val="en-AU"/>
              </w:rPr>
            </w:pPr>
            <w:r w:rsidRPr="00207DC2">
              <w:rPr>
                <w:b/>
                <w:lang w:val="en-AU"/>
              </w:rPr>
              <w:t>Indigenous</w:t>
            </w:r>
          </w:p>
        </w:tc>
        <w:tc>
          <w:tcPr>
            <w:tcW w:w="1559" w:type="dxa"/>
            <w:tcBorders>
              <w:top w:val="single" w:sz="8" w:space="0" w:color="auto"/>
              <w:left w:val="nil"/>
              <w:bottom w:val="dashSmallGap" w:sz="4" w:space="0" w:color="auto"/>
              <w:right w:val="nil"/>
            </w:tcBorders>
            <w:shd w:val="clear" w:color="auto" w:fill="auto"/>
            <w:vAlign w:val="center"/>
          </w:tcPr>
          <w:p w14:paraId="046362A5" w14:textId="77777777" w:rsidR="006E2083" w:rsidRPr="00207DC2" w:rsidRDefault="006E2083" w:rsidP="00281CF6">
            <w:pPr>
              <w:pStyle w:val="TableText"/>
              <w:keepNext/>
              <w:keepLines/>
              <w:spacing w:before="0" w:after="0"/>
              <w:ind w:left="142" w:right="142"/>
              <w:rPr>
                <w:b/>
                <w:lang w:val="en-AU"/>
              </w:rPr>
            </w:pPr>
            <w:r w:rsidRPr="00207DC2">
              <w:rPr>
                <w:b/>
                <w:lang w:val="en-AU"/>
              </w:rPr>
              <w:t>Non-Indigenous</w:t>
            </w:r>
          </w:p>
        </w:tc>
        <w:tc>
          <w:tcPr>
            <w:tcW w:w="1559" w:type="dxa"/>
            <w:tcBorders>
              <w:top w:val="single" w:sz="8" w:space="0" w:color="auto"/>
              <w:left w:val="nil"/>
              <w:bottom w:val="dashSmallGap" w:sz="4" w:space="0" w:color="auto"/>
              <w:right w:val="nil"/>
            </w:tcBorders>
            <w:shd w:val="clear" w:color="auto" w:fill="auto"/>
            <w:vAlign w:val="center"/>
          </w:tcPr>
          <w:p w14:paraId="73CBF3A2" w14:textId="77777777" w:rsidR="006E2083" w:rsidRPr="00207DC2" w:rsidRDefault="006E2083" w:rsidP="00281CF6">
            <w:pPr>
              <w:pStyle w:val="TableText"/>
              <w:keepNext/>
              <w:keepLines/>
              <w:spacing w:before="0" w:after="0"/>
              <w:ind w:left="142" w:right="142"/>
              <w:rPr>
                <w:b/>
                <w:lang w:val="en-AU"/>
              </w:rPr>
            </w:pPr>
            <w:r w:rsidRPr="00207DC2">
              <w:rPr>
                <w:b/>
                <w:lang w:val="en-AU"/>
              </w:rPr>
              <w:t>All persons</w:t>
            </w:r>
          </w:p>
        </w:tc>
      </w:tr>
      <w:tr w:rsidR="00FF1A19" w:rsidRPr="00207DC2" w14:paraId="028587F0" w14:textId="77777777" w:rsidTr="00317DDA">
        <w:trPr>
          <w:trHeight w:val="300"/>
        </w:trPr>
        <w:tc>
          <w:tcPr>
            <w:tcW w:w="4150" w:type="dxa"/>
            <w:tcBorders>
              <w:bottom w:val="single" w:sz="4" w:space="0" w:color="auto"/>
            </w:tcBorders>
            <w:shd w:val="clear" w:color="auto" w:fill="auto"/>
          </w:tcPr>
          <w:p w14:paraId="49B82BE6" w14:textId="77777777" w:rsidR="00FF1A19" w:rsidRPr="00207DC2" w:rsidRDefault="00FF1A19" w:rsidP="00FB626D">
            <w:pPr>
              <w:pStyle w:val="TableText"/>
              <w:keepNext/>
              <w:keepLines/>
              <w:spacing w:before="0" w:after="0"/>
              <w:ind w:left="142" w:right="142"/>
              <w:rPr>
                <w:lang w:val="en-AU"/>
              </w:rPr>
            </w:pPr>
          </w:p>
        </w:tc>
        <w:tc>
          <w:tcPr>
            <w:tcW w:w="1701" w:type="dxa"/>
            <w:tcBorders>
              <w:top w:val="dashSmallGap" w:sz="4" w:space="0" w:color="auto"/>
              <w:bottom w:val="single" w:sz="4" w:space="0" w:color="auto"/>
            </w:tcBorders>
            <w:shd w:val="clear" w:color="auto" w:fill="auto"/>
            <w:noWrap/>
            <w:tcMar>
              <w:top w:w="0" w:type="dxa"/>
              <w:left w:w="108" w:type="dxa"/>
              <w:bottom w:w="0" w:type="dxa"/>
              <w:right w:w="108" w:type="dxa"/>
            </w:tcMar>
          </w:tcPr>
          <w:p w14:paraId="397902FA" w14:textId="77777777" w:rsidR="00FF1A19" w:rsidRPr="00207DC2" w:rsidRDefault="00FF1A19" w:rsidP="00FB626D">
            <w:pPr>
              <w:pStyle w:val="TableText"/>
              <w:keepNext/>
              <w:keepLines/>
              <w:spacing w:before="0" w:after="0"/>
              <w:ind w:left="142" w:right="142"/>
              <w:jc w:val="right"/>
              <w:rPr>
                <w:b/>
                <w:lang w:val="en-AU"/>
              </w:rPr>
            </w:pPr>
            <w:r w:rsidRPr="00207DC2">
              <w:rPr>
                <w:b/>
                <w:lang w:val="en-AU"/>
              </w:rPr>
              <w:t>Mean (s.d.)</w:t>
            </w:r>
          </w:p>
        </w:tc>
        <w:tc>
          <w:tcPr>
            <w:tcW w:w="1559" w:type="dxa"/>
            <w:tcBorders>
              <w:top w:val="dashSmallGap" w:sz="4" w:space="0" w:color="auto"/>
              <w:bottom w:val="single" w:sz="4" w:space="0" w:color="auto"/>
            </w:tcBorders>
            <w:shd w:val="clear" w:color="auto" w:fill="auto"/>
          </w:tcPr>
          <w:p w14:paraId="7274044A" w14:textId="77777777" w:rsidR="00FF1A19" w:rsidRPr="00207DC2" w:rsidRDefault="00FF1A19" w:rsidP="00FB626D">
            <w:pPr>
              <w:pStyle w:val="TableText"/>
              <w:keepNext/>
              <w:keepLines/>
              <w:spacing w:before="0" w:after="0"/>
              <w:ind w:left="142" w:right="142"/>
              <w:jc w:val="right"/>
              <w:rPr>
                <w:b/>
                <w:lang w:val="en-AU"/>
              </w:rPr>
            </w:pPr>
            <w:r w:rsidRPr="00207DC2">
              <w:rPr>
                <w:b/>
                <w:lang w:val="en-AU"/>
              </w:rPr>
              <w:t>Mean (s.d.)</w:t>
            </w:r>
          </w:p>
        </w:tc>
        <w:tc>
          <w:tcPr>
            <w:tcW w:w="1559" w:type="dxa"/>
            <w:tcBorders>
              <w:top w:val="dashSmallGap" w:sz="4" w:space="0" w:color="auto"/>
              <w:bottom w:val="single" w:sz="4" w:space="0" w:color="auto"/>
            </w:tcBorders>
            <w:shd w:val="clear" w:color="auto" w:fill="auto"/>
          </w:tcPr>
          <w:p w14:paraId="67D5720F" w14:textId="77777777" w:rsidR="00FF1A19" w:rsidRPr="00207DC2" w:rsidRDefault="00FF1A19" w:rsidP="00FB626D">
            <w:pPr>
              <w:pStyle w:val="TableText"/>
              <w:keepNext/>
              <w:keepLines/>
              <w:spacing w:before="0" w:after="0"/>
              <w:ind w:left="142" w:right="142"/>
              <w:jc w:val="right"/>
              <w:rPr>
                <w:b/>
                <w:lang w:val="en-AU"/>
              </w:rPr>
            </w:pPr>
            <w:r w:rsidRPr="00207DC2">
              <w:rPr>
                <w:b/>
                <w:lang w:val="en-AU"/>
              </w:rPr>
              <w:t>Mean (s.d.)</w:t>
            </w:r>
          </w:p>
        </w:tc>
      </w:tr>
      <w:tr w:rsidR="00E70F41" w:rsidRPr="00207DC2" w14:paraId="0CE4E905" w14:textId="77777777" w:rsidTr="00317DDA">
        <w:trPr>
          <w:trHeight w:val="300"/>
        </w:trPr>
        <w:tc>
          <w:tcPr>
            <w:tcW w:w="4150" w:type="dxa"/>
            <w:tcBorders>
              <w:top w:val="single" w:sz="4" w:space="0" w:color="auto"/>
            </w:tcBorders>
            <w:shd w:val="clear" w:color="auto" w:fill="auto"/>
          </w:tcPr>
          <w:p w14:paraId="57BCB789" w14:textId="77777777" w:rsidR="00E70F41" w:rsidRPr="00207DC2" w:rsidRDefault="00E70F41" w:rsidP="00FB626D">
            <w:pPr>
              <w:pStyle w:val="TableText"/>
              <w:keepNext/>
              <w:keepLines/>
              <w:spacing w:before="0" w:after="0"/>
              <w:ind w:left="142" w:right="142"/>
              <w:rPr>
                <w:lang w:val="en-AU"/>
              </w:rPr>
            </w:pPr>
            <w:r w:rsidRPr="00207DC2">
              <w:rPr>
                <w:lang w:val="en-AU"/>
              </w:rPr>
              <w:t>Proportion of records attended</w:t>
            </w:r>
          </w:p>
        </w:tc>
        <w:tc>
          <w:tcPr>
            <w:tcW w:w="1701" w:type="dxa"/>
            <w:tcBorders>
              <w:top w:val="single" w:sz="4" w:space="0" w:color="auto"/>
            </w:tcBorders>
            <w:shd w:val="clear" w:color="auto" w:fill="auto"/>
            <w:noWrap/>
            <w:tcMar>
              <w:top w:w="0" w:type="dxa"/>
              <w:left w:w="108" w:type="dxa"/>
              <w:bottom w:w="0" w:type="dxa"/>
              <w:right w:w="108" w:type="dxa"/>
            </w:tcMar>
          </w:tcPr>
          <w:p w14:paraId="7DD9E932" w14:textId="77777777" w:rsidR="00E70F41" w:rsidRPr="00207DC2" w:rsidRDefault="00E70F41" w:rsidP="00FB626D">
            <w:pPr>
              <w:pStyle w:val="TableText"/>
              <w:keepNext/>
              <w:keepLines/>
              <w:spacing w:before="0" w:after="0"/>
              <w:ind w:left="142" w:right="142"/>
              <w:jc w:val="center"/>
              <w:rPr>
                <w:lang w:val="en-AU"/>
              </w:rPr>
            </w:pPr>
            <w:r w:rsidRPr="00207DC2">
              <w:rPr>
                <w:lang w:val="en-AU"/>
              </w:rPr>
              <w:t>35 (27)</w:t>
            </w:r>
          </w:p>
        </w:tc>
        <w:tc>
          <w:tcPr>
            <w:tcW w:w="1559" w:type="dxa"/>
            <w:tcBorders>
              <w:top w:val="single" w:sz="4" w:space="0" w:color="auto"/>
            </w:tcBorders>
            <w:shd w:val="clear" w:color="auto" w:fill="auto"/>
          </w:tcPr>
          <w:p w14:paraId="2BD41F9F" w14:textId="77777777" w:rsidR="00E70F41" w:rsidRPr="00207DC2" w:rsidRDefault="00E70F41" w:rsidP="00FB626D">
            <w:pPr>
              <w:pStyle w:val="TableText"/>
              <w:keepNext/>
              <w:keepLines/>
              <w:spacing w:before="0" w:after="0"/>
              <w:ind w:left="142" w:right="142"/>
              <w:jc w:val="center"/>
              <w:rPr>
                <w:lang w:val="en-AU"/>
              </w:rPr>
            </w:pPr>
            <w:r w:rsidRPr="00207DC2">
              <w:rPr>
                <w:lang w:val="en-AU"/>
              </w:rPr>
              <w:t>37 (35)</w:t>
            </w:r>
          </w:p>
        </w:tc>
        <w:tc>
          <w:tcPr>
            <w:tcW w:w="1559" w:type="dxa"/>
            <w:tcBorders>
              <w:top w:val="single" w:sz="4" w:space="0" w:color="auto"/>
            </w:tcBorders>
            <w:shd w:val="clear" w:color="auto" w:fill="auto"/>
          </w:tcPr>
          <w:p w14:paraId="03CDE55E" w14:textId="77777777" w:rsidR="00E70F41" w:rsidRPr="00207DC2" w:rsidRDefault="00E70F41" w:rsidP="00FB626D">
            <w:pPr>
              <w:pStyle w:val="TableText"/>
              <w:keepNext/>
              <w:keepLines/>
              <w:spacing w:before="0" w:after="0"/>
              <w:ind w:left="142" w:right="142"/>
              <w:jc w:val="center"/>
              <w:rPr>
                <w:lang w:val="en-AU"/>
              </w:rPr>
            </w:pPr>
            <w:r w:rsidRPr="00207DC2">
              <w:rPr>
                <w:lang w:val="en-AU"/>
              </w:rPr>
              <w:t>35 (28)</w:t>
            </w:r>
          </w:p>
        </w:tc>
      </w:tr>
      <w:tr w:rsidR="00E70F41" w:rsidRPr="00207DC2" w14:paraId="7846101D" w14:textId="77777777" w:rsidTr="00317DDA">
        <w:trPr>
          <w:trHeight w:val="300"/>
        </w:trPr>
        <w:tc>
          <w:tcPr>
            <w:tcW w:w="4150" w:type="dxa"/>
            <w:shd w:val="clear" w:color="auto" w:fill="auto"/>
          </w:tcPr>
          <w:p w14:paraId="44CC1C30" w14:textId="77777777" w:rsidR="00E70F41" w:rsidRPr="00207DC2" w:rsidRDefault="00E70F41" w:rsidP="00FB626D">
            <w:pPr>
              <w:pStyle w:val="TableText"/>
              <w:keepNext/>
              <w:keepLines/>
              <w:spacing w:before="0" w:after="0"/>
              <w:ind w:left="142" w:right="142"/>
              <w:rPr>
                <w:lang w:val="en-AU"/>
              </w:rPr>
            </w:pPr>
            <w:r w:rsidRPr="00207DC2">
              <w:rPr>
                <w:lang w:val="en-AU"/>
              </w:rPr>
              <w:t>Proportion of records DNAI</w:t>
            </w:r>
          </w:p>
        </w:tc>
        <w:tc>
          <w:tcPr>
            <w:tcW w:w="1701" w:type="dxa"/>
            <w:shd w:val="clear" w:color="auto" w:fill="auto"/>
            <w:noWrap/>
            <w:tcMar>
              <w:top w:w="0" w:type="dxa"/>
              <w:left w:w="108" w:type="dxa"/>
              <w:bottom w:w="0" w:type="dxa"/>
              <w:right w:w="108" w:type="dxa"/>
            </w:tcMar>
          </w:tcPr>
          <w:p w14:paraId="65624031" w14:textId="77777777" w:rsidR="00E70F41" w:rsidRPr="00207DC2" w:rsidRDefault="00E70F41" w:rsidP="00FB626D">
            <w:pPr>
              <w:pStyle w:val="TableText"/>
              <w:keepNext/>
              <w:keepLines/>
              <w:spacing w:before="0" w:after="0"/>
              <w:ind w:left="142" w:right="142"/>
              <w:jc w:val="center"/>
              <w:rPr>
                <w:lang w:val="en-AU"/>
              </w:rPr>
            </w:pPr>
            <w:r w:rsidRPr="00207DC2">
              <w:rPr>
                <w:lang w:val="en-AU"/>
              </w:rPr>
              <w:t>24 (23)</w:t>
            </w:r>
          </w:p>
        </w:tc>
        <w:tc>
          <w:tcPr>
            <w:tcW w:w="1559" w:type="dxa"/>
            <w:shd w:val="clear" w:color="auto" w:fill="auto"/>
          </w:tcPr>
          <w:p w14:paraId="05458114" w14:textId="77777777" w:rsidR="00E70F41" w:rsidRPr="00207DC2" w:rsidRDefault="00E70F41" w:rsidP="00FB626D">
            <w:pPr>
              <w:pStyle w:val="TableText"/>
              <w:keepNext/>
              <w:keepLines/>
              <w:spacing w:before="0" w:after="0"/>
              <w:ind w:left="142" w:right="142"/>
              <w:jc w:val="center"/>
              <w:rPr>
                <w:lang w:val="en-AU"/>
              </w:rPr>
            </w:pPr>
            <w:r w:rsidRPr="00207DC2">
              <w:rPr>
                <w:lang w:val="en-AU"/>
              </w:rPr>
              <w:t>11 (20)</w:t>
            </w:r>
          </w:p>
        </w:tc>
        <w:tc>
          <w:tcPr>
            <w:tcW w:w="1559" w:type="dxa"/>
            <w:shd w:val="clear" w:color="auto" w:fill="auto"/>
          </w:tcPr>
          <w:p w14:paraId="5675979C" w14:textId="77777777" w:rsidR="00E70F41" w:rsidRPr="00207DC2" w:rsidRDefault="00E70F41" w:rsidP="00FB626D">
            <w:pPr>
              <w:pStyle w:val="TableText"/>
              <w:keepNext/>
              <w:keepLines/>
              <w:spacing w:before="0" w:after="0"/>
              <w:ind w:left="142" w:right="142"/>
              <w:jc w:val="center"/>
              <w:rPr>
                <w:lang w:val="en-AU"/>
              </w:rPr>
            </w:pPr>
            <w:r w:rsidRPr="00207DC2">
              <w:rPr>
                <w:lang w:val="en-AU"/>
              </w:rPr>
              <w:t>23 (23)</w:t>
            </w:r>
          </w:p>
        </w:tc>
      </w:tr>
      <w:tr w:rsidR="00E70F41" w:rsidRPr="00207DC2" w14:paraId="39E9E26D" w14:textId="77777777" w:rsidTr="00317DDA">
        <w:trPr>
          <w:trHeight w:val="300"/>
        </w:trPr>
        <w:tc>
          <w:tcPr>
            <w:tcW w:w="4150" w:type="dxa"/>
            <w:shd w:val="clear" w:color="auto" w:fill="auto"/>
          </w:tcPr>
          <w:p w14:paraId="32E51D93" w14:textId="77777777" w:rsidR="00E70F41" w:rsidRPr="00207DC2" w:rsidRDefault="00E70F41" w:rsidP="00FB626D">
            <w:pPr>
              <w:pStyle w:val="TableText"/>
              <w:keepNext/>
              <w:keepLines/>
              <w:spacing w:before="0" w:after="0"/>
              <w:ind w:left="142" w:right="142"/>
              <w:rPr>
                <w:lang w:val="en-AU"/>
              </w:rPr>
            </w:pPr>
            <w:r w:rsidRPr="00207DC2">
              <w:rPr>
                <w:lang w:val="en-AU"/>
              </w:rPr>
              <w:t>Total value lost to penalties ($)</w:t>
            </w:r>
          </w:p>
        </w:tc>
        <w:tc>
          <w:tcPr>
            <w:tcW w:w="1701" w:type="dxa"/>
            <w:shd w:val="clear" w:color="auto" w:fill="auto"/>
            <w:noWrap/>
            <w:tcMar>
              <w:top w:w="0" w:type="dxa"/>
              <w:left w:w="108" w:type="dxa"/>
              <w:bottom w:w="0" w:type="dxa"/>
              <w:right w:w="108" w:type="dxa"/>
            </w:tcMar>
          </w:tcPr>
          <w:p w14:paraId="1AAC5FC1" w14:textId="77777777" w:rsidR="00E70F41" w:rsidRPr="00207DC2" w:rsidRDefault="00E70F41" w:rsidP="00FB626D">
            <w:pPr>
              <w:pStyle w:val="TableText"/>
              <w:keepNext/>
              <w:keepLines/>
              <w:spacing w:before="0" w:after="0"/>
              <w:ind w:left="142" w:right="142"/>
              <w:jc w:val="center"/>
              <w:rPr>
                <w:lang w:val="en-AU"/>
              </w:rPr>
            </w:pPr>
            <w:r w:rsidRPr="00207DC2">
              <w:rPr>
                <w:lang w:val="en-AU"/>
              </w:rPr>
              <w:t>942 (1</w:t>
            </w:r>
            <w:r w:rsidR="00317DDA" w:rsidRPr="00207DC2">
              <w:rPr>
                <w:lang w:val="en-AU"/>
              </w:rPr>
              <w:t>,</w:t>
            </w:r>
            <w:r w:rsidRPr="00207DC2">
              <w:rPr>
                <w:lang w:val="en-AU"/>
              </w:rPr>
              <w:t>141)</w:t>
            </w:r>
          </w:p>
        </w:tc>
        <w:tc>
          <w:tcPr>
            <w:tcW w:w="1559" w:type="dxa"/>
            <w:shd w:val="clear" w:color="auto" w:fill="auto"/>
          </w:tcPr>
          <w:p w14:paraId="61E2304D" w14:textId="77777777" w:rsidR="00E70F41" w:rsidRPr="00207DC2" w:rsidRDefault="00E70F41" w:rsidP="00FB626D">
            <w:pPr>
              <w:pStyle w:val="TableText"/>
              <w:keepNext/>
              <w:keepLines/>
              <w:spacing w:before="0" w:after="0"/>
              <w:ind w:left="142" w:right="142"/>
              <w:jc w:val="center"/>
              <w:rPr>
                <w:lang w:val="en-AU"/>
              </w:rPr>
            </w:pPr>
            <w:r w:rsidRPr="00207DC2">
              <w:rPr>
                <w:lang w:val="en-AU"/>
              </w:rPr>
              <w:t>337 (575)</w:t>
            </w:r>
          </w:p>
        </w:tc>
        <w:tc>
          <w:tcPr>
            <w:tcW w:w="1559" w:type="dxa"/>
            <w:shd w:val="clear" w:color="auto" w:fill="auto"/>
          </w:tcPr>
          <w:p w14:paraId="3D63D4DC" w14:textId="77777777" w:rsidR="00E70F41" w:rsidRPr="00207DC2" w:rsidRDefault="00E70F41" w:rsidP="00FB626D">
            <w:pPr>
              <w:pStyle w:val="TableText"/>
              <w:keepNext/>
              <w:keepLines/>
              <w:spacing w:before="0" w:after="0"/>
              <w:ind w:left="142" w:right="142"/>
              <w:jc w:val="center"/>
              <w:rPr>
                <w:lang w:val="en-AU"/>
              </w:rPr>
            </w:pPr>
            <w:r w:rsidRPr="00207DC2">
              <w:rPr>
                <w:lang w:val="en-AU"/>
              </w:rPr>
              <w:t>915 (1</w:t>
            </w:r>
            <w:r w:rsidR="00317DDA" w:rsidRPr="00207DC2">
              <w:rPr>
                <w:lang w:val="en-AU"/>
              </w:rPr>
              <w:t>,</w:t>
            </w:r>
            <w:r w:rsidRPr="00207DC2">
              <w:rPr>
                <w:lang w:val="en-AU"/>
              </w:rPr>
              <w:t>129)</w:t>
            </w:r>
          </w:p>
        </w:tc>
      </w:tr>
      <w:tr w:rsidR="00E70F41" w:rsidRPr="00207DC2" w14:paraId="4CDE39B8" w14:textId="77777777" w:rsidTr="00317DDA">
        <w:trPr>
          <w:trHeight w:val="300"/>
        </w:trPr>
        <w:tc>
          <w:tcPr>
            <w:tcW w:w="4150" w:type="dxa"/>
            <w:shd w:val="clear" w:color="auto" w:fill="auto"/>
          </w:tcPr>
          <w:p w14:paraId="5CA035A7" w14:textId="77777777" w:rsidR="00E70F41" w:rsidRPr="00207DC2" w:rsidRDefault="00E70F41" w:rsidP="00FB626D">
            <w:pPr>
              <w:pStyle w:val="TableText"/>
              <w:keepNext/>
              <w:keepLines/>
              <w:spacing w:before="0" w:after="0"/>
              <w:ind w:left="142" w:right="142"/>
              <w:rPr>
                <w:lang w:val="en-AU"/>
              </w:rPr>
            </w:pPr>
            <w:r w:rsidRPr="00207DC2">
              <w:rPr>
                <w:lang w:val="en-AU"/>
              </w:rPr>
              <w:t>Age (years)</w:t>
            </w:r>
          </w:p>
        </w:tc>
        <w:tc>
          <w:tcPr>
            <w:tcW w:w="1701" w:type="dxa"/>
            <w:shd w:val="clear" w:color="auto" w:fill="auto"/>
            <w:noWrap/>
            <w:tcMar>
              <w:top w:w="0" w:type="dxa"/>
              <w:left w:w="108" w:type="dxa"/>
              <w:bottom w:w="0" w:type="dxa"/>
              <w:right w:w="108" w:type="dxa"/>
            </w:tcMar>
          </w:tcPr>
          <w:p w14:paraId="09374181" w14:textId="77777777" w:rsidR="00E70F41" w:rsidRPr="00207DC2" w:rsidRDefault="00E70F41" w:rsidP="00FB626D">
            <w:pPr>
              <w:pStyle w:val="TableText"/>
              <w:keepNext/>
              <w:keepLines/>
              <w:spacing w:before="0" w:after="0"/>
              <w:ind w:left="142" w:right="142"/>
              <w:jc w:val="center"/>
              <w:rPr>
                <w:lang w:val="en-AU"/>
              </w:rPr>
            </w:pPr>
            <w:r w:rsidRPr="00207DC2">
              <w:rPr>
                <w:lang w:val="en-AU"/>
              </w:rPr>
              <w:t>35 (12)</w:t>
            </w:r>
          </w:p>
        </w:tc>
        <w:tc>
          <w:tcPr>
            <w:tcW w:w="1559" w:type="dxa"/>
            <w:shd w:val="clear" w:color="auto" w:fill="auto"/>
          </w:tcPr>
          <w:p w14:paraId="27D8B2AE" w14:textId="77777777" w:rsidR="00E70F41" w:rsidRPr="00207DC2" w:rsidRDefault="00E70F41" w:rsidP="00FB626D">
            <w:pPr>
              <w:pStyle w:val="TableText"/>
              <w:keepNext/>
              <w:keepLines/>
              <w:spacing w:before="0" w:after="0"/>
              <w:ind w:left="142" w:right="142"/>
              <w:jc w:val="center"/>
              <w:rPr>
                <w:lang w:val="en-AU"/>
              </w:rPr>
            </w:pPr>
            <w:r w:rsidRPr="00207DC2">
              <w:rPr>
                <w:lang w:val="en-AU"/>
              </w:rPr>
              <w:t>43 (14)</w:t>
            </w:r>
          </w:p>
        </w:tc>
        <w:tc>
          <w:tcPr>
            <w:tcW w:w="1559" w:type="dxa"/>
            <w:shd w:val="clear" w:color="auto" w:fill="auto"/>
          </w:tcPr>
          <w:p w14:paraId="3F4B7542" w14:textId="77777777" w:rsidR="00E70F41" w:rsidRPr="00207DC2" w:rsidRDefault="00E70F41" w:rsidP="00FB626D">
            <w:pPr>
              <w:pStyle w:val="TableText"/>
              <w:keepNext/>
              <w:keepLines/>
              <w:spacing w:before="0" w:after="0"/>
              <w:ind w:left="142" w:right="142"/>
              <w:jc w:val="center"/>
              <w:rPr>
                <w:lang w:val="en-AU"/>
              </w:rPr>
            </w:pPr>
            <w:r w:rsidRPr="00207DC2">
              <w:rPr>
                <w:lang w:val="en-AU"/>
              </w:rPr>
              <w:t>36 (12)</w:t>
            </w:r>
          </w:p>
        </w:tc>
      </w:tr>
      <w:tr w:rsidR="00E70F41" w:rsidRPr="00207DC2" w14:paraId="4521D2DB" w14:textId="77777777" w:rsidTr="00317DDA">
        <w:trPr>
          <w:trHeight w:val="300"/>
        </w:trPr>
        <w:tc>
          <w:tcPr>
            <w:tcW w:w="4150" w:type="dxa"/>
            <w:shd w:val="clear" w:color="auto" w:fill="auto"/>
          </w:tcPr>
          <w:p w14:paraId="04593265" w14:textId="77777777" w:rsidR="00E70F41" w:rsidRPr="00207DC2" w:rsidRDefault="00E70F41" w:rsidP="00FB626D">
            <w:pPr>
              <w:pStyle w:val="TableText"/>
              <w:keepNext/>
              <w:keepLines/>
              <w:spacing w:before="0" w:after="0"/>
              <w:ind w:left="142" w:right="142"/>
              <w:rPr>
                <w:lang w:val="en-AU"/>
              </w:rPr>
            </w:pPr>
            <w:r w:rsidRPr="00207DC2">
              <w:rPr>
                <w:lang w:val="en-AU"/>
              </w:rPr>
              <w:t>Duration of unemployment (years)</w:t>
            </w:r>
          </w:p>
        </w:tc>
        <w:tc>
          <w:tcPr>
            <w:tcW w:w="1701" w:type="dxa"/>
            <w:shd w:val="clear" w:color="auto" w:fill="auto"/>
            <w:noWrap/>
            <w:tcMar>
              <w:top w:w="0" w:type="dxa"/>
              <w:left w:w="108" w:type="dxa"/>
              <w:bottom w:w="0" w:type="dxa"/>
              <w:right w:w="108" w:type="dxa"/>
            </w:tcMar>
          </w:tcPr>
          <w:p w14:paraId="6CEF0B67" w14:textId="77777777" w:rsidR="00E70F41" w:rsidRPr="00207DC2" w:rsidRDefault="00E70F41" w:rsidP="00FB626D">
            <w:pPr>
              <w:pStyle w:val="TableText"/>
              <w:keepNext/>
              <w:keepLines/>
              <w:spacing w:before="0" w:after="0"/>
              <w:ind w:left="142" w:right="142"/>
              <w:jc w:val="center"/>
              <w:rPr>
                <w:lang w:val="en-AU"/>
              </w:rPr>
            </w:pPr>
            <w:r w:rsidRPr="00207DC2">
              <w:rPr>
                <w:lang w:val="en-AU"/>
              </w:rPr>
              <w:t>0.4 (0.5)</w:t>
            </w:r>
          </w:p>
        </w:tc>
        <w:tc>
          <w:tcPr>
            <w:tcW w:w="1559" w:type="dxa"/>
            <w:shd w:val="clear" w:color="auto" w:fill="auto"/>
          </w:tcPr>
          <w:p w14:paraId="29956FE5" w14:textId="77777777" w:rsidR="00E70F41" w:rsidRPr="00207DC2" w:rsidRDefault="00E70F41" w:rsidP="00FB626D">
            <w:pPr>
              <w:pStyle w:val="TableText"/>
              <w:keepNext/>
              <w:keepLines/>
              <w:spacing w:before="0" w:after="0"/>
              <w:ind w:left="142" w:right="142"/>
              <w:jc w:val="center"/>
              <w:rPr>
                <w:lang w:val="en-AU"/>
              </w:rPr>
            </w:pPr>
            <w:r w:rsidRPr="00207DC2">
              <w:rPr>
                <w:lang w:val="en-AU"/>
              </w:rPr>
              <w:t>0.2 (0.4)</w:t>
            </w:r>
          </w:p>
        </w:tc>
        <w:tc>
          <w:tcPr>
            <w:tcW w:w="1559" w:type="dxa"/>
            <w:shd w:val="clear" w:color="auto" w:fill="auto"/>
          </w:tcPr>
          <w:p w14:paraId="64F2793C" w14:textId="77777777" w:rsidR="00E70F41" w:rsidRPr="00207DC2" w:rsidRDefault="00E70F41" w:rsidP="00FB626D">
            <w:pPr>
              <w:pStyle w:val="TableText"/>
              <w:keepNext/>
              <w:keepLines/>
              <w:spacing w:before="0" w:after="0"/>
              <w:ind w:left="142" w:right="142"/>
              <w:jc w:val="center"/>
              <w:rPr>
                <w:lang w:val="en-AU"/>
              </w:rPr>
            </w:pPr>
            <w:r w:rsidRPr="00207DC2">
              <w:rPr>
                <w:lang w:val="en-AU"/>
              </w:rPr>
              <w:t>0.4 (0.5)</w:t>
            </w:r>
          </w:p>
        </w:tc>
      </w:tr>
      <w:tr w:rsidR="00E70F41" w:rsidRPr="00207DC2" w14:paraId="22DFCD4B" w14:textId="77777777" w:rsidTr="00317DDA">
        <w:trPr>
          <w:trHeight w:val="300"/>
        </w:trPr>
        <w:tc>
          <w:tcPr>
            <w:tcW w:w="4150" w:type="dxa"/>
            <w:shd w:val="clear" w:color="auto" w:fill="auto"/>
          </w:tcPr>
          <w:p w14:paraId="3DA2F027" w14:textId="4312E312" w:rsidR="00E70F41" w:rsidRPr="00207DC2" w:rsidRDefault="00E70F41" w:rsidP="00FB626D">
            <w:pPr>
              <w:pStyle w:val="TableText"/>
              <w:keepNext/>
              <w:keepLines/>
              <w:spacing w:before="0" w:after="0"/>
              <w:ind w:left="142" w:right="142"/>
              <w:rPr>
                <w:lang w:val="en-AU"/>
              </w:rPr>
            </w:pPr>
            <w:r w:rsidRPr="00207DC2">
              <w:rPr>
                <w:lang w:val="en-AU"/>
              </w:rPr>
              <w:t xml:space="preserve">Total days </w:t>
            </w:r>
            <w:r w:rsidR="007E35CC" w:rsidRPr="00207DC2">
              <w:rPr>
                <w:lang w:val="en-AU"/>
              </w:rPr>
              <w:t>c</w:t>
            </w:r>
            <w:r w:rsidRPr="00207DC2">
              <w:rPr>
                <w:lang w:val="en-AU"/>
              </w:rPr>
              <w:t xml:space="preserve">ommenced </w:t>
            </w:r>
            <w:r w:rsidR="007E35CC" w:rsidRPr="00207DC2">
              <w:rPr>
                <w:lang w:val="en-AU"/>
              </w:rPr>
              <w:t>in the CDP</w:t>
            </w:r>
          </w:p>
        </w:tc>
        <w:tc>
          <w:tcPr>
            <w:tcW w:w="1701" w:type="dxa"/>
            <w:shd w:val="clear" w:color="auto" w:fill="auto"/>
            <w:noWrap/>
            <w:tcMar>
              <w:top w:w="0" w:type="dxa"/>
              <w:left w:w="108" w:type="dxa"/>
              <w:bottom w:w="0" w:type="dxa"/>
              <w:right w:w="108" w:type="dxa"/>
            </w:tcMar>
          </w:tcPr>
          <w:p w14:paraId="2EE3E4C8" w14:textId="77777777" w:rsidR="00E70F41" w:rsidRPr="00207DC2" w:rsidRDefault="00E70F41" w:rsidP="00FB626D">
            <w:pPr>
              <w:pStyle w:val="TableText"/>
              <w:keepNext/>
              <w:keepLines/>
              <w:spacing w:before="0" w:after="0"/>
              <w:ind w:left="142" w:right="142"/>
              <w:jc w:val="center"/>
              <w:rPr>
                <w:lang w:val="en-AU"/>
              </w:rPr>
            </w:pPr>
            <w:r w:rsidRPr="00207DC2">
              <w:rPr>
                <w:lang w:val="en-AU"/>
              </w:rPr>
              <w:t>261 (113)</w:t>
            </w:r>
          </w:p>
        </w:tc>
        <w:tc>
          <w:tcPr>
            <w:tcW w:w="1559" w:type="dxa"/>
            <w:shd w:val="clear" w:color="auto" w:fill="auto"/>
          </w:tcPr>
          <w:p w14:paraId="77CC939C" w14:textId="77777777" w:rsidR="00E70F41" w:rsidRPr="00207DC2" w:rsidRDefault="00E70F41" w:rsidP="00FB626D">
            <w:pPr>
              <w:pStyle w:val="TableText"/>
              <w:keepNext/>
              <w:keepLines/>
              <w:spacing w:before="0" w:after="0"/>
              <w:ind w:left="142" w:right="142"/>
              <w:jc w:val="center"/>
              <w:rPr>
                <w:lang w:val="en-AU"/>
              </w:rPr>
            </w:pPr>
            <w:r w:rsidRPr="00207DC2">
              <w:rPr>
                <w:lang w:val="en-AU"/>
              </w:rPr>
              <w:t>186 (138)</w:t>
            </w:r>
          </w:p>
        </w:tc>
        <w:tc>
          <w:tcPr>
            <w:tcW w:w="1559" w:type="dxa"/>
            <w:shd w:val="clear" w:color="auto" w:fill="auto"/>
          </w:tcPr>
          <w:p w14:paraId="7E47C865" w14:textId="77777777" w:rsidR="00E70F41" w:rsidRPr="00207DC2" w:rsidRDefault="00E70F41" w:rsidP="00FB626D">
            <w:pPr>
              <w:pStyle w:val="TableText"/>
              <w:keepNext/>
              <w:keepLines/>
              <w:spacing w:before="0" w:after="0"/>
              <w:ind w:left="142" w:right="142"/>
              <w:jc w:val="center"/>
              <w:rPr>
                <w:lang w:val="en-AU"/>
              </w:rPr>
            </w:pPr>
            <w:r w:rsidRPr="00207DC2">
              <w:rPr>
                <w:lang w:val="en-AU"/>
              </w:rPr>
              <w:t>248 (121)</w:t>
            </w:r>
          </w:p>
        </w:tc>
      </w:tr>
      <w:tr w:rsidR="00E70F41" w:rsidRPr="00207DC2" w14:paraId="7C26FF29" w14:textId="77777777" w:rsidTr="00317DDA">
        <w:trPr>
          <w:trHeight w:val="300"/>
        </w:trPr>
        <w:tc>
          <w:tcPr>
            <w:tcW w:w="4150" w:type="dxa"/>
            <w:shd w:val="clear" w:color="auto" w:fill="auto"/>
          </w:tcPr>
          <w:p w14:paraId="7ED380CC" w14:textId="77777777" w:rsidR="00E70F41" w:rsidRPr="00207DC2" w:rsidRDefault="00E70F41" w:rsidP="00FB626D">
            <w:pPr>
              <w:pStyle w:val="TableText"/>
              <w:keepNext/>
              <w:keepLines/>
              <w:spacing w:before="0" w:after="0"/>
              <w:ind w:left="142" w:right="142"/>
              <w:rPr>
                <w:lang w:val="en-AU"/>
              </w:rPr>
            </w:pPr>
            <w:r w:rsidRPr="00207DC2">
              <w:rPr>
                <w:lang w:val="en-AU"/>
              </w:rPr>
              <w:t>Remoteness index</w:t>
            </w:r>
          </w:p>
        </w:tc>
        <w:tc>
          <w:tcPr>
            <w:tcW w:w="1701" w:type="dxa"/>
            <w:shd w:val="clear" w:color="auto" w:fill="auto"/>
            <w:noWrap/>
            <w:tcMar>
              <w:top w:w="0" w:type="dxa"/>
              <w:left w:w="108" w:type="dxa"/>
              <w:bottom w:w="0" w:type="dxa"/>
              <w:right w:w="108" w:type="dxa"/>
            </w:tcMar>
          </w:tcPr>
          <w:p w14:paraId="1301080D" w14:textId="77777777" w:rsidR="00E70F41" w:rsidRPr="00207DC2" w:rsidRDefault="00E70F41" w:rsidP="00FB626D">
            <w:pPr>
              <w:pStyle w:val="TableText"/>
              <w:keepNext/>
              <w:keepLines/>
              <w:spacing w:before="0" w:after="0"/>
              <w:ind w:left="142" w:right="142"/>
              <w:jc w:val="center"/>
              <w:rPr>
                <w:lang w:val="en-AU"/>
              </w:rPr>
            </w:pPr>
            <w:r w:rsidRPr="00207DC2">
              <w:rPr>
                <w:lang w:val="en-AU"/>
              </w:rPr>
              <w:t>5.2 (2.1)</w:t>
            </w:r>
          </w:p>
        </w:tc>
        <w:tc>
          <w:tcPr>
            <w:tcW w:w="1559" w:type="dxa"/>
            <w:shd w:val="clear" w:color="auto" w:fill="auto"/>
          </w:tcPr>
          <w:p w14:paraId="299E8A9B" w14:textId="77777777" w:rsidR="00E70F41" w:rsidRPr="00207DC2" w:rsidRDefault="00E70F41" w:rsidP="00FB626D">
            <w:pPr>
              <w:pStyle w:val="TableText"/>
              <w:keepNext/>
              <w:keepLines/>
              <w:spacing w:before="0" w:after="0"/>
              <w:ind w:left="142" w:right="142"/>
              <w:jc w:val="center"/>
              <w:rPr>
                <w:lang w:val="en-AU"/>
              </w:rPr>
            </w:pPr>
            <w:r w:rsidRPr="00207DC2">
              <w:rPr>
                <w:lang w:val="en-AU"/>
              </w:rPr>
              <w:t>3.1 (1.9)</w:t>
            </w:r>
          </w:p>
        </w:tc>
        <w:tc>
          <w:tcPr>
            <w:tcW w:w="1559" w:type="dxa"/>
            <w:shd w:val="clear" w:color="auto" w:fill="auto"/>
          </w:tcPr>
          <w:p w14:paraId="42381268" w14:textId="77777777" w:rsidR="00E70F41" w:rsidRPr="00207DC2" w:rsidRDefault="00E70F41" w:rsidP="00FB626D">
            <w:pPr>
              <w:pStyle w:val="TableText"/>
              <w:keepNext/>
              <w:keepLines/>
              <w:spacing w:before="0" w:after="0"/>
              <w:ind w:left="142" w:right="142"/>
              <w:jc w:val="center"/>
              <w:rPr>
                <w:lang w:val="en-AU"/>
              </w:rPr>
            </w:pPr>
            <w:r w:rsidRPr="00207DC2">
              <w:rPr>
                <w:lang w:val="en-AU"/>
              </w:rPr>
              <w:t>4.8 (2.2)</w:t>
            </w:r>
          </w:p>
        </w:tc>
      </w:tr>
      <w:tr w:rsidR="00E70F41" w:rsidRPr="00207DC2" w14:paraId="51A9922C" w14:textId="77777777" w:rsidTr="00317DDA">
        <w:trPr>
          <w:trHeight w:val="300"/>
        </w:trPr>
        <w:tc>
          <w:tcPr>
            <w:tcW w:w="4150" w:type="dxa"/>
            <w:tcBorders>
              <w:bottom w:val="dashSmallGap" w:sz="4" w:space="0" w:color="auto"/>
            </w:tcBorders>
            <w:shd w:val="clear" w:color="auto" w:fill="auto"/>
            <w:vAlign w:val="center"/>
          </w:tcPr>
          <w:p w14:paraId="7F17D0DC" w14:textId="77777777" w:rsidR="00E70F41" w:rsidRPr="00207DC2" w:rsidRDefault="00E70F41" w:rsidP="00FB626D">
            <w:pPr>
              <w:pStyle w:val="TableText"/>
              <w:keepNext/>
              <w:keepLines/>
              <w:spacing w:before="0" w:after="0"/>
              <w:ind w:left="142" w:right="142"/>
              <w:rPr>
                <w:lang w:val="en-AU"/>
              </w:rPr>
            </w:pPr>
            <w:r w:rsidRPr="00207DC2">
              <w:rPr>
                <w:lang w:val="en-AU"/>
              </w:rPr>
              <w:t>JSCI score</w:t>
            </w:r>
            <w:r w:rsidRPr="00207DC2">
              <w:rPr>
                <w:b/>
                <w:vertAlign w:val="superscript"/>
                <w:lang w:val="en-AU"/>
              </w:rPr>
              <w:t>b</w:t>
            </w:r>
          </w:p>
        </w:tc>
        <w:tc>
          <w:tcPr>
            <w:tcW w:w="1701" w:type="dxa"/>
            <w:tcBorders>
              <w:bottom w:val="dashSmallGap" w:sz="4" w:space="0" w:color="auto"/>
            </w:tcBorders>
            <w:shd w:val="clear" w:color="auto" w:fill="auto"/>
            <w:noWrap/>
            <w:tcMar>
              <w:top w:w="0" w:type="dxa"/>
              <w:left w:w="108" w:type="dxa"/>
              <w:bottom w:w="0" w:type="dxa"/>
              <w:right w:w="108" w:type="dxa"/>
            </w:tcMar>
          </w:tcPr>
          <w:p w14:paraId="4FB4899F" w14:textId="77777777" w:rsidR="00E70F41" w:rsidRPr="00207DC2" w:rsidRDefault="00E70F41" w:rsidP="00FB626D">
            <w:pPr>
              <w:pStyle w:val="TableText"/>
              <w:keepNext/>
              <w:keepLines/>
              <w:spacing w:before="0" w:after="0"/>
              <w:ind w:left="142" w:right="142"/>
              <w:jc w:val="center"/>
              <w:rPr>
                <w:lang w:val="en-AU"/>
              </w:rPr>
            </w:pPr>
            <w:r w:rsidRPr="00207DC2">
              <w:rPr>
                <w:lang w:val="en-AU"/>
              </w:rPr>
              <w:t>37 (10)</w:t>
            </w:r>
          </w:p>
        </w:tc>
        <w:tc>
          <w:tcPr>
            <w:tcW w:w="1559" w:type="dxa"/>
            <w:tcBorders>
              <w:bottom w:val="dashSmallGap" w:sz="4" w:space="0" w:color="auto"/>
            </w:tcBorders>
            <w:shd w:val="clear" w:color="auto" w:fill="auto"/>
          </w:tcPr>
          <w:p w14:paraId="5C1082C9" w14:textId="77777777" w:rsidR="00E70F41" w:rsidRPr="00207DC2" w:rsidRDefault="00E70F41" w:rsidP="00FB626D">
            <w:pPr>
              <w:pStyle w:val="TableText"/>
              <w:keepNext/>
              <w:keepLines/>
              <w:spacing w:before="0" w:after="0"/>
              <w:ind w:left="142" w:right="142"/>
              <w:jc w:val="center"/>
              <w:rPr>
                <w:lang w:val="en-AU"/>
              </w:rPr>
            </w:pPr>
            <w:r w:rsidRPr="00207DC2">
              <w:rPr>
                <w:lang w:val="en-AU"/>
              </w:rPr>
              <w:t>26 (10)</w:t>
            </w:r>
          </w:p>
        </w:tc>
        <w:tc>
          <w:tcPr>
            <w:tcW w:w="1559" w:type="dxa"/>
            <w:tcBorders>
              <w:bottom w:val="dashSmallGap" w:sz="4" w:space="0" w:color="auto"/>
            </w:tcBorders>
            <w:shd w:val="clear" w:color="auto" w:fill="auto"/>
          </w:tcPr>
          <w:p w14:paraId="007633B0" w14:textId="77777777" w:rsidR="00E70F41" w:rsidRPr="00207DC2" w:rsidRDefault="00E70F41" w:rsidP="00FB626D">
            <w:pPr>
              <w:pStyle w:val="TableText"/>
              <w:keepNext/>
              <w:keepLines/>
              <w:spacing w:before="0" w:after="0"/>
              <w:ind w:left="142" w:right="142"/>
              <w:jc w:val="center"/>
              <w:rPr>
                <w:lang w:val="en-AU"/>
              </w:rPr>
            </w:pPr>
            <w:r w:rsidRPr="00207DC2">
              <w:rPr>
                <w:lang w:val="en-AU"/>
              </w:rPr>
              <w:t>35 (11)</w:t>
            </w:r>
          </w:p>
        </w:tc>
      </w:tr>
      <w:tr w:rsidR="00E70F41" w:rsidRPr="00207DC2" w14:paraId="3F7CF074" w14:textId="77777777" w:rsidTr="00317DDA">
        <w:trPr>
          <w:trHeight w:val="300"/>
        </w:trPr>
        <w:tc>
          <w:tcPr>
            <w:tcW w:w="4150" w:type="dxa"/>
            <w:tcBorders>
              <w:top w:val="dashSmallGap" w:sz="4" w:space="0" w:color="auto"/>
              <w:left w:val="nil"/>
              <w:bottom w:val="single" w:sz="8" w:space="0" w:color="auto"/>
              <w:right w:val="nil"/>
            </w:tcBorders>
            <w:shd w:val="clear" w:color="auto" w:fill="auto"/>
            <w:vAlign w:val="center"/>
          </w:tcPr>
          <w:p w14:paraId="71597467" w14:textId="77777777" w:rsidR="00E70F41" w:rsidRPr="00207DC2" w:rsidRDefault="00E70F41" w:rsidP="00FB626D">
            <w:pPr>
              <w:pStyle w:val="TableText"/>
              <w:keepNext/>
              <w:keepLines/>
              <w:spacing w:before="0" w:after="0"/>
              <w:ind w:left="142" w:right="142"/>
              <w:rPr>
                <w:b/>
                <w:color w:val="000000"/>
                <w:lang w:val="en-AU"/>
              </w:rPr>
            </w:pPr>
            <w:r w:rsidRPr="00207DC2">
              <w:rPr>
                <w:b/>
                <w:color w:val="000000"/>
                <w:lang w:val="en-AU"/>
              </w:rPr>
              <w:t>Sample size</w:t>
            </w:r>
          </w:p>
        </w:tc>
        <w:tc>
          <w:tcPr>
            <w:tcW w:w="1701" w:type="dxa"/>
            <w:tcBorders>
              <w:top w:val="dashSmallGap" w:sz="4" w:space="0" w:color="auto"/>
              <w:left w:val="nil"/>
              <w:bottom w:val="single" w:sz="8" w:space="0" w:color="auto"/>
              <w:right w:val="nil"/>
            </w:tcBorders>
            <w:shd w:val="clear" w:color="auto" w:fill="auto"/>
            <w:noWrap/>
            <w:tcMar>
              <w:top w:w="0" w:type="dxa"/>
              <w:left w:w="108" w:type="dxa"/>
              <w:bottom w:w="0" w:type="dxa"/>
              <w:right w:w="108" w:type="dxa"/>
            </w:tcMar>
            <w:vAlign w:val="center"/>
          </w:tcPr>
          <w:p w14:paraId="0FD39798" w14:textId="77777777" w:rsidR="00E70F41" w:rsidRPr="00207DC2" w:rsidRDefault="00E70F41" w:rsidP="00FB626D">
            <w:pPr>
              <w:pStyle w:val="TableText"/>
              <w:keepNext/>
              <w:keepLines/>
              <w:spacing w:before="0" w:after="0"/>
              <w:ind w:left="142" w:right="142"/>
              <w:jc w:val="center"/>
              <w:rPr>
                <w:b/>
                <w:color w:val="000000"/>
                <w:lang w:val="en-AU"/>
              </w:rPr>
            </w:pPr>
            <w:r w:rsidRPr="00207DC2">
              <w:rPr>
                <w:b/>
                <w:lang w:val="en-AU"/>
              </w:rPr>
              <w:t>26,000</w:t>
            </w:r>
          </w:p>
        </w:tc>
        <w:tc>
          <w:tcPr>
            <w:tcW w:w="1559" w:type="dxa"/>
            <w:tcBorders>
              <w:top w:val="dashSmallGap" w:sz="4" w:space="0" w:color="auto"/>
              <w:left w:val="nil"/>
              <w:bottom w:val="single" w:sz="8" w:space="0" w:color="auto"/>
              <w:right w:val="nil"/>
            </w:tcBorders>
            <w:shd w:val="clear" w:color="auto" w:fill="auto"/>
            <w:vAlign w:val="center"/>
          </w:tcPr>
          <w:p w14:paraId="436B6594" w14:textId="77777777" w:rsidR="00E70F41" w:rsidRPr="00207DC2" w:rsidRDefault="00E70F41" w:rsidP="00FB626D">
            <w:pPr>
              <w:pStyle w:val="TableText"/>
              <w:keepNext/>
              <w:keepLines/>
              <w:spacing w:before="0" w:after="0"/>
              <w:ind w:left="142" w:right="142"/>
              <w:jc w:val="center"/>
              <w:rPr>
                <w:b/>
                <w:color w:val="000000"/>
                <w:lang w:val="en-AU"/>
              </w:rPr>
            </w:pPr>
            <w:r w:rsidRPr="00207DC2">
              <w:rPr>
                <w:b/>
                <w:lang w:val="en-AU"/>
              </w:rPr>
              <w:t>5,492</w:t>
            </w:r>
          </w:p>
        </w:tc>
        <w:tc>
          <w:tcPr>
            <w:tcW w:w="1559" w:type="dxa"/>
            <w:tcBorders>
              <w:top w:val="dashSmallGap" w:sz="4" w:space="0" w:color="auto"/>
              <w:left w:val="nil"/>
              <w:bottom w:val="single" w:sz="8" w:space="0" w:color="auto"/>
              <w:right w:val="nil"/>
            </w:tcBorders>
            <w:shd w:val="clear" w:color="auto" w:fill="auto"/>
            <w:vAlign w:val="center"/>
          </w:tcPr>
          <w:p w14:paraId="0A24C3EC" w14:textId="77777777" w:rsidR="00E70F41" w:rsidRPr="00207DC2" w:rsidRDefault="00E70F41" w:rsidP="00FB626D">
            <w:pPr>
              <w:pStyle w:val="TableText"/>
              <w:keepNext/>
              <w:keepLines/>
              <w:spacing w:before="0" w:after="0"/>
              <w:ind w:left="142" w:right="142"/>
              <w:jc w:val="center"/>
              <w:rPr>
                <w:b/>
                <w:color w:val="000000"/>
                <w:lang w:val="en-AU"/>
              </w:rPr>
            </w:pPr>
            <w:r w:rsidRPr="00207DC2">
              <w:rPr>
                <w:b/>
                <w:lang w:val="en-AU"/>
              </w:rPr>
              <w:t>31,492</w:t>
            </w:r>
          </w:p>
        </w:tc>
      </w:tr>
    </w:tbl>
    <w:p w14:paraId="37216310" w14:textId="5ACDF388" w:rsidR="00BE7D5B" w:rsidRPr="00207DC2" w:rsidRDefault="0025705E" w:rsidP="00FB626D">
      <w:pPr>
        <w:pStyle w:val="tablenotes"/>
      </w:pPr>
      <w:r w:rsidRPr="00207DC2">
        <w:t xml:space="preserve">Notes: </w:t>
      </w:r>
      <w:r w:rsidR="006F4AD5" w:rsidRPr="00207DC2">
        <w:t xml:space="preserve">(a) </w:t>
      </w:r>
      <w:r w:rsidRPr="00207DC2">
        <w:t>Means with standard deviation in parentheses.</w:t>
      </w:r>
      <w:r w:rsidR="00C34C99" w:rsidRPr="00207DC2">
        <w:t xml:space="preserve"> Population includes all </w:t>
      </w:r>
      <w:r w:rsidR="006F4AD5" w:rsidRPr="00207DC2">
        <w:t>participants</w:t>
      </w:r>
      <w:r w:rsidR="00C34C99" w:rsidRPr="00207DC2">
        <w:t xml:space="preserve"> registered </w:t>
      </w:r>
      <w:r w:rsidR="006B26C5" w:rsidRPr="00207DC2">
        <w:t>with a</w:t>
      </w:r>
      <w:r w:rsidR="00C34C99" w:rsidRPr="00207DC2">
        <w:t xml:space="preserve"> CDP </w:t>
      </w:r>
      <w:r w:rsidR="006B26C5" w:rsidRPr="00207DC2">
        <w:t>provider</w:t>
      </w:r>
      <w:r w:rsidR="00C34C99" w:rsidRPr="00207DC2">
        <w:t xml:space="preserve"> on 1 January 2016.</w:t>
      </w:r>
      <w:r w:rsidR="006F4AD5" w:rsidRPr="00207DC2">
        <w:t xml:space="preserve"> (b)</w:t>
      </w:r>
      <w:r w:rsidR="007701E1" w:rsidRPr="00207DC2">
        <w:t xml:space="preserve"> </w:t>
      </w:r>
      <w:r w:rsidR="00BE7D5B" w:rsidRPr="00207DC2">
        <w:t>JSCI score was not included in the regressions, as its components were included separately. However it is included here for interest.</w:t>
      </w:r>
    </w:p>
    <w:p w14:paraId="16E23D3F" w14:textId="77777777" w:rsidR="003708F4" w:rsidRPr="00207DC2" w:rsidRDefault="003708F4" w:rsidP="00FB626D">
      <w:pPr>
        <w:pStyle w:val="tablenotes"/>
      </w:pPr>
    </w:p>
    <w:p w14:paraId="00546AF7" w14:textId="77777777" w:rsidR="0002085D" w:rsidRPr="00207DC2" w:rsidRDefault="0002085D" w:rsidP="00B24E7D">
      <w:pPr>
        <w:pStyle w:val="Table"/>
        <w:outlineLvl w:val="9"/>
      </w:pPr>
      <w:r w:rsidRPr="00207DC2">
        <w:t>Table B.</w:t>
      </w:r>
      <w:r w:rsidR="00C860E5" w:rsidRPr="00207DC2">
        <w:t>3</w:t>
      </w:r>
      <w:r w:rsidRPr="00207DC2">
        <w:t xml:space="preserve"> </w:t>
      </w:r>
      <w:r w:rsidR="00C860E5" w:rsidRPr="00207DC2">
        <w:t>Distribution of categorical variables by Indigenous status</w:t>
      </w:r>
      <w:r w:rsidR="004C5702" w:rsidRPr="00207DC2">
        <w:rPr>
          <w:b/>
          <w:vertAlign w:val="superscript"/>
        </w:rPr>
        <w:t>a</w:t>
      </w:r>
    </w:p>
    <w:tbl>
      <w:tblPr>
        <w:tblW w:w="9277" w:type="dxa"/>
        <w:tblInd w:w="-142" w:type="dxa"/>
        <w:tblCellMar>
          <w:left w:w="0" w:type="dxa"/>
          <w:right w:w="0" w:type="dxa"/>
        </w:tblCellMar>
        <w:tblLook w:val="04A0" w:firstRow="1" w:lastRow="0" w:firstColumn="1" w:lastColumn="0" w:noHBand="0" w:noVBand="1"/>
        <w:tblCaption w:val="Distribution of categorical variables by Indigenous status"/>
        <w:tblDescription w:val="The table shows the distribution of categorical variables values that are used in the regression models of attendance and penalties, by Indigenous status. The first column lists the categorical variables. The second column lists the possible values of that categorical variable. The third to fifth columns show the proportion of persons who have each value of that variable, for Indigenous, non-Indigenous, and total participants, respectively. Therefore columns add to 100 per cent within each variable."/>
      </w:tblPr>
      <w:tblGrid>
        <w:gridCol w:w="2291"/>
        <w:gridCol w:w="3760"/>
        <w:gridCol w:w="1141"/>
        <w:gridCol w:w="1320"/>
        <w:gridCol w:w="765"/>
      </w:tblGrid>
      <w:tr w:rsidR="00E70F41" w:rsidRPr="00207DC2" w14:paraId="627BCA44" w14:textId="77777777" w:rsidTr="00B24E7D">
        <w:trPr>
          <w:cantSplit/>
          <w:trHeight w:val="454"/>
          <w:tblHeader/>
        </w:trPr>
        <w:tc>
          <w:tcPr>
            <w:tcW w:w="2291" w:type="dxa"/>
            <w:tcBorders>
              <w:top w:val="single" w:sz="8" w:space="0" w:color="auto"/>
              <w:left w:val="nil"/>
              <w:bottom w:val="single" w:sz="8" w:space="0" w:color="auto"/>
              <w:right w:val="nil"/>
            </w:tcBorders>
            <w:shd w:val="clear" w:color="auto" w:fill="auto"/>
            <w:vAlign w:val="center"/>
          </w:tcPr>
          <w:p w14:paraId="41982760" w14:textId="77777777" w:rsidR="00E70F41" w:rsidRPr="00207DC2" w:rsidRDefault="00E70F41" w:rsidP="00FB626D">
            <w:pPr>
              <w:pStyle w:val="TableText"/>
              <w:spacing w:before="0" w:after="0"/>
              <w:ind w:left="142" w:right="0"/>
              <w:rPr>
                <w:rFonts w:cs="Calibri Light"/>
                <w:b/>
                <w:szCs w:val="20"/>
                <w:lang w:val="en-AU"/>
              </w:rPr>
            </w:pPr>
            <w:r w:rsidRPr="00207DC2">
              <w:rPr>
                <w:rFonts w:cs="Calibri Light"/>
                <w:b/>
                <w:szCs w:val="20"/>
                <w:lang w:val="en-AU"/>
              </w:rPr>
              <w:t>Variable</w:t>
            </w:r>
          </w:p>
        </w:tc>
        <w:tc>
          <w:tcPr>
            <w:tcW w:w="3760" w:type="dxa"/>
            <w:tcBorders>
              <w:top w:val="single" w:sz="8" w:space="0" w:color="auto"/>
              <w:left w:val="nil"/>
              <w:bottom w:val="single" w:sz="8" w:space="0" w:color="auto"/>
              <w:right w:val="nil"/>
            </w:tcBorders>
            <w:shd w:val="clear" w:color="auto" w:fill="auto"/>
            <w:tcMar>
              <w:top w:w="0" w:type="dxa"/>
              <w:left w:w="108" w:type="dxa"/>
              <w:bottom w:w="0" w:type="dxa"/>
              <w:right w:w="108" w:type="dxa"/>
            </w:tcMar>
            <w:vAlign w:val="center"/>
            <w:hideMark/>
          </w:tcPr>
          <w:p w14:paraId="052B56B6" w14:textId="77777777" w:rsidR="00E70F41" w:rsidRPr="00207DC2" w:rsidRDefault="00E70F41" w:rsidP="00FB626D">
            <w:pPr>
              <w:pStyle w:val="TableText"/>
              <w:spacing w:before="0" w:after="0"/>
              <w:ind w:left="142" w:right="0"/>
              <w:rPr>
                <w:rFonts w:cs="Calibri Light"/>
                <w:b/>
                <w:szCs w:val="20"/>
                <w:lang w:val="en-AU"/>
              </w:rPr>
            </w:pPr>
            <w:r w:rsidRPr="00207DC2">
              <w:rPr>
                <w:rFonts w:cs="Calibri Light"/>
                <w:b/>
                <w:szCs w:val="20"/>
                <w:lang w:val="en-AU"/>
              </w:rPr>
              <w:t>Effect value</w:t>
            </w:r>
          </w:p>
        </w:tc>
        <w:tc>
          <w:tcPr>
            <w:tcW w:w="1141" w:type="dxa"/>
            <w:tcBorders>
              <w:top w:val="single" w:sz="8" w:space="0" w:color="auto"/>
              <w:left w:val="nil"/>
              <w:bottom w:val="single" w:sz="8" w:space="0" w:color="auto"/>
              <w:right w:val="nil"/>
            </w:tcBorders>
            <w:shd w:val="clear" w:color="auto" w:fill="auto"/>
            <w:vAlign w:val="center"/>
          </w:tcPr>
          <w:p w14:paraId="6AAA34E5" w14:textId="77777777" w:rsidR="00E70F41" w:rsidRPr="00207DC2" w:rsidRDefault="00E70F41" w:rsidP="00FB626D">
            <w:pPr>
              <w:pStyle w:val="TableText"/>
              <w:spacing w:before="0" w:after="0"/>
              <w:ind w:left="0" w:right="0"/>
              <w:jc w:val="center"/>
              <w:rPr>
                <w:rFonts w:cs="Calibri Light"/>
                <w:b/>
                <w:szCs w:val="20"/>
                <w:lang w:val="en-AU"/>
              </w:rPr>
            </w:pPr>
            <w:r w:rsidRPr="00207DC2">
              <w:rPr>
                <w:rFonts w:cs="Calibri Light"/>
                <w:b/>
                <w:szCs w:val="20"/>
                <w:lang w:val="en-AU"/>
              </w:rPr>
              <w:t>Indigenous (%)</w:t>
            </w:r>
          </w:p>
        </w:tc>
        <w:tc>
          <w:tcPr>
            <w:tcW w:w="1320" w:type="dxa"/>
            <w:tcBorders>
              <w:top w:val="single" w:sz="8" w:space="0" w:color="auto"/>
              <w:left w:val="nil"/>
              <w:bottom w:val="single" w:sz="8" w:space="0" w:color="auto"/>
              <w:right w:val="nil"/>
            </w:tcBorders>
            <w:shd w:val="clear" w:color="auto" w:fill="auto"/>
            <w:vAlign w:val="center"/>
          </w:tcPr>
          <w:p w14:paraId="1EBC188C" w14:textId="77777777" w:rsidR="00E70F41" w:rsidRPr="00207DC2" w:rsidRDefault="00E70F41" w:rsidP="00FB626D">
            <w:pPr>
              <w:pStyle w:val="TableText"/>
              <w:spacing w:before="0" w:after="0"/>
              <w:ind w:left="0" w:right="0"/>
              <w:jc w:val="center"/>
              <w:rPr>
                <w:rFonts w:cs="Calibri Light"/>
                <w:b/>
                <w:szCs w:val="20"/>
                <w:lang w:val="en-AU"/>
              </w:rPr>
            </w:pPr>
            <w:r w:rsidRPr="00207DC2">
              <w:rPr>
                <w:rFonts w:cs="Calibri Light"/>
                <w:b/>
                <w:szCs w:val="20"/>
                <w:lang w:val="en-AU"/>
              </w:rPr>
              <w:t>Non-Indigenous (%)</w:t>
            </w:r>
          </w:p>
        </w:tc>
        <w:tc>
          <w:tcPr>
            <w:tcW w:w="765" w:type="dxa"/>
            <w:tcBorders>
              <w:top w:val="single" w:sz="8" w:space="0" w:color="auto"/>
              <w:left w:val="nil"/>
              <w:bottom w:val="single" w:sz="8" w:space="0" w:color="auto"/>
              <w:right w:val="nil"/>
            </w:tcBorders>
            <w:vAlign w:val="center"/>
          </w:tcPr>
          <w:p w14:paraId="31068728" w14:textId="77777777" w:rsidR="00E70F41" w:rsidRPr="00207DC2" w:rsidRDefault="00E70F41" w:rsidP="00FB626D">
            <w:pPr>
              <w:pStyle w:val="TableText"/>
              <w:spacing w:before="0" w:after="0"/>
              <w:ind w:left="-9" w:right="0" w:firstLine="9"/>
              <w:jc w:val="center"/>
              <w:rPr>
                <w:rFonts w:cs="Calibri Light"/>
                <w:b/>
                <w:szCs w:val="20"/>
                <w:lang w:val="en-AU"/>
              </w:rPr>
            </w:pPr>
            <w:r w:rsidRPr="00207DC2">
              <w:rPr>
                <w:rFonts w:cs="Calibri Light"/>
                <w:b/>
                <w:szCs w:val="20"/>
                <w:lang w:val="en-AU"/>
              </w:rPr>
              <w:t>Total (%)</w:t>
            </w:r>
          </w:p>
        </w:tc>
      </w:tr>
      <w:tr w:rsidR="00E70F41" w:rsidRPr="00207DC2" w14:paraId="36DCF8C8" w14:textId="77777777" w:rsidTr="00B24E7D">
        <w:trPr>
          <w:cantSplit/>
          <w:trHeight w:val="300"/>
        </w:trPr>
        <w:tc>
          <w:tcPr>
            <w:tcW w:w="2291" w:type="dxa"/>
            <w:vMerge w:val="restart"/>
            <w:tcBorders>
              <w:top w:val="single" w:sz="8" w:space="0" w:color="auto"/>
              <w:bottom w:val="single" w:sz="4" w:space="0" w:color="auto"/>
            </w:tcBorders>
            <w:shd w:val="clear" w:color="auto" w:fill="auto"/>
            <w:vAlign w:val="center"/>
          </w:tcPr>
          <w:p w14:paraId="420B9082"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Disability status</w:t>
            </w:r>
          </w:p>
        </w:tc>
        <w:tc>
          <w:tcPr>
            <w:tcW w:w="3760" w:type="dxa"/>
            <w:tcBorders>
              <w:top w:val="single" w:sz="8" w:space="0" w:color="auto"/>
            </w:tcBorders>
            <w:shd w:val="clear" w:color="auto" w:fill="auto"/>
            <w:noWrap/>
            <w:tcMar>
              <w:top w:w="0" w:type="dxa"/>
              <w:left w:w="108" w:type="dxa"/>
              <w:bottom w:w="0" w:type="dxa"/>
              <w:right w:w="108" w:type="dxa"/>
            </w:tcMar>
            <w:vAlign w:val="center"/>
          </w:tcPr>
          <w:p w14:paraId="50B3A417"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Identified support need</w:t>
            </w:r>
          </w:p>
        </w:tc>
        <w:tc>
          <w:tcPr>
            <w:tcW w:w="1141" w:type="dxa"/>
            <w:tcBorders>
              <w:top w:val="single" w:sz="8" w:space="0" w:color="auto"/>
            </w:tcBorders>
            <w:shd w:val="clear" w:color="auto" w:fill="auto"/>
            <w:vAlign w:val="center"/>
          </w:tcPr>
          <w:p w14:paraId="16AAF088"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5</w:t>
            </w:r>
          </w:p>
        </w:tc>
        <w:tc>
          <w:tcPr>
            <w:tcW w:w="1320" w:type="dxa"/>
            <w:tcBorders>
              <w:top w:val="single" w:sz="8" w:space="0" w:color="auto"/>
            </w:tcBorders>
            <w:shd w:val="clear" w:color="auto" w:fill="auto"/>
            <w:vAlign w:val="center"/>
          </w:tcPr>
          <w:p w14:paraId="36DA53A5"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16</w:t>
            </w:r>
          </w:p>
        </w:tc>
        <w:tc>
          <w:tcPr>
            <w:tcW w:w="765" w:type="dxa"/>
            <w:tcBorders>
              <w:top w:val="single" w:sz="8" w:space="0" w:color="auto"/>
            </w:tcBorders>
            <w:vAlign w:val="center"/>
          </w:tcPr>
          <w:p w14:paraId="70C7AA4B"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7</w:t>
            </w:r>
          </w:p>
        </w:tc>
      </w:tr>
      <w:tr w:rsidR="00E70F41" w:rsidRPr="00207DC2" w14:paraId="384A229E" w14:textId="77777777" w:rsidTr="00B24E7D">
        <w:trPr>
          <w:cantSplit/>
          <w:trHeight w:val="300"/>
        </w:trPr>
        <w:tc>
          <w:tcPr>
            <w:tcW w:w="2291" w:type="dxa"/>
            <w:vMerge/>
            <w:tcBorders>
              <w:top w:val="single" w:sz="8" w:space="0" w:color="auto"/>
              <w:bottom w:val="single" w:sz="4" w:space="0" w:color="auto"/>
            </w:tcBorders>
            <w:shd w:val="clear" w:color="auto" w:fill="auto"/>
            <w:vAlign w:val="center"/>
          </w:tcPr>
          <w:p w14:paraId="5640DC1C"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vAlign w:val="center"/>
          </w:tcPr>
          <w:p w14:paraId="1148F4A4"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No need identified</w:t>
            </w:r>
          </w:p>
        </w:tc>
        <w:tc>
          <w:tcPr>
            <w:tcW w:w="1141" w:type="dxa"/>
            <w:shd w:val="clear" w:color="auto" w:fill="auto"/>
            <w:vAlign w:val="center"/>
          </w:tcPr>
          <w:p w14:paraId="36DE0295"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10</w:t>
            </w:r>
          </w:p>
        </w:tc>
        <w:tc>
          <w:tcPr>
            <w:tcW w:w="1320" w:type="dxa"/>
            <w:shd w:val="clear" w:color="auto" w:fill="auto"/>
            <w:vAlign w:val="center"/>
          </w:tcPr>
          <w:p w14:paraId="7E15E125"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16</w:t>
            </w:r>
          </w:p>
        </w:tc>
        <w:tc>
          <w:tcPr>
            <w:tcW w:w="765" w:type="dxa"/>
            <w:vAlign w:val="center"/>
          </w:tcPr>
          <w:p w14:paraId="286B5289"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11</w:t>
            </w:r>
          </w:p>
        </w:tc>
      </w:tr>
      <w:tr w:rsidR="00E70F41" w:rsidRPr="00207DC2" w14:paraId="34D1F7F2"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0F1EE0DE"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2EA5537B"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No disability</w:t>
            </w:r>
          </w:p>
        </w:tc>
        <w:tc>
          <w:tcPr>
            <w:tcW w:w="1141" w:type="dxa"/>
            <w:tcBorders>
              <w:bottom w:val="dashSmallGap" w:sz="4" w:space="0" w:color="auto"/>
            </w:tcBorders>
            <w:shd w:val="clear" w:color="auto" w:fill="auto"/>
            <w:vAlign w:val="center"/>
          </w:tcPr>
          <w:p w14:paraId="17805D51"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85</w:t>
            </w:r>
          </w:p>
        </w:tc>
        <w:tc>
          <w:tcPr>
            <w:tcW w:w="1320" w:type="dxa"/>
            <w:tcBorders>
              <w:bottom w:val="dashSmallGap" w:sz="4" w:space="0" w:color="auto"/>
            </w:tcBorders>
            <w:shd w:val="clear" w:color="auto" w:fill="auto"/>
            <w:vAlign w:val="center"/>
          </w:tcPr>
          <w:p w14:paraId="3288B8C7"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68</w:t>
            </w:r>
          </w:p>
        </w:tc>
        <w:tc>
          <w:tcPr>
            <w:tcW w:w="765" w:type="dxa"/>
            <w:tcBorders>
              <w:bottom w:val="dashSmallGap" w:sz="4" w:space="0" w:color="auto"/>
            </w:tcBorders>
            <w:vAlign w:val="center"/>
          </w:tcPr>
          <w:p w14:paraId="422587A7"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82</w:t>
            </w:r>
          </w:p>
        </w:tc>
      </w:tr>
      <w:tr w:rsidR="00E70F41" w:rsidRPr="00207DC2" w14:paraId="28F791C9"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7621D66D"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English skills</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0B2C19CC"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Good English</w:t>
            </w:r>
          </w:p>
        </w:tc>
        <w:tc>
          <w:tcPr>
            <w:tcW w:w="1141" w:type="dxa"/>
            <w:tcBorders>
              <w:top w:val="dashSmallGap" w:sz="4" w:space="0" w:color="auto"/>
            </w:tcBorders>
            <w:shd w:val="clear" w:color="auto" w:fill="auto"/>
            <w:vAlign w:val="center"/>
          </w:tcPr>
          <w:p w14:paraId="35E666E0"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62</w:t>
            </w:r>
          </w:p>
        </w:tc>
        <w:tc>
          <w:tcPr>
            <w:tcW w:w="1320" w:type="dxa"/>
            <w:tcBorders>
              <w:top w:val="dashSmallGap" w:sz="4" w:space="0" w:color="auto"/>
            </w:tcBorders>
            <w:shd w:val="clear" w:color="auto" w:fill="auto"/>
            <w:vAlign w:val="center"/>
          </w:tcPr>
          <w:p w14:paraId="630568F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90</w:t>
            </w:r>
          </w:p>
        </w:tc>
        <w:tc>
          <w:tcPr>
            <w:tcW w:w="765" w:type="dxa"/>
            <w:tcBorders>
              <w:top w:val="dashSmallGap" w:sz="4" w:space="0" w:color="auto"/>
            </w:tcBorders>
            <w:vAlign w:val="center"/>
          </w:tcPr>
          <w:p w14:paraId="619840B7"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67</w:t>
            </w:r>
          </w:p>
        </w:tc>
      </w:tr>
      <w:tr w:rsidR="00E70F41" w:rsidRPr="00207DC2" w14:paraId="676907C6"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3CA095AD"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779AD686"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Poor/Mixed</w:t>
            </w:r>
          </w:p>
        </w:tc>
        <w:tc>
          <w:tcPr>
            <w:tcW w:w="1141" w:type="dxa"/>
            <w:tcBorders>
              <w:bottom w:val="dashSmallGap" w:sz="4" w:space="0" w:color="auto"/>
            </w:tcBorders>
            <w:shd w:val="clear" w:color="auto" w:fill="auto"/>
            <w:vAlign w:val="center"/>
          </w:tcPr>
          <w:p w14:paraId="0A24DA3B"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38</w:t>
            </w:r>
          </w:p>
        </w:tc>
        <w:tc>
          <w:tcPr>
            <w:tcW w:w="1320" w:type="dxa"/>
            <w:tcBorders>
              <w:bottom w:val="dashSmallGap" w:sz="4" w:space="0" w:color="auto"/>
            </w:tcBorders>
            <w:shd w:val="clear" w:color="auto" w:fill="auto"/>
            <w:vAlign w:val="center"/>
          </w:tcPr>
          <w:p w14:paraId="42D4AD2D"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10</w:t>
            </w:r>
          </w:p>
        </w:tc>
        <w:tc>
          <w:tcPr>
            <w:tcW w:w="765" w:type="dxa"/>
            <w:tcBorders>
              <w:bottom w:val="dashSmallGap" w:sz="4" w:space="0" w:color="auto"/>
            </w:tcBorders>
            <w:vAlign w:val="center"/>
          </w:tcPr>
          <w:p w14:paraId="74046379"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33</w:t>
            </w:r>
          </w:p>
        </w:tc>
      </w:tr>
      <w:tr w:rsidR="00E70F41" w:rsidRPr="00207DC2" w14:paraId="256CEC53"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435C29A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Education level</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41B67C4D"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Below Year 10</w:t>
            </w:r>
          </w:p>
        </w:tc>
        <w:tc>
          <w:tcPr>
            <w:tcW w:w="1141" w:type="dxa"/>
            <w:tcBorders>
              <w:top w:val="dashSmallGap" w:sz="4" w:space="0" w:color="auto"/>
            </w:tcBorders>
            <w:shd w:val="clear" w:color="auto" w:fill="auto"/>
            <w:vAlign w:val="center"/>
          </w:tcPr>
          <w:p w14:paraId="10CB7C41"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28</w:t>
            </w:r>
          </w:p>
        </w:tc>
        <w:tc>
          <w:tcPr>
            <w:tcW w:w="1320" w:type="dxa"/>
            <w:tcBorders>
              <w:top w:val="dashSmallGap" w:sz="4" w:space="0" w:color="auto"/>
            </w:tcBorders>
            <w:shd w:val="clear" w:color="auto" w:fill="auto"/>
            <w:vAlign w:val="center"/>
          </w:tcPr>
          <w:p w14:paraId="696A7AC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12</w:t>
            </w:r>
          </w:p>
        </w:tc>
        <w:tc>
          <w:tcPr>
            <w:tcW w:w="765" w:type="dxa"/>
            <w:tcBorders>
              <w:top w:val="dashSmallGap" w:sz="4" w:space="0" w:color="auto"/>
            </w:tcBorders>
            <w:vAlign w:val="center"/>
          </w:tcPr>
          <w:p w14:paraId="34F4910A"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25</w:t>
            </w:r>
          </w:p>
        </w:tc>
      </w:tr>
      <w:tr w:rsidR="00E70F41" w:rsidRPr="00207DC2" w14:paraId="664E0428" w14:textId="77777777" w:rsidTr="00B24E7D">
        <w:trPr>
          <w:cantSplit/>
          <w:trHeight w:val="300"/>
        </w:trPr>
        <w:tc>
          <w:tcPr>
            <w:tcW w:w="2291" w:type="dxa"/>
            <w:vMerge/>
            <w:tcBorders>
              <w:top w:val="single" w:sz="4" w:space="0" w:color="auto"/>
              <w:bottom w:val="single" w:sz="4" w:space="0" w:color="auto"/>
            </w:tcBorders>
            <w:shd w:val="clear" w:color="auto" w:fill="auto"/>
            <w:vAlign w:val="center"/>
          </w:tcPr>
          <w:p w14:paraId="5EB2EEC3"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vAlign w:val="center"/>
          </w:tcPr>
          <w:p w14:paraId="117E9B0A"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Years 10-11</w:t>
            </w:r>
          </w:p>
        </w:tc>
        <w:tc>
          <w:tcPr>
            <w:tcW w:w="1141" w:type="dxa"/>
            <w:shd w:val="clear" w:color="auto" w:fill="auto"/>
            <w:vAlign w:val="center"/>
          </w:tcPr>
          <w:p w14:paraId="410E8D33"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44</w:t>
            </w:r>
          </w:p>
        </w:tc>
        <w:tc>
          <w:tcPr>
            <w:tcW w:w="1320" w:type="dxa"/>
            <w:shd w:val="clear" w:color="auto" w:fill="auto"/>
            <w:vAlign w:val="center"/>
          </w:tcPr>
          <w:p w14:paraId="664BAAB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36</w:t>
            </w:r>
          </w:p>
        </w:tc>
        <w:tc>
          <w:tcPr>
            <w:tcW w:w="765" w:type="dxa"/>
            <w:vAlign w:val="center"/>
          </w:tcPr>
          <w:p w14:paraId="7FE098AC"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42</w:t>
            </w:r>
          </w:p>
        </w:tc>
      </w:tr>
      <w:tr w:rsidR="00E70F41" w:rsidRPr="00207DC2" w14:paraId="32BAB2B6" w14:textId="77777777" w:rsidTr="00B24E7D">
        <w:trPr>
          <w:cantSplit/>
          <w:trHeight w:val="300"/>
        </w:trPr>
        <w:tc>
          <w:tcPr>
            <w:tcW w:w="2291" w:type="dxa"/>
            <w:vMerge/>
            <w:tcBorders>
              <w:top w:val="single" w:sz="4" w:space="0" w:color="auto"/>
              <w:bottom w:val="single" w:sz="4" w:space="0" w:color="auto"/>
            </w:tcBorders>
            <w:shd w:val="clear" w:color="auto" w:fill="auto"/>
            <w:vAlign w:val="center"/>
          </w:tcPr>
          <w:p w14:paraId="5A024E2B"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vAlign w:val="center"/>
          </w:tcPr>
          <w:p w14:paraId="257DA71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Year 12</w:t>
            </w:r>
          </w:p>
        </w:tc>
        <w:tc>
          <w:tcPr>
            <w:tcW w:w="1141" w:type="dxa"/>
            <w:shd w:val="clear" w:color="auto" w:fill="auto"/>
            <w:vAlign w:val="center"/>
          </w:tcPr>
          <w:p w14:paraId="607F93D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10</w:t>
            </w:r>
          </w:p>
        </w:tc>
        <w:tc>
          <w:tcPr>
            <w:tcW w:w="1320" w:type="dxa"/>
            <w:shd w:val="clear" w:color="auto" w:fill="auto"/>
            <w:vAlign w:val="center"/>
          </w:tcPr>
          <w:p w14:paraId="19577653"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12</w:t>
            </w:r>
          </w:p>
        </w:tc>
        <w:tc>
          <w:tcPr>
            <w:tcW w:w="765" w:type="dxa"/>
            <w:vAlign w:val="center"/>
          </w:tcPr>
          <w:p w14:paraId="4B63121D"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10</w:t>
            </w:r>
          </w:p>
        </w:tc>
      </w:tr>
      <w:tr w:rsidR="00E70F41" w:rsidRPr="00207DC2" w14:paraId="318899B2"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3F66B13B"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61A9F85A"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Trade/Vocational/Diploma/Degree</w:t>
            </w:r>
          </w:p>
        </w:tc>
        <w:tc>
          <w:tcPr>
            <w:tcW w:w="1141" w:type="dxa"/>
            <w:tcBorders>
              <w:bottom w:val="dashSmallGap" w:sz="4" w:space="0" w:color="auto"/>
            </w:tcBorders>
            <w:shd w:val="clear" w:color="auto" w:fill="auto"/>
            <w:vAlign w:val="center"/>
          </w:tcPr>
          <w:p w14:paraId="50A97F51"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19</w:t>
            </w:r>
          </w:p>
        </w:tc>
        <w:tc>
          <w:tcPr>
            <w:tcW w:w="1320" w:type="dxa"/>
            <w:tcBorders>
              <w:bottom w:val="dashSmallGap" w:sz="4" w:space="0" w:color="auto"/>
            </w:tcBorders>
            <w:shd w:val="clear" w:color="auto" w:fill="auto"/>
            <w:vAlign w:val="center"/>
          </w:tcPr>
          <w:p w14:paraId="1186327A"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40</w:t>
            </w:r>
          </w:p>
        </w:tc>
        <w:tc>
          <w:tcPr>
            <w:tcW w:w="765" w:type="dxa"/>
            <w:tcBorders>
              <w:bottom w:val="dashSmallGap" w:sz="4" w:space="0" w:color="auto"/>
            </w:tcBorders>
            <w:vAlign w:val="center"/>
          </w:tcPr>
          <w:p w14:paraId="644B22F2"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22</w:t>
            </w:r>
          </w:p>
        </w:tc>
      </w:tr>
      <w:tr w:rsidR="00E70F41" w:rsidRPr="00207DC2" w14:paraId="32709B91"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607D1E33"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 xml:space="preserve">Criminal history </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3AFC70E1"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Has been convicted or sentenced</w:t>
            </w:r>
          </w:p>
        </w:tc>
        <w:tc>
          <w:tcPr>
            <w:tcW w:w="1141" w:type="dxa"/>
            <w:tcBorders>
              <w:top w:val="dashSmallGap" w:sz="4" w:space="0" w:color="auto"/>
            </w:tcBorders>
            <w:shd w:val="clear" w:color="auto" w:fill="auto"/>
            <w:vAlign w:val="center"/>
          </w:tcPr>
          <w:p w14:paraId="0183463A"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24</w:t>
            </w:r>
          </w:p>
        </w:tc>
        <w:tc>
          <w:tcPr>
            <w:tcW w:w="1320" w:type="dxa"/>
            <w:tcBorders>
              <w:top w:val="dashSmallGap" w:sz="4" w:space="0" w:color="auto"/>
            </w:tcBorders>
            <w:shd w:val="clear" w:color="auto" w:fill="auto"/>
            <w:vAlign w:val="center"/>
          </w:tcPr>
          <w:p w14:paraId="2429D46C"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15</w:t>
            </w:r>
          </w:p>
        </w:tc>
        <w:tc>
          <w:tcPr>
            <w:tcW w:w="765" w:type="dxa"/>
            <w:tcBorders>
              <w:top w:val="dashSmallGap" w:sz="4" w:space="0" w:color="auto"/>
            </w:tcBorders>
            <w:vAlign w:val="center"/>
          </w:tcPr>
          <w:p w14:paraId="73C6F34C"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22</w:t>
            </w:r>
          </w:p>
        </w:tc>
      </w:tr>
      <w:tr w:rsidR="00E70F41" w:rsidRPr="00207DC2" w14:paraId="5D278278"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250CC997"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769E7D5E"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No criminal history</w:t>
            </w:r>
          </w:p>
        </w:tc>
        <w:tc>
          <w:tcPr>
            <w:tcW w:w="1141" w:type="dxa"/>
            <w:tcBorders>
              <w:bottom w:val="dashSmallGap" w:sz="4" w:space="0" w:color="auto"/>
            </w:tcBorders>
            <w:shd w:val="clear" w:color="auto" w:fill="auto"/>
            <w:vAlign w:val="center"/>
          </w:tcPr>
          <w:p w14:paraId="393C8559"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76</w:t>
            </w:r>
          </w:p>
        </w:tc>
        <w:tc>
          <w:tcPr>
            <w:tcW w:w="1320" w:type="dxa"/>
            <w:tcBorders>
              <w:bottom w:val="dashSmallGap" w:sz="4" w:space="0" w:color="auto"/>
            </w:tcBorders>
            <w:shd w:val="clear" w:color="auto" w:fill="auto"/>
            <w:vAlign w:val="center"/>
          </w:tcPr>
          <w:p w14:paraId="61D46718"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85</w:t>
            </w:r>
          </w:p>
        </w:tc>
        <w:tc>
          <w:tcPr>
            <w:tcW w:w="765" w:type="dxa"/>
            <w:tcBorders>
              <w:bottom w:val="dashSmallGap" w:sz="4" w:space="0" w:color="auto"/>
            </w:tcBorders>
            <w:vAlign w:val="center"/>
          </w:tcPr>
          <w:p w14:paraId="2C83F3AA"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78</w:t>
            </w:r>
          </w:p>
        </w:tc>
      </w:tr>
      <w:tr w:rsidR="00E70F41" w:rsidRPr="00207DC2" w14:paraId="5FB0BF73"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4FC51AE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Indigenous status of organisation</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57A5B33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Indigenous</w:t>
            </w:r>
          </w:p>
        </w:tc>
        <w:tc>
          <w:tcPr>
            <w:tcW w:w="1141" w:type="dxa"/>
            <w:tcBorders>
              <w:top w:val="dashSmallGap" w:sz="4" w:space="0" w:color="auto"/>
            </w:tcBorders>
            <w:shd w:val="clear" w:color="auto" w:fill="auto"/>
            <w:vAlign w:val="center"/>
          </w:tcPr>
          <w:p w14:paraId="0AD8E74D"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55</w:t>
            </w:r>
          </w:p>
        </w:tc>
        <w:tc>
          <w:tcPr>
            <w:tcW w:w="1320" w:type="dxa"/>
            <w:tcBorders>
              <w:top w:val="dashSmallGap" w:sz="4" w:space="0" w:color="auto"/>
            </w:tcBorders>
            <w:shd w:val="clear" w:color="auto" w:fill="auto"/>
            <w:vAlign w:val="center"/>
          </w:tcPr>
          <w:p w14:paraId="3E2E2FCB"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35</w:t>
            </w:r>
          </w:p>
        </w:tc>
        <w:tc>
          <w:tcPr>
            <w:tcW w:w="765" w:type="dxa"/>
            <w:tcBorders>
              <w:top w:val="dashSmallGap" w:sz="4" w:space="0" w:color="auto"/>
            </w:tcBorders>
            <w:vAlign w:val="center"/>
          </w:tcPr>
          <w:p w14:paraId="0CEC48C7"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51</w:t>
            </w:r>
          </w:p>
        </w:tc>
      </w:tr>
      <w:tr w:rsidR="00E70F41" w:rsidRPr="00207DC2" w14:paraId="4BBE34EF"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1AAD91B8"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0FBC0BC0"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Non-Indigenous</w:t>
            </w:r>
          </w:p>
        </w:tc>
        <w:tc>
          <w:tcPr>
            <w:tcW w:w="1141" w:type="dxa"/>
            <w:tcBorders>
              <w:bottom w:val="dashSmallGap" w:sz="4" w:space="0" w:color="auto"/>
            </w:tcBorders>
            <w:shd w:val="clear" w:color="auto" w:fill="auto"/>
            <w:vAlign w:val="center"/>
          </w:tcPr>
          <w:p w14:paraId="3C1B784D"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45</w:t>
            </w:r>
          </w:p>
        </w:tc>
        <w:tc>
          <w:tcPr>
            <w:tcW w:w="1320" w:type="dxa"/>
            <w:tcBorders>
              <w:bottom w:val="dashSmallGap" w:sz="4" w:space="0" w:color="auto"/>
            </w:tcBorders>
            <w:shd w:val="clear" w:color="auto" w:fill="auto"/>
            <w:vAlign w:val="center"/>
          </w:tcPr>
          <w:p w14:paraId="04E2FA9E"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65</w:t>
            </w:r>
          </w:p>
        </w:tc>
        <w:tc>
          <w:tcPr>
            <w:tcW w:w="765" w:type="dxa"/>
            <w:tcBorders>
              <w:bottom w:val="dashSmallGap" w:sz="4" w:space="0" w:color="auto"/>
            </w:tcBorders>
            <w:vAlign w:val="center"/>
          </w:tcPr>
          <w:p w14:paraId="12B52E4F"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49</w:t>
            </w:r>
          </w:p>
        </w:tc>
      </w:tr>
      <w:tr w:rsidR="00E70F41" w:rsidRPr="00207DC2" w14:paraId="3AC44579"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5B01A36B"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Gender</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68E71D9B"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Female</w:t>
            </w:r>
          </w:p>
        </w:tc>
        <w:tc>
          <w:tcPr>
            <w:tcW w:w="1141" w:type="dxa"/>
            <w:tcBorders>
              <w:top w:val="dashSmallGap" w:sz="4" w:space="0" w:color="auto"/>
            </w:tcBorders>
            <w:shd w:val="clear" w:color="auto" w:fill="auto"/>
            <w:vAlign w:val="center"/>
          </w:tcPr>
          <w:p w14:paraId="0567A611"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44</w:t>
            </w:r>
          </w:p>
        </w:tc>
        <w:tc>
          <w:tcPr>
            <w:tcW w:w="1320" w:type="dxa"/>
            <w:tcBorders>
              <w:top w:val="dashSmallGap" w:sz="4" w:space="0" w:color="auto"/>
            </w:tcBorders>
            <w:shd w:val="clear" w:color="auto" w:fill="auto"/>
            <w:vAlign w:val="center"/>
          </w:tcPr>
          <w:p w14:paraId="745A9D15"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42</w:t>
            </w:r>
          </w:p>
        </w:tc>
        <w:tc>
          <w:tcPr>
            <w:tcW w:w="765" w:type="dxa"/>
            <w:tcBorders>
              <w:top w:val="dashSmallGap" w:sz="4" w:space="0" w:color="auto"/>
            </w:tcBorders>
            <w:vAlign w:val="center"/>
          </w:tcPr>
          <w:p w14:paraId="534936B3"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43</w:t>
            </w:r>
          </w:p>
        </w:tc>
      </w:tr>
      <w:tr w:rsidR="00E70F41" w:rsidRPr="00207DC2" w14:paraId="1552ACCF"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16AA01A2"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130D730E"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Male</w:t>
            </w:r>
          </w:p>
        </w:tc>
        <w:tc>
          <w:tcPr>
            <w:tcW w:w="1141" w:type="dxa"/>
            <w:tcBorders>
              <w:bottom w:val="dashSmallGap" w:sz="4" w:space="0" w:color="auto"/>
            </w:tcBorders>
            <w:shd w:val="clear" w:color="auto" w:fill="auto"/>
            <w:vAlign w:val="center"/>
          </w:tcPr>
          <w:p w14:paraId="0603935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56</w:t>
            </w:r>
          </w:p>
        </w:tc>
        <w:tc>
          <w:tcPr>
            <w:tcW w:w="1320" w:type="dxa"/>
            <w:tcBorders>
              <w:bottom w:val="dashSmallGap" w:sz="4" w:space="0" w:color="auto"/>
            </w:tcBorders>
            <w:shd w:val="clear" w:color="auto" w:fill="auto"/>
            <w:vAlign w:val="center"/>
          </w:tcPr>
          <w:p w14:paraId="52382D5F"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58</w:t>
            </w:r>
          </w:p>
        </w:tc>
        <w:tc>
          <w:tcPr>
            <w:tcW w:w="765" w:type="dxa"/>
            <w:tcBorders>
              <w:bottom w:val="dashSmallGap" w:sz="4" w:space="0" w:color="auto"/>
            </w:tcBorders>
            <w:vAlign w:val="center"/>
          </w:tcPr>
          <w:p w14:paraId="50317B44"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57</w:t>
            </w:r>
          </w:p>
        </w:tc>
      </w:tr>
      <w:tr w:rsidR="00E70F41" w:rsidRPr="00207DC2" w14:paraId="211F3ACE" w14:textId="77777777" w:rsidTr="00B24E7D">
        <w:trPr>
          <w:cantSplit/>
          <w:trHeight w:val="300"/>
        </w:trPr>
        <w:tc>
          <w:tcPr>
            <w:tcW w:w="2291" w:type="dxa"/>
            <w:vMerge w:val="restart"/>
            <w:tcBorders>
              <w:top w:val="dashSmallGap" w:sz="4" w:space="0" w:color="auto"/>
            </w:tcBorders>
            <w:shd w:val="clear" w:color="auto" w:fill="auto"/>
            <w:vAlign w:val="center"/>
          </w:tcPr>
          <w:p w14:paraId="1FBC3128" w14:textId="77777777" w:rsidR="00E70F41" w:rsidRPr="00207DC2" w:rsidRDefault="00E70F41" w:rsidP="00FB626D">
            <w:pPr>
              <w:pStyle w:val="TableText"/>
              <w:spacing w:before="0" w:after="0"/>
              <w:ind w:left="142" w:right="0"/>
              <w:rPr>
                <w:rFonts w:cs="Calibri Light"/>
                <w:szCs w:val="20"/>
                <w:lang w:val="en-AU"/>
              </w:rPr>
            </w:pPr>
          </w:p>
          <w:p w14:paraId="11B6889A" w14:textId="77777777" w:rsidR="00E70F41" w:rsidRPr="00207DC2" w:rsidRDefault="00E70F41" w:rsidP="00FB626D">
            <w:pPr>
              <w:pStyle w:val="TableText"/>
              <w:spacing w:before="0" w:after="0"/>
              <w:ind w:left="142" w:right="0"/>
              <w:rPr>
                <w:rFonts w:cs="Calibri Light"/>
                <w:szCs w:val="20"/>
                <w:lang w:val="en-AU"/>
              </w:rPr>
            </w:pPr>
          </w:p>
          <w:p w14:paraId="22A330D9"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Age</w:t>
            </w:r>
          </w:p>
          <w:p w14:paraId="6995B172" w14:textId="77777777" w:rsidR="00E70F41" w:rsidRPr="00207DC2" w:rsidRDefault="00E70F41" w:rsidP="00FB626D">
            <w:pPr>
              <w:pStyle w:val="TableText"/>
              <w:spacing w:before="0" w:after="0"/>
              <w:ind w:left="142" w:right="0"/>
              <w:rPr>
                <w:rFonts w:cs="Calibri Light"/>
                <w:szCs w:val="20"/>
                <w:lang w:val="en-AU"/>
              </w:rPr>
            </w:pPr>
          </w:p>
          <w:p w14:paraId="2EC56098"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top w:val="dashSmallGap" w:sz="4" w:space="0" w:color="auto"/>
            </w:tcBorders>
            <w:shd w:val="clear" w:color="auto" w:fill="auto"/>
            <w:noWrap/>
            <w:tcMar>
              <w:top w:w="0" w:type="dxa"/>
              <w:left w:w="108" w:type="dxa"/>
              <w:bottom w:w="0" w:type="dxa"/>
              <w:right w:w="108" w:type="dxa"/>
            </w:tcMar>
          </w:tcPr>
          <w:p w14:paraId="65177C8F"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15 - 24 years</w:t>
            </w:r>
          </w:p>
        </w:tc>
        <w:tc>
          <w:tcPr>
            <w:tcW w:w="1141" w:type="dxa"/>
            <w:tcBorders>
              <w:top w:val="dashSmallGap" w:sz="4" w:space="0" w:color="auto"/>
            </w:tcBorders>
            <w:shd w:val="clear" w:color="auto" w:fill="auto"/>
            <w:vAlign w:val="center"/>
          </w:tcPr>
          <w:p w14:paraId="511275E1"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23</w:t>
            </w:r>
          </w:p>
        </w:tc>
        <w:tc>
          <w:tcPr>
            <w:tcW w:w="1320" w:type="dxa"/>
            <w:tcBorders>
              <w:top w:val="dashSmallGap" w:sz="4" w:space="0" w:color="auto"/>
            </w:tcBorders>
            <w:shd w:val="clear" w:color="auto" w:fill="auto"/>
            <w:vAlign w:val="center"/>
          </w:tcPr>
          <w:p w14:paraId="4C412336"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13</w:t>
            </w:r>
          </w:p>
        </w:tc>
        <w:tc>
          <w:tcPr>
            <w:tcW w:w="765" w:type="dxa"/>
            <w:tcBorders>
              <w:top w:val="dashSmallGap" w:sz="4" w:space="0" w:color="auto"/>
            </w:tcBorders>
            <w:vAlign w:val="center"/>
          </w:tcPr>
          <w:p w14:paraId="79F0ACB9"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21</w:t>
            </w:r>
          </w:p>
        </w:tc>
      </w:tr>
      <w:tr w:rsidR="00E70F41" w:rsidRPr="00207DC2" w14:paraId="150DDD88" w14:textId="77777777" w:rsidTr="00B24E7D">
        <w:trPr>
          <w:cantSplit/>
          <w:trHeight w:val="300"/>
        </w:trPr>
        <w:tc>
          <w:tcPr>
            <w:tcW w:w="2291" w:type="dxa"/>
            <w:vMerge/>
            <w:shd w:val="clear" w:color="auto" w:fill="auto"/>
            <w:vAlign w:val="center"/>
          </w:tcPr>
          <w:p w14:paraId="461FC594"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tcPr>
          <w:p w14:paraId="4BEBA950"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25 - 34 years</w:t>
            </w:r>
          </w:p>
        </w:tc>
        <w:tc>
          <w:tcPr>
            <w:tcW w:w="1141" w:type="dxa"/>
            <w:shd w:val="clear" w:color="auto" w:fill="auto"/>
            <w:vAlign w:val="center"/>
          </w:tcPr>
          <w:p w14:paraId="2ACB4724"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30</w:t>
            </w:r>
          </w:p>
        </w:tc>
        <w:tc>
          <w:tcPr>
            <w:tcW w:w="1320" w:type="dxa"/>
            <w:shd w:val="clear" w:color="auto" w:fill="auto"/>
            <w:vAlign w:val="center"/>
          </w:tcPr>
          <w:p w14:paraId="53750B31"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16</w:t>
            </w:r>
          </w:p>
        </w:tc>
        <w:tc>
          <w:tcPr>
            <w:tcW w:w="765" w:type="dxa"/>
            <w:vAlign w:val="center"/>
          </w:tcPr>
          <w:p w14:paraId="4C3B2BD8"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28</w:t>
            </w:r>
          </w:p>
        </w:tc>
      </w:tr>
      <w:tr w:rsidR="00E70F41" w:rsidRPr="00207DC2" w14:paraId="30E28BC9" w14:textId="77777777" w:rsidTr="00B24E7D">
        <w:trPr>
          <w:cantSplit/>
          <w:trHeight w:val="300"/>
        </w:trPr>
        <w:tc>
          <w:tcPr>
            <w:tcW w:w="2291" w:type="dxa"/>
            <w:vMerge/>
            <w:shd w:val="clear" w:color="auto" w:fill="auto"/>
            <w:vAlign w:val="center"/>
          </w:tcPr>
          <w:p w14:paraId="4FF858A3"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tcPr>
          <w:p w14:paraId="056D41D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35 - 44 years</w:t>
            </w:r>
          </w:p>
        </w:tc>
        <w:tc>
          <w:tcPr>
            <w:tcW w:w="1141" w:type="dxa"/>
            <w:shd w:val="clear" w:color="auto" w:fill="auto"/>
            <w:vAlign w:val="center"/>
          </w:tcPr>
          <w:p w14:paraId="4B8328F9"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24</w:t>
            </w:r>
          </w:p>
        </w:tc>
        <w:tc>
          <w:tcPr>
            <w:tcW w:w="1320" w:type="dxa"/>
            <w:shd w:val="clear" w:color="auto" w:fill="auto"/>
            <w:vAlign w:val="center"/>
          </w:tcPr>
          <w:p w14:paraId="01C7B2D3"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20</w:t>
            </w:r>
          </w:p>
        </w:tc>
        <w:tc>
          <w:tcPr>
            <w:tcW w:w="765" w:type="dxa"/>
            <w:vAlign w:val="center"/>
          </w:tcPr>
          <w:p w14:paraId="6523FE60"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23</w:t>
            </w:r>
          </w:p>
        </w:tc>
      </w:tr>
      <w:tr w:rsidR="00E70F41" w:rsidRPr="00207DC2" w14:paraId="3BF6DB49" w14:textId="77777777" w:rsidTr="00B24E7D">
        <w:trPr>
          <w:cantSplit/>
          <w:trHeight w:val="300"/>
        </w:trPr>
        <w:tc>
          <w:tcPr>
            <w:tcW w:w="2291" w:type="dxa"/>
            <w:vMerge/>
            <w:shd w:val="clear" w:color="auto" w:fill="auto"/>
            <w:vAlign w:val="center"/>
          </w:tcPr>
          <w:p w14:paraId="7E195F81"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tcPr>
          <w:p w14:paraId="2E71CEA0"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45 - 54 years</w:t>
            </w:r>
          </w:p>
        </w:tc>
        <w:tc>
          <w:tcPr>
            <w:tcW w:w="1141" w:type="dxa"/>
            <w:shd w:val="clear" w:color="auto" w:fill="auto"/>
            <w:vAlign w:val="center"/>
          </w:tcPr>
          <w:p w14:paraId="5F10A63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17</w:t>
            </w:r>
          </w:p>
        </w:tc>
        <w:tc>
          <w:tcPr>
            <w:tcW w:w="1320" w:type="dxa"/>
            <w:shd w:val="clear" w:color="auto" w:fill="auto"/>
            <w:vAlign w:val="center"/>
          </w:tcPr>
          <w:p w14:paraId="1CC580DF"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24</w:t>
            </w:r>
          </w:p>
        </w:tc>
        <w:tc>
          <w:tcPr>
            <w:tcW w:w="765" w:type="dxa"/>
            <w:vAlign w:val="center"/>
          </w:tcPr>
          <w:p w14:paraId="5FEDAC46"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18</w:t>
            </w:r>
          </w:p>
        </w:tc>
      </w:tr>
      <w:tr w:rsidR="00E70F41" w:rsidRPr="00207DC2" w14:paraId="431B0A83" w14:textId="77777777" w:rsidTr="00B24E7D">
        <w:trPr>
          <w:cantSplit/>
          <w:trHeight w:val="300"/>
        </w:trPr>
        <w:tc>
          <w:tcPr>
            <w:tcW w:w="2291" w:type="dxa"/>
            <w:vMerge/>
            <w:tcBorders>
              <w:bottom w:val="dashSmallGap" w:sz="4" w:space="0" w:color="auto"/>
            </w:tcBorders>
            <w:shd w:val="clear" w:color="auto" w:fill="auto"/>
            <w:vAlign w:val="center"/>
          </w:tcPr>
          <w:p w14:paraId="084761E7"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tcPr>
          <w:p w14:paraId="3583A15A"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55+ years</w:t>
            </w:r>
          </w:p>
        </w:tc>
        <w:tc>
          <w:tcPr>
            <w:tcW w:w="1141" w:type="dxa"/>
            <w:tcBorders>
              <w:bottom w:val="dashSmallGap" w:sz="4" w:space="0" w:color="auto"/>
            </w:tcBorders>
            <w:shd w:val="clear" w:color="auto" w:fill="auto"/>
            <w:vAlign w:val="center"/>
          </w:tcPr>
          <w:p w14:paraId="15D1C9A6"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6</w:t>
            </w:r>
          </w:p>
        </w:tc>
        <w:tc>
          <w:tcPr>
            <w:tcW w:w="1320" w:type="dxa"/>
            <w:tcBorders>
              <w:bottom w:val="dashSmallGap" w:sz="4" w:space="0" w:color="auto"/>
            </w:tcBorders>
            <w:shd w:val="clear" w:color="auto" w:fill="auto"/>
            <w:vAlign w:val="center"/>
          </w:tcPr>
          <w:p w14:paraId="2C31918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26</w:t>
            </w:r>
          </w:p>
        </w:tc>
        <w:tc>
          <w:tcPr>
            <w:tcW w:w="765" w:type="dxa"/>
            <w:tcBorders>
              <w:bottom w:val="dashSmallGap" w:sz="4" w:space="0" w:color="auto"/>
            </w:tcBorders>
            <w:vAlign w:val="center"/>
          </w:tcPr>
          <w:p w14:paraId="04A82EE0"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10</w:t>
            </w:r>
          </w:p>
        </w:tc>
      </w:tr>
      <w:tr w:rsidR="00E70F41" w:rsidRPr="00207DC2" w14:paraId="28B5B0CB" w14:textId="77777777" w:rsidTr="00B24E7D">
        <w:trPr>
          <w:cantSplit/>
          <w:trHeight w:val="300"/>
        </w:trPr>
        <w:tc>
          <w:tcPr>
            <w:tcW w:w="2291" w:type="dxa"/>
            <w:vMerge w:val="restart"/>
            <w:tcBorders>
              <w:top w:val="dashSmallGap" w:sz="4" w:space="0" w:color="auto"/>
            </w:tcBorders>
            <w:shd w:val="clear" w:color="auto" w:fill="auto"/>
            <w:vAlign w:val="center"/>
          </w:tcPr>
          <w:p w14:paraId="7F6F13D6" w14:textId="77777777" w:rsidR="00E70F41" w:rsidRPr="00207DC2" w:rsidRDefault="00E70F41" w:rsidP="00FB626D">
            <w:pPr>
              <w:pStyle w:val="TableText"/>
              <w:spacing w:before="0" w:after="0"/>
              <w:ind w:left="142" w:right="0"/>
              <w:rPr>
                <w:rFonts w:cs="Calibri Light"/>
                <w:szCs w:val="20"/>
                <w:lang w:val="en-AU"/>
              </w:rPr>
            </w:pPr>
          </w:p>
          <w:p w14:paraId="6358E72F" w14:textId="77777777" w:rsidR="00E70F41" w:rsidRPr="00207DC2" w:rsidRDefault="00E70F41" w:rsidP="00FB626D">
            <w:pPr>
              <w:pStyle w:val="TableText"/>
              <w:spacing w:before="0" w:after="0"/>
              <w:ind w:left="142" w:right="0"/>
              <w:rPr>
                <w:rFonts w:cs="Calibri Light"/>
                <w:szCs w:val="20"/>
                <w:lang w:val="en-AU"/>
              </w:rPr>
            </w:pPr>
          </w:p>
          <w:p w14:paraId="64A9EC62"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Duration of unemployment</w:t>
            </w:r>
          </w:p>
          <w:p w14:paraId="65DE6489"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top w:val="dashSmallGap" w:sz="4" w:space="0" w:color="auto"/>
            </w:tcBorders>
            <w:shd w:val="clear" w:color="auto" w:fill="auto"/>
            <w:noWrap/>
            <w:tcMar>
              <w:top w:w="0" w:type="dxa"/>
              <w:left w:w="108" w:type="dxa"/>
              <w:bottom w:w="0" w:type="dxa"/>
              <w:right w:w="108" w:type="dxa"/>
            </w:tcMar>
          </w:tcPr>
          <w:p w14:paraId="1FC3BC0E"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&lt;1 month</w:t>
            </w:r>
          </w:p>
        </w:tc>
        <w:tc>
          <w:tcPr>
            <w:tcW w:w="1141" w:type="dxa"/>
            <w:tcBorders>
              <w:top w:val="dashSmallGap" w:sz="4" w:space="0" w:color="auto"/>
            </w:tcBorders>
            <w:shd w:val="clear" w:color="auto" w:fill="auto"/>
            <w:vAlign w:val="center"/>
          </w:tcPr>
          <w:p w14:paraId="33122839"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38</w:t>
            </w:r>
          </w:p>
        </w:tc>
        <w:tc>
          <w:tcPr>
            <w:tcW w:w="1320" w:type="dxa"/>
            <w:tcBorders>
              <w:top w:val="dashSmallGap" w:sz="4" w:space="0" w:color="auto"/>
            </w:tcBorders>
            <w:shd w:val="clear" w:color="auto" w:fill="auto"/>
            <w:vAlign w:val="center"/>
          </w:tcPr>
          <w:p w14:paraId="5A9DE2F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51</w:t>
            </w:r>
          </w:p>
        </w:tc>
        <w:tc>
          <w:tcPr>
            <w:tcW w:w="765" w:type="dxa"/>
            <w:tcBorders>
              <w:top w:val="dashSmallGap" w:sz="4" w:space="0" w:color="auto"/>
            </w:tcBorders>
            <w:vAlign w:val="center"/>
          </w:tcPr>
          <w:p w14:paraId="76189915"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40</w:t>
            </w:r>
          </w:p>
        </w:tc>
      </w:tr>
      <w:tr w:rsidR="00E70F41" w:rsidRPr="00207DC2" w14:paraId="75920541" w14:textId="77777777" w:rsidTr="00B24E7D">
        <w:trPr>
          <w:cantSplit/>
          <w:trHeight w:val="300"/>
        </w:trPr>
        <w:tc>
          <w:tcPr>
            <w:tcW w:w="2291" w:type="dxa"/>
            <w:vMerge/>
            <w:shd w:val="clear" w:color="auto" w:fill="auto"/>
            <w:vAlign w:val="center"/>
          </w:tcPr>
          <w:p w14:paraId="5D4C2074"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tcPr>
          <w:p w14:paraId="4C85F1A2"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1 to &lt;6 months</w:t>
            </w:r>
          </w:p>
        </w:tc>
        <w:tc>
          <w:tcPr>
            <w:tcW w:w="1141" w:type="dxa"/>
            <w:shd w:val="clear" w:color="auto" w:fill="auto"/>
            <w:vAlign w:val="center"/>
          </w:tcPr>
          <w:p w14:paraId="4993B87B"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34</w:t>
            </w:r>
          </w:p>
        </w:tc>
        <w:tc>
          <w:tcPr>
            <w:tcW w:w="1320" w:type="dxa"/>
            <w:shd w:val="clear" w:color="auto" w:fill="auto"/>
            <w:vAlign w:val="center"/>
          </w:tcPr>
          <w:p w14:paraId="43191E5A"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34</w:t>
            </w:r>
          </w:p>
        </w:tc>
        <w:tc>
          <w:tcPr>
            <w:tcW w:w="765" w:type="dxa"/>
            <w:vAlign w:val="center"/>
          </w:tcPr>
          <w:p w14:paraId="35AE2A1A"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34</w:t>
            </w:r>
          </w:p>
        </w:tc>
      </w:tr>
      <w:tr w:rsidR="00E70F41" w:rsidRPr="00207DC2" w14:paraId="24466822" w14:textId="77777777" w:rsidTr="00B24E7D">
        <w:trPr>
          <w:cantSplit/>
          <w:trHeight w:val="300"/>
        </w:trPr>
        <w:tc>
          <w:tcPr>
            <w:tcW w:w="2291" w:type="dxa"/>
            <w:vMerge/>
            <w:shd w:val="clear" w:color="auto" w:fill="auto"/>
            <w:vAlign w:val="center"/>
          </w:tcPr>
          <w:p w14:paraId="7DE07855"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tcPr>
          <w:p w14:paraId="27756079"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6 months to &lt;1 year</w:t>
            </w:r>
          </w:p>
        </w:tc>
        <w:tc>
          <w:tcPr>
            <w:tcW w:w="1141" w:type="dxa"/>
            <w:shd w:val="clear" w:color="auto" w:fill="auto"/>
            <w:vAlign w:val="center"/>
          </w:tcPr>
          <w:p w14:paraId="5D02C4B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17</w:t>
            </w:r>
          </w:p>
        </w:tc>
        <w:tc>
          <w:tcPr>
            <w:tcW w:w="1320" w:type="dxa"/>
            <w:shd w:val="clear" w:color="auto" w:fill="auto"/>
            <w:vAlign w:val="center"/>
          </w:tcPr>
          <w:p w14:paraId="4E419A9D"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10</w:t>
            </w:r>
          </w:p>
        </w:tc>
        <w:tc>
          <w:tcPr>
            <w:tcW w:w="765" w:type="dxa"/>
            <w:vAlign w:val="center"/>
          </w:tcPr>
          <w:p w14:paraId="45D555B9"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16</w:t>
            </w:r>
          </w:p>
        </w:tc>
      </w:tr>
      <w:tr w:rsidR="00E70F41" w:rsidRPr="00207DC2" w14:paraId="5D56C4DB" w14:textId="77777777" w:rsidTr="00B24E7D">
        <w:trPr>
          <w:cantSplit/>
          <w:trHeight w:val="300"/>
        </w:trPr>
        <w:tc>
          <w:tcPr>
            <w:tcW w:w="2291" w:type="dxa"/>
            <w:vMerge/>
            <w:tcBorders>
              <w:bottom w:val="single" w:sz="8" w:space="0" w:color="auto"/>
            </w:tcBorders>
            <w:shd w:val="clear" w:color="auto" w:fill="auto"/>
            <w:vAlign w:val="center"/>
          </w:tcPr>
          <w:p w14:paraId="3C15B698"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single" w:sz="8" w:space="0" w:color="auto"/>
            </w:tcBorders>
            <w:shd w:val="clear" w:color="auto" w:fill="auto"/>
            <w:noWrap/>
            <w:tcMar>
              <w:top w:w="0" w:type="dxa"/>
              <w:left w:w="108" w:type="dxa"/>
              <w:bottom w:w="0" w:type="dxa"/>
              <w:right w:w="108" w:type="dxa"/>
            </w:tcMar>
          </w:tcPr>
          <w:p w14:paraId="280AC1AF"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1 year or more</w:t>
            </w:r>
          </w:p>
        </w:tc>
        <w:tc>
          <w:tcPr>
            <w:tcW w:w="1141" w:type="dxa"/>
            <w:tcBorders>
              <w:bottom w:val="single" w:sz="8" w:space="0" w:color="auto"/>
            </w:tcBorders>
            <w:shd w:val="clear" w:color="auto" w:fill="auto"/>
            <w:vAlign w:val="center"/>
          </w:tcPr>
          <w:p w14:paraId="3FB50F98"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12</w:t>
            </w:r>
          </w:p>
        </w:tc>
        <w:tc>
          <w:tcPr>
            <w:tcW w:w="1320" w:type="dxa"/>
            <w:tcBorders>
              <w:bottom w:val="single" w:sz="8" w:space="0" w:color="auto"/>
            </w:tcBorders>
            <w:shd w:val="clear" w:color="auto" w:fill="auto"/>
            <w:vAlign w:val="center"/>
          </w:tcPr>
          <w:p w14:paraId="20241CD4"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5</w:t>
            </w:r>
          </w:p>
        </w:tc>
        <w:tc>
          <w:tcPr>
            <w:tcW w:w="765" w:type="dxa"/>
            <w:tcBorders>
              <w:bottom w:val="single" w:sz="8" w:space="0" w:color="auto"/>
            </w:tcBorders>
            <w:vAlign w:val="center"/>
          </w:tcPr>
          <w:p w14:paraId="2472A5FE"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10</w:t>
            </w:r>
          </w:p>
        </w:tc>
      </w:tr>
      <w:tr w:rsidR="00E70F41" w:rsidRPr="00207DC2" w14:paraId="02541035"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64CAFF9D"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Transport options</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5ABD261D"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No transport</w:t>
            </w:r>
          </w:p>
        </w:tc>
        <w:tc>
          <w:tcPr>
            <w:tcW w:w="1141" w:type="dxa"/>
            <w:tcBorders>
              <w:top w:val="dashSmallGap" w:sz="4" w:space="0" w:color="auto"/>
            </w:tcBorders>
            <w:shd w:val="clear" w:color="auto" w:fill="auto"/>
            <w:vAlign w:val="center"/>
          </w:tcPr>
          <w:p w14:paraId="256C1EF2"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64</w:t>
            </w:r>
          </w:p>
        </w:tc>
        <w:tc>
          <w:tcPr>
            <w:tcW w:w="1320" w:type="dxa"/>
            <w:tcBorders>
              <w:top w:val="dashSmallGap" w:sz="4" w:space="0" w:color="auto"/>
            </w:tcBorders>
            <w:shd w:val="clear" w:color="auto" w:fill="auto"/>
            <w:vAlign w:val="center"/>
          </w:tcPr>
          <w:p w14:paraId="3FEBFFC8"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16</w:t>
            </w:r>
          </w:p>
        </w:tc>
        <w:tc>
          <w:tcPr>
            <w:tcW w:w="765" w:type="dxa"/>
            <w:tcBorders>
              <w:top w:val="dashSmallGap" w:sz="4" w:space="0" w:color="auto"/>
            </w:tcBorders>
            <w:vAlign w:val="center"/>
          </w:tcPr>
          <w:p w14:paraId="5BC07BA3"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56</w:t>
            </w:r>
          </w:p>
        </w:tc>
      </w:tr>
      <w:tr w:rsidR="00E70F41" w:rsidRPr="00207DC2" w14:paraId="5E51E40B" w14:textId="77777777" w:rsidTr="00B24E7D">
        <w:trPr>
          <w:cantSplit/>
          <w:trHeight w:val="300"/>
        </w:trPr>
        <w:tc>
          <w:tcPr>
            <w:tcW w:w="2291" w:type="dxa"/>
            <w:vMerge/>
            <w:tcBorders>
              <w:top w:val="single" w:sz="4" w:space="0" w:color="auto"/>
              <w:bottom w:val="single" w:sz="4" w:space="0" w:color="auto"/>
            </w:tcBorders>
            <w:shd w:val="clear" w:color="auto" w:fill="auto"/>
            <w:vAlign w:val="center"/>
          </w:tcPr>
          <w:p w14:paraId="6DFE7B9F" w14:textId="77777777" w:rsidR="00E70F41" w:rsidRPr="00207DC2" w:rsidRDefault="00E70F41" w:rsidP="00FB626D">
            <w:pPr>
              <w:pStyle w:val="TableText"/>
              <w:spacing w:before="0" w:after="0"/>
              <w:ind w:left="142" w:right="0"/>
              <w:rPr>
                <w:rFonts w:cs="Calibri Light"/>
                <w:szCs w:val="20"/>
                <w:lang w:val="en-AU"/>
              </w:rPr>
            </w:pPr>
          </w:p>
        </w:tc>
        <w:tc>
          <w:tcPr>
            <w:tcW w:w="3760" w:type="dxa"/>
            <w:shd w:val="clear" w:color="auto" w:fill="auto"/>
            <w:noWrap/>
            <w:tcMar>
              <w:top w:w="0" w:type="dxa"/>
              <w:left w:w="108" w:type="dxa"/>
              <w:bottom w:w="0" w:type="dxa"/>
              <w:right w:w="108" w:type="dxa"/>
            </w:tcMar>
            <w:vAlign w:val="center"/>
          </w:tcPr>
          <w:p w14:paraId="56D96FB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Own transport</w:t>
            </w:r>
          </w:p>
        </w:tc>
        <w:tc>
          <w:tcPr>
            <w:tcW w:w="1141" w:type="dxa"/>
            <w:shd w:val="clear" w:color="auto" w:fill="auto"/>
            <w:vAlign w:val="center"/>
          </w:tcPr>
          <w:p w14:paraId="6E9F67B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12</w:t>
            </w:r>
          </w:p>
        </w:tc>
        <w:tc>
          <w:tcPr>
            <w:tcW w:w="1320" w:type="dxa"/>
            <w:shd w:val="clear" w:color="auto" w:fill="auto"/>
            <w:vAlign w:val="center"/>
          </w:tcPr>
          <w:p w14:paraId="745AC612"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63</w:t>
            </w:r>
          </w:p>
        </w:tc>
        <w:tc>
          <w:tcPr>
            <w:tcW w:w="765" w:type="dxa"/>
            <w:vAlign w:val="center"/>
          </w:tcPr>
          <w:p w14:paraId="596DA4A3"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21</w:t>
            </w:r>
          </w:p>
        </w:tc>
      </w:tr>
      <w:tr w:rsidR="00E70F41" w:rsidRPr="00207DC2" w14:paraId="0BCCDF27"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06A66A3E"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394683BF"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Public or other private transport</w:t>
            </w:r>
          </w:p>
        </w:tc>
        <w:tc>
          <w:tcPr>
            <w:tcW w:w="1141" w:type="dxa"/>
            <w:tcBorders>
              <w:bottom w:val="dashSmallGap" w:sz="4" w:space="0" w:color="auto"/>
            </w:tcBorders>
            <w:shd w:val="clear" w:color="auto" w:fill="auto"/>
            <w:vAlign w:val="center"/>
          </w:tcPr>
          <w:p w14:paraId="61390B34"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23</w:t>
            </w:r>
          </w:p>
        </w:tc>
        <w:tc>
          <w:tcPr>
            <w:tcW w:w="1320" w:type="dxa"/>
            <w:tcBorders>
              <w:bottom w:val="dashSmallGap" w:sz="4" w:space="0" w:color="auto"/>
            </w:tcBorders>
            <w:shd w:val="clear" w:color="auto" w:fill="auto"/>
            <w:vAlign w:val="center"/>
          </w:tcPr>
          <w:p w14:paraId="646FBB68"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21</w:t>
            </w:r>
          </w:p>
        </w:tc>
        <w:tc>
          <w:tcPr>
            <w:tcW w:w="765" w:type="dxa"/>
            <w:tcBorders>
              <w:bottom w:val="dashSmallGap" w:sz="4" w:space="0" w:color="auto"/>
            </w:tcBorders>
            <w:vAlign w:val="center"/>
          </w:tcPr>
          <w:p w14:paraId="2D7565BD"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23</w:t>
            </w:r>
          </w:p>
        </w:tc>
      </w:tr>
      <w:tr w:rsidR="00E70F41" w:rsidRPr="00207DC2" w14:paraId="6E180D03"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4D998653"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Parent (as at 1 Jan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15C30FF9"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Not a parent</w:t>
            </w:r>
          </w:p>
        </w:tc>
        <w:tc>
          <w:tcPr>
            <w:tcW w:w="1141" w:type="dxa"/>
            <w:tcBorders>
              <w:top w:val="dashSmallGap" w:sz="4" w:space="0" w:color="auto"/>
            </w:tcBorders>
            <w:shd w:val="clear" w:color="auto" w:fill="auto"/>
            <w:vAlign w:val="center"/>
          </w:tcPr>
          <w:p w14:paraId="7748738F"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84</w:t>
            </w:r>
          </w:p>
        </w:tc>
        <w:tc>
          <w:tcPr>
            <w:tcW w:w="1320" w:type="dxa"/>
            <w:tcBorders>
              <w:top w:val="dashSmallGap" w:sz="4" w:space="0" w:color="auto"/>
            </w:tcBorders>
            <w:shd w:val="clear" w:color="auto" w:fill="auto"/>
            <w:vAlign w:val="center"/>
          </w:tcPr>
          <w:p w14:paraId="31862651"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84</w:t>
            </w:r>
          </w:p>
        </w:tc>
        <w:tc>
          <w:tcPr>
            <w:tcW w:w="765" w:type="dxa"/>
            <w:tcBorders>
              <w:top w:val="dashSmallGap" w:sz="4" w:space="0" w:color="auto"/>
            </w:tcBorders>
            <w:vAlign w:val="center"/>
          </w:tcPr>
          <w:p w14:paraId="0278C486"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84</w:t>
            </w:r>
          </w:p>
        </w:tc>
      </w:tr>
      <w:tr w:rsidR="00E70F41" w:rsidRPr="00207DC2" w14:paraId="69F2512F"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2BB81F1C"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518E38AE"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Parent of a child (aged ≤15 years)</w:t>
            </w:r>
          </w:p>
        </w:tc>
        <w:tc>
          <w:tcPr>
            <w:tcW w:w="1141" w:type="dxa"/>
            <w:tcBorders>
              <w:bottom w:val="dashSmallGap" w:sz="4" w:space="0" w:color="auto"/>
            </w:tcBorders>
            <w:shd w:val="clear" w:color="auto" w:fill="auto"/>
            <w:vAlign w:val="center"/>
          </w:tcPr>
          <w:p w14:paraId="58215E4D"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16</w:t>
            </w:r>
          </w:p>
        </w:tc>
        <w:tc>
          <w:tcPr>
            <w:tcW w:w="1320" w:type="dxa"/>
            <w:tcBorders>
              <w:bottom w:val="dashSmallGap" w:sz="4" w:space="0" w:color="auto"/>
            </w:tcBorders>
            <w:shd w:val="clear" w:color="auto" w:fill="auto"/>
            <w:vAlign w:val="center"/>
          </w:tcPr>
          <w:p w14:paraId="132B89D1"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16</w:t>
            </w:r>
          </w:p>
        </w:tc>
        <w:tc>
          <w:tcPr>
            <w:tcW w:w="765" w:type="dxa"/>
            <w:tcBorders>
              <w:bottom w:val="dashSmallGap" w:sz="4" w:space="0" w:color="auto"/>
            </w:tcBorders>
            <w:vAlign w:val="center"/>
          </w:tcPr>
          <w:p w14:paraId="0852C23D"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16</w:t>
            </w:r>
          </w:p>
        </w:tc>
      </w:tr>
      <w:tr w:rsidR="00E70F41" w:rsidRPr="00207DC2" w14:paraId="2E90C405"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10216CAA"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Primary carer (as at 1 Jan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6D528182"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Not a primary carer</w:t>
            </w:r>
          </w:p>
        </w:tc>
        <w:tc>
          <w:tcPr>
            <w:tcW w:w="1141" w:type="dxa"/>
            <w:tcBorders>
              <w:top w:val="dashSmallGap" w:sz="4" w:space="0" w:color="auto"/>
            </w:tcBorders>
            <w:shd w:val="clear" w:color="auto" w:fill="auto"/>
            <w:vAlign w:val="center"/>
          </w:tcPr>
          <w:p w14:paraId="113F4A92"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85</w:t>
            </w:r>
          </w:p>
        </w:tc>
        <w:tc>
          <w:tcPr>
            <w:tcW w:w="1320" w:type="dxa"/>
            <w:tcBorders>
              <w:top w:val="dashSmallGap" w:sz="4" w:space="0" w:color="auto"/>
            </w:tcBorders>
            <w:shd w:val="clear" w:color="auto" w:fill="auto"/>
            <w:vAlign w:val="center"/>
          </w:tcPr>
          <w:p w14:paraId="441C7DB5"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86</w:t>
            </w:r>
          </w:p>
        </w:tc>
        <w:tc>
          <w:tcPr>
            <w:tcW w:w="765" w:type="dxa"/>
            <w:tcBorders>
              <w:top w:val="dashSmallGap" w:sz="4" w:space="0" w:color="auto"/>
            </w:tcBorders>
            <w:vAlign w:val="center"/>
          </w:tcPr>
          <w:p w14:paraId="140F6B36"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85</w:t>
            </w:r>
          </w:p>
        </w:tc>
      </w:tr>
      <w:tr w:rsidR="00E70F41" w:rsidRPr="00207DC2" w14:paraId="591BD677"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02BCBFA6"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1E10EFE4"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Primary carer</w:t>
            </w:r>
          </w:p>
        </w:tc>
        <w:tc>
          <w:tcPr>
            <w:tcW w:w="1141" w:type="dxa"/>
            <w:tcBorders>
              <w:bottom w:val="dashSmallGap" w:sz="4" w:space="0" w:color="auto"/>
            </w:tcBorders>
            <w:shd w:val="clear" w:color="auto" w:fill="auto"/>
            <w:vAlign w:val="center"/>
          </w:tcPr>
          <w:p w14:paraId="0ACFB43B"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15</w:t>
            </w:r>
          </w:p>
        </w:tc>
        <w:tc>
          <w:tcPr>
            <w:tcW w:w="1320" w:type="dxa"/>
            <w:tcBorders>
              <w:bottom w:val="dashSmallGap" w:sz="4" w:space="0" w:color="auto"/>
            </w:tcBorders>
            <w:shd w:val="clear" w:color="auto" w:fill="auto"/>
            <w:vAlign w:val="center"/>
          </w:tcPr>
          <w:p w14:paraId="5D4200F7"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14</w:t>
            </w:r>
          </w:p>
        </w:tc>
        <w:tc>
          <w:tcPr>
            <w:tcW w:w="765" w:type="dxa"/>
            <w:tcBorders>
              <w:bottom w:val="dashSmallGap" w:sz="4" w:space="0" w:color="auto"/>
            </w:tcBorders>
            <w:vAlign w:val="center"/>
          </w:tcPr>
          <w:p w14:paraId="482BF326"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15</w:t>
            </w:r>
          </w:p>
        </w:tc>
      </w:tr>
      <w:tr w:rsidR="00E70F41" w:rsidRPr="00207DC2" w14:paraId="6B8BF23C"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1BFF6F0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 xml:space="preserve">Homeless </w:t>
            </w:r>
            <w:r w:rsidRPr="00207DC2">
              <w:rPr>
                <w:rFonts w:cs="Calibri Light"/>
                <w:szCs w:val="20"/>
                <w:lang w:val="en-AU"/>
              </w:rPr>
              <w:br/>
              <w:t>(as at 1 Jan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3152D9DA"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Homeless</w:t>
            </w:r>
          </w:p>
        </w:tc>
        <w:tc>
          <w:tcPr>
            <w:tcW w:w="1141" w:type="dxa"/>
            <w:tcBorders>
              <w:top w:val="dashSmallGap" w:sz="4" w:space="0" w:color="auto"/>
            </w:tcBorders>
            <w:shd w:val="clear" w:color="auto" w:fill="auto"/>
            <w:vAlign w:val="center"/>
          </w:tcPr>
          <w:p w14:paraId="527C3B2A"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10</w:t>
            </w:r>
          </w:p>
        </w:tc>
        <w:tc>
          <w:tcPr>
            <w:tcW w:w="1320" w:type="dxa"/>
            <w:tcBorders>
              <w:top w:val="dashSmallGap" w:sz="4" w:space="0" w:color="auto"/>
            </w:tcBorders>
            <w:shd w:val="clear" w:color="auto" w:fill="auto"/>
            <w:vAlign w:val="center"/>
          </w:tcPr>
          <w:p w14:paraId="02F6923A"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11</w:t>
            </w:r>
          </w:p>
        </w:tc>
        <w:tc>
          <w:tcPr>
            <w:tcW w:w="765" w:type="dxa"/>
            <w:tcBorders>
              <w:top w:val="dashSmallGap" w:sz="4" w:space="0" w:color="auto"/>
            </w:tcBorders>
            <w:vAlign w:val="center"/>
          </w:tcPr>
          <w:p w14:paraId="485477FD"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10</w:t>
            </w:r>
          </w:p>
        </w:tc>
      </w:tr>
      <w:tr w:rsidR="00E70F41" w:rsidRPr="00207DC2" w14:paraId="5DE1CA7E"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72D8EA05"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0696B655"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Stable residence</w:t>
            </w:r>
          </w:p>
        </w:tc>
        <w:tc>
          <w:tcPr>
            <w:tcW w:w="1141" w:type="dxa"/>
            <w:tcBorders>
              <w:bottom w:val="dashSmallGap" w:sz="4" w:space="0" w:color="auto"/>
            </w:tcBorders>
            <w:shd w:val="clear" w:color="auto" w:fill="auto"/>
            <w:vAlign w:val="center"/>
          </w:tcPr>
          <w:p w14:paraId="5EDD9FBD"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90</w:t>
            </w:r>
          </w:p>
        </w:tc>
        <w:tc>
          <w:tcPr>
            <w:tcW w:w="1320" w:type="dxa"/>
            <w:tcBorders>
              <w:bottom w:val="dashSmallGap" w:sz="4" w:space="0" w:color="auto"/>
            </w:tcBorders>
            <w:shd w:val="clear" w:color="auto" w:fill="auto"/>
            <w:vAlign w:val="center"/>
          </w:tcPr>
          <w:p w14:paraId="7745ECB9"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89</w:t>
            </w:r>
          </w:p>
        </w:tc>
        <w:tc>
          <w:tcPr>
            <w:tcW w:w="765" w:type="dxa"/>
            <w:tcBorders>
              <w:bottom w:val="dashSmallGap" w:sz="4" w:space="0" w:color="auto"/>
            </w:tcBorders>
            <w:vAlign w:val="center"/>
          </w:tcPr>
          <w:p w14:paraId="509777F5"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90</w:t>
            </w:r>
          </w:p>
        </w:tc>
      </w:tr>
      <w:tr w:rsidR="00E70F41" w:rsidRPr="00207DC2" w14:paraId="2C44CD6E"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3A223178"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Contactable by phone (as at 1 Jan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4CD09F6F"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Contactable</w:t>
            </w:r>
          </w:p>
        </w:tc>
        <w:tc>
          <w:tcPr>
            <w:tcW w:w="1141" w:type="dxa"/>
            <w:tcBorders>
              <w:top w:val="dashSmallGap" w:sz="4" w:space="0" w:color="auto"/>
            </w:tcBorders>
            <w:shd w:val="clear" w:color="auto" w:fill="auto"/>
            <w:vAlign w:val="center"/>
          </w:tcPr>
          <w:p w14:paraId="7A81532A"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62</w:t>
            </w:r>
          </w:p>
        </w:tc>
        <w:tc>
          <w:tcPr>
            <w:tcW w:w="1320" w:type="dxa"/>
            <w:tcBorders>
              <w:top w:val="dashSmallGap" w:sz="4" w:space="0" w:color="auto"/>
            </w:tcBorders>
            <w:shd w:val="clear" w:color="auto" w:fill="auto"/>
            <w:vAlign w:val="center"/>
          </w:tcPr>
          <w:p w14:paraId="4E607D66"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96</w:t>
            </w:r>
          </w:p>
        </w:tc>
        <w:tc>
          <w:tcPr>
            <w:tcW w:w="765" w:type="dxa"/>
            <w:tcBorders>
              <w:top w:val="dashSmallGap" w:sz="4" w:space="0" w:color="auto"/>
            </w:tcBorders>
            <w:vAlign w:val="center"/>
          </w:tcPr>
          <w:p w14:paraId="66B797BB"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68</w:t>
            </w:r>
          </w:p>
        </w:tc>
      </w:tr>
      <w:tr w:rsidR="00E70F41" w:rsidRPr="00207DC2" w14:paraId="5E570C0A"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6689CF66"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4FE65F1C"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lang w:val="en-AU"/>
              </w:rPr>
              <w:t>Not contactable</w:t>
            </w:r>
          </w:p>
        </w:tc>
        <w:tc>
          <w:tcPr>
            <w:tcW w:w="1141" w:type="dxa"/>
            <w:tcBorders>
              <w:bottom w:val="dashSmallGap" w:sz="4" w:space="0" w:color="auto"/>
            </w:tcBorders>
            <w:shd w:val="clear" w:color="auto" w:fill="auto"/>
            <w:vAlign w:val="center"/>
          </w:tcPr>
          <w:p w14:paraId="53DB93F5"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38</w:t>
            </w:r>
          </w:p>
        </w:tc>
        <w:tc>
          <w:tcPr>
            <w:tcW w:w="1320" w:type="dxa"/>
            <w:tcBorders>
              <w:bottom w:val="dashSmallGap" w:sz="4" w:space="0" w:color="auto"/>
            </w:tcBorders>
            <w:shd w:val="clear" w:color="auto" w:fill="auto"/>
            <w:vAlign w:val="center"/>
          </w:tcPr>
          <w:p w14:paraId="29C7EF3A"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4</w:t>
            </w:r>
          </w:p>
        </w:tc>
        <w:tc>
          <w:tcPr>
            <w:tcW w:w="765" w:type="dxa"/>
            <w:tcBorders>
              <w:bottom w:val="dashSmallGap" w:sz="4" w:space="0" w:color="auto"/>
            </w:tcBorders>
            <w:vAlign w:val="center"/>
          </w:tcPr>
          <w:p w14:paraId="76315A03"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32</w:t>
            </w:r>
          </w:p>
        </w:tc>
      </w:tr>
      <w:tr w:rsidR="00E70F41" w:rsidRPr="00207DC2" w14:paraId="5F152E54" w14:textId="77777777" w:rsidTr="00B24E7D">
        <w:trPr>
          <w:cantSplit/>
          <w:trHeight w:val="300"/>
        </w:trPr>
        <w:tc>
          <w:tcPr>
            <w:tcW w:w="2291" w:type="dxa"/>
            <w:vMerge w:val="restart"/>
            <w:tcBorders>
              <w:top w:val="dashSmallGap" w:sz="4" w:space="0" w:color="auto"/>
              <w:bottom w:val="single" w:sz="4" w:space="0" w:color="auto"/>
            </w:tcBorders>
            <w:shd w:val="clear" w:color="auto" w:fill="auto"/>
            <w:vAlign w:val="center"/>
          </w:tcPr>
          <w:p w14:paraId="4C75CBA6" w14:textId="423AC8CB" w:rsidR="00E70F41" w:rsidRPr="00207DC2" w:rsidRDefault="009C289D" w:rsidP="00FB626D">
            <w:pPr>
              <w:pStyle w:val="TableText"/>
              <w:spacing w:before="0" w:after="0"/>
              <w:ind w:left="142" w:right="0"/>
              <w:rPr>
                <w:rFonts w:cs="Calibri Light"/>
                <w:szCs w:val="20"/>
                <w:lang w:val="en-AU"/>
              </w:rPr>
            </w:pPr>
            <w:r w:rsidRPr="00207DC2">
              <w:rPr>
                <w:rFonts w:cs="Calibri Light"/>
                <w:szCs w:val="20"/>
                <w:lang w:val="en-AU"/>
              </w:rPr>
              <w:t xml:space="preserve">Activity tested and </w:t>
            </w:r>
            <w:r w:rsidR="007B3B50" w:rsidRPr="00207DC2">
              <w:rPr>
                <w:rFonts w:cs="Calibri Light"/>
                <w:szCs w:val="20"/>
                <w:lang w:val="en-AU"/>
              </w:rPr>
              <w:t>r</w:t>
            </w:r>
            <w:r w:rsidRPr="00207DC2">
              <w:rPr>
                <w:rFonts w:cs="Calibri Light"/>
                <w:szCs w:val="20"/>
                <w:lang w:val="en-AU"/>
              </w:rPr>
              <w:t xml:space="preserve">equired to attend </w:t>
            </w:r>
            <w:r w:rsidR="00E70F41" w:rsidRPr="00207DC2">
              <w:rPr>
                <w:rFonts w:cs="Calibri Light"/>
                <w:szCs w:val="20"/>
                <w:lang w:val="en-AU"/>
              </w:rPr>
              <w:t>W</w:t>
            </w:r>
            <w:r w:rsidR="00341766" w:rsidRPr="00207DC2">
              <w:rPr>
                <w:rFonts w:cs="Calibri Light"/>
                <w:szCs w:val="20"/>
                <w:lang w:val="en-AU"/>
              </w:rPr>
              <w:t xml:space="preserve">ork </w:t>
            </w:r>
            <w:r w:rsidR="00E70F41" w:rsidRPr="00207DC2">
              <w:rPr>
                <w:rFonts w:cs="Calibri Light"/>
                <w:szCs w:val="20"/>
                <w:lang w:val="en-AU"/>
              </w:rPr>
              <w:t>f</w:t>
            </w:r>
            <w:r w:rsidR="00341766" w:rsidRPr="00207DC2">
              <w:rPr>
                <w:rFonts w:cs="Calibri Light"/>
                <w:szCs w:val="20"/>
                <w:lang w:val="en-AU"/>
              </w:rPr>
              <w:t xml:space="preserve">or the </w:t>
            </w:r>
            <w:r w:rsidR="00E70F41" w:rsidRPr="00207DC2">
              <w:rPr>
                <w:rFonts w:cs="Calibri Light"/>
                <w:szCs w:val="20"/>
                <w:lang w:val="en-AU"/>
              </w:rPr>
              <w:t>D</w:t>
            </w:r>
            <w:r w:rsidR="00341766" w:rsidRPr="00207DC2">
              <w:rPr>
                <w:rFonts w:cs="Calibri Light"/>
                <w:szCs w:val="20"/>
                <w:lang w:val="en-AU"/>
              </w:rPr>
              <w:t>ole</w:t>
            </w:r>
            <w:r w:rsidR="00E70F41" w:rsidRPr="00207DC2">
              <w:rPr>
                <w:rFonts w:cs="Calibri Light"/>
                <w:szCs w:val="20"/>
                <w:lang w:val="en-AU"/>
              </w:rPr>
              <w:t xml:space="preserve"> (as at 1 Jan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5E128E59" w14:textId="4E7E2E07" w:rsidR="00E70F41" w:rsidRPr="00207DC2" w:rsidRDefault="007B3B50" w:rsidP="00FB626D">
            <w:pPr>
              <w:pStyle w:val="TableText"/>
              <w:spacing w:before="0" w:after="0"/>
              <w:ind w:left="142" w:right="0"/>
              <w:rPr>
                <w:rFonts w:cs="Calibri Light"/>
                <w:szCs w:val="20"/>
                <w:lang w:val="en-AU"/>
              </w:rPr>
            </w:pPr>
            <w:r w:rsidRPr="00207DC2">
              <w:rPr>
                <w:rFonts w:cs="Calibri Light"/>
                <w:szCs w:val="20"/>
                <w:lang w:val="en-AU"/>
              </w:rPr>
              <w:t>Required to attend</w:t>
            </w:r>
          </w:p>
        </w:tc>
        <w:tc>
          <w:tcPr>
            <w:tcW w:w="1141" w:type="dxa"/>
            <w:tcBorders>
              <w:top w:val="dashSmallGap" w:sz="4" w:space="0" w:color="auto"/>
            </w:tcBorders>
            <w:shd w:val="clear" w:color="auto" w:fill="auto"/>
            <w:vAlign w:val="center"/>
          </w:tcPr>
          <w:p w14:paraId="08EBCD85"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79</w:t>
            </w:r>
          </w:p>
        </w:tc>
        <w:tc>
          <w:tcPr>
            <w:tcW w:w="1320" w:type="dxa"/>
            <w:tcBorders>
              <w:top w:val="dashSmallGap" w:sz="4" w:space="0" w:color="auto"/>
            </w:tcBorders>
            <w:shd w:val="clear" w:color="auto" w:fill="auto"/>
            <w:vAlign w:val="center"/>
          </w:tcPr>
          <w:p w14:paraId="59380AFB"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53</w:t>
            </w:r>
          </w:p>
        </w:tc>
        <w:tc>
          <w:tcPr>
            <w:tcW w:w="765" w:type="dxa"/>
            <w:tcBorders>
              <w:top w:val="dashSmallGap" w:sz="4" w:space="0" w:color="auto"/>
            </w:tcBorders>
            <w:vAlign w:val="center"/>
          </w:tcPr>
          <w:p w14:paraId="560A2AB4"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74</w:t>
            </w:r>
          </w:p>
        </w:tc>
      </w:tr>
      <w:tr w:rsidR="00E70F41" w:rsidRPr="00207DC2" w14:paraId="31F07EC0" w14:textId="77777777" w:rsidTr="00B24E7D">
        <w:trPr>
          <w:cantSplit/>
          <w:trHeight w:val="300"/>
        </w:trPr>
        <w:tc>
          <w:tcPr>
            <w:tcW w:w="2291" w:type="dxa"/>
            <w:vMerge/>
            <w:tcBorders>
              <w:top w:val="single" w:sz="4" w:space="0" w:color="auto"/>
              <w:bottom w:val="dashSmallGap" w:sz="4" w:space="0" w:color="auto"/>
            </w:tcBorders>
            <w:shd w:val="clear" w:color="auto" w:fill="auto"/>
            <w:vAlign w:val="center"/>
          </w:tcPr>
          <w:p w14:paraId="4A9F3EC8"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5A385892" w14:textId="1D7D0015"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 xml:space="preserve">Not </w:t>
            </w:r>
            <w:r w:rsidR="007B3B50" w:rsidRPr="00207DC2">
              <w:rPr>
                <w:rFonts w:cs="Calibri Light"/>
                <w:szCs w:val="20"/>
                <w:lang w:val="en-AU"/>
              </w:rPr>
              <w:t>required to attend</w:t>
            </w:r>
          </w:p>
        </w:tc>
        <w:tc>
          <w:tcPr>
            <w:tcW w:w="1141" w:type="dxa"/>
            <w:tcBorders>
              <w:bottom w:val="dashSmallGap" w:sz="4" w:space="0" w:color="auto"/>
            </w:tcBorders>
            <w:shd w:val="clear" w:color="auto" w:fill="auto"/>
            <w:vAlign w:val="center"/>
          </w:tcPr>
          <w:p w14:paraId="3EAAB1AE"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21</w:t>
            </w:r>
          </w:p>
        </w:tc>
        <w:tc>
          <w:tcPr>
            <w:tcW w:w="1320" w:type="dxa"/>
            <w:tcBorders>
              <w:bottom w:val="dashSmallGap" w:sz="4" w:space="0" w:color="auto"/>
            </w:tcBorders>
            <w:shd w:val="clear" w:color="auto" w:fill="auto"/>
            <w:vAlign w:val="center"/>
          </w:tcPr>
          <w:p w14:paraId="356F357B"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47</w:t>
            </w:r>
          </w:p>
        </w:tc>
        <w:tc>
          <w:tcPr>
            <w:tcW w:w="765" w:type="dxa"/>
            <w:tcBorders>
              <w:bottom w:val="dashSmallGap" w:sz="4" w:space="0" w:color="auto"/>
            </w:tcBorders>
            <w:vAlign w:val="center"/>
          </w:tcPr>
          <w:p w14:paraId="06637E4A"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26</w:t>
            </w:r>
          </w:p>
        </w:tc>
      </w:tr>
      <w:tr w:rsidR="00E70F41" w:rsidRPr="00207DC2" w14:paraId="4A3A8761" w14:textId="77777777" w:rsidTr="00B24E7D">
        <w:trPr>
          <w:cantSplit/>
          <w:trHeight w:val="300"/>
        </w:trPr>
        <w:tc>
          <w:tcPr>
            <w:tcW w:w="2291" w:type="dxa"/>
            <w:vMerge w:val="restart"/>
            <w:tcBorders>
              <w:top w:val="dashSmallGap" w:sz="4" w:space="0" w:color="auto"/>
            </w:tcBorders>
            <w:shd w:val="clear" w:color="auto" w:fill="auto"/>
            <w:vAlign w:val="center"/>
          </w:tcPr>
          <w:p w14:paraId="723B697C"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Ever penalised (any) during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6C4A9CCD"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Penalised</w:t>
            </w:r>
          </w:p>
        </w:tc>
        <w:tc>
          <w:tcPr>
            <w:tcW w:w="1141" w:type="dxa"/>
            <w:tcBorders>
              <w:top w:val="dashSmallGap" w:sz="4" w:space="0" w:color="auto"/>
            </w:tcBorders>
            <w:shd w:val="clear" w:color="auto" w:fill="auto"/>
            <w:vAlign w:val="center"/>
          </w:tcPr>
          <w:p w14:paraId="056E4DE7"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69</w:t>
            </w:r>
          </w:p>
        </w:tc>
        <w:tc>
          <w:tcPr>
            <w:tcW w:w="1320" w:type="dxa"/>
            <w:tcBorders>
              <w:top w:val="dashSmallGap" w:sz="4" w:space="0" w:color="auto"/>
            </w:tcBorders>
            <w:shd w:val="clear" w:color="auto" w:fill="auto"/>
            <w:vAlign w:val="center"/>
          </w:tcPr>
          <w:p w14:paraId="73AF39E8"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15</w:t>
            </w:r>
          </w:p>
        </w:tc>
        <w:tc>
          <w:tcPr>
            <w:tcW w:w="765" w:type="dxa"/>
            <w:tcBorders>
              <w:top w:val="dashSmallGap" w:sz="4" w:space="0" w:color="auto"/>
            </w:tcBorders>
            <w:vAlign w:val="center"/>
          </w:tcPr>
          <w:p w14:paraId="244D72D1"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60</w:t>
            </w:r>
          </w:p>
        </w:tc>
      </w:tr>
      <w:tr w:rsidR="00E70F41" w:rsidRPr="00207DC2" w14:paraId="347ECABB" w14:textId="77777777" w:rsidTr="00B24E7D">
        <w:trPr>
          <w:cantSplit/>
          <w:trHeight w:val="300"/>
        </w:trPr>
        <w:tc>
          <w:tcPr>
            <w:tcW w:w="2291" w:type="dxa"/>
            <w:vMerge/>
            <w:tcBorders>
              <w:bottom w:val="dashSmallGap" w:sz="4" w:space="0" w:color="auto"/>
            </w:tcBorders>
            <w:shd w:val="clear" w:color="auto" w:fill="auto"/>
            <w:vAlign w:val="center"/>
          </w:tcPr>
          <w:p w14:paraId="42686AB5"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dashSmallGap" w:sz="4" w:space="0" w:color="auto"/>
            </w:tcBorders>
            <w:shd w:val="clear" w:color="auto" w:fill="auto"/>
            <w:noWrap/>
            <w:tcMar>
              <w:top w:w="0" w:type="dxa"/>
              <w:left w:w="108" w:type="dxa"/>
              <w:bottom w:w="0" w:type="dxa"/>
              <w:right w:w="108" w:type="dxa"/>
            </w:tcMar>
            <w:vAlign w:val="center"/>
          </w:tcPr>
          <w:p w14:paraId="3AD26CC2"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Never penalised</w:t>
            </w:r>
          </w:p>
        </w:tc>
        <w:tc>
          <w:tcPr>
            <w:tcW w:w="1141" w:type="dxa"/>
            <w:tcBorders>
              <w:bottom w:val="dashSmallGap" w:sz="4" w:space="0" w:color="auto"/>
            </w:tcBorders>
            <w:shd w:val="clear" w:color="auto" w:fill="auto"/>
            <w:vAlign w:val="center"/>
          </w:tcPr>
          <w:p w14:paraId="35A32180"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31</w:t>
            </w:r>
          </w:p>
        </w:tc>
        <w:tc>
          <w:tcPr>
            <w:tcW w:w="1320" w:type="dxa"/>
            <w:tcBorders>
              <w:bottom w:val="dashSmallGap" w:sz="4" w:space="0" w:color="auto"/>
            </w:tcBorders>
            <w:shd w:val="clear" w:color="auto" w:fill="auto"/>
            <w:vAlign w:val="center"/>
          </w:tcPr>
          <w:p w14:paraId="4E48E8DE"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85</w:t>
            </w:r>
          </w:p>
        </w:tc>
        <w:tc>
          <w:tcPr>
            <w:tcW w:w="765" w:type="dxa"/>
            <w:tcBorders>
              <w:bottom w:val="dashSmallGap" w:sz="4" w:space="0" w:color="auto"/>
            </w:tcBorders>
            <w:vAlign w:val="center"/>
          </w:tcPr>
          <w:p w14:paraId="5E1A5D6B"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40</w:t>
            </w:r>
          </w:p>
        </w:tc>
      </w:tr>
      <w:tr w:rsidR="00E70F41" w:rsidRPr="00207DC2" w14:paraId="041EBD2C" w14:textId="77777777" w:rsidTr="00B24E7D">
        <w:trPr>
          <w:cantSplit/>
          <w:trHeight w:val="300"/>
        </w:trPr>
        <w:tc>
          <w:tcPr>
            <w:tcW w:w="2291" w:type="dxa"/>
            <w:vMerge w:val="restart"/>
            <w:tcBorders>
              <w:top w:val="dashSmallGap" w:sz="4" w:space="0" w:color="auto"/>
            </w:tcBorders>
            <w:shd w:val="clear" w:color="auto" w:fill="auto"/>
            <w:vAlign w:val="center"/>
          </w:tcPr>
          <w:p w14:paraId="7F34413F"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Ever penalised (zero-rate) during 2016</w:t>
            </w:r>
          </w:p>
        </w:tc>
        <w:tc>
          <w:tcPr>
            <w:tcW w:w="3760" w:type="dxa"/>
            <w:tcBorders>
              <w:top w:val="dashSmallGap" w:sz="4" w:space="0" w:color="auto"/>
            </w:tcBorders>
            <w:shd w:val="clear" w:color="auto" w:fill="auto"/>
            <w:noWrap/>
            <w:tcMar>
              <w:top w:w="0" w:type="dxa"/>
              <w:left w:w="108" w:type="dxa"/>
              <w:bottom w:w="0" w:type="dxa"/>
              <w:right w:w="108" w:type="dxa"/>
            </w:tcMar>
            <w:vAlign w:val="center"/>
          </w:tcPr>
          <w:p w14:paraId="12B7FB83"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Zero-rate</w:t>
            </w:r>
          </w:p>
        </w:tc>
        <w:tc>
          <w:tcPr>
            <w:tcW w:w="1141" w:type="dxa"/>
            <w:tcBorders>
              <w:top w:val="dashSmallGap" w:sz="4" w:space="0" w:color="auto"/>
            </w:tcBorders>
            <w:shd w:val="clear" w:color="auto" w:fill="auto"/>
            <w:vAlign w:val="center"/>
          </w:tcPr>
          <w:p w14:paraId="37387A2D"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26</w:t>
            </w:r>
          </w:p>
        </w:tc>
        <w:tc>
          <w:tcPr>
            <w:tcW w:w="1320" w:type="dxa"/>
            <w:tcBorders>
              <w:top w:val="dashSmallGap" w:sz="4" w:space="0" w:color="auto"/>
            </w:tcBorders>
            <w:shd w:val="clear" w:color="auto" w:fill="auto"/>
            <w:vAlign w:val="center"/>
          </w:tcPr>
          <w:p w14:paraId="0CB3E2EC"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1</w:t>
            </w:r>
          </w:p>
        </w:tc>
        <w:tc>
          <w:tcPr>
            <w:tcW w:w="765" w:type="dxa"/>
            <w:tcBorders>
              <w:top w:val="dashSmallGap" w:sz="4" w:space="0" w:color="auto"/>
            </w:tcBorders>
            <w:vAlign w:val="center"/>
          </w:tcPr>
          <w:p w14:paraId="6C1531A7"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21</w:t>
            </w:r>
          </w:p>
        </w:tc>
      </w:tr>
      <w:tr w:rsidR="00E70F41" w:rsidRPr="00207DC2" w14:paraId="38467A39" w14:textId="77777777" w:rsidTr="00B24E7D">
        <w:trPr>
          <w:cantSplit/>
          <w:trHeight w:val="300"/>
        </w:trPr>
        <w:tc>
          <w:tcPr>
            <w:tcW w:w="2291" w:type="dxa"/>
            <w:vMerge/>
            <w:tcBorders>
              <w:bottom w:val="single" w:sz="8" w:space="0" w:color="auto"/>
            </w:tcBorders>
            <w:shd w:val="clear" w:color="auto" w:fill="auto"/>
            <w:vAlign w:val="center"/>
          </w:tcPr>
          <w:p w14:paraId="2A4BEADF" w14:textId="77777777" w:rsidR="00E70F41" w:rsidRPr="00207DC2" w:rsidRDefault="00E70F41" w:rsidP="00FB626D">
            <w:pPr>
              <w:pStyle w:val="TableText"/>
              <w:spacing w:before="0" w:after="0"/>
              <w:ind w:left="142" w:right="0"/>
              <w:rPr>
                <w:rFonts w:cs="Calibri Light"/>
                <w:szCs w:val="20"/>
                <w:lang w:val="en-AU"/>
              </w:rPr>
            </w:pPr>
          </w:p>
        </w:tc>
        <w:tc>
          <w:tcPr>
            <w:tcW w:w="3760" w:type="dxa"/>
            <w:tcBorders>
              <w:bottom w:val="single" w:sz="8" w:space="0" w:color="auto"/>
            </w:tcBorders>
            <w:shd w:val="clear" w:color="auto" w:fill="auto"/>
            <w:noWrap/>
            <w:tcMar>
              <w:top w:w="0" w:type="dxa"/>
              <w:left w:w="108" w:type="dxa"/>
              <w:bottom w:w="0" w:type="dxa"/>
              <w:right w:w="108" w:type="dxa"/>
            </w:tcMar>
            <w:vAlign w:val="center"/>
          </w:tcPr>
          <w:p w14:paraId="3D7E3518" w14:textId="77777777" w:rsidR="00E70F41" w:rsidRPr="00207DC2" w:rsidRDefault="00E70F41" w:rsidP="00FB626D">
            <w:pPr>
              <w:pStyle w:val="TableText"/>
              <w:spacing w:before="0" w:after="0"/>
              <w:ind w:left="142" w:right="0"/>
              <w:rPr>
                <w:rFonts w:cs="Calibri Light"/>
                <w:szCs w:val="20"/>
                <w:lang w:val="en-AU"/>
              </w:rPr>
            </w:pPr>
            <w:r w:rsidRPr="00207DC2">
              <w:rPr>
                <w:rFonts w:cs="Calibri Light"/>
                <w:szCs w:val="20"/>
                <w:lang w:val="en-AU"/>
              </w:rPr>
              <w:t>Never zero-rate</w:t>
            </w:r>
          </w:p>
        </w:tc>
        <w:tc>
          <w:tcPr>
            <w:tcW w:w="1141" w:type="dxa"/>
            <w:tcBorders>
              <w:bottom w:val="single" w:sz="8" w:space="0" w:color="auto"/>
            </w:tcBorders>
            <w:shd w:val="clear" w:color="auto" w:fill="auto"/>
            <w:vAlign w:val="center"/>
          </w:tcPr>
          <w:p w14:paraId="2DC7A985" w14:textId="77777777" w:rsidR="00E70F41" w:rsidRPr="00207DC2" w:rsidRDefault="00E70F41" w:rsidP="00FB626D">
            <w:pPr>
              <w:tabs>
                <w:tab w:val="decimal" w:pos="469"/>
              </w:tabs>
              <w:spacing w:before="0" w:after="0"/>
              <w:jc w:val="center"/>
              <w:rPr>
                <w:rFonts w:cs="Calibri Light"/>
                <w:szCs w:val="20"/>
                <w:lang w:val="en-AU"/>
              </w:rPr>
            </w:pPr>
            <w:r w:rsidRPr="00207DC2">
              <w:rPr>
                <w:rFonts w:cs="Calibri Light"/>
                <w:szCs w:val="20"/>
                <w:lang w:val="en-AU"/>
              </w:rPr>
              <w:t>74</w:t>
            </w:r>
          </w:p>
        </w:tc>
        <w:tc>
          <w:tcPr>
            <w:tcW w:w="1320" w:type="dxa"/>
            <w:tcBorders>
              <w:bottom w:val="single" w:sz="8" w:space="0" w:color="auto"/>
            </w:tcBorders>
            <w:shd w:val="clear" w:color="auto" w:fill="auto"/>
            <w:vAlign w:val="center"/>
          </w:tcPr>
          <w:p w14:paraId="5FBF17F3" w14:textId="77777777" w:rsidR="00E70F41" w:rsidRPr="00207DC2" w:rsidRDefault="00E70F41" w:rsidP="00FB626D">
            <w:pPr>
              <w:tabs>
                <w:tab w:val="decimal" w:pos="463"/>
              </w:tabs>
              <w:spacing w:before="0" w:after="0"/>
              <w:jc w:val="center"/>
              <w:rPr>
                <w:rFonts w:cs="Calibri Light"/>
                <w:szCs w:val="20"/>
                <w:lang w:val="en-AU"/>
              </w:rPr>
            </w:pPr>
            <w:r w:rsidRPr="00207DC2">
              <w:rPr>
                <w:rFonts w:cs="Calibri Light"/>
                <w:szCs w:val="20"/>
                <w:lang w:val="en-AU"/>
              </w:rPr>
              <w:t>99</w:t>
            </w:r>
          </w:p>
        </w:tc>
        <w:tc>
          <w:tcPr>
            <w:tcW w:w="765" w:type="dxa"/>
            <w:tcBorders>
              <w:bottom w:val="single" w:sz="8" w:space="0" w:color="auto"/>
            </w:tcBorders>
            <w:vAlign w:val="center"/>
          </w:tcPr>
          <w:p w14:paraId="4106ADCD" w14:textId="77777777" w:rsidR="00E70F41" w:rsidRPr="00207DC2" w:rsidRDefault="00E70F41" w:rsidP="00FB626D">
            <w:pPr>
              <w:tabs>
                <w:tab w:val="decimal" w:pos="475"/>
              </w:tabs>
              <w:spacing w:before="0" w:after="0"/>
              <w:jc w:val="center"/>
              <w:rPr>
                <w:rFonts w:cs="Calibri Light"/>
                <w:szCs w:val="20"/>
                <w:lang w:val="en-AU"/>
              </w:rPr>
            </w:pPr>
            <w:r w:rsidRPr="00207DC2">
              <w:rPr>
                <w:rFonts w:cs="Calibri Light"/>
                <w:szCs w:val="20"/>
                <w:lang w:val="en-AU"/>
              </w:rPr>
              <w:t>79</w:t>
            </w:r>
          </w:p>
        </w:tc>
      </w:tr>
      <w:tr w:rsidR="00E70F41" w:rsidRPr="00207DC2" w14:paraId="4E06DE3A" w14:textId="77777777" w:rsidTr="00B24E7D">
        <w:trPr>
          <w:cantSplit/>
          <w:trHeight w:val="300"/>
        </w:trPr>
        <w:tc>
          <w:tcPr>
            <w:tcW w:w="2291" w:type="dxa"/>
            <w:tcBorders>
              <w:top w:val="dashSmallGap" w:sz="4" w:space="0" w:color="auto"/>
              <w:left w:val="nil"/>
              <w:bottom w:val="single" w:sz="8" w:space="0" w:color="auto"/>
              <w:right w:val="nil"/>
            </w:tcBorders>
            <w:shd w:val="clear" w:color="auto" w:fill="auto"/>
            <w:vAlign w:val="center"/>
          </w:tcPr>
          <w:p w14:paraId="02CBB401" w14:textId="77777777" w:rsidR="00E70F41" w:rsidRPr="00207DC2" w:rsidRDefault="00E70F41" w:rsidP="00FB626D">
            <w:pPr>
              <w:pStyle w:val="TableText"/>
              <w:spacing w:before="0" w:after="0"/>
              <w:ind w:left="142" w:right="0"/>
              <w:rPr>
                <w:rFonts w:cs="Calibri Light"/>
                <w:b/>
                <w:color w:val="000000"/>
                <w:szCs w:val="20"/>
                <w:lang w:val="en-AU"/>
              </w:rPr>
            </w:pPr>
            <w:r w:rsidRPr="00207DC2">
              <w:rPr>
                <w:rFonts w:cs="Calibri Light"/>
                <w:b/>
                <w:color w:val="000000"/>
                <w:szCs w:val="20"/>
                <w:lang w:val="en-AU"/>
              </w:rPr>
              <w:t>Total</w:t>
            </w:r>
          </w:p>
        </w:tc>
        <w:tc>
          <w:tcPr>
            <w:tcW w:w="3760" w:type="dxa"/>
            <w:tcBorders>
              <w:top w:val="dashSmallGap" w:sz="4" w:space="0" w:color="auto"/>
              <w:left w:val="nil"/>
              <w:bottom w:val="single" w:sz="8" w:space="0" w:color="auto"/>
              <w:right w:val="nil"/>
            </w:tcBorders>
            <w:shd w:val="clear" w:color="auto" w:fill="auto"/>
            <w:noWrap/>
            <w:tcMar>
              <w:top w:w="0" w:type="dxa"/>
              <w:left w:w="108" w:type="dxa"/>
              <w:bottom w:w="0" w:type="dxa"/>
              <w:right w:w="108" w:type="dxa"/>
            </w:tcMar>
            <w:vAlign w:val="center"/>
          </w:tcPr>
          <w:p w14:paraId="5BC52EED" w14:textId="77777777" w:rsidR="00E70F41" w:rsidRPr="00207DC2" w:rsidRDefault="00E70F41" w:rsidP="00FB626D">
            <w:pPr>
              <w:pStyle w:val="TableText"/>
              <w:spacing w:before="0" w:after="0"/>
              <w:ind w:left="142" w:right="0"/>
              <w:rPr>
                <w:rFonts w:cs="Calibri Light"/>
                <w:b/>
                <w:color w:val="000000"/>
                <w:szCs w:val="20"/>
                <w:lang w:val="en-AU"/>
              </w:rPr>
            </w:pPr>
          </w:p>
        </w:tc>
        <w:tc>
          <w:tcPr>
            <w:tcW w:w="1141" w:type="dxa"/>
            <w:tcBorders>
              <w:top w:val="dashSmallGap" w:sz="4" w:space="0" w:color="auto"/>
              <w:left w:val="nil"/>
              <w:bottom w:val="single" w:sz="8" w:space="0" w:color="auto"/>
              <w:right w:val="nil"/>
            </w:tcBorders>
            <w:shd w:val="clear" w:color="auto" w:fill="auto"/>
            <w:vAlign w:val="center"/>
          </w:tcPr>
          <w:p w14:paraId="36A62C84" w14:textId="77777777" w:rsidR="00E70F41" w:rsidRPr="00207DC2" w:rsidRDefault="00E70F41" w:rsidP="00FB626D">
            <w:pPr>
              <w:pStyle w:val="TableText"/>
              <w:tabs>
                <w:tab w:val="decimal" w:pos="469"/>
              </w:tabs>
              <w:spacing w:before="0" w:after="0"/>
              <w:ind w:left="0" w:right="0"/>
              <w:jc w:val="center"/>
              <w:rPr>
                <w:rFonts w:cs="Calibri Light"/>
                <w:b/>
                <w:color w:val="000000"/>
                <w:szCs w:val="20"/>
                <w:lang w:val="en-AU"/>
              </w:rPr>
            </w:pPr>
            <w:r w:rsidRPr="00207DC2">
              <w:rPr>
                <w:rFonts w:cs="Calibri Light"/>
                <w:b/>
                <w:lang w:val="en-AU"/>
              </w:rPr>
              <w:t>100</w:t>
            </w:r>
          </w:p>
        </w:tc>
        <w:tc>
          <w:tcPr>
            <w:tcW w:w="1320" w:type="dxa"/>
            <w:tcBorders>
              <w:top w:val="dashSmallGap" w:sz="4" w:space="0" w:color="auto"/>
              <w:left w:val="nil"/>
              <w:bottom w:val="single" w:sz="8" w:space="0" w:color="auto"/>
              <w:right w:val="nil"/>
            </w:tcBorders>
            <w:shd w:val="clear" w:color="auto" w:fill="auto"/>
            <w:vAlign w:val="center"/>
          </w:tcPr>
          <w:p w14:paraId="20069C72" w14:textId="77777777" w:rsidR="00E70F41" w:rsidRPr="00207DC2" w:rsidRDefault="00E70F41" w:rsidP="00FB626D">
            <w:pPr>
              <w:pStyle w:val="TableText"/>
              <w:tabs>
                <w:tab w:val="decimal" w:pos="463"/>
              </w:tabs>
              <w:spacing w:before="0" w:after="0"/>
              <w:ind w:left="0" w:right="0"/>
              <w:jc w:val="center"/>
              <w:rPr>
                <w:rFonts w:cs="Calibri Light"/>
                <w:b/>
                <w:color w:val="000000"/>
                <w:szCs w:val="20"/>
                <w:lang w:val="en-AU"/>
              </w:rPr>
            </w:pPr>
            <w:r w:rsidRPr="00207DC2">
              <w:rPr>
                <w:rFonts w:cs="Calibri Light"/>
                <w:b/>
                <w:lang w:val="en-AU"/>
              </w:rPr>
              <w:t>100</w:t>
            </w:r>
          </w:p>
        </w:tc>
        <w:tc>
          <w:tcPr>
            <w:tcW w:w="765" w:type="dxa"/>
            <w:tcBorders>
              <w:top w:val="dashSmallGap" w:sz="4" w:space="0" w:color="auto"/>
              <w:left w:val="nil"/>
              <w:bottom w:val="single" w:sz="8" w:space="0" w:color="auto"/>
              <w:right w:val="nil"/>
            </w:tcBorders>
            <w:vAlign w:val="center"/>
          </w:tcPr>
          <w:p w14:paraId="38AC88BF" w14:textId="77777777" w:rsidR="00E70F41" w:rsidRPr="00207DC2" w:rsidRDefault="00E70F41" w:rsidP="00FB626D">
            <w:pPr>
              <w:pStyle w:val="TableText"/>
              <w:tabs>
                <w:tab w:val="decimal" w:pos="475"/>
              </w:tabs>
              <w:spacing w:before="0" w:after="0"/>
              <w:ind w:left="0" w:right="0"/>
              <w:jc w:val="center"/>
              <w:rPr>
                <w:rFonts w:cs="Calibri Light"/>
                <w:b/>
                <w:color w:val="000000"/>
                <w:szCs w:val="20"/>
                <w:lang w:val="en-AU"/>
              </w:rPr>
            </w:pPr>
            <w:r w:rsidRPr="00207DC2">
              <w:rPr>
                <w:rFonts w:cs="Calibri Light"/>
                <w:b/>
                <w:lang w:val="en-AU"/>
              </w:rPr>
              <w:t>100</w:t>
            </w:r>
          </w:p>
        </w:tc>
      </w:tr>
    </w:tbl>
    <w:p w14:paraId="788844E9" w14:textId="77777777" w:rsidR="006D0C68" w:rsidRPr="00207DC2" w:rsidRDefault="006D0C68" w:rsidP="00B24E7D">
      <w:pPr>
        <w:pStyle w:val="tablenotes"/>
        <w:rPr>
          <w:sz w:val="20"/>
        </w:rPr>
      </w:pPr>
      <w:r w:rsidRPr="00207DC2">
        <w:t xml:space="preserve">Notes: </w:t>
      </w:r>
      <w:r w:rsidR="004C5702" w:rsidRPr="00207DC2">
        <w:t xml:space="preserve">(a) </w:t>
      </w:r>
      <w:r w:rsidRPr="00207DC2">
        <w:t>The (categorical) variable for region is not included, as it has a large number of effect values</w:t>
      </w:r>
      <w:r w:rsidRPr="00207DC2">
        <w:rPr>
          <w:sz w:val="20"/>
        </w:rPr>
        <w:t>.</w:t>
      </w:r>
    </w:p>
    <w:p w14:paraId="132669B3" w14:textId="77777777" w:rsidR="0025705E" w:rsidRPr="00207DC2" w:rsidRDefault="0025705E" w:rsidP="005631B4">
      <w:pPr>
        <w:pStyle w:val="Heading2"/>
        <w:sectPr w:rsidR="0025705E" w:rsidRPr="00207DC2" w:rsidSect="00AD61E0">
          <w:footerReference w:type="default" r:id="rId46"/>
          <w:pgSz w:w="11907" w:h="16839" w:code="9"/>
          <w:pgMar w:top="1560" w:right="1512" w:bottom="1560" w:left="1512" w:header="624" w:footer="283" w:gutter="0"/>
          <w:pgNumType w:start="1"/>
          <w:cols w:space="720"/>
          <w:docGrid w:linePitch="360"/>
        </w:sectPr>
      </w:pPr>
    </w:p>
    <w:p w14:paraId="43B1BE29" w14:textId="77777777" w:rsidR="009067DF" w:rsidRPr="00207DC2" w:rsidRDefault="009067DF" w:rsidP="00D6637F">
      <w:pPr>
        <w:pStyle w:val="ZED5"/>
      </w:pPr>
      <w:bookmarkStart w:id="754" w:name="_Toc511661261"/>
      <w:bookmarkStart w:id="755" w:name="_Toc511826318"/>
      <w:bookmarkStart w:id="756" w:name="_Toc511940634"/>
      <w:bookmarkStart w:id="757" w:name="_Toc515185486"/>
      <w:bookmarkStart w:id="758" w:name="_Toc516219859"/>
      <w:bookmarkStart w:id="759" w:name="_Toc516220500"/>
      <w:bookmarkStart w:id="760" w:name="_Toc516223320"/>
      <w:bookmarkStart w:id="761" w:name="_Toc516225228"/>
      <w:bookmarkStart w:id="762" w:name="_Toc516229004"/>
      <w:bookmarkStart w:id="763" w:name="_Toc535935076"/>
      <w:bookmarkStart w:id="764" w:name="_Toc509926910"/>
      <w:bookmarkStart w:id="765" w:name="_Toc509412987"/>
      <w:bookmarkStart w:id="766" w:name="_Toc509587055"/>
      <w:bookmarkStart w:id="767" w:name="_Toc509588081"/>
      <w:bookmarkStart w:id="768" w:name="_Toc509588344"/>
      <w:bookmarkStart w:id="769" w:name="_Toc509589492"/>
      <w:r w:rsidRPr="00207DC2">
        <w:t>Regression results</w:t>
      </w:r>
      <w:bookmarkEnd w:id="754"/>
      <w:bookmarkEnd w:id="755"/>
      <w:bookmarkEnd w:id="756"/>
      <w:bookmarkEnd w:id="757"/>
      <w:bookmarkEnd w:id="758"/>
      <w:bookmarkEnd w:id="759"/>
      <w:bookmarkEnd w:id="760"/>
      <w:bookmarkEnd w:id="761"/>
      <w:bookmarkEnd w:id="762"/>
      <w:bookmarkEnd w:id="763"/>
    </w:p>
    <w:bookmarkEnd w:id="764"/>
    <w:bookmarkEnd w:id="765"/>
    <w:bookmarkEnd w:id="766"/>
    <w:bookmarkEnd w:id="767"/>
    <w:bookmarkEnd w:id="768"/>
    <w:bookmarkEnd w:id="769"/>
    <w:p w14:paraId="14D90556" w14:textId="65D78D34" w:rsidR="0025705E" w:rsidRPr="00207DC2" w:rsidRDefault="0025705E" w:rsidP="00FB626D">
      <w:pPr>
        <w:pStyle w:val="Table"/>
        <w:outlineLvl w:val="9"/>
      </w:pPr>
      <w:r w:rsidRPr="00207DC2">
        <w:t xml:space="preserve">Table </w:t>
      </w:r>
      <w:r w:rsidR="00404559" w:rsidRPr="00207DC2">
        <w:t>B</w:t>
      </w:r>
      <w:r w:rsidRPr="00207DC2">
        <w:t>.</w:t>
      </w:r>
      <w:r w:rsidR="00D03BD2" w:rsidRPr="00207DC2">
        <w:t>4</w:t>
      </w:r>
      <w:r w:rsidRPr="00207DC2">
        <w:t> </w:t>
      </w:r>
      <w:r w:rsidR="00362FEC" w:rsidRPr="00207DC2">
        <w:t xml:space="preserve">Estimated </w:t>
      </w:r>
      <w:r w:rsidRPr="00207DC2">
        <w:t xml:space="preserve">effects from attendance </w:t>
      </w:r>
      <w:r w:rsidR="00362FEC" w:rsidRPr="00207DC2">
        <w:t xml:space="preserve">and penalty </w:t>
      </w:r>
      <w:r w:rsidRPr="00207DC2">
        <w:t>models</w:t>
      </w:r>
      <w:r w:rsidR="002B61AE" w:rsidRPr="002B61AE">
        <w:rPr>
          <w:vertAlign w:val="superscript"/>
        </w:rPr>
        <w:t>a,b</w:t>
      </w:r>
    </w:p>
    <w:tbl>
      <w:tblPr>
        <w:tblStyle w:val="TableGridLight1"/>
        <w:tblW w:w="14484" w:type="dxa"/>
        <w:tblBorders>
          <w:top w:val="dashSmallGap" w:sz="4" w:space="0" w:color="auto"/>
          <w:left w:val="none" w:sz="0" w:space="0" w:color="auto"/>
          <w:bottom w:val="dashSmallGap" w:sz="4" w:space="0" w:color="auto"/>
          <w:right w:val="none" w:sz="0" w:space="0" w:color="auto"/>
          <w:insideH w:val="dashSmallGap" w:sz="4" w:space="0" w:color="auto"/>
          <w:insideV w:val="none" w:sz="0" w:space="0" w:color="auto"/>
        </w:tblBorders>
        <w:tblLayout w:type="fixed"/>
        <w:tblLook w:val="04A0" w:firstRow="1" w:lastRow="0" w:firstColumn="1" w:lastColumn="0" w:noHBand="0" w:noVBand="1"/>
        <w:tblCaption w:val="Estimated effects from attendance and penalty models"/>
        <w:tblDescription w:val="The table shows the estimated effects of explanatory variables in the five models of attendance and penalty outcomes. The first column of figures shows addition values for the proportion of attendance days that a person attended in 2016. The second column of figures shows addition values for the proportion of attendance days that a person did not attend with an invalid reason in 2016. The third column shows odds ratios for the probability that a participant was ever penalised in 2016. The fourth column shows odds ratios for the probability that a participant who was penalised, ever had a zero-rate penalty in 2016. The fifth column shows addition values for the amount a participant who was penalised, lost to penalties in 2016."/>
      </w:tblPr>
      <w:tblGrid>
        <w:gridCol w:w="1951"/>
        <w:gridCol w:w="6804"/>
        <w:gridCol w:w="1127"/>
        <w:gridCol w:w="1127"/>
        <w:gridCol w:w="1127"/>
        <w:gridCol w:w="1127"/>
        <w:gridCol w:w="1221"/>
      </w:tblGrid>
      <w:tr w:rsidR="006E2083" w:rsidRPr="00207DC2" w14:paraId="78FCCCC0" w14:textId="77777777" w:rsidTr="00383F4E">
        <w:trPr>
          <w:trHeight w:val="285"/>
          <w:tblHeader/>
        </w:trPr>
        <w:tc>
          <w:tcPr>
            <w:tcW w:w="1951" w:type="dxa"/>
            <w:tcBorders>
              <w:top w:val="single" w:sz="4" w:space="0" w:color="1C1C1C" w:themeColor="background1" w:themeShade="BF"/>
              <w:bottom w:val="single" w:sz="4" w:space="0" w:color="1C1C1C" w:themeColor="background1" w:themeShade="BF"/>
            </w:tcBorders>
            <w:noWrap/>
            <w:vAlign w:val="center"/>
            <w:hideMark/>
          </w:tcPr>
          <w:p w14:paraId="64AE70EF"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Variable</w:t>
            </w:r>
          </w:p>
        </w:tc>
        <w:tc>
          <w:tcPr>
            <w:tcW w:w="6804" w:type="dxa"/>
            <w:tcBorders>
              <w:top w:val="single" w:sz="4" w:space="0" w:color="1C1C1C" w:themeColor="background1" w:themeShade="BF"/>
              <w:bottom w:val="single" w:sz="4" w:space="0" w:color="1C1C1C" w:themeColor="background1" w:themeShade="BF"/>
            </w:tcBorders>
            <w:noWrap/>
            <w:vAlign w:val="center"/>
            <w:hideMark/>
          </w:tcPr>
          <w:p w14:paraId="132F5F9D"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Effect value</w:t>
            </w:r>
          </w:p>
        </w:tc>
        <w:tc>
          <w:tcPr>
            <w:tcW w:w="1127" w:type="dxa"/>
            <w:tcBorders>
              <w:top w:val="single" w:sz="4" w:space="0" w:color="1C1C1C" w:themeColor="background1" w:themeShade="BF"/>
              <w:bottom w:val="single" w:sz="4" w:space="0" w:color="1C1C1C" w:themeColor="background1" w:themeShade="BF"/>
            </w:tcBorders>
            <w:noWrap/>
            <w:vAlign w:val="center"/>
            <w:hideMark/>
          </w:tcPr>
          <w:p w14:paraId="1B73B4E6"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Attended</w:t>
            </w:r>
          </w:p>
          <w:p w14:paraId="40EF8B22"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 points)</w:t>
            </w:r>
          </w:p>
        </w:tc>
        <w:tc>
          <w:tcPr>
            <w:tcW w:w="1127" w:type="dxa"/>
            <w:tcBorders>
              <w:top w:val="single" w:sz="4" w:space="0" w:color="1C1C1C" w:themeColor="background1" w:themeShade="BF"/>
              <w:bottom w:val="single" w:sz="4" w:space="0" w:color="1C1C1C" w:themeColor="background1" w:themeShade="BF"/>
            </w:tcBorders>
            <w:noWrap/>
            <w:vAlign w:val="center"/>
            <w:hideMark/>
          </w:tcPr>
          <w:p w14:paraId="40B97E4E"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DNAI</w:t>
            </w:r>
          </w:p>
          <w:p w14:paraId="272F3FD8"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 points)</w:t>
            </w:r>
          </w:p>
        </w:tc>
        <w:tc>
          <w:tcPr>
            <w:tcW w:w="1127" w:type="dxa"/>
            <w:tcBorders>
              <w:top w:val="single" w:sz="4" w:space="0" w:color="1C1C1C" w:themeColor="background1" w:themeShade="BF"/>
              <w:bottom w:val="single" w:sz="4" w:space="0" w:color="1C1C1C" w:themeColor="background1" w:themeShade="BF"/>
            </w:tcBorders>
            <w:vAlign w:val="center"/>
          </w:tcPr>
          <w:p w14:paraId="5AB0FC36"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Penalty</w:t>
            </w:r>
          </w:p>
          <w:p w14:paraId="52C88D0A"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(OR)</w:t>
            </w:r>
            <w:r w:rsidR="008C49D7" w:rsidRPr="00207DC2">
              <w:rPr>
                <w:rFonts w:ascii="Arial" w:hAnsi="Arial" w:cs="Arial"/>
                <w:b/>
                <w:color w:val="auto"/>
                <w:szCs w:val="22"/>
                <w:vertAlign w:val="superscript"/>
                <w:lang w:val="en-AU"/>
              </w:rPr>
              <w:t>a</w:t>
            </w:r>
          </w:p>
        </w:tc>
        <w:tc>
          <w:tcPr>
            <w:tcW w:w="1127" w:type="dxa"/>
            <w:tcBorders>
              <w:top w:val="single" w:sz="4" w:space="0" w:color="1C1C1C" w:themeColor="background1" w:themeShade="BF"/>
              <w:bottom w:val="single" w:sz="4" w:space="0" w:color="1C1C1C" w:themeColor="background1" w:themeShade="BF"/>
            </w:tcBorders>
            <w:vAlign w:val="center"/>
          </w:tcPr>
          <w:p w14:paraId="72D7A846"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Zero</w:t>
            </w:r>
          </w:p>
          <w:p w14:paraId="565F77FE"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(OR)</w:t>
            </w:r>
            <w:r w:rsidR="008C49D7" w:rsidRPr="00207DC2">
              <w:rPr>
                <w:rFonts w:ascii="Arial" w:hAnsi="Arial" w:cs="Arial"/>
                <w:b/>
                <w:color w:val="auto"/>
                <w:szCs w:val="22"/>
                <w:vertAlign w:val="superscript"/>
                <w:lang w:val="en-AU"/>
              </w:rPr>
              <w:t>a</w:t>
            </w:r>
          </w:p>
        </w:tc>
        <w:tc>
          <w:tcPr>
            <w:tcW w:w="1221" w:type="dxa"/>
            <w:tcBorders>
              <w:top w:val="single" w:sz="4" w:space="0" w:color="1C1C1C" w:themeColor="background1" w:themeShade="BF"/>
              <w:bottom w:val="single" w:sz="4" w:space="0" w:color="1C1C1C" w:themeColor="background1" w:themeShade="BF"/>
            </w:tcBorders>
            <w:vAlign w:val="center"/>
          </w:tcPr>
          <w:p w14:paraId="278B4123"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Penalty</w:t>
            </w:r>
          </w:p>
          <w:p w14:paraId="244EAAD7" w14:textId="77777777" w:rsidR="006E2083" w:rsidRPr="00207DC2" w:rsidRDefault="006E2083" w:rsidP="00FB626D">
            <w:pPr>
              <w:spacing w:before="60" w:after="0"/>
              <w:rPr>
                <w:rFonts w:ascii="Arial" w:hAnsi="Arial" w:cs="Arial"/>
                <w:b/>
                <w:color w:val="auto"/>
                <w:sz w:val="16"/>
                <w:szCs w:val="16"/>
                <w:lang w:val="en-AU"/>
              </w:rPr>
            </w:pPr>
            <w:r w:rsidRPr="00207DC2">
              <w:rPr>
                <w:rFonts w:ascii="Arial" w:hAnsi="Arial" w:cs="Arial"/>
                <w:b/>
                <w:color w:val="auto"/>
                <w:sz w:val="16"/>
                <w:szCs w:val="16"/>
                <w:lang w:val="en-AU"/>
              </w:rPr>
              <w:t>(+$)</w:t>
            </w:r>
          </w:p>
        </w:tc>
      </w:tr>
      <w:tr w:rsidR="00305052" w:rsidRPr="00207DC2" w14:paraId="359A21F2" w14:textId="77777777" w:rsidTr="00383F4E">
        <w:trPr>
          <w:trHeight w:val="285"/>
        </w:trPr>
        <w:tc>
          <w:tcPr>
            <w:tcW w:w="1951" w:type="dxa"/>
            <w:tcBorders>
              <w:top w:val="single" w:sz="4" w:space="0" w:color="1C1C1C" w:themeColor="background1" w:themeShade="BF"/>
            </w:tcBorders>
            <w:noWrap/>
            <w:vAlign w:val="center"/>
          </w:tcPr>
          <w:p w14:paraId="1547C901"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Intercept</w:t>
            </w:r>
          </w:p>
        </w:tc>
        <w:tc>
          <w:tcPr>
            <w:tcW w:w="6804" w:type="dxa"/>
            <w:tcBorders>
              <w:top w:val="single" w:sz="4" w:space="0" w:color="1C1C1C" w:themeColor="background1" w:themeShade="BF"/>
            </w:tcBorders>
            <w:noWrap/>
            <w:vAlign w:val="center"/>
          </w:tcPr>
          <w:p w14:paraId="7DF6EA86"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Intercept</w:t>
            </w:r>
          </w:p>
        </w:tc>
        <w:tc>
          <w:tcPr>
            <w:tcW w:w="1127" w:type="dxa"/>
            <w:tcBorders>
              <w:top w:val="single" w:sz="4" w:space="0" w:color="1C1C1C" w:themeColor="background1" w:themeShade="BF"/>
            </w:tcBorders>
            <w:noWrap/>
            <w:vAlign w:val="center"/>
          </w:tcPr>
          <w:p w14:paraId="04901B9B" w14:textId="77777777" w:rsidR="00305052" w:rsidRPr="00207DC2" w:rsidRDefault="005D174E"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12</w:t>
            </w:r>
            <w:r w:rsidR="00305052" w:rsidRPr="00207DC2">
              <w:rPr>
                <w:rFonts w:ascii="Arial" w:hAnsi="Arial" w:cs="Arial"/>
                <w:sz w:val="16"/>
                <w:szCs w:val="16"/>
                <w:lang w:val="en-AU"/>
              </w:rPr>
              <w:t>***</w:t>
            </w:r>
          </w:p>
        </w:tc>
        <w:tc>
          <w:tcPr>
            <w:tcW w:w="1127" w:type="dxa"/>
            <w:tcBorders>
              <w:top w:val="single" w:sz="4" w:space="0" w:color="1C1C1C" w:themeColor="background1" w:themeShade="BF"/>
            </w:tcBorders>
            <w:noWrap/>
            <w:vAlign w:val="center"/>
          </w:tcPr>
          <w:p w14:paraId="277FC5C7"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33***</w:t>
            </w:r>
          </w:p>
        </w:tc>
        <w:tc>
          <w:tcPr>
            <w:tcW w:w="1127" w:type="dxa"/>
            <w:tcBorders>
              <w:top w:val="single" w:sz="4" w:space="0" w:color="1C1C1C" w:themeColor="background1" w:themeShade="BF"/>
            </w:tcBorders>
            <w:vAlign w:val="center"/>
          </w:tcPr>
          <w:p w14:paraId="6BD32D2B"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04</w:t>
            </w:r>
            <w:r w:rsidRPr="00207DC2">
              <w:rPr>
                <w:rFonts w:ascii="Arial" w:hAnsi="Arial" w:cs="Arial"/>
                <w:sz w:val="16"/>
                <w:szCs w:val="16"/>
                <w:lang w:val="en-AU"/>
              </w:rPr>
              <w:t>***</w:t>
            </w:r>
          </w:p>
        </w:tc>
        <w:tc>
          <w:tcPr>
            <w:tcW w:w="1127" w:type="dxa"/>
            <w:tcBorders>
              <w:top w:val="single" w:sz="4" w:space="0" w:color="1C1C1C" w:themeColor="background1" w:themeShade="BF"/>
            </w:tcBorders>
            <w:vAlign w:val="center"/>
          </w:tcPr>
          <w:p w14:paraId="1F78CE92"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0.03</w:t>
            </w:r>
          </w:p>
        </w:tc>
        <w:tc>
          <w:tcPr>
            <w:tcW w:w="1221" w:type="dxa"/>
            <w:tcBorders>
              <w:top w:val="single" w:sz="4" w:space="0" w:color="1C1C1C" w:themeColor="background1" w:themeShade="BF"/>
            </w:tcBorders>
            <w:vAlign w:val="center"/>
          </w:tcPr>
          <w:p w14:paraId="78998BEE"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147</w:t>
            </w:r>
            <w:r w:rsidR="00305052" w:rsidRPr="00207DC2">
              <w:rPr>
                <w:rFonts w:ascii="Arial" w:hAnsi="Arial" w:cs="Arial"/>
                <w:sz w:val="16"/>
                <w:szCs w:val="16"/>
                <w:lang w:val="en-AU"/>
              </w:rPr>
              <w:t>*</w:t>
            </w:r>
          </w:p>
        </w:tc>
      </w:tr>
      <w:tr w:rsidR="00305052" w:rsidRPr="00207DC2" w14:paraId="0CAC78FA" w14:textId="77777777" w:rsidTr="00383F4E">
        <w:trPr>
          <w:trHeight w:val="285"/>
        </w:trPr>
        <w:tc>
          <w:tcPr>
            <w:tcW w:w="1951" w:type="dxa"/>
            <w:noWrap/>
            <w:vAlign w:val="center"/>
            <w:hideMark/>
          </w:tcPr>
          <w:p w14:paraId="75151DBF"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Indigenous status of person</w:t>
            </w:r>
          </w:p>
        </w:tc>
        <w:tc>
          <w:tcPr>
            <w:tcW w:w="6804" w:type="dxa"/>
            <w:noWrap/>
            <w:vAlign w:val="center"/>
            <w:hideMark/>
          </w:tcPr>
          <w:p w14:paraId="46232A9D"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Indigenous (compared with non-Indigenous)</w:t>
            </w:r>
          </w:p>
        </w:tc>
        <w:tc>
          <w:tcPr>
            <w:tcW w:w="1127" w:type="dxa"/>
            <w:noWrap/>
            <w:vAlign w:val="center"/>
            <w:hideMark/>
          </w:tcPr>
          <w:p w14:paraId="4E26972F"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4</w:t>
            </w:r>
          </w:p>
        </w:tc>
        <w:tc>
          <w:tcPr>
            <w:tcW w:w="1127" w:type="dxa"/>
            <w:noWrap/>
            <w:vAlign w:val="center"/>
            <w:hideMark/>
          </w:tcPr>
          <w:p w14:paraId="3982D139" w14:textId="77777777" w:rsidR="00305052" w:rsidRPr="00207DC2" w:rsidRDefault="005D174E"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3.8</w:t>
            </w:r>
            <w:r w:rsidR="00305052" w:rsidRPr="00207DC2">
              <w:rPr>
                <w:rFonts w:ascii="Arial" w:hAnsi="Arial" w:cs="Arial"/>
                <w:sz w:val="16"/>
                <w:szCs w:val="16"/>
                <w:lang w:val="en-AU"/>
              </w:rPr>
              <w:t>***</w:t>
            </w:r>
          </w:p>
        </w:tc>
        <w:tc>
          <w:tcPr>
            <w:tcW w:w="1127" w:type="dxa"/>
            <w:vAlign w:val="center"/>
          </w:tcPr>
          <w:p w14:paraId="6AA147CE"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3.</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127" w:type="dxa"/>
            <w:vAlign w:val="center"/>
          </w:tcPr>
          <w:p w14:paraId="484C8A58" w14:textId="77777777" w:rsidR="00305052" w:rsidRPr="00207DC2" w:rsidRDefault="005D174E"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2.7</w:t>
            </w:r>
            <w:r w:rsidR="00305052" w:rsidRPr="00207DC2">
              <w:rPr>
                <w:rFonts w:ascii="Arial" w:hAnsi="Arial" w:cs="Arial"/>
                <w:sz w:val="16"/>
                <w:szCs w:val="16"/>
                <w:lang w:val="en-AU"/>
              </w:rPr>
              <w:t>***</w:t>
            </w:r>
          </w:p>
        </w:tc>
        <w:tc>
          <w:tcPr>
            <w:tcW w:w="1221" w:type="dxa"/>
            <w:vAlign w:val="center"/>
          </w:tcPr>
          <w:p w14:paraId="3B642A03"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166</w:t>
            </w:r>
            <w:r w:rsidR="00305052" w:rsidRPr="00207DC2">
              <w:rPr>
                <w:rFonts w:ascii="Arial" w:hAnsi="Arial" w:cs="Arial"/>
                <w:sz w:val="16"/>
                <w:szCs w:val="16"/>
                <w:lang w:val="en-AU"/>
              </w:rPr>
              <w:t>***</w:t>
            </w:r>
          </w:p>
        </w:tc>
      </w:tr>
      <w:tr w:rsidR="00305052" w:rsidRPr="00207DC2" w14:paraId="0DDADF3C" w14:textId="77777777" w:rsidTr="00383F4E">
        <w:trPr>
          <w:trHeight w:val="285"/>
        </w:trPr>
        <w:tc>
          <w:tcPr>
            <w:tcW w:w="1951" w:type="dxa"/>
            <w:vMerge w:val="restart"/>
            <w:noWrap/>
            <w:vAlign w:val="center"/>
            <w:hideMark/>
          </w:tcPr>
          <w:p w14:paraId="4FA9D806" w14:textId="77777777" w:rsidR="00305052" w:rsidRPr="00207DC2" w:rsidRDefault="00305052" w:rsidP="00FB626D">
            <w:pPr>
              <w:spacing w:before="60" w:after="0" w:line="288" w:lineRule="auto"/>
              <w:rPr>
                <w:rFonts w:ascii="Arial" w:hAnsi="Arial" w:cs="Arial"/>
                <w:b/>
                <w:sz w:val="16"/>
                <w:szCs w:val="16"/>
                <w:lang w:val="en-AU"/>
              </w:rPr>
            </w:pPr>
            <w:r w:rsidRPr="00207DC2">
              <w:rPr>
                <w:rFonts w:ascii="Arial" w:hAnsi="Arial" w:cs="Arial"/>
                <w:b/>
                <w:sz w:val="16"/>
                <w:szCs w:val="16"/>
                <w:lang w:val="en-AU"/>
              </w:rPr>
              <w:t>Disability status</w:t>
            </w:r>
          </w:p>
        </w:tc>
        <w:tc>
          <w:tcPr>
            <w:tcW w:w="6804" w:type="dxa"/>
            <w:tcBorders>
              <w:bottom w:val="nil"/>
            </w:tcBorders>
            <w:noWrap/>
            <w:vAlign w:val="center"/>
            <w:hideMark/>
          </w:tcPr>
          <w:p w14:paraId="41D149C7" w14:textId="77777777" w:rsidR="00305052" w:rsidRPr="00207DC2" w:rsidRDefault="009C27BE" w:rsidP="00FB626D">
            <w:pPr>
              <w:spacing w:before="60" w:after="0"/>
              <w:rPr>
                <w:rFonts w:ascii="Arial" w:hAnsi="Arial" w:cs="Arial"/>
                <w:sz w:val="16"/>
                <w:szCs w:val="16"/>
                <w:lang w:val="en-AU"/>
              </w:rPr>
            </w:pPr>
            <w:r w:rsidRPr="00207DC2">
              <w:rPr>
                <w:rFonts w:ascii="Arial" w:hAnsi="Arial" w:cs="Arial"/>
                <w:sz w:val="16"/>
                <w:szCs w:val="16"/>
                <w:lang w:val="en-AU"/>
              </w:rPr>
              <w:t>Disability with an</w:t>
            </w:r>
            <w:r w:rsidR="00305052" w:rsidRPr="00207DC2">
              <w:rPr>
                <w:rFonts w:ascii="Arial" w:hAnsi="Arial" w:cs="Arial"/>
                <w:sz w:val="16"/>
                <w:szCs w:val="16"/>
                <w:lang w:val="en-AU"/>
              </w:rPr>
              <w:t xml:space="preserve"> Identified support need (compared with No disability)</w:t>
            </w:r>
          </w:p>
        </w:tc>
        <w:tc>
          <w:tcPr>
            <w:tcW w:w="1127" w:type="dxa"/>
            <w:tcBorders>
              <w:bottom w:val="nil"/>
            </w:tcBorders>
            <w:noWrap/>
            <w:vAlign w:val="center"/>
            <w:hideMark/>
          </w:tcPr>
          <w:p w14:paraId="15082AD7" w14:textId="283CB079"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2***</w:t>
            </w:r>
          </w:p>
        </w:tc>
        <w:tc>
          <w:tcPr>
            <w:tcW w:w="1127" w:type="dxa"/>
            <w:tcBorders>
              <w:bottom w:val="nil"/>
            </w:tcBorders>
            <w:noWrap/>
            <w:vAlign w:val="center"/>
            <w:hideMark/>
          </w:tcPr>
          <w:p w14:paraId="756041E2" w14:textId="30E9956A"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w:t>
            </w:r>
          </w:p>
        </w:tc>
        <w:tc>
          <w:tcPr>
            <w:tcW w:w="1127" w:type="dxa"/>
            <w:tcBorders>
              <w:bottom w:val="nil"/>
            </w:tcBorders>
            <w:vAlign w:val="center"/>
          </w:tcPr>
          <w:p w14:paraId="08CC7BC2"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0.5***</w:t>
            </w:r>
          </w:p>
        </w:tc>
        <w:tc>
          <w:tcPr>
            <w:tcW w:w="1127" w:type="dxa"/>
            <w:tcBorders>
              <w:bottom w:val="nil"/>
            </w:tcBorders>
            <w:vAlign w:val="center"/>
          </w:tcPr>
          <w:p w14:paraId="27B4704F"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0.6***</w:t>
            </w:r>
          </w:p>
        </w:tc>
        <w:tc>
          <w:tcPr>
            <w:tcW w:w="1221" w:type="dxa"/>
            <w:tcBorders>
              <w:bottom w:val="nil"/>
            </w:tcBorders>
            <w:vAlign w:val="center"/>
          </w:tcPr>
          <w:p w14:paraId="50454E54"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228</w:t>
            </w:r>
            <w:r w:rsidRPr="00207DC2">
              <w:rPr>
                <w:rFonts w:ascii="Arial" w:hAnsi="Arial" w:cs="Arial"/>
                <w:sz w:val="16"/>
                <w:szCs w:val="16"/>
                <w:lang w:val="en-AU"/>
              </w:rPr>
              <w:t>***</w:t>
            </w:r>
          </w:p>
        </w:tc>
      </w:tr>
      <w:tr w:rsidR="00305052" w:rsidRPr="00207DC2" w14:paraId="439F7EDC" w14:textId="77777777" w:rsidTr="00383F4E">
        <w:trPr>
          <w:trHeight w:val="285"/>
        </w:trPr>
        <w:tc>
          <w:tcPr>
            <w:tcW w:w="1951" w:type="dxa"/>
            <w:vMerge/>
            <w:noWrap/>
            <w:vAlign w:val="center"/>
          </w:tcPr>
          <w:p w14:paraId="20B2B7CC"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tcBorders>
            <w:noWrap/>
            <w:vAlign w:val="center"/>
          </w:tcPr>
          <w:p w14:paraId="0341CD07"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 xml:space="preserve">Disability </w:t>
            </w:r>
            <w:r w:rsidR="009C27BE" w:rsidRPr="00207DC2">
              <w:rPr>
                <w:rFonts w:ascii="Arial" w:hAnsi="Arial" w:cs="Arial"/>
                <w:sz w:val="16"/>
                <w:szCs w:val="16"/>
                <w:lang w:val="en-AU"/>
              </w:rPr>
              <w:t xml:space="preserve">with </w:t>
            </w:r>
            <w:r w:rsidR="0011325A" w:rsidRPr="00207DC2">
              <w:rPr>
                <w:rFonts w:ascii="Arial" w:hAnsi="Arial" w:cs="Arial"/>
                <w:sz w:val="16"/>
                <w:szCs w:val="16"/>
                <w:lang w:val="en-AU"/>
              </w:rPr>
              <w:t>No</w:t>
            </w:r>
            <w:r w:rsidRPr="00207DC2">
              <w:rPr>
                <w:rFonts w:ascii="Arial" w:hAnsi="Arial" w:cs="Arial"/>
                <w:sz w:val="16"/>
                <w:szCs w:val="16"/>
                <w:lang w:val="en-AU"/>
              </w:rPr>
              <w:t xml:space="preserve"> identified support need (compared with No disability)</w:t>
            </w:r>
          </w:p>
        </w:tc>
        <w:tc>
          <w:tcPr>
            <w:tcW w:w="1127" w:type="dxa"/>
            <w:tcBorders>
              <w:top w:val="nil"/>
            </w:tcBorders>
            <w:noWrap/>
            <w:vAlign w:val="center"/>
          </w:tcPr>
          <w:p w14:paraId="0E6336B3"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-0.7</w:t>
            </w:r>
          </w:p>
        </w:tc>
        <w:tc>
          <w:tcPr>
            <w:tcW w:w="1127" w:type="dxa"/>
            <w:tcBorders>
              <w:top w:val="nil"/>
            </w:tcBorders>
            <w:noWrap/>
            <w:vAlign w:val="center"/>
          </w:tcPr>
          <w:p w14:paraId="0F362A81"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0.1</w:t>
            </w:r>
          </w:p>
        </w:tc>
        <w:tc>
          <w:tcPr>
            <w:tcW w:w="1127" w:type="dxa"/>
            <w:tcBorders>
              <w:top w:val="nil"/>
            </w:tcBorders>
            <w:vAlign w:val="center"/>
          </w:tcPr>
          <w:p w14:paraId="2C094732"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0.8</w:t>
            </w:r>
          </w:p>
        </w:tc>
        <w:tc>
          <w:tcPr>
            <w:tcW w:w="1127" w:type="dxa"/>
            <w:tcBorders>
              <w:top w:val="nil"/>
            </w:tcBorders>
            <w:vAlign w:val="center"/>
          </w:tcPr>
          <w:p w14:paraId="7AFD02B5"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0.9</w:t>
            </w:r>
          </w:p>
        </w:tc>
        <w:tc>
          <w:tcPr>
            <w:tcW w:w="1221" w:type="dxa"/>
            <w:tcBorders>
              <w:top w:val="nil"/>
            </w:tcBorders>
            <w:vAlign w:val="center"/>
          </w:tcPr>
          <w:p w14:paraId="575DC6C6"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-73**</w:t>
            </w:r>
          </w:p>
        </w:tc>
      </w:tr>
      <w:tr w:rsidR="00305052" w:rsidRPr="00207DC2" w14:paraId="2F32A566" w14:textId="77777777" w:rsidTr="00383F4E">
        <w:trPr>
          <w:trHeight w:val="285"/>
        </w:trPr>
        <w:tc>
          <w:tcPr>
            <w:tcW w:w="1951" w:type="dxa"/>
            <w:noWrap/>
            <w:vAlign w:val="center"/>
            <w:hideMark/>
          </w:tcPr>
          <w:p w14:paraId="58D28B19"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English skills</w:t>
            </w:r>
          </w:p>
        </w:tc>
        <w:tc>
          <w:tcPr>
            <w:tcW w:w="6804" w:type="dxa"/>
            <w:noWrap/>
            <w:vAlign w:val="center"/>
            <w:hideMark/>
          </w:tcPr>
          <w:p w14:paraId="202F1B5F"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Poor/Mixed English (compared with Good English)</w:t>
            </w:r>
          </w:p>
        </w:tc>
        <w:tc>
          <w:tcPr>
            <w:tcW w:w="1127" w:type="dxa"/>
            <w:noWrap/>
            <w:vAlign w:val="center"/>
            <w:hideMark/>
          </w:tcPr>
          <w:p w14:paraId="4A39C475"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5</w:t>
            </w:r>
          </w:p>
        </w:tc>
        <w:tc>
          <w:tcPr>
            <w:tcW w:w="1127" w:type="dxa"/>
            <w:noWrap/>
            <w:vAlign w:val="center"/>
            <w:hideMark/>
          </w:tcPr>
          <w:p w14:paraId="25329825"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5*</w:t>
            </w:r>
          </w:p>
        </w:tc>
        <w:tc>
          <w:tcPr>
            <w:tcW w:w="1127" w:type="dxa"/>
            <w:vAlign w:val="center"/>
          </w:tcPr>
          <w:p w14:paraId="21037C8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127" w:type="dxa"/>
            <w:vAlign w:val="center"/>
          </w:tcPr>
          <w:p w14:paraId="1DCD7D59"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1.2***</w:t>
            </w:r>
          </w:p>
        </w:tc>
        <w:tc>
          <w:tcPr>
            <w:tcW w:w="1221" w:type="dxa"/>
            <w:vAlign w:val="center"/>
          </w:tcPr>
          <w:p w14:paraId="6F4E702F"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85***</w:t>
            </w:r>
          </w:p>
        </w:tc>
      </w:tr>
      <w:tr w:rsidR="00305052" w:rsidRPr="00207DC2" w14:paraId="20BF0409" w14:textId="77777777" w:rsidTr="00383F4E">
        <w:trPr>
          <w:trHeight w:val="285"/>
        </w:trPr>
        <w:tc>
          <w:tcPr>
            <w:tcW w:w="1951" w:type="dxa"/>
            <w:vMerge w:val="restart"/>
            <w:noWrap/>
            <w:vAlign w:val="center"/>
            <w:hideMark/>
          </w:tcPr>
          <w:p w14:paraId="45000A4E"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Education level</w:t>
            </w:r>
          </w:p>
        </w:tc>
        <w:tc>
          <w:tcPr>
            <w:tcW w:w="6804" w:type="dxa"/>
            <w:tcBorders>
              <w:bottom w:val="nil"/>
            </w:tcBorders>
            <w:noWrap/>
            <w:vAlign w:val="center"/>
            <w:hideMark/>
          </w:tcPr>
          <w:p w14:paraId="2D981A6B"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Below Year 10 (compared with Year 12)</w:t>
            </w:r>
          </w:p>
        </w:tc>
        <w:tc>
          <w:tcPr>
            <w:tcW w:w="1127" w:type="dxa"/>
            <w:tcBorders>
              <w:bottom w:val="nil"/>
            </w:tcBorders>
            <w:noWrap/>
            <w:vAlign w:val="center"/>
            <w:hideMark/>
          </w:tcPr>
          <w:p w14:paraId="3F3A4AAC"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03</w:t>
            </w:r>
          </w:p>
        </w:tc>
        <w:tc>
          <w:tcPr>
            <w:tcW w:w="1127" w:type="dxa"/>
            <w:tcBorders>
              <w:bottom w:val="nil"/>
            </w:tcBorders>
            <w:noWrap/>
            <w:vAlign w:val="center"/>
            <w:hideMark/>
          </w:tcPr>
          <w:p w14:paraId="3A4F6D1F" w14:textId="77777777" w:rsidR="00305052" w:rsidRPr="00207DC2" w:rsidRDefault="005D174E"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w:t>
            </w:r>
            <w:r w:rsidR="00305052" w:rsidRPr="00207DC2">
              <w:rPr>
                <w:rFonts w:ascii="Arial" w:hAnsi="Arial" w:cs="Arial"/>
                <w:sz w:val="16"/>
                <w:szCs w:val="16"/>
                <w:lang w:val="en-AU"/>
              </w:rPr>
              <w:t>0.1</w:t>
            </w:r>
          </w:p>
        </w:tc>
        <w:tc>
          <w:tcPr>
            <w:tcW w:w="1127" w:type="dxa"/>
            <w:tcBorders>
              <w:bottom w:val="nil"/>
            </w:tcBorders>
            <w:vAlign w:val="center"/>
          </w:tcPr>
          <w:p w14:paraId="141A006D"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2</w:t>
            </w:r>
            <w:r w:rsidRPr="00207DC2">
              <w:rPr>
                <w:rFonts w:ascii="Arial" w:hAnsi="Arial" w:cs="Arial"/>
                <w:sz w:val="16"/>
                <w:szCs w:val="16"/>
                <w:lang w:val="en-AU"/>
              </w:rPr>
              <w:t>***</w:t>
            </w:r>
          </w:p>
        </w:tc>
        <w:tc>
          <w:tcPr>
            <w:tcW w:w="1127" w:type="dxa"/>
            <w:tcBorders>
              <w:bottom w:val="nil"/>
            </w:tcBorders>
            <w:vAlign w:val="center"/>
          </w:tcPr>
          <w:p w14:paraId="448F17FC"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0.9</w:t>
            </w:r>
          </w:p>
        </w:tc>
        <w:tc>
          <w:tcPr>
            <w:tcW w:w="1221" w:type="dxa"/>
            <w:tcBorders>
              <w:bottom w:val="nil"/>
            </w:tcBorders>
            <w:vAlign w:val="center"/>
          </w:tcPr>
          <w:p w14:paraId="4097F5D7"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9</w:t>
            </w:r>
          </w:p>
        </w:tc>
      </w:tr>
      <w:tr w:rsidR="00305052" w:rsidRPr="00207DC2" w14:paraId="321D3CDA" w14:textId="77777777" w:rsidTr="00383F4E">
        <w:trPr>
          <w:trHeight w:val="285"/>
        </w:trPr>
        <w:tc>
          <w:tcPr>
            <w:tcW w:w="1951" w:type="dxa"/>
            <w:vMerge/>
            <w:noWrap/>
            <w:vAlign w:val="center"/>
          </w:tcPr>
          <w:p w14:paraId="5B0A9952"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40A8C6A4"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Years 10-11 (compared with Year 12)</w:t>
            </w:r>
          </w:p>
        </w:tc>
        <w:tc>
          <w:tcPr>
            <w:tcW w:w="1127" w:type="dxa"/>
            <w:tcBorders>
              <w:top w:val="nil"/>
              <w:bottom w:val="nil"/>
            </w:tcBorders>
            <w:noWrap/>
            <w:vAlign w:val="center"/>
          </w:tcPr>
          <w:p w14:paraId="25D951FA"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2</w:t>
            </w:r>
          </w:p>
        </w:tc>
        <w:tc>
          <w:tcPr>
            <w:tcW w:w="1127" w:type="dxa"/>
            <w:tcBorders>
              <w:top w:val="nil"/>
              <w:bottom w:val="nil"/>
            </w:tcBorders>
            <w:noWrap/>
            <w:vAlign w:val="center"/>
          </w:tcPr>
          <w:p w14:paraId="1D2AB9D7"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3</w:t>
            </w:r>
          </w:p>
        </w:tc>
        <w:tc>
          <w:tcPr>
            <w:tcW w:w="1127" w:type="dxa"/>
            <w:tcBorders>
              <w:top w:val="nil"/>
              <w:bottom w:val="nil"/>
            </w:tcBorders>
            <w:vAlign w:val="center"/>
          </w:tcPr>
          <w:p w14:paraId="0B2834A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2</w:t>
            </w:r>
            <w:r w:rsidRPr="00207DC2">
              <w:rPr>
                <w:rFonts w:ascii="Arial" w:hAnsi="Arial" w:cs="Arial"/>
                <w:sz w:val="16"/>
                <w:szCs w:val="16"/>
                <w:lang w:val="en-AU"/>
              </w:rPr>
              <w:t>***</w:t>
            </w:r>
          </w:p>
        </w:tc>
        <w:tc>
          <w:tcPr>
            <w:tcW w:w="1127" w:type="dxa"/>
            <w:tcBorders>
              <w:top w:val="nil"/>
              <w:bottom w:val="nil"/>
            </w:tcBorders>
            <w:vAlign w:val="center"/>
          </w:tcPr>
          <w:p w14:paraId="20792325"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9**</w:t>
            </w:r>
          </w:p>
        </w:tc>
        <w:tc>
          <w:tcPr>
            <w:tcW w:w="1221" w:type="dxa"/>
            <w:tcBorders>
              <w:top w:val="nil"/>
              <w:bottom w:val="nil"/>
            </w:tcBorders>
            <w:vAlign w:val="center"/>
          </w:tcPr>
          <w:p w14:paraId="6245FD8F"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6</w:t>
            </w:r>
          </w:p>
        </w:tc>
      </w:tr>
      <w:tr w:rsidR="00305052" w:rsidRPr="00207DC2" w14:paraId="58D8406E" w14:textId="77777777" w:rsidTr="00383F4E">
        <w:trPr>
          <w:trHeight w:val="285"/>
        </w:trPr>
        <w:tc>
          <w:tcPr>
            <w:tcW w:w="1951" w:type="dxa"/>
            <w:vMerge/>
            <w:noWrap/>
            <w:vAlign w:val="center"/>
          </w:tcPr>
          <w:p w14:paraId="26B4523C" w14:textId="77777777" w:rsidR="00305052" w:rsidRPr="00207DC2" w:rsidRDefault="00305052" w:rsidP="00FB626D">
            <w:pPr>
              <w:spacing w:before="60" w:after="0"/>
              <w:rPr>
                <w:rFonts w:ascii="Arial" w:hAnsi="Arial" w:cs="Arial"/>
                <w:sz w:val="16"/>
                <w:szCs w:val="16"/>
                <w:lang w:val="en-AU"/>
              </w:rPr>
            </w:pPr>
          </w:p>
        </w:tc>
        <w:tc>
          <w:tcPr>
            <w:tcW w:w="6804" w:type="dxa"/>
            <w:tcBorders>
              <w:top w:val="nil"/>
            </w:tcBorders>
            <w:noWrap/>
            <w:vAlign w:val="center"/>
          </w:tcPr>
          <w:p w14:paraId="6EC395DF"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Trade/Vocational/Diploma/Degree (compared with Year 12)</w:t>
            </w:r>
          </w:p>
        </w:tc>
        <w:tc>
          <w:tcPr>
            <w:tcW w:w="1127" w:type="dxa"/>
            <w:tcBorders>
              <w:top w:val="nil"/>
            </w:tcBorders>
            <w:noWrap/>
            <w:vAlign w:val="center"/>
          </w:tcPr>
          <w:p w14:paraId="60597030"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0.9</w:t>
            </w:r>
          </w:p>
        </w:tc>
        <w:tc>
          <w:tcPr>
            <w:tcW w:w="1127" w:type="dxa"/>
            <w:tcBorders>
              <w:top w:val="nil"/>
            </w:tcBorders>
            <w:noWrap/>
            <w:vAlign w:val="center"/>
          </w:tcPr>
          <w:p w14:paraId="6231DC18"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-2.1***</w:t>
            </w:r>
          </w:p>
        </w:tc>
        <w:tc>
          <w:tcPr>
            <w:tcW w:w="1127" w:type="dxa"/>
            <w:tcBorders>
              <w:top w:val="nil"/>
            </w:tcBorders>
            <w:vAlign w:val="center"/>
          </w:tcPr>
          <w:p w14:paraId="2DD56BD2"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0.9***</w:t>
            </w:r>
          </w:p>
        </w:tc>
        <w:tc>
          <w:tcPr>
            <w:tcW w:w="1127" w:type="dxa"/>
            <w:tcBorders>
              <w:top w:val="nil"/>
            </w:tcBorders>
            <w:vAlign w:val="center"/>
          </w:tcPr>
          <w:p w14:paraId="6F962EB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0.7***</w:t>
            </w:r>
          </w:p>
        </w:tc>
        <w:tc>
          <w:tcPr>
            <w:tcW w:w="1221" w:type="dxa"/>
            <w:tcBorders>
              <w:top w:val="nil"/>
            </w:tcBorders>
            <w:vAlign w:val="center"/>
          </w:tcPr>
          <w:p w14:paraId="6F8B94CC"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110</w:t>
            </w:r>
            <w:r w:rsidRPr="00207DC2">
              <w:rPr>
                <w:rFonts w:ascii="Arial" w:hAnsi="Arial" w:cs="Arial"/>
                <w:sz w:val="16"/>
                <w:szCs w:val="16"/>
                <w:lang w:val="en-AU"/>
              </w:rPr>
              <w:t>***</w:t>
            </w:r>
          </w:p>
        </w:tc>
      </w:tr>
      <w:tr w:rsidR="00305052" w:rsidRPr="00207DC2" w14:paraId="214379E1" w14:textId="77777777" w:rsidTr="00383F4E">
        <w:trPr>
          <w:trHeight w:val="285"/>
        </w:trPr>
        <w:tc>
          <w:tcPr>
            <w:tcW w:w="1951" w:type="dxa"/>
            <w:noWrap/>
            <w:vAlign w:val="center"/>
            <w:hideMark/>
          </w:tcPr>
          <w:p w14:paraId="7B2CB292"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Criminal history</w:t>
            </w:r>
          </w:p>
        </w:tc>
        <w:tc>
          <w:tcPr>
            <w:tcW w:w="6804" w:type="dxa"/>
            <w:noWrap/>
            <w:vAlign w:val="center"/>
            <w:hideMark/>
          </w:tcPr>
          <w:p w14:paraId="7CCB797B"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Has been convicted or sentenced (compared with No criminal history)</w:t>
            </w:r>
          </w:p>
        </w:tc>
        <w:tc>
          <w:tcPr>
            <w:tcW w:w="1127" w:type="dxa"/>
            <w:noWrap/>
            <w:vAlign w:val="center"/>
            <w:hideMark/>
          </w:tcPr>
          <w:p w14:paraId="250059FF"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1.8</w:t>
            </w:r>
            <w:r w:rsidRPr="00207DC2">
              <w:rPr>
                <w:rFonts w:ascii="Arial" w:hAnsi="Arial" w:cs="Arial"/>
                <w:sz w:val="16"/>
                <w:szCs w:val="16"/>
                <w:lang w:val="en-AU"/>
              </w:rPr>
              <w:t>***</w:t>
            </w:r>
          </w:p>
        </w:tc>
        <w:tc>
          <w:tcPr>
            <w:tcW w:w="1127" w:type="dxa"/>
            <w:noWrap/>
            <w:vAlign w:val="center"/>
            <w:hideMark/>
          </w:tcPr>
          <w:p w14:paraId="19895E49"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4</w:t>
            </w:r>
            <w:r w:rsidRPr="00207DC2">
              <w:rPr>
                <w:rFonts w:ascii="Arial" w:hAnsi="Arial" w:cs="Arial"/>
                <w:sz w:val="16"/>
                <w:szCs w:val="16"/>
                <w:lang w:val="en-AU"/>
              </w:rPr>
              <w:t>***</w:t>
            </w:r>
          </w:p>
        </w:tc>
        <w:tc>
          <w:tcPr>
            <w:tcW w:w="1127" w:type="dxa"/>
            <w:vAlign w:val="center"/>
          </w:tcPr>
          <w:p w14:paraId="45F2D768"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1.3***</w:t>
            </w:r>
          </w:p>
        </w:tc>
        <w:tc>
          <w:tcPr>
            <w:tcW w:w="1127" w:type="dxa"/>
            <w:vAlign w:val="center"/>
          </w:tcPr>
          <w:p w14:paraId="103E962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1.1</w:t>
            </w:r>
          </w:p>
        </w:tc>
        <w:tc>
          <w:tcPr>
            <w:tcW w:w="1221" w:type="dxa"/>
            <w:vAlign w:val="center"/>
          </w:tcPr>
          <w:p w14:paraId="4C137384"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-4</w:t>
            </w:r>
          </w:p>
        </w:tc>
      </w:tr>
      <w:tr w:rsidR="00305052" w:rsidRPr="00207DC2" w14:paraId="7376EE32" w14:textId="77777777" w:rsidTr="00383F4E">
        <w:trPr>
          <w:trHeight w:val="285"/>
        </w:trPr>
        <w:tc>
          <w:tcPr>
            <w:tcW w:w="1951" w:type="dxa"/>
            <w:noWrap/>
            <w:vAlign w:val="center"/>
            <w:hideMark/>
          </w:tcPr>
          <w:p w14:paraId="34A767EF" w14:textId="77777777" w:rsidR="00305052"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Provider organisation</w:t>
            </w:r>
          </w:p>
        </w:tc>
        <w:tc>
          <w:tcPr>
            <w:tcW w:w="6804" w:type="dxa"/>
            <w:noWrap/>
            <w:vAlign w:val="center"/>
            <w:hideMark/>
          </w:tcPr>
          <w:p w14:paraId="154B0256"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Indigenous (compared with Non-Indigenous)</w:t>
            </w:r>
          </w:p>
        </w:tc>
        <w:tc>
          <w:tcPr>
            <w:tcW w:w="1127" w:type="dxa"/>
            <w:noWrap/>
            <w:vAlign w:val="center"/>
            <w:hideMark/>
          </w:tcPr>
          <w:p w14:paraId="79A54DCB"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w:t>
            </w:r>
            <w:r w:rsidR="0011325A" w:rsidRPr="00207DC2">
              <w:rPr>
                <w:rFonts w:ascii="Arial" w:hAnsi="Arial" w:cs="Arial"/>
                <w:sz w:val="16"/>
                <w:szCs w:val="16"/>
                <w:lang w:val="en-AU"/>
              </w:rPr>
              <w:t>14</w:t>
            </w:r>
          </w:p>
        </w:tc>
        <w:tc>
          <w:tcPr>
            <w:tcW w:w="1127" w:type="dxa"/>
            <w:noWrap/>
            <w:vAlign w:val="center"/>
            <w:hideMark/>
          </w:tcPr>
          <w:p w14:paraId="55A6598F"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2.</w:t>
            </w:r>
            <w:r w:rsidR="005D174E" w:rsidRPr="00207DC2">
              <w:rPr>
                <w:rFonts w:ascii="Arial" w:hAnsi="Arial" w:cs="Arial"/>
                <w:sz w:val="16"/>
                <w:szCs w:val="16"/>
                <w:lang w:val="en-AU"/>
              </w:rPr>
              <w:t>2</w:t>
            </w:r>
          </w:p>
        </w:tc>
        <w:tc>
          <w:tcPr>
            <w:tcW w:w="1127" w:type="dxa"/>
            <w:vAlign w:val="center"/>
          </w:tcPr>
          <w:p w14:paraId="69C6A3AE"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0.1</w:t>
            </w:r>
            <w:r w:rsidR="005D174E" w:rsidRPr="00207DC2">
              <w:rPr>
                <w:rFonts w:ascii="Arial" w:hAnsi="Arial" w:cs="Arial"/>
                <w:sz w:val="16"/>
                <w:szCs w:val="16"/>
                <w:lang w:val="en-AU"/>
              </w:rPr>
              <w:t>**</w:t>
            </w:r>
          </w:p>
        </w:tc>
        <w:tc>
          <w:tcPr>
            <w:tcW w:w="1127" w:type="dxa"/>
            <w:vAlign w:val="center"/>
          </w:tcPr>
          <w:p w14:paraId="04823729"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0.3</w:t>
            </w:r>
          </w:p>
        </w:tc>
        <w:tc>
          <w:tcPr>
            <w:tcW w:w="1221" w:type="dxa"/>
            <w:vAlign w:val="center"/>
          </w:tcPr>
          <w:p w14:paraId="128AD76B"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160</w:t>
            </w:r>
          </w:p>
        </w:tc>
      </w:tr>
      <w:tr w:rsidR="00305052" w:rsidRPr="00207DC2" w14:paraId="782ED409" w14:textId="77777777" w:rsidTr="00383F4E">
        <w:trPr>
          <w:trHeight w:val="285"/>
        </w:trPr>
        <w:tc>
          <w:tcPr>
            <w:tcW w:w="1951" w:type="dxa"/>
            <w:noWrap/>
            <w:vAlign w:val="center"/>
            <w:hideMark/>
          </w:tcPr>
          <w:p w14:paraId="349CFB8F"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Gender</w:t>
            </w:r>
          </w:p>
        </w:tc>
        <w:tc>
          <w:tcPr>
            <w:tcW w:w="6804" w:type="dxa"/>
            <w:noWrap/>
            <w:vAlign w:val="center"/>
            <w:hideMark/>
          </w:tcPr>
          <w:p w14:paraId="056B7F7C"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Female (compared with Male)</w:t>
            </w:r>
          </w:p>
        </w:tc>
        <w:tc>
          <w:tcPr>
            <w:tcW w:w="1127" w:type="dxa"/>
            <w:noWrap/>
            <w:vAlign w:val="center"/>
            <w:hideMark/>
          </w:tcPr>
          <w:p w14:paraId="0806660E"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-2.5***</w:t>
            </w:r>
          </w:p>
        </w:tc>
        <w:tc>
          <w:tcPr>
            <w:tcW w:w="1127" w:type="dxa"/>
            <w:noWrap/>
            <w:vAlign w:val="center"/>
            <w:hideMark/>
          </w:tcPr>
          <w:p w14:paraId="7885EECA"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5*</w:t>
            </w:r>
          </w:p>
        </w:tc>
        <w:tc>
          <w:tcPr>
            <w:tcW w:w="1127" w:type="dxa"/>
            <w:vAlign w:val="center"/>
          </w:tcPr>
          <w:p w14:paraId="4526B511"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0.8***</w:t>
            </w:r>
          </w:p>
        </w:tc>
        <w:tc>
          <w:tcPr>
            <w:tcW w:w="1127" w:type="dxa"/>
            <w:vAlign w:val="center"/>
          </w:tcPr>
          <w:p w14:paraId="78FD266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05</w:t>
            </w:r>
          </w:p>
        </w:tc>
        <w:tc>
          <w:tcPr>
            <w:tcW w:w="1221" w:type="dxa"/>
            <w:vAlign w:val="center"/>
          </w:tcPr>
          <w:p w14:paraId="22B79729"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29</w:t>
            </w:r>
          </w:p>
        </w:tc>
      </w:tr>
      <w:tr w:rsidR="00305052" w:rsidRPr="00207DC2" w14:paraId="233EAB02" w14:textId="77777777" w:rsidTr="00383F4E">
        <w:trPr>
          <w:trHeight w:val="285"/>
        </w:trPr>
        <w:tc>
          <w:tcPr>
            <w:tcW w:w="1951" w:type="dxa"/>
            <w:vMerge w:val="restart"/>
            <w:noWrap/>
            <w:vAlign w:val="center"/>
          </w:tcPr>
          <w:p w14:paraId="37895CCC"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Age</w:t>
            </w:r>
          </w:p>
          <w:p w14:paraId="2BB9DDF2" w14:textId="77777777" w:rsidR="00305052" w:rsidRPr="00207DC2" w:rsidRDefault="00305052" w:rsidP="00FB626D">
            <w:pPr>
              <w:spacing w:before="60" w:after="0"/>
              <w:rPr>
                <w:rFonts w:ascii="Arial" w:hAnsi="Arial" w:cs="Arial"/>
                <w:b/>
                <w:sz w:val="16"/>
                <w:szCs w:val="16"/>
                <w:lang w:val="en-AU"/>
              </w:rPr>
            </w:pPr>
          </w:p>
        </w:tc>
        <w:tc>
          <w:tcPr>
            <w:tcW w:w="6804" w:type="dxa"/>
            <w:tcBorders>
              <w:bottom w:val="nil"/>
            </w:tcBorders>
            <w:noWrap/>
            <w:vAlign w:val="center"/>
          </w:tcPr>
          <w:p w14:paraId="14844C9B"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15 - 24 years (compared with 25 - 34 years)</w:t>
            </w:r>
          </w:p>
        </w:tc>
        <w:tc>
          <w:tcPr>
            <w:tcW w:w="1127" w:type="dxa"/>
            <w:tcBorders>
              <w:bottom w:val="nil"/>
            </w:tcBorders>
            <w:noWrap/>
            <w:vAlign w:val="center"/>
          </w:tcPr>
          <w:p w14:paraId="327B98EC"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-2.</w:t>
            </w:r>
            <w:r w:rsidR="005D174E" w:rsidRPr="00207DC2">
              <w:rPr>
                <w:rFonts w:ascii="Arial" w:hAnsi="Arial" w:cs="Arial"/>
                <w:sz w:val="16"/>
                <w:szCs w:val="16"/>
                <w:lang w:val="en-AU"/>
              </w:rPr>
              <w:t>6</w:t>
            </w:r>
            <w:r w:rsidRPr="00207DC2">
              <w:rPr>
                <w:rFonts w:ascii="Arial" w:hAnsi="Arial" w:cs="Arial"/>
                <w:sz w:val="16"/>
                <w:szCs w:val="16"/>
                <w:lang w:val="en-AU"/>
              </w:rPr>
              <w:t>***</w:t>
            </w:r>
          </w:p>
        </w:tc>
        <w:tc>
          <w:tcPr>
            <w:tcW w:w="1127" w:type="dxa"/>
            <w:tcBorders>
              <w:bottom w:val="nil"/>
            </w:tcBorders>
            <w:noWrap/>
            <w:vAlign w:val="center"/>
          </w:tcPr>
          <w:p w14:paraId="4AA65B91"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w:t>
            </w:r>
            <w:r w:rsidR="005D174E" w:rsidRPr="00207DC2">
              <w:rPr>
                <w:rFonts w:ascii="Arial" w:hAnsi="Arial" w:cs="Arial"/>
                <w:sz w:val="16"/>
                <w:szCs w:val="16"/>
                <w:lang w:val="en-AU"/>
              </w:rPr>
              <w:t>9</w:t>
            </w:r>
            <w:r w:rsidRPr="00207DC2">
              <w:rPr>
                <w:rFonts w:ascii="Arial" w:hAnsi="Arial" w:cs="Arial"/>
                <w:sz w:val="16"/>
                <w:szCs w:val="16"/>
                <w:lang w:val="en-AU"/>
              </w:rPr>
              <w:t>***</w:t>
            </w:r>
          </w:p>
        </w:tc>
        <w:tc>
          <w:tcPr>
            <w:tcW w:w="1127" w:type="dxa"/>
            <w:tcBorders>
              <w:bottom w:val="nil"/>
            </w:tcBorders>
            <w:vAlign w:val="center"/>
          </w:tcPr>
          <w:p w14:paraId="6B13AE9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127" w:type="dxa"/>
            <w:tcBorders>
              <w:bottom w:val="nil"/>
            </w:tcBorders>
            <w:vAlign w:val="center"/>
          </w:tcPr>
          <w:p w14:paraId="6D1E3D7B"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0.9***</w:t>
            </w:r>
          </w:p>
        </w:tc>
        <w:tc>
          <w:tcPr>
            <w:tcW w:w="1221" w:type="dxa"/>
            <w:tcBorders>
              <w:bottom w:val="nil"/>
            </w:tcBorders>
            <w:vAlign w:val="center"/>
          </w:tcPr>
          <w:p w14:paraId="3C299B7C"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-36</w:t>
            </w:r>
          </w:p>
        </w:tc>
      </w:tr>
      <w:tr w:rsidR="00305052" w:rsidRPr="00207DC2" w14:paraId="117CDEF4" w14:textId="77777777" w:rsidTr="00383F4E">
        <w:trPr>
          <w:trHeight w:val="285"/>
        </w:trPr>
        <w:tc>
          <w:tcPr>
            <w:tcW w:w="1951" w:type="dxa"/>
            <w:vMerge/>
            <w:noWrap/>
            <w:vAlign w:val="center"/>
          </w:tcPr>
          <w:p w14:paraId="36331FBA"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6254FEA8"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35 - 44 years (compared with 25 - 34 years)</w:t>
            </w:r>
          </w:p>
        </w:tc>
        <w:tc>
          <w:tcPr>
            <w:tcW w:w="1127" w:type="dxa"/>
            <w:tcBorders>
              <w:top w:val="nil"/>
              <w:bottom w:val="nil"/>
            </w:tcBorders>
            <w:noWrap/>
            <w:vAlign w:val="center"/>
          </w:tcPr>
          <w:p w14:paraId="71BA55EF"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3.</w:t>
            </w:r>
            <w:r w:rsidR="005D174E" w:rsidRPr="00207DC2">
              <w:rPr>
                <w:rFonts w:ascii="Arial" w:hAnsi="Arial" w:cs="Arial"/>
                <w:sz w:val="16"/>
                <w:szCs w:val="16"/>
                <w:lang w:val="en-AU"/>
              </w:rPr>
              <w:t>5</w:t>
            </w:r>
            <w:r w:rsidRPr="00207DC2">
              <w:rPr>
                <w:rFonts w:ascii="Arial" w:hAnsi="Arial" w:cs="Arial"/>
                <w:sz w:val="16"/>
                <w:szCs w:val="16"/>
                <w:lang w:val="en-AU"/>
              </w:rPr>
              <w:t>***</w:t>
            </w:r>
          </w:p>
        </w:tc>
        <w:tc>
          <w:tcPr>
            <w:tcW w:w="1127" w:type="dxa"/>
            <w:tcBorders>
              <w:top w:val="nil"/>
              <w:bottom w:val="nil"/>
            </w:tcBorders>
            <w:noWrap/>
            <w:vAlign w:val="center"/>
          </w:tcPr>
          <w:p w14:paraId="147FA90A"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w:t>
            </w:r>
            <w:r w:rsidR="005D174E" w:rsidRPr="00207DC2">
              <w:rPr>
                <w:rFonts w:ascii="Arial" w:hAnsi="Arial" w:cs="Arial"/>
                <w:sz w:val="16"/>
                <w:szCs w:val="16"/>
                <w:lang w:val="en-AU"/>
              </w:rPr>
              <w:t>5</w:t>
            </w:r>
            <w:r w:rsidRPr="00207DC2">
              <w:rPr>
                <w:rFonts w:ascii="Arial" w:hAnsi="Arial" w:cs="Arial"/>
                <w:sz w:val="16"/>
                <w:szCs w:val="16"/>
                <w:lang w:val="en-AU"/>
              </w:rPr>
              <w:t>***</w:t>
            </w:r>
          </w:p>
        </w:tc>
        <w:tc>
          <w:tcPr>
            <w:tcW w:w="1127" w:type="dxa"/>
            <w:tcBorders>
              <w:top w:val="nil"/>
              <w:bottom w:val="nil"/>
            </w:tcBorders>
            <w:vAlign w:val="center"/>
          </w:tcPr>
          <w:p w14:paraId="008497D0"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0.7***</w:t>
            </w:r>
          </w:p>
        </w:tc>
        <w:tc>
          <w:tcPr>
            <w:tcW w:w="1127" w:type="dxa"/>
            <w:tcBorders>
              <w:top w:val="nil"/>
              <w:bottom w:val="nil"/>
            </w:tcBorders>
            <w:vAlign w:val="center"/>
          </w:tcPr>
          <w:p w14:paraId="79C0BC5C"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0.6***</w:t>
            </w:r>
          </w:p>
        </w:tc>
        <w:tc>
          <w:tcPr>
            <w:tcW w:w="1221" w:type="dxa"/>
            <w:tcBorders>
              <w:top w:val="nil"/>
              <w:bottom w:val="nil"/>
            </w:tcBorders>
            <w:vAlign w:val="center"/>
          </w:tcPr>
          <w:p w14:paraId="7206FF4B"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229</w:t>
            </w:r>
            <w:r w:rsidRPr="00207DC2">
              <w:rPr>
                <w:rFonts w:ascii="Arial" w:hAnsi="Arial" w:cs="Arial"/>
                <w:sz w:val="16"/>
                <w:szCs w:val="16"/>
                <w:lang w:val="en-AU"/>
              </w:rPr>
              <w:t>***</w:t>
            </w:r>
          </w:p>
        </w:tc>
      </w:tr>
      <w:tr w:rsidR="00305052" w:rsidRPr="00207DC2" w14:paraId="348A3387" w14:textId="77777777" w:rsidTr="00383F4E">
        <w:trPr>
          <w:trHeight w:val="285"/>
        </w:trPr>
        <w:tc>
          <w:tcPr>
            <w:tcW w:w="1951" w:type="dxa"/>
            <w:vMerge/>
            <w:noWrap/>
            <w:vAlign w:val="center"/>
          </w:tcPr>
          <w:p w14:paraId="7E81F01B"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59E54839"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45 - 54 years (compared with 25 - 34 years)</w:t>
            </w:r>
          </w:p>
        </w:tc>
        <w:tc>
          <w:tcPr>
            <w:tcW w:w="1127" w:type="dxa"/>
            <w:tcBorders>
              <w:top w:val="nil"/>
              <w:bottom w:val="nil"/>
            </w:tcBorders>
            <w:noWrap/>
            <w:vAlign w:val="center"/>
          </w:tcPr>
          <w:p w14:paraId="4C109BD5" w14:textId="77777777" w:rsidR="00305052" w:rsidRPr="00207DC2" w:rsidRDefault="0011325A" w:rsidP="00FB626D">
            <w:pPr>
              <w:tabs>
                <w:tab w:val="decimal" w:pos="319"/>
              </w:tabs>
              <w:spacing w:before="60" w:after="0"/>
              <w:rPr>
                <w:rFonts w:ascii="Arial" w:hAnsi="Arial" w:cs="Arial"/>
                <w:sz w:val="16"/>
                <w:szCs w:val="16"/>
                <w:highlight w:val="yellow"/>
                <w:lang w:val="en-AU"/>
              </w:rPr>
            </w:pPr>
            <w:r w:rsidRPr="00207DC2">
              <w:rPr>
                <w:rFonts w:ascii="Arial" w:hAnsi="Arial" w:cs="Arial"/>
                <w:sz w:val="16"/>
                <w:szCs w:val="16"/>
                <w:lang w:val="en-AU"/>
              </w:rPr>
              <w:t>12</w:t>
            </w:r>
            <w:r w:rsidR="00305052" w:rsidRPr="00207DC2">
              <w:rPr>
                <w:rFonts w:ascii="Arial" w:hAnsi="Arial" w:cs="Arial"/>
                <w:sz w:val="16"/>
                <w:szCs w:val="16"/>
                <w:lang w:val="en-AU"/>
              </w:rPr>
              <w:t>***</w:t>
            </w:r>
          </w:p>
        </w:tc>
        <w:tc>
          <w:tcPr>
            <w:tcW w:w="1127" w:type="dxa"/>
            <w:tcBorders>
              <w:top w:val="nil"/>
              <w:bottom w:val="nil"/>
            </w:tcBorders>
            <w:noWrap/>
            <w:vAlign w:val="center"/>
          </w:tcPr>
          <w:p w14:paraId="34370E26" w14:textId="77777777" w:rsidR="00305052" w:rsidRPr="00207DC2" w:rsidRDefault="00305052" w:rsidP="00FB626D">
            <w:pPr>
              <w:tabs>
                <w:tab w:val="decimal" w:pos="326"/>
              </w:tabs>
              <w:spacing w:before="60" w:after="0"/>
              <w:rPr>
                <w:rFonts w:ascii="Arial" w:hAnsi="Arial" w:cs="Arial"/>
                <w:sz w:val="16"/>
                <w:szCs w:val="16"/>
                <w:highlight w:val="yellow"/>
                <w:lang w:val="en-AU"/>
              </w:rPr>
            </w:pPr>
            <w:r w:rsidRPr="00207DC2">
              <w:rPr>
                <w:rFonts w:ascii="Arial" w:hAnsi="Arial" w:cs="Arial"/>
                <w:sz w:val="16"/>
                <w:szCs w:val="16"/>
                <w:lang w:val="en-AU"/>
              </w:rPr>
              <w:t>-</w:t>
            </w:r>
            <w:r w:rsidR="0011325A" w:rsidRPr="00207DC2">
              <w:rPr>
                <w:rFonts w:ascii="Arial" w:hAnsi="Arial" w:cs="Arial"/>
                <w:sz w:val="16"/>
                <w:szCs w:val="16"/>
                <w:lang w:val="en-AU"/>
              </w:rPr>
              <w:t>12</w:t>
            </w:r>
            <w:r w:rsidRPr="00207DC2">
              <w:rPr>
                <w:rFonts w:ascii="Arial" w:hAnsi="Arial" w:cs="Arial"/>
                <w:sz w:val="16"/>
                <w:szCs w:val="16"/>
                <w:lang w:val="en-AU"/>
              </w:rPr>
              <w:t>***</w:t>
            </w:r>
          </w:p>
        </w:tc>
        <w:tc>
          <w:tcPr>
            <w:tcW w:w="1127" w:type="dxa"/>
            <w:tcBorders>
              <w:top w:val="nil"/>
              <w:bottom w:val="nil"/>
            </w:tcBorders>
            <w:vAlign w:val="center"/>
          </w:tcPr>
          <w:p w14:paraId="3F26A47E"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0.4***</w:t>
            </w:r>
          </w:p>
        </w:tc>
        <w:tc>
          <w:tcPr>
            <w:tcW w:w="1127" w:type="dxa"/>
            <w:tcBorders>
              <w:top w:val="nil"/>
              <w:bottom w:val="nil"/>
            </w:tcBorders>
            <w:vAlign w:val="center"/>
          </w:tcPr>
          <w:p w14:paraId="488143B3"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221" w:type="dxa"/>
            <w:tcBorders>
              <w:top w:val="nil"/>
              <w:bottom w:val="nil"/>
            </w:tcBorders>
            <w:vAlign w:val="center"/>
          </w:tcPr>
          <w:p w14:paraId="220F0046"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636</w:t>
            </w:r>
            <w:r w:rsidRPr="00207DC2">
              <w:rPr>
                <w:rFonts w:ascii="Arial" w:hAnsi="Arial" w:cs="Arial"/>
                <w:sz w:val="16"/>
                <w:szCs w:val="16"/>
                <w:lang w:val="en-AU"/>
              </w:rPr>
              <w:t>***</w:t>
            </w:r>
          </w:p>
        </w:tc>
      </w:tr>
      <w:tr w:rsidR="00305052" w:rsidRPr="00207DC2" w14:paraId="062B51AA" w14:textId="77777777" w:rsidTr="00383F4E">
        <w:trPr>
          <w:trHeight w:val="285"/>
        </w:trPr>
        <w:tc>
          <w:tcPr>
            <w:tcW w:w="1951" w:type="dxa"/>
            <w:vMerge/>
            <w:noWrap/>
            <w:vAlign w:val="center"/>
          </w:tcPr>
          <w:p w14:paraId="34E7A16D"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tcBorders>
            <w:noWrap/>
            <w:vAlign w:val="center"/>
          </w:tcPr>
          <w:p w14:paraId="3528B534"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55+ years (compared with 25 - 34 years)</w:t>
            </w:r>
          </w:p>
        </w:tc>
        <w:tc>
          <w:tcPr>
            <w:tcW w:w="1127" w:type="dxa"/>
            <w:tcBorders>
              <w:top w:val="nil"/>
            </w:tcBorders>
            <w:noWrap/>
            <w:vAlign w:val="center"/>
          </w:tcPr>
          <w:p w14:paraId="75BC673A" w14:textId="77777777" w:rsidR="00305052" w:rsidRPr="00207DC2" w:rsidRDefault="0011325A" w:rsidP="00FB626D">
            <w:pPr>
              <w:tabs>
                <w:tab w:val="decimal" w:pos="319"/>
              </w:tabs>
              <w:spacing w:before="60" w:after="0"/>
              <w:rPr>
                <w:rFonts w:ascii="Arial" w:hAnsi="Arial" w:cs="Arial"/>
                <w:sz w:val="16"/>
                <w:szCs w:val="16"/>
                <w:highlight w:val="yellow"/>
                <w:lang w:val="en-AU"/>
              </w:rPr>
            </w:pPr>
            <w:r w:rsidRPr="00207DC2">
              <w:rPr>
                <w:rFonts w:ascii="Arial" w:hAnsi="Arial" w:cs="Arial"/>
                <w:sz w:val="16"/>
                <w:szCs w:val="16"/>
                <w:lang w:val="en-AU"/>
              </w:rPr>
              <w:t>21</w:t>
            </w:r>
            <w:r w:rsidR="00305052" w:rsidRPr="00207DC2">
              <w:rPr>
                <w:rFonts w:ascii="Arial" w:hAnsi="Arial" w:cs="Arial"/>
                <w:sz w:val="16"/>
                <w:szCs w:val="16"/>
                <w:lang w:val="en-AU"/>
              </w:rPr>
              <w:t>***</w:t>
            </w:r>
          </w:p>
        </w:tc>
        <w:tc>
          <w:tcPr>
            <w:tcW w:w="1127" w:type="dxa"/>
            <w:tcBorders>
              <w:top w:val="nil"/>
            </w:tcBorders>
            <w:noWrap/>
            <w:vAlign w:val="center"/>
          </w:tcPr>
          <w:p w14:paraId="57D10605" w14:textId="77777777" w:rsidR="00305052" w:rsidRPr="00207DC2" w:rsidRDefault="00305052" w:rsidP="00FB626D">
            <w:pPr>
              <w:tabs>
                <w:tab w:val="decimal" w:pos="326"/>
              </w:tabs>
              <w:spacing w:before="60" w:after="0"/>
              <w:rPr>
                <w:rFonts w:ascii="Arial" w:hAnsi="Arial" w:cs="Arial"/>
                <w:sz w:val="16"/>
                <w:szCs w:val="16"/>
                <w:highlight w:val="yellow"/>
                <w:lang w:val="en-AU"/>
              </w:rPr>
            </w:pPr>
            <w:r w:rsidRPr="00207DC2">
              <w:rPr>
                <w:rFonts w:ascii="Arial" w:hAnsi="Arial" w:cs="Arial"/>
                <w:sz w:val="16"/>
                <w:szCs w:val="16"/>
                <w:lang w:val="en-AU"/>
              </w:rPr>
              <w:t>-</w:t>
            </w:r>
            <w:r w:rsidR="0011325A" w:rsidRPr="00207DC2">
              <w:rPr>
                <w:rFonts w:ascii="Arial" w:hAnsi="Arial" w:cs="Arial"/>
                <w:sz w:val="16"/>
                <w:szCs w:val="16"/>
                <w:lang w:val="en-AU"/>
              </w:rPr>
              <w:t>19</w:t>
            </w:r>
            <w:r w:rsidRPr="00207DC2">
              <w:rPr>
                <w:rFonts w:ascii="Arial" w:hAnsi="Arial" w:cs="Arial"/>
                <w:sz w:val="16"/>
                <w:szCs w:val="16"/>
                <w:lang w:val="en-AU"/>
              </w:rPr>
              <w:t>***</w:t>
            </w:r>
          </w:p>
        </w:tc>
        <w:tc>
          <w:tcPr>
            <w:tcW w:w="1127" w:type="dxa"/>
            <w:tcBorders>
              <w:top w:val="nil"/>
            </w:tcBorders>
            <w:vAlign w:val="center"/>
          </w:tcPr>
          <w:p w14:paraId="08E0C1AA"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0.1***</w:t>
            </w:r>
          </w:p>
        </w:tc>
        <w:tc>
          <w:tcPr>
            <w:tcW w:w="1127" w:type="dxa"/>
            <w:tcBorders>
              <w:top w:val="nil"/>
            </w:tcBorders>
            <w:vAlign w:val="center"/>
          </w:tcPr>
          <w:p w14:paraId="3172540D"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0.03***</w:t>
            </w:r>
          </w:p>
        </w:tc>
        <w:tc>
          <w:tcPr>
            <w:tcW w:w="1221" w:type="dxa"/>
            <w:tcBorders>
              <w:top w:val="nil"/>
            </w:tcBorders>
            <w:vAlign w:val="center"/>
          </w:tcPr>
          <w:p w14:paraId="0A0F4088"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-1182***</w:t>
            </w:r>
          </w:p>
        </w:tc>
      </w:tr>
      <w:tr w:rsidR="004D1C58" w:rsidRPr="00207DC2" w14:paraId="27E13D54" w14:textId="77777777" w:rsidTr="00383F4E">
        <w:trPr>
          <w:trHeight w:val="285"/>
        </w:trPr>
        <w:tc>
          <w:tcPr>
            <w:tcW w:w="1951" w:type="dxa"/>
            <w:vMerge w:val="restart"/>
            <w:noWrap/>
            <w:vAlign w:val="center"/>
          </w:tcPr>
          <w:p w14:paraId="46E89956"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Duration unemployed</w:t>
            </w:r>
          </w:p>
        </w:tc>
        <w:tc>
          <w:tcPr>
            <w:tcW w:w="6804" w:type="dxa"/>
            <w:tcBorders>
              <w:bottom w:val="nil"/>
            </w:tcBorders>
            <w:noWrap/>
            <w:vAlign w:val="center"/>
          </w:tcPr>
          <w:p w14:paraId="644F4305"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&lt;1 month (compared with 1 to &lt;6 months)</w:t>
            </w:r>
          </w:p>
        </w:tc>
        <w:tc>
          <w:tcPr>
            <w:tcW w:w="1127" w:type="dxa"/>
            <w:tcBorders>
              <w:bottom w:val="nil"/>
            </w:tcBorders>
            <w:noWrap/>
            <w:vAlign w:val="center"/>
          </w:tcPr>
          <w:p w14:paraId="4FCAFB4B"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6</w:t>
            </w:r>
            <w:r w:rsidRPr="00207DC2">
              <w:rPr>
                <w:rFonts w:ascii="Arial" w:hAnsi="Arial" w:cs="Arial"/>
                <w:sz w:val="16"/>
                <w:szCs w:val="16"/>
                <w:lang w:val="en-AU"/>
              </w:rPr>
              <w:t>***</w:t>
            </w:r>
          </w:p>
        </w:tc>
        <w:tc>
          <w:tcPr>
            <w:tcW w:w="1127" w:type="dxa"/>
            <w:tcBorders>
              <w:bottom w:val="nil"/>
            </w:tcBorders>
            <w:noWrap/>
            <w:vAlign w:val="center"/>
          </w:tcPr>
          <w:p w14:paraId="39175C57"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4</w:t>
            </w:r>
            <w:r w:rsidRPr="00207DC2">
              <w:rPr>
                <w:rFonts w:ascii="Arial" w:hAnsi="Arial" w:cs="Arial"/>
                <w:sz w:val="16"/>
                <w:szCs w:val="16"/>
                <w:lang w:val="en-AU"/>
              </w:rPr>
              <w:t>***</w:t>
            </w:r>
          </w:p>
        </w:tc>
        <w:tc>
          <w:tcPr>
            <w:tcW w:w="1127" w:type="dxa"/>
            <w:tcBorders>
              <w:bottom w:val="nil"/>
            </w:tcBorders>
            <w:vAlign w:val="center"/>
          </w:tcPr>
          <w:p w14:paraId="503E4541"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0.8***</w:t>
            </w:r>
          </w:p>
        </w:tc>
        <w:tc>
          <w:tcPr>
            <w:tcW w:w="1127" w:type="dxa"/>
            <w:tcBorders>
              <w:bottom w:val="nil"/>
            </w:tcBorders>
            <w:vAlign w:val="center"/>
          </w:tcPr>
          <w:p w14:paraId="7FF3ABAC"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9</w:t>
            </w:r>
            <w:r w:rsidRPr="00207DC2">
              <w:rPr>
                <w:rFonts w:ascii="Arial" w:hAnsi="Arial" w:cs="Arial"/>
                <w:sz w:val="16"/>
                <w:szCs w:val="16"/>
                <w:lang w:val="en-AU"/>
              </w:rPr>
              <w:t>***</w:t>
            </w:r>
          </w:p>
        </w:tc>
        <w:tc>
          <w:tcPr>
            <w:tcW w:w="1221" w:type="dxa"/>
            <w:tcBorders>
              <w:bottom w:val="nil"/>
            </w:tcBorders>
            <w:vAlign w:val="center"/>
          </w:tcPr>
          <w:p w14:paraId="420DD640" w14:textId="77777777" w:rsidR="00305052" w:rsidRPr="00207DC2" w:rsidRDefault="00305052"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74</w:t>
            </w:r>
            <w:r w:rsidRPr="00207DC2">
              <w:rPr>
                <w:rFonts w:ascii="Arial" w:hAnsi="Arial" w:cs="Arial"/>
                <w:sz w:val="16"/>
                <w:szCs w:val="16"/>
                <w:lang w:val="en-AU"/>
              </w:rPr>
              <w:t>***</w:t>
            </w:r>
          </w:p>
        </w:tc>
      </w:tr>
      <w:tr w:rsidR="00305052" w:rsidRPr="00207DC2" w14:paraId="3F56577A" w14:textId="77777777" w:rsidTr="00383F4E">
        <w:trPr>
          <w:trHeight w:val="285"/>
        </w:trPr>
        <w:tc>
          <w:tcPr>
            <w:tcW w:w="1951" w:type="dxa"/>
            <w:vMerge/>
            <w:noWrap/>
            <w:vAlign w:val="center"/>
          </w:tcPr>
          <w:p w14:paraId="06FA7E76"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52D21828"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6 months to &lt;1 year (compared with 1 to &lt;6 months)</w:t>
            </w:r>
          </w:p>
        </w:tc>
        <w:tc>
          <w:tcPr>
            <w:tcW w:w="1127" w:type="dxa"/>
            <w:tcBorders>
              <w:top w:val="nil"/>
              <w:bottom w:val="nil"/>
            </w:tcBorders>
            <w:noWrap/>
            <w:vAlign w:val="center"/>
          </w:tcPr>
          <w:p w14:paraId="60F5A593"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2</w:t>
            </w:r>
          </w:p>
        </w:tc>
        <w:tc>
          <w:tcPr>
            <w:tcW w:w="1127" w:type="dxa"/>
            <w:tcBorders>
              <w:top w:val="nil"/>
              <w:bottom w:val="nil"/>
            </w:tcBorders>
            <w:noWrap/>
            <w:vAlign w:val="center"/>
          </w:tcPr>
          <w:p w14:paraId="4ADDD996"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002</w:t>
            </w:r>
          </w:p>
        </w:tc>
        <w:tc>
          <w:tcPr>
            <w:tcW w:w="1127" w:type="dxa"/>
            <w:tcBorders>
              <w:top w:val="nil"/>
              <w:bottom w:val="nil"/>
            </w:tcBorders>
            <w:vAlign w:val="center"/>
          </w:tcPr>
          <w:p w14:paraId="3BF11986"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1.1</w:t>
            </w:r>
            <w:r w:rsidR="005D174E" w:rsidRPr="00207DC2">
              <w:rPr>
                <w:rFonts w:ascii="Arial" w:hAnsi="Arial" w:cs="Arial"/>
                <w:sz w:val="16"/>
                <w:szCs w:val="16"/>
                <w:lang w:val="en-AU"/>
              </w:rPr>
              <w:t>*</w:t>
            </w:r>
          </w:p>
        </w:tc>
        <w:tc>
          <w:tcPr>
            <w:tcW w:w="1127" w:type="dxa"/>
            <w:tcBorders>
              <w:top w:val="nil"/>
              <w:bottom w:val="nil"/>
            </w:tcBorders>
            <w:vAlign w:val="center"/>
          </w:tcPr>
          <w:p w14:paraId="2B6CEED7"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1.2***</w:t>
            </w:r>
          </w:p>
        </w:tc>
        <w:tc>
          <w:tcPr>
            <w:tcW w:w="1221" w:type="dxa"/>
            <w:tcBorders>
              <w:top w:val="nil"/>
              <w:bottom w:val="nil"/>
            </w:tcBorders>
            <w:vAlign w:val="center"/>
          </w:tcPr>
          <w:p w14:paraId="0D137AB0"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105</w:t>
            </w:r>
            <w:r w:rsidR="00305052" w:rsidRPr="00207DC2">
              <w:rPr>
                <w:rFonts w:ascii="Arial" w:hAnsi="Arial" w:cs="Arial"/>
                <w:sz w:val="16"/>
                <w:szCs w:val="16"/>
                <w:lang w:val="en-AU"/>
              </w:rPr>
              <w:t>***</w:t>
            </w:r>
          </w:p>
        </w:tc>
      </w:tr>
      <w:tr w:rsidR="00305052" w:rsidRPr="00207DC2" w14:paraId="5C541FF7" w14:textId="77777777" w:rsidTr="0011325A">
        <w:trPr>
          <w:trHeight w:val="285"/>
        </w:trPr>
        <w:tc>
          <w:tcPr>
            <w:tcW w:w="1951" w:type="dxa"/>
            <w:vMerge/>
            <w:tcBorders>
              <w:bottom w:val="dashSmallGap" w:sz="4" w:space="0" w:color="auto"/>
            </w:tcBorders>
            <w:noWrap/>
            <w:vAlign w:val="center"/>
          </w:tcPr>
          <w:p w14:paraId="6E66BD3B" w14:textId="77777777" w:rsidR="00305052" w:rsidRPr="00207DC2" w:rsidRDefault="00305052" w:rsidP="00FB626D">
            <w:pPr>
              <w:spacing w:before="60" w:after="0"/>
              <w:rPr>
                <w:rFonts w:ascii="Arial" w:hAnsi="Arial" w:cs="Arial"/>
                <w:b/>
                <w:sz w:val="16"/>
                <w:szCs w:val="16"/>
                <w:lang w:val="en-AU"/>
              </w:rPr>
            </w:pPr>
          </w:p>
        </w:tc>
        <w:tc>
          <w:tcPr>
            <w:tcW w:w="6804" w:type="dxa"/>
            <w:tcBorders>
              <w:top w:val="nil"/>
            </w:tcBorders>
            <w:noWrap/>
            <w:vAlign w:val="center"/>
          </w:tcPr>
          <w:p w14:paraId="76767F6F"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1 year or more (compared with 1 to &lt;6 months)</w:t>
            </w:r>
          </w:p>
        </w:tc>
        <w:tc>
          <w:tcPr>
            <w:tcW w:w="1127" w:type="dxa"/>
            <w:tcBorders>
              <w:top w:val="nil"/>
            </w:tcBorders>
            <w:noWrap/>
            <w:vAlign w:val="center"/>
          </w:tcPr>
          <w:p w14:paraId="3B03C108" w14:textId="77777777" w:rsidR="00305052" w:rsidRPr="00207DC2" w:rsidRDefault="00305052" w:rsidP="00FB626D">
            <w:pPr>
              <w:tabs>
                <w:tab w:val="decimal" w:pos="319"/>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2</w:t>
            </w:r>
          </w:p>
        </w:tc>
        <w:tc>
          <w:tcPr>
            <w:tcW w:w="1127" w:type="dxa"/>
            <w:tcBorders>
              <w:top w:val="nil"/>
            </w:tcBorders>
            <w:noWrap/>
            <w:vAlign w:val="center"/>
          </w:tcPr>
          <w:p w14:paraId="1A11258D"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5</w:t>
            </w:r>
          </w:p>
        </w:tc>
        <w:tc>
          <w:tcPr>
            <w:tcW w:w="1127" w:type="dxa"/>
            <w:tcBorders>
              <w:top w:val="nil"/>
            </w:tcBorders>
            <w:vAlign w:val="center"/>
          </w:tcPr>
          <w:p w14:paraId="1EDA5D4E"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1.2***</w:t>
            </w:r>
          </w:p>
        </w:tc>
        <w:tc>
          <w:tcPr>
            <w:tcW w:w="1127" w:type="dxa"/>
            <w:tcBorders>
              <w:top w:val="nil"/>
            </w:tcBorders>
            <w:vAlign w:val="center"/>
          </w:tcPr>
          <w:p w14:paraId="3A3A2CF6" w14:textId="77777777" w:rsidR="00305052" w:rsidRPr="00207DC2" w:rsidRDefault="00305052" w:rsidP="00FB626D">
            <w:pPr>
              <w:tabs>
                <w:tab w:val="decimal" w:pos="314"/>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2</w:t>
            </w:r>
            <w:r w:rsidRPr="00207DC2">
              <w:rPr>
                <w:rFonts w:ascii="Arial" w:hAnsi="Arial" w:cs="Arial"/>
                <w:sz w:val="16"/>
                <w:szCs w:val="16"/>
                <w:lang w:val="en-AU"/>
              </w:rPr>
              <w:t>***</w:t>
            </w:r>
          </w:p>
        </w:tc>
        <w:tc>
          <w:tcPr>
            <w:tcW w:w="1221" w:type="dxa"/>
            <w:tcBorders>
              <w:top w:val="nil"/>
            </w:tcBorders>
            <w:vAlign w:val="center"/>
          </w:tcPr>
          <w:p w14:paraId="64DBB8F9" w14:textId="77777777" w:rsidR="00305052" w:rsidRPr="00207DC2" w:rsidRDefault="005D174E" w:rsidP="00FB626D">
            <w:pPr>
              <w:tabs>
                <w:tab w:val="decimal" w:pos="490"/>
              </w:tabs>
              <w:spacing w:before="60" w:after="0"/>
              <w:rPr>
                <w:rFonts w:ascii="Arial" w:hAnsi="Arial" w:cs="Arial"/>
                <w:sz w:val="16"/>
                <w:szCs w:val="16"/>
                <w:lang w:val="en-AU"/>
              </w:rPr>
            </w:pPr>
            <w:r w:rsidRPr="00207DC2">
              <w:rPr>
                <w:rFonts w:ascii="Arial" w:hAnsi="Arial" w:cs="Arial"/>
                <w:sz w:val="16"/>
                <w:szCs w:val="16"/>
                <w:lang w:val="en-AU"/>
              </w:rPr>
              <w:t>75</w:t>
            </w:r>
            <w:r w:rsidR="00305052" w:rsidRPr="00207DC2">
              <w:rPr>
                <w:rFonts w:ascii="Arial" w:hAnsi="Arial" w:cs="Arial"/>
                <w:sz w:val="16"/>
                <w:szCs w:val="16"/>
                <w:lang w:val="en-AU"/>
              </w:rPr>
              <w:t>***</w:t>
            </w:r>
          </w:p>
        </w:tc>
      </w:tr>
      <w:tr w:rsidR="00C00896" w:rsidRPr="00207DC2" w14:paraId="10EFCE2A" w14:textId="77777777" w:rsidTr="0011325A">
        <w:trPr>
          <w:trHeight w:val="1421"/>
        </w:trPr>
        <w:tc>
          <w:tcPr>
            <w:tcW w:w="1951" w:type="dxa"/>
            <w:tcBorders>
              <w:bottom w:val="nil"/>
            </w:tcBorders>
            <w:noWrap/>
            <w:vAlign w:val="center"/>
          </w:tcPr>
          <w:p w14:paraId="225B3C12" w14:textId="77777777" w:rsidR="00C00896" w:rsidRPr="00207DC2" w:rsidRDefault="00C00896" w:rsidP="00FB626D">
            <w:pPr>
              <w:spacing w:before="60" w:after="0"/>
              <w:rPr>
                <w:rFonts w:ascii="Arial" w:hAnsi="Arial" w:cs="Arial"/>
                <w:b/>
                <w:sz w:val="16"/>
                <w:szCs w:val="16"/>
                <w:lang w:val="en-AU"/>
              </w:rPr>
            </w:pPr>
          </w:p>
        </w:tc>
        <w:tc>
          <w:tcPr>
            <w:tcW w:w="6804" w:type="dxa"/>
            <w:tcBorders>
              <w:bottom w:val="nil"/>
            </w:tcBorders>
            <w:noWrap/>
            <w:vAlign w:val="center"/>
          </w:tcPr>
          <w:p w14:paraId="211C4340" w14:textId="77777777" w:rsidR="00C00896" w:rsidRPr="00207DC2" w:rsidRDefault="00C00896" w:rsidP="00FB626D">
            <w:pPr>
              <w:spacing w:before="60" w:after="0"/>
              <w:rPr>
                <w:rFonts w:ascii="Arial" w:hAnsi="Arial" w:cs="Arial"/>
                <w:sz w:val="16"/>
                <w:szCs w:val="16"/>
                <w:lang w:val="en-AU"/>
              </w:rPr>
            </w:pPr>
          </w:p>
        </w:tc>
        <w:tc>
          <w:tcPr>
            <w:tcW w:w="1127" w:type="dxa"/>
            <w:tcBorders>
              <w:bottom w:val="nil"/>
            </w:tcBorders>
            <w:noWrap/>
            <w:vAlign w:val="center"/>
          </w:tcPr>
          <w:p w14:paraId="544CB761" w14:textId="77777777" w:rsidR="00C00896" w:rsidRPr="00207DC2" w:rsidRDefault="00C00896" w:rsidP="00FB626D">
            <w:pPr>
              <w:spacing w:before="60" w:after="0"/>
              <w:jc w:val="center"/>
              <w:rPr>
                <w:rFonts w:ascii="Arial" w:hAnsi="Arial" w:cs="Arial"/>
                <w:sz w:val="16"/>
                <w:szCs w:val="16"/>
                <w:lang w:val="en-AU"/>
              </w:rPr>
            </w:pPr>
          </w:p>
        </w:tc>
        <w:tc>
          <w:tcPr>
            <w:tcW w:w="1127" w:type="dxa"/>
            <w:tcBorders>
              <w:bottom w:val="nil"/>
            </w:tcBorders>
            <w:noWrap/>
            <w:vAlign w:val="center"/>
          </w:tcPr>
          <w:p w14:paraId="1E23E8DF" w14:textId="77777777" w:rsidR="00C00896" w:rsidRPr="00207DC2" w:rsidRDefault="00C00896" w:rsidP="00FB626D">
            <w:pPr>
              <w:spacing w:before="60" w:after="0"/>
              <w:jc w:val="center"/>
              <w:rPr>
                <w:rFonts w:ascii="Arial" w:hAnsi="Arial" w:cs="Arial"/>
                <w:sz w:val="16"/>
                <w:szCs w:val="16"/>
                <w:lang w:val="en-AU"/>
              </w:rPr>
            </w:pPr>
          </w:p>
        </w:tc>
        <w:tc>
          <w:tcPr>
            <w:tcW w:w="1127" w:type="dxa"/>
            <w:tcBorders>
              <w:bottom w:val="nil"/>
            </w:tcBorders>
            <w:vAlign w:val="center"/>
          </w:tcPr>
          <w:p w14:paraId="62A96450" w14:textId="77777777" w:rsidR="00C00896" w:rsidRPr="00207DC2" w:rsidRDefault="00C00896" w:rsidP="00FB626D">
            <w:pPr>
              <w:spacing w:before="60" w:after="0"/>
              <w:jc w:val="center"/>
              <w:rPr>
                <w:rFonts w:ascii="Arial" w:hAnsi="Arial" w:cs="Arial"/>
                <w:sz w:val="16"/>
                <w:szCs w:val="16"/>
                <w:lang w:val="en-AU"/>
              </w:rPr>
            </w:pPr>
          </w:p>
        </w:tc>
        <w:tc>
          <w:tcPr>
            <w:tcW w:w="1127" w:type="dxa"/>
            <w:tcBorders>
              <w:bottom w:val="nil"/>
            </w:tcBorders>
            <w:vAlign w:val="center"/>
          </w:tcPr>
          <w:p w14:paraId="177A3ED6" w14:textId="77777777" w:rsidR="00C00896" w:rsidRPr="00207DC2" w:rsidRDefault="00C00896" w:rsidP="00FB626D">
            <w:pPr>
              <w:spacing w:before="60" w:after="0"/>
              <w:jc w:val="center"/>
              <w:rPr>
                <w:rFonts w:ascii="Arial" w:hAnsi="Arial" w:cs="Arial"/>
                <w:sz w:val="16"/>
                <w:szCs w:val="16"/>
                <w:lang w:val="en-AU"/>
              </w:rPr>
            </w:pPr>
          </w:p>
        </w:tc>
        <w:tc>
          <w:tcPr>
            <w:tcW w:w="1221" w:type="dxa"/>
            <w:tcBorders>
              <w:bottom w:val="nil"/>
            </w:tcBorders>
            <w:vAlign w:val="center"/>
          </w:tcPr>
          <w:p w14:paraId="47C94F30" w14:textId="77777777" w:rsidR="00C00896" w:rsidRPr="00207DC2" w:rsidRDefault="00C00896" w:rsidP="00FB626D">
            <w:pPr>
              <w:spacing w:before="60" w:after="0"/>
              <w:jc w:val="center"/>
              <w:rPr>
                <w:rFonts w:ascii="Arial" w:hAnsi="Arial" w:cs="Arial"/>
                <w:sz w:val="16"/>
                <w:szCs w:val="16"/>
                <w:lang w:val="en-AU"/>
              </w:rPr>
            </w:pPr>
          </w:p>
        </w:tc>
      </w:tr>
      <w:tr w:rsidR="00EE5DC7" w:rsidRPr="00207DC2" w14:paraId="268A57F2" w14:textId="77777777" w:rsidTr="0011325A">
        <w:trPr>
          <w:trHeight w:val="285"/>
        </w:trPr>
        <w:tc>
          <w:tcPr>
            <w:tcW w:w="1951" w:type="dxa"/>
            <w:vMerge w:val="restart"/>
            <w:tcBorders>
              <w:top w:val="nil"/>
            </w:tcBorders>
            <w:noWrap/>
            <w:vAlign w:val="center"/>
          </w:tcPr>
          <w:p w14:paraId="5AC4E00C" w14:textId="5CAE4DF5" w:rsidR="00EE5DC7" w:rsidRPr="00207DC2" w:rsidRDefault="00A768AF" w:rsidP="00FB626D">
            <w:pPr>
              <w:spacing w:before="60" w:after="0"/>
              <w:rPr>
                <w:rFonts w:ascii="Arial" w:hAnsi="Arial" w:cs="Arial"/>
                <w:b/>
                <w:sz w:val="16"/>
                <w:szCs w:val="16"/>
                <w:lang w:val="en-AU"/>
              </w:rPr>
            </w:pPr>
            <w:r w:rsidRPr="00207DC2">
              <w:rPr>
                <w:rFonts w:ascii="Arial" w:hAnsi="Arial" w:cs="Arial"/>
                <w:b/>
                <w:sz w:val="16"/>
                <w:szCs w:val="16"/>
                <w:lang w:val="en-AU"/>
              </w:rPr>
              <w:t>O</w:t>
            </w:r>
            <w:r w:rsidR="00EE5DC7" w:rsidRPr="00207DC2">
              <w:rPr>
                <w:rFonts w:ascii="Arial" w:hAnsi="Arial" w:cs="Arial"/>
                <w:b/>
                <w:sz w:val="16"/>
                <w:szCs w:val="16"/>
                <w:lang w:val="en-AU"/>
              </w:rPr>
              <w:t>f</w:t>
            </w:r>
            <w:r w:rsidR="00D64FE6" w:rsidRPr="00207DC2">
              <w:rPr>
                <w:rFonts w:ascii="Arial" w:hAnsi="Arial" w:cs="Arial"/>
                <w:b/>
                <w:sz w:val="16"/>
                <w:szCs w:val="16"/>
                <w:lang w:val="en-AU"/>
              </w:rPr>
              <w:t xml:space="preserve"> the</w:t>
            </w:r>
            <w:r w:rsidR="00EE5DC7" w:rsidRPr="00207DC2">
              <w:rPr>
                <w:rFonts w:ascii="Arial" w:hAnsi="Arial" w:cs="Arial"/>
                <w:b/>
                <w:sz w:val="16"/>
                <w:szCs w:val="16"/>
                <w:lang w:val="en-AU"/>
              </w:rPr>
              <w:t xml:space="preserve"> days </w:t>
            </w:r>
            <w:r w:rsidR="00D64FE6" w:rsidRPr="00207DC2">
              <w:rPr>
                <w:rFonts w:ascii="Arial" w:hAnsi="Arial" w:cs="Arial"/>
                <w:b/>
                <w:sz w:val="16"/>
                <w:szCs w:val="16"/>
                <w:lang w:val="en-AU"/>
              </w:rPr>
              <w:t>c</w:t>
            </w:r>
            <w:r w:rsidR="00EE5DC7" w:rsidRPr="00207DC2">
              <w:rPr>
                <w:rFonts w:ascii="Arial" w:hAnsi="Arial" w:cs="Arial"/>
                <w:b/>
                <w:sz w:val="16"/>
                <w:szCs w:val="16"/>
                <w:lang w:val="en-AU"/>
              </w:rPr>
              <w:t xml:space="preserve">ommenced </w:t>
            </w:r>
            <w:r w:rsidR="007E35CC" w:rsidRPr="00207DC2">
              <w:rPr>
                <w:rFonts w:ascii="Arial" w:hAnsi="Arial" w:cs="Arial"/>
                <w:b/>
                <w:sz w:val="16"/>
                <w:szCs w:val="16"/>
                <w:lang w:val="en-AU"/>
              </w:rPr>
              <w:t>in the CDP</w:t>
            </w:r>
            <w:r w:rsidRPr="00207DC2">
              <w:rPr>
                <w:rFonts w:ascii="Arial" w:hAnsi="Arial" w:cs="Arial"/>
                <w:b/>
                <w:sz w:val="16"/>
                <w:szCs w:val="16"/>
                <w:lang w:val="en-AU"/>
              </w:rPr>
              <w:t>, proportion</w:t>
            </w:r>
            <w:r w:rsidR="00EE5DC7" w:rsidRPr="00207DC2">
              <w:rPr>
                <w:rFonts w:ascii="Arial" w:hAnsi="Arial" w:cs="Arial"/>
                <w:b/>
                <w:sz w:val="16"/>
                <w:szCs w:val="16"/>
                <w:lang w:val="en-AU"/>
              </w:rPr>
              <w:t xml:space="preserve"> </w:t>
            </w:r>
            <w:r w:rsidRPr="00207DC2">
              <w:rPr>
                <w:rFonts w:ascii="Arial" w:hAnsi="Arial" w:cs="Arial"/>
                <w:b/>
                <w:sz w:val="16"/>
                <w:szCs w:val="16"/>
                <w:lang w:val="en-AU"/>
              </w:rPr>
              <w:t xml:space="preserve">that had: </w:t>
            </w:r>
          </w:p>
        </w:tc>
        <w:tc>
          <w:tcPr>
            <w:tcW w:w="6804" w:type="dxa"/>
            <w:tcBorders>
              <w:bottom w:val="nil"/>
            </w:tcBorders>
            <w:noWrap/>
            <w:vAlign w:val="center"/>
          </w:tcPr>
          <w:p w14:paraId="4DD40E71"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 xml:space="preserve">No transport </w:t>
            </w:r>
            <w:r w:rsidRPr="00207DC2">
              <w:rPr>
                <w:rFonts w:ascii="Arial" w:hAnsi="Arial" w:cs="Arial"/>
                <w:sz w:val="16"/>
                <w:szCs w:val="16"/>
                <w:vertAlign w:val="superscript"/>
                <w:lang w:val="en-AU"/>
              </w:rPr>
              <w:t>b</w:t>
            </w:r>
          </w:p>
        </w:tc>
        <w:tc>
          <w:tcPr>
            <w:tcW w:w="1127" w:type="dxa"/>
            <w:tcBorders>
              <w:bottom w:val="nil"/>
            </w:tcBorders>
            <w:noWrap/>
            <w:vAlign w:val="center"/>
          </w:tcPr>
          <w:p w14:paraId="5B3AD5F9" w14:textId="77777777" w:rsidR="00EE5DC7" w:rsidRPr="00207DC2" w:rsidRDefault="00EE5DC7"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6</w:t>
            </w:r>
          </w:p>
        </w:tc>
        <w:tc>
          <w:tcPr>
            <w:tcW w:w="1127" w:type="dxa"/>
            <w:tcBorders>
              <w:bottom w:val="nil"/>
            </w:tcBorders>
            <w:noWrap/>
            <w:vAlign w:val="center"/>
          </w:tcPr>
          <w:p w14:paraId="7B2F91E3"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127" w:type="dxa"/>
            <w:tcBorders>
              <w:bottom w:val="nil"/>
            </w:tcBorders>
            <w:vAlign w:val="center"/>
          </w:tcPr>
          <w:p w14:paraId="6AFCA8E6"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8</w:t>
            </w:r>
            <w:r w:rsidRPr="00207DC2">
              <w:rPr>
                <w:rFonts w:ascii="Arial" w:hAnsi="Arial" w:cs="Arial"/>
                <w:sz w:val="16"/>
                <w:szCs w:val="16"/>
                <w:lang w:val="en-AU"/>
              </w:rPr>
              <w:t>***</w:t>
            </w:r>
          </w:p>
        </w:tc>
        <w:tc>
          <w:tcPr>
            <w:tcW w:w="1127" w:type="dxa"/>
            <w:tcBorders>
              <w:bottom w:val="nil"/>
            </w:tcBorders>
            <w:vAlign w:val="center"/>
          </w:tcPr>
          <w:p w14:paraId="79E86E12"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5</w:t>
            </w:r>
            <w:r w:rsidRPr="00207DC2">
              <w:rPr>
                <w:rFonts w:ascii="Arial" w:hAnsi="Arial" w:cs="Arial"/>
                <w:sz w:val="16"/>
                <w:szCs w:val="16"/>
                <w:lang w:val="en-AU"/>
              </w:rPr>
              <w:t>***</w:t>
            </w:r>
          </w:p>
        </w:tc>
        <w:tc>
          <w:tcPr>
            <w:tcW w:w="1221" w:type="dxa"/>
            <w:tcBorders>
              <w:bottom w:val="nil"/>
            </w:tcBorders>
            <w:vAlign w:val="center"/>
          </w:tcPr>
          <w:p w14:paraId="64D3A5BE" w14:textId="77777777" w:rsidR="00EE5DC7" w:rsidRPr="00207DC2" w:rsidRDefault="005D174E"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148</w:t>
            </w:r>
            <w:r w:rsidR="00EE5DC7" w:rsidRPr="00207DC2">
              <w:rPr>
                <w:rFonts w:ascii="Arial" w:hAnsi="Arial" w:cs="Arial"/>
                <w:sz w:val="16"/>
                <w:szCs w:val="16"/>
                <w:lang w:val="en-AU"/>
              </w:rPr>
              <w:t>***</w:t>
            </w:r>
          </w:p>
        </w:tc>
      </w:tr>
      <w:tr w:rsidR="00EE5DC7" w:rsidRPr="00207DC2" w14:paraId="30577C3B" w14:textId="77777777" w:rsidTr="00383F4E">
        <w:trPr>
          <w:trHeight w:val="285"/>
        </w:trPr>
        <w:tc>
          <w:tcPr>
            <w:tcW w:w="1951" w:type="dxa"/>
            <w:vMerge/>
            <w:noWrap/>
            <w:vAlign w:val="center"/>
          </w:tcPr>
          <w:p w14:paraId="245CA44D"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1117D918"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 xml:space="preserve">Public or other private transport </w:t>
            </w:r>
            <w:r w:rsidRPr="00207DC2">
              <w:rPr>
                <w:rFonts w:ascii="Arial" w:hAnsi="Arial" w:cs="Arial"/>
                <w:sz w:val="16"/>
                <w:szCs w:val="16"/>
                <w:vertAlign w:val="superscript"/>
                <w:lang w:val="en-AU"/>
              </w:rPr>
              <w:t>b</w:t>
            </w:r>
          </w:p>
        </w:tc>
        <w:tc>
          <w:tcPr>
            <w:tcW w:w="1127" w:type="dxa"/>
            <w:tcBorders>
              <w:top w:val="nil"/>
              <w:bottom w:val="nil"/>
            </w:tcBorders>
            <w:noWrap/>
            <w:vAlign w:val="center"/>
          </w:tcPr>
          <w:p w14:paraId="5AF02D42" w14:textId="77777777" w:rsidR="00EE5DC7" w:rsidRPr="00207DC2" w:rsidRDefault="00EE5DC7"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5</w:t>
            </w:r>
          </w:p>
        </w:tc>
        <w:tc>
          <w:tcPr>
            <w:tcW w:w="1127" w:type="dxa"/>
            <w:tcBorders>
              <w:top w:val="nil"/>
              <w:bottom w:val="nil"/>
            </w:tcBorders>
            <w:noWrap/>
            <w:vAlign w:val="center"/>
          </w:tcPr>
          <w:p w14:paraId="4B051804"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2.</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127" w:type="dxa"/>
            <w:tcBorders>
              <w:top w:val="nil"/>
              <w:bottom w:val="nil"/>
            </w:tcBorders>
            <w:vAlign w:val="center"/>
          </w:tcPr>
          <w:p w14:paraId="1D771F88"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6</w:t>
            </w:r>
            <w:r w:rsidRPr="00207DC2">
              <w:rPr>
                <w:rFonts w:ascii="Arial" w:hAnsi="Arial" w:cs="Arial"/>
                <w:sz w:val="16"/>
                <w:szCs w:val="16"/>
                <w:lang w:val="en-AU"/>
              </w:rPr>
              <w:t>***</w:t>
            </w:r>
          </w:p>
        </w:tc>
        <w:tc>
          <w:tcPr>
            <w:tcW w:w="1127" w:type="dxa"/>
            <w:tcBorders>
              <w:top w:val="nil"/>
              <w:bottom w:val="nil"/>
            </w:tcBorders>
            <w:vAlign w:val="center"/>
          </w:tcPr>
          <w:p w14:paraId="7E016238"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3</w:t>
            </w:r>
            <w:r w:rsidRPr="00207DC2">
              <w:rPr>
                <w:rFonts w:ascii="Arial" w:hAnsi="Arial" w:cs="Arial"/>
                <w:sz w:val="16"/>
                <w:szCs w:val="16"/>
                <w:lang w:val="en-AU"/>
              </w:rPr>
              <w:t>***</w:t>
            </w:r>
          </w:p>
        </w:tc>
        <w:tc>
          <w:tcPr>
            <w:tcW w:w="1221" w:type="dxa"/>
            <w:tcBorders>
              <w:top w:val="nil"/>
              <w:bottom w:val="nil"/>
            </w:tcBorders>
            <w:vAlign w:val="center"/>
          </w:tcPr>
          <w:p w14:paraId="1621F8EE" w14:textId="77777777" w:rsidR="00EE5DC7" w:rsidRPr="00207DC2" w:rsidRDefault="005D174E"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79**</w:t>
            </w:r>
          </w:p>
        </w:tc>
      </w:tr>
      <w:tr w:rsidR="00EE5DC7" w:rsidRPr="00207DC2" w14:paraId="2F79D761" w14:textId="77777777" w:rsidTr="00383F4E">
        <w:trPr>
          <w:trHeight w:val="285"/>
        </w:trPr>
        <w:tc>
          <w:tcPr>
            <w:tcW w:w="1951" w:type="dxa"/>
            <w:vMerge/>
            <w:noWrap/>
            <w:vAlign w:val="center"/>
          </w:tcPr>
          <w:p w14:paraId="2745BEFF"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39BD1521"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Parent of a child aged ≤15 years</w:t>
            </w:r>
          </w:p>
        </w:tc>
        <w:tc>
          <w:tcPr>
            <w:tcW w:w="1127" w:type="dxa"/>
            <w:tcBorders>
              <w:top w:val="nil"/>
              <w:bottom w:val="nil"/>
            </w:tcBorders>
            <w:noWrap/>
            <w:vAlign w:val="center"/>
          </w:tcPr>
          <w:p w14:paraId="25E05A52" w14:textId="77777777" w:rsidR="00EE5DC7" w:rsidRPr="00207DC2" w:rsidRDefault="00EE5DC7"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.1**</w:t>
            </w:r>
          </w:p>
        </w:tc>
        <w:tc>
          <w:tcPr>
            <w:tcW w:w="1127" w:type="dxa"/>
            <w:tcBorders>
              <w:top w:val="nil"/>
              <w:bottom w:val="nil"/>
            </w:tcBorders>
            <w:noWrap/>
            <w:vAlign w:val="center"/>
          </w:tcPr>
          <w:p w14:paraId="2AF5D2A2"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1</w:t>
            </w:r>
          </w:p>
        </w:tc>
        <w:tc>
          <w:tcPr>
            <w:tcW w:w="1127" w:type="dxa"/>
            <w:tcBorders>
              <w:top w:val="nil"/>
              <w:bottom w:val="nil"/>
            </w:tcBorders>
            <w:vAlign w:val="center"/>
          </w:tcPr>
          <w:p w14:paraId="339E5856" w14:textId="77777777" w:rsidR="00EE5DC7" w:rsidRPr="00207DC2" w:rsidRDefault="005D174E"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1.1</w:t>
            </w:r>
          </w:p>
        </w:tc>
        <w:tc>
          <w:tcPr>
            <w:tcW w:w="1127" w:type="dxa"/>
            <w:tcBorders>
              <w:top w:val="nil"/>
              <w:bottom w:val="nil"/>
            </w:tcBorders>
            <w:vAlign w:val="center"/>
          </w:tcPr>
          <w:p w14:paraId="5CAF99A8"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96</w:t>
            </w:r>
          </w:p>
        </w:tc>
        <w:tc>
          <w:tcPr>
            <w:tcW w:w="1221" w:type="dxa"/>
            <w:tcBorders>
              <w:top w:val="nil"/>
              <w:bottom w:val="nil"/>
            </w:tcBorders>
            <w:vAlign w:val="center"/>
          </w:tcPr>
          <w:p w14:paraId="57A6A7A2" w14:textId="77777777" w:rsidR="00EE5DC7" w:rsidRPr="00207DC2" w:rsidRDefault="00EE5DC7"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22</w:t>
            </w:r>
          </w:p>
        </w:tc>
      </w:tr>
      <w:tr w:rsidR="00EE5DC7" w:rsidRPr="00207DC2" w14:paraId="6E0C821B" w14:textId="77777777" w:rsidTr="00383F4E">
        <w:trPr>
          <w:trHeight w:val="285"/>
        </w:trPr>
        <w:tc>
          <w:tcPr>
            <w:tcW w:w="1951" w:type="dxa"/>
            <w:vMerge/>
            <w:noWrap/>
            <w:vAlign w:val="center"/>
            <w:hideMark/>
          </w:tcPr>
          <w:p w14:paraId="704882CC"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bottom w:val="nil"/>
            </w:tcBorders>
            <w:noWrap/>
            <w:vAlign w:val="center"/>
            <w:hideMark/>
          </w:tcPr>
          <w:p w14:paraId="28CEAECB"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Primary carer</w:t>
            </w:r>
          </w:p>
        </w:tc>
        <w:tc>
          <w:tcPr>
            <w:tcW w:w="1127" w:type="dxa"/>
            <w:tcBorders>
              <w:top w:val="nil"/>
              <w:bottom w:val="nil"/>
            </w:tcBorders>
            <w:noWrap/>
            <w:vAlign w:val="center"/>
            <w:hideMark/>
          </w:tcPr>
          <w:p w14:paraId="1C145DC4" w14:textId="77777777" w:rsidR="00EE5DC7" w:rsidRPr="00207DC2" w:rsidRDefault="00EE5DC7"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1*</w:t>
            </w:r>
          </w:p>
        </w:tc>
        <w:tc>
          <w:tcPr>
            <w:tcW w:w="1127" w:type="dxa"/>
            <w:tcBorders>
              <w:top w:val="nil"/>
              <w:bottom w:val="nil"/>
            </w:tcBorders>
            <w:noWrap/>
            <w:vAlign w:val="center"/>
            <w:hideMark/>
          </w:tcPr>
          <w:p w14:paraId="545DEEA3" w14:textId="476F5C51"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-3***</w:t>
            </w:r>
          </w:p>
        </w:tc>
        <w:tc>
          <w:tcPr>
            <w:tcW w:w="1127" w:type="dxa"/>
            <w:tcBorders>
              <w:top w:val="nil"/>
              <w:bottom w:val="nil"/>
            </w:tcBorders>
            <w:vAlign w:val="center"/>
          </w:tcPr>
          <w:p w14:paraId="3298B32A"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w:t>
            </w:r>
            <w:r w:rsidR="005D174E" w:rsidRPr="00207DC2">
              <w:rPr>
                <w:rFonts w:ascii="Arial" w:hAnsi="Arial" w:cs="Arial"/>
                <w:sz w:val="16"/>
                <w:szCs w:val="16"/>
                <w:lang w:val="en-AU"/>
              </w:rPr>
              <w:t>6</w:t>
            </w:r>
            <w:r w:rsidRPr="00207DC2">
              <w:rPr>
                <w:rFonts w:ascii="Arial" w:hAnsi="Arial" w:cs="Arial"/>
                <w:sz w:val="16"/>
                <w:szCs w:val="16"/>
                <w:lang w:val="en-AU"/>
              </w:rPr>
              <w:t>***</w:t>
            </w:r>
          </w:p>
        </w:tc>
        <w:tc>
          <w:tcPr>
            <w:tcW w:w="1127" w:type="dxa"/>
            <w:tcBorders>
              <w:top w:val="nil"/>
              <w:bottom w:val="nil"/>
            </w:tcBorders>
            <w:vAlign w:val="center"/>
          </w:tcPr>
          <w:p w14:paraId="271E24D5"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0.7***</w:t>
            </w:r>
          </w:p>
        </w:tc>
        <w:tc>
          <w:tcPr>
            <w:tcW w:w="1221" w:type="dxa"/>
            <w:tcBorders>
              <w:top w:val="nil"/>
              <w:bottom w:val="nil"/>
            </w:tcBorders>
            <w:vAlign w:val="center"/>
          </w:tcPr>
          <w:p w14:paraId="4A77B94C" w14:textId="77777777" w:rsidR="00EE5DC7" w:rsidRPr="00207DC2" w:rsidRDefault="00EE5DC7"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114</w:t>
            </w:r>
            <w:r w:rsidRPr="00207DC2">
              <w:rPr>
                <w:rFonts w:ascii="Arial" w:hAnsi="Arial" w:cs="Arial"/>
                <w:sz w:val="16"/>
                <w:szCs w:val="16"/>
                <w:lang w:val="en-AU"/>
              </w:rPr>
              <w:t>***</w:t>
            </w:r>
          </w:p>
        </w:tc>
      </w:tr>
      <w:tr w:rsidR="00EE5DC7" w:rsidRPr="00207DC2" w14:paraId="02BD658F" w14:textId="77777777" w:rsidTr="00383F4E">
        <w:trPr>
          <w:trHeight w:val="285"/>
        </w:trPr>
        <w:tc>
          <w:tcPr>
            <w:tcW w:w="1951" w:type="dxa"/>
            <w:vMerge/>
            <w:noWrap/>
            <w:vAlign w:val="center"/>
          </w:tcPr>
          <w:p w14:paraId="70E83C6B"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1862C365"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Homeless</w:t>
            </w:r>
          </w:p>
        </w:tc>
        <w:tc>
          <w:tcPr>
            <w:tcW w:w="1127" w:type="dxa"/>
            <w:tcBorders>
              <w:top w:val="nil"/>
              <w:bottom w:val="nil"/>
            </w:tcBorders>
            <w:noWrap/>
            <w:vAlign w:val="center"/>
          </w:tcPr>
          <w:p w14:paraId="1FEEAA2C" w14:textId="77777777" w:rsidR="00EE5DC7" w:rsidRPr="00207DC2" w:rsidRDefault="00EE5DC7"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1***</w:t>
            </w:r>
          </w:p>
        </w:tc>
        <w:tc>
          <w:tcPr>
            <w:tcW w:w="1127" w:type="dxa"/>
            <w:tcBorders>
              <w:top w:val="nil"/>
              <w:bottom w:val="nil"/>
            </w:tcBorders>
            <w:noWrap/>
            <w:vAlign w:val="center"/>
          </w:tcPr>
          <w:p w14:paraId="22032178" w14:textId="77777777" w:rsidR="00EE5DC7" w:rsidRPr="00207DC2" w:rsidRDefault="005D174E"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0.5*</w:t>
            </w:r>
          </w:p>
        </w:tc>
        <w:tc>
          <w:tcPr>
            <w:tcW w:w="1127" w:type="dxa"/>
            <w:tcBorders>
              <w:top w:val="nil"/>
              <w:bottom w:val="nil"/>
            </w:tcBorders>
            <w:vAlign w:val="center"/>
          </w:tcPr>
          <w:p w14:paraId="6D27B702"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1.1</w:t>
            </w:r>
            <w:r w:rsidR="005D174E" w:rsidRPr="00207DC2">
              <w:rPr>
                <w:rFonts w:ascii="Arial" w:hAnsi="Arial" w:cs="Arial"/>
                <w:sz w:val="16"/>
                <w:szCs w:val="16"/>
                <w:lang w:val="en-AU"/>
              </w:rPr>
              <w:t>***</w:t>
            </w:r>
          </w:p>
        </w:tc>
        <w:tc>
          <w:tcPr>
            <w:tcW w:w="1127" w:type="dxa"/>
            <w:tcBorders>
              <w:top w:val="nil"/>
              <w:bottom w:val="nil"/>
            </w:tcBorders>
            <w:vAlign w:val="center"/>
          </w:tcPr>
          <w:p w14:paraId="27A4AD55"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04</w:t>
            </w:r>
          </w:p>
        </w:tc>
        <w:tc>
          <w:tcPr>
            <w:tcW w:w="1221" w:type="dxa"/>
            <w:tcBorders>
              <w:top w:val="nil"/>
              <w:bottom w:val="nil"/>
            </w:tcBorders>
            <w:vAlign w:val="center"/>
          </w:tcPr>
          <w:p w14:paraId="739A550A" w14:textId="77777777" w:rsidR="00EE5DC7" w:rsidRPr="00207DC2" w:rsidRDefault="00EE5DC7"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13</w:t>
            </w:r>
          </w:p>
        </w:tc>
      </w:tr>
      <w:tr w:rsidR="00EE5DC7" w:rsidRPr="00207DC2" w14:paraId="6CDD5E65" w14:textId="77777777" w:rsidTr="00383F4E">
        <w:trPr>
          <w:trHeight w:val="285"/>
        </w:trPr>
        <w:tc>
          <w:tcPr>
            <w:tcW w:w="1951" w:type="dxa"/>
            <w:vMerge/>
            <w:noWrap/>
            <w:vAlign w:val="center"/>
          </w:tcPr>
          <w:p w14:paraId="36EDDB6B"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bottom w:val="nil"/>
            </w:tcBorders>
            <w:noWrap/>
            <w:vAlign w:val="center"/>
          </w:tcPr>
          <w:p w14:paraId="5E0761C0" w14:textId="77777777" w:rsidR="00EE5DC7" w:rsidRPr="00207DC2" w:rsidRDefault="00EE5DC7" w:rsidP="00FB626D">
            <w:pPr>
              <w:spacing w:before="60" w:after="0"/>
              <w:rPr>
                <w:rFonts w:ascii="Arial" w:hAnsi="Arial" w:cs="Arial"/>
                <w:sz w:val="16"/>
                <w:szCs w:val="16"/>
                <w:lang w:val="en-AU"/>
              </w:rPr>
            </w:pPr>
            <w:r w:rsidRPr="00207DC2">
              <w:rPr>
                <w:rFonts w:ascii="Arial" w:hAnsi="Arial" w:cs="Arial"/>
                <w:sz w:val="16"/>
                <w:szCs w:val="16"/>
                <w:lang w:val="en-AU"/>
              </w:rPr>
              <w:t>Not contactable by phone</w:t>
            </w:r>
          </w:p>
        </w:tc>
        <w:tc>
          <w:tcPr>
            <w:tcW w:w="1127" w:type="dxa"/>
            <w:tcBorders>
              <w:top w:val="nil"/>
              <w:bottom w:val="nil"/>
            </w:tcBorders>
            <w:noWrap/>
            <w:vAlign w:val="center"/>
          </w:tcPr>
          <w:p w14:paraId="5C3DF756" w14:textId="77777777" w:rsidR="00EE5DC7" w:rsidRPr="00207DC2" w:rsidRDefault="005D174E"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-1.4***</w:t>
            </w:r>
          </w:p>
        </w:tc>
        <w:tc>
          <w:tcPr>
            <w:tcW w:w="1127" w:type="dxa"/>
            <w:tcBorders>
              <w:top w:val="nil"/>
              <w:bottom w:val="nil"/>
            </w:tcBorders>
            <w:noWrap/>
            <w:vAlign w:val="center"/>
          </w:tcPr>
          <w:p w14:paraId="5046905B"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2.</w:t>
            </w:r>
            <w:r w:rsidR="005D174E" w:rsidRPr="00207DC2">
              <w:rPr>
                <w:rFonts w:ascii="Arial" w:hAnsi="Arial" w:cs="Arial"/>
                <w:sz w:val="16"/>
                <w:szCs w:val="16"/>
                <w:lang w:val="en-AU"/>
              </w:rPr>
              <w:t>9</w:t>
            </w:r>
            <w:r w:rsidRPr="00207DC2">
              <w:rPr>
                <w:rFonts w:ascii="Arial" w:hAnsi="Arial" w:cs="Arial"/>
                <w:sz w:val="16"/>
                <w:szCs w:val="16"/>
                <w:lang w:val="en-AU"/>
              </w:rPr>
              <w:t>***</w:t>
            </w:r>
          </w:p>
        </w:tc>
        <w:tc>
          <w:tcPr>
            <w:tcW w:w="1127" w:type="dxa"/>
            <w:tcBorders>
              <w:top w:val="nil"/>
              <w:bottom w:val="nil"/>
            </w:tcBorders>
            <w:vAlign w:val="center"/>
          </w:tcPr>
          <w:p w14:paraId="3E1CE566"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8</w:t>
            </w:r>
            <w:r w:rsidRPr="00207DC2">
              <w:rPr>
                <w:rFonts w:ascii="Arial" w:hAnsi="Arial" w:cs="Arial"/>
                <w:sz w:val="16"/>
                <w:szCs w:val="16"/>
                <w:lang w:val="en-AU"/>
              </w:rPr>
              <w:t>***</w:t>
            </w:r>
          </w:p>
        </w:tc>
        <w:tc>
          <w:tcPr>
            <w:tcW w:w="1127" w:type="dxa"/>
            <w:tcBorders>
              <w:top w:val="nil"/>
              <w:bottom w:val="nil"/>
            </w:tcBorders>
            <w:vAlign w:val="center"/>
          </w:tcPr>
          <w:p w14:paraId="75995AEF"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w:t>
            </w:r>
            <w:r w:rsidR="005D174E" w:rsidRPr="00207DC2">
              <w:rPr>
                <w:rFonts w:ascii="Arial" w:hAnsi="Arial" w:cs="Arial"/>
                <w:sz w:val="16"/>
                <w:szCs w:val="16"/>
                <w:lang w:val="en-AU"/>
              </w:rPr>
              <w:t>6</w:t>
            </w:r>
            <w:r w:rsidRPr="00207DC2">
              <w:rPr>
                <w:rFonts w:ascii="Arial" w:hAnsi="Arial" w:cs="Arial"/>
                <w:sz w:val="16"/>
                <w:szCs w:val="16"/>
                <w:lang w:val="en-AU"/>
              </w:rPr>
              <w:t>***</w:t>
            </w:r>
          </w:p>
        </w:tc>
        <w:tc>
          <w:tcPr>
            <w:tcW w:w="1221" w:type="dxa"/>
            <w:tcBorders>
              <w:top w:val="nil"/>
              <w:bottom w:val="nil"/>
            </w:tcBorders>
            <w:vAlign w:val="center"/>
          </w:tcPr>
          <w:p w14:paraId="17427DB6" w14:textId="77777777" w:rsidR="00EE5DC7" w:rsidRPr="00207DC2" w:rsidRDefault="005D174E"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180</w:t>
            </w:r>
            <w:r w:rsidR="00EE5DC7" w:rsidRPr="00207DC2">
              <w:rPr>
                <w:rFonts w:ascii="Arial" w:hAnsi="Arial" w:cs="Arial"/>
                <w:sz w:val="16"/>
                <w:szCs w:val="16"/>
                <w:lang w:val="en-AU"/>
              </w:rPr>
              <w:t>***</w:t>
            </w:r>
          </w:p>
        </w:tc>
      </w:tr>
      <w:tr w:rsidR="00EE5DC7" w:rsidRPr="00207DC2" w14:paraId="012541A7" w14:textId="77777777" w:rsidTr="00383F4E">
        <w:trPr>
          <w:trHeight w:val="285"/>
        </w:trPr>
        <w:tc>
          <w:tcPr>
            <w:tcW w:w="1951" w:type="dxa"/>
            <w:vMerge/>
            <w:noWrap/>
            <w:vAlign w:val="center"/>
          </w:tcPr>
          <w:p w14:paraId="037B3A23" w14:textId="77777777" w:rsidR="00EE5DC7" w:rsidRPr="00207DC2" w:rsidRDefault="00EE5DC7" w:rsidP="00FB626D">
            <w:pPr>
              <w:spacing w:before="60" w:after="0"/>
              <w:rPr>
                <w:rFonts w:ascii="Arial" w:hAnsi="Arial" w:cs="Arial"/>
                <w:b/>
                <w:sz w:val="16"/>
                <w:szCs w:val="16"/>
                <w:lang w:val="en-AU"/>
              </w:rPr>
            </w:pPr>
          </w:p>
        </w:tc>
        <w:tc>
          <w:tcPr>
            <w:tcW w:w="6804" w:type="dxa"/>
            <w:tcBorders>
              <w:top w:val="nil"/>
            </w:tcBorders>
            <w:noWrap/>
            <w:vAlign w:val="center"/>
          </w:tcPr>
          <w:p w14:paraId="2972047E" w14:textId="0DDC8119" w:rsidR="00EE5DC7" w:rsidRPr="00207DC2" w:rsidRDefault="007B3B50" w:rsidP="00FB626D">
            <w:pPr>
              <w:spacing w:before="60" w:after="0"/>
              <w:rPr>
                <w:rFonts w:ascii="Arial" w:hAnsi="Arial" w:cs="Arial"/>
                <w:sz w:val="16"/>
                <w:szCs w:val="16"/>
                <w:lang w:val="en-AU"/>
              </w:rPr>
            </w:pPr>
            <w:r w:rsidRPr="00207DC2">
              <w:rPr>
                <w:rFonts w:ascii="Arial" w:hAnsi="Arial" w:cs="Arial"/>
                <w:sz w:val="16"/>
                <w:szCs w:val="16"/>
                <w:lang w:val="en-AU"/>
              </w:rPr>
              <w:t xml:space="preserve">Activity tested and required to attend </w:t>
            </w:r>
            <w:r w:rsidR="00EE5DC7" w:rsidRPr="00207DC2">
              <w:rPr>
                <w:rFonts w:ascii="Arial" w:hAnsi="Arial" w:cs="Arial"/>
                <w:sz w:val="16"/>
                <w:szCs w:val="16"/>
                <w:lang w:val="en-AU"/>
              </w:rPr>
              <w:t>W</w:t>
            </w:r>
            <w:r w:rsidR="00341766" w:rsidRPr="00207DC2">
              <w:rPr>
                <w:rFonts w:ascii="Arial" w:hAnsi="Arial" w:cs="Arial"/>
                <w:sz w:val="16"/>
                <w:szCs w:val="16"/>
                <w:lang w:val="en-AU"/>
              </w:rPr>
              <w:t xml:space="preserve">ork </w:t>
            </w:r>
            <w:r w:rsidR="00EE5DC7" w:rsidRPr="00207DC2">
              <w:rPr>
                <w:rFonts w:ascii="Arial" w:hAnsi="Arial" w:cs="Arial"/>
                <w:sz w:val="16"/>
                <w:szCs w:val="16"/>
                <w:lang w:val="en-AU"/>
              </w:rPr>
              <w:t>f</w:t>
            </w:r>
            <w:r w:rsidR="00341766" w:rsidRPr="00207DC2">
              <w:rPr>
                <w:rFonts w:ascii="Arial" w:hAnsi="Arial" w:cs="Arial"/>
                <w:sz w:val="16"/>
                <w:szCs w:val="16"/>
                <w:lang w:val="en-AU"/>
              </w:rPr>
              <w:t xml:space="preserve">or the </w:t>
            </w:r>
            <w:r w:rsidR="00EE5DC7" w:rsidRPr="00207DC2">
              <w:rPr>
                <w:rFonts w:ascii="Arial" w:hAnsi="Arial" w:cs="Arial"/>
                <w:sz w:val="16"/>
                <w:szCs w:val="16"/>
                <w:lang w:val="en-AU"/>
              </w:rPr>
              <w:t>D</w:t>
            </w:r>
            <w:r w:rsidR="00341766" w:rsidRPr="00207DC2">
              <w:rPr>
                <w:rFonts w:ascii="Arial" w:hAnsi="Arial" w:cs="Arial"/>
                <w:sz w:val="16"/>
                <w:szCs w:val="16"/>
                <w:lang w:val="en-AU"/>
              </w:rPr>
              <w:t>ole</w:t>
            </w:r>
          </w:p>
        </w:tc>
        <w:tc>
          <w:tcPr>
            <w:tcW w:w="1127" w:type="dxa"/>
            <w:tcBorders>
              <w:top w:val="nil"/>
            </w:tcBorders>
            <w:noWrap/>
            <w:vAlign w:val="center"/>
          </w:tcPr>
          <w:p w14:paraId="16231CF5" w14:textId="77777777" w:rsidR="00EE5DC7" w:rsidRPr="00207DC2" w:rsidRDefault="0011325A" w:rsidP="00FB626D">
            <w:pPr>
              <w:tabs>
                <w:tab w:val="decimal" w:pos="325"/>
              </w:tabs>
              <w:spacing w:before="60" w:after="0"/>
              <w:rPr>
                <w:rFonts w:ascii="Arial" w:hAnsi="Arial" w:cs="Arial"/>
                <w:sz w:val="16"/>
                <w:szCs w:val="16"/>
                <w:highlight w:val="yellow"/>
                <w:lang w:val="en-AU"/>
              </w:rPr>
            </w:pPr>
            <w:r w:rsidRPr="00207DC2">
              <w:rPr>
                <w:rFonts w:ascii="Arial" w:hAnsi="Arial" w:cs="Arial"/>
                <w:sz w:val="16"/>
                <w:szCs w:val="16"/>
                <w:lang w:val="en-AU"/>
              </w:rPr>
              <w:t>20</w:t>
            </w:r>
            <w:r w:rsidR="00EE5DC7" w:rsidRPr="00207DC2">
              <w:rPr>
                <w:rFonts w:ascii="Arial" w:hAnsi="Arial" w:cs="Arial"/>
                <w:sz w:val="16"/>
                <w:szCs w:val="16"/>
                <w:lang w:val="en-AU"/>
              </w:rPr>
              <w:t>***</w:t>
            </w:r>
          </w:p>
        </w:tc>
        <w:tc>
          <w:tcPr>
            <w:tcW w:w="1127" w:type="dxa"/>
            <w:tcBorders>
              <w:top w:val="nil"/>
            </w:tcBorders>
            <w:noWrap/>
            <w:vAlign w:val="center"/>
          </w:tcPr>
          <w:p w14:paraId="5C1AABE8" w14:textId="77777777" w:rsidR="00EE5DC7" w:rsidRPr="00207DC2" w:rsidRDefault="00EE5DC7" w:rsidP="00FB626D">
            <w:pPr>
              <w:tabs>
                <w:tab w:val="decimal" w:pos="326"/>
              </w:tabs>
              <w:spacing w:before="60" w:after="0"/>
              <w:rPr>
                <w:rFonts w:ascii="Arial" w:hAnsi="Arial" w:cs="Arial"/>
                <w:sz w:val="16"/>
                <w:szCs w:val="16"/>
                <w:highlight w:val="yellow"/>
                <w:lang w:val="en-AU"/>
              </w:rPr>
            </w:pPr>
            <w:r w:rsidRPr="00207DC2">
              <w:rPr>
                <w:rFonts w:ascii="Arial" w:hAnsi="Arial" w:cs="Arial"/>
                <w:sz w:val="16"/>
                <w:szCs w:val="16"/>
                <w:lang w:val="en-AU"/>
              </w:rPr>
              <w:t>-</w:t>
            </w:r>
            <w:r w:rsidR="0011325A" w:rsidRPr="00207DC2">
              <w:rPr>
                <w:rFonts w:ascii="Arial" w:hAnsi="Arial" w:cs="Arial"/>
                <w:sz w:val="16"/>
                <w:szCs w:val="16"/>
                <w:lang w:val="en-AU"/>
              </w:rPr>
              <w:t>18</w:t>
            </w:r>
            <w:r w:rsidRPr="00207DC2">
              <w:rPr>
                <w:rFonts w:ascii="Arial" w:hAnsi="Arial" w:cs="Arial"/>
                <w:sz w:val="16"/>
                <w:szCs w:val="16"/>
                <w:lang w:val="en-AU"/>
              </w:rPr>
              <w:t>***</w:t>
            </w:r>
          </w:p>
        </w:tc>
        <w:tc>
          <w:tcPr>
            <w:tcW w:w="1127" w:type="dxa"/>
            <w:tcBorders>
              <w:top w:val="nil"/>
            </w:tcBorders>
            <w:vAlign w:val="center"/>
          </w:tcPr>
          <w:p w14:paraId="0641D95F" w14:textId="77777777" w:rsidR="00EE5DC7" w:rsidRPr="00207DC2" w:rsidRDefault="00EE5DC7"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2.</w:t>
            </w:r>
            <w:r w:rsidR="005D174E" w:rsidRPr="00207DC2">
              <w:rPr>
                <w:rFonts w:ascii="Arial" w:hAnsi="Arial" w:cs="Arial"/>
                <w:sz w:val="16"/>
                <w:szCs w:val="16"/>
                <w:lang w:val="en-AU"/>
              </w:rPr>
              <w:t>5</w:t>
            </w:r>
            <w:r w:rsidRPr="00207DC2">
              <w:rPr>
                <w:rFonts w:ascii="Arial" w:hAnsi="Arial" w:cs="Arial"/>
                <w:sz w:val="16"/>
                <w:szCs w:val="16"/>
                <w:lang w:val="en-AU"/>
              </w:rPr>
              <w:t>***</w:t>
            </w:r>
          </w:p>
        </w:tc>
        <w:tc>
          <w:tcPr>
            <w:tcW w:w="1127" w:type="dxa"/>
            <w:tcBorders>
              <w:top w:val="nil"/>
            </w:tcBorders>
            <w:vAlign w:val="center"/>
          </w:tcPr>
          <w:p w14:paraId="273CCF2E" w14:textId="77777777" w:rsidR="00EE5DC7" w:rsidRPr="00207DC2" w:rsidRDefault="00EE5DC7"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0.4***</w:t>
            </w:r>
          </w:p>
        </w:tc>
        <w:tc>
          <w:tcPr>
            <w:tcW w:w="1221" w:type="dxa"/>
            <w:tcBorders>
              <w:top w:val="nil"/>
            </w:tcBorders>
            <w:vAlign w:val="center"/>
          </w:tcPr>
          <w:p w14:paraId="62E4DDFE" w14:textId="77777777" w:rsidR="00EE5DC7" w:rsidRPr="00207DC2" w:rsidRDefault="00EE5DC7"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w:t>
            </w:r>
            <w:r w:rsidR="005D174E" w:rsidRPr="00207DC2">
              <w:rPr>
                <w:rFonts w:ascii="Arial" w:hAnsi="Arial" w:cs="Arial"/>
                <w:sz w:val="16"/>
                <w:szCs w:val="16"/>
                <w:lang w:val="en-AU"/>
              </w:rPr>
              <w:t>478</w:t>
            </w:r>
            <w:r w:rsidRPr="00207DC2">
              <w:rPr>
                <w:rFonts w:ascii="Arial" w:hAnsi="Arial" w:cs="Arial"/>
                <w:sz w:val="16"/>
                <w:szCs w:val="16"/>
                <w:lang w:val="en-AU"/>
              </w:rPr>
              <w:t>***</w:t>
            </w:r>
          </w:p>
        </w:tc>
      </w:tr>
      <w:tr w:rsidR="00305052" w:rsidRPr="00207DC2" w14:paraId="34AD1044" w14:textId="77777777" w:rsidTr="00383F4E">
        <w:trPr>
          <w:trHeight w:val="285"/>
        </w:trPr>
        <w:tc>
          <w:tcPr>
            <w:tcW w:w="1951" w:type="dxa"/>
            <w:noWrap/>
            <w:vAlign w:val="center"/>
          </w:tcPr>
          <w:p w14:paraId="0D54581F" w14:textId="77777777" w:rsidR="00305052"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Days commenced</w:t>
            </w:r>
          </w:p>
        </w:tc>
        <w:tc>
          <w:tcPr>
            <w:tcW w:w="6804" w:type="dxa"/>
            <w:vAlign w:val="center"/>
          </w:tcPr>
          <w:p w14:paraId="77C5566E"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 xml:space="preserve">Total days </w:t>
            </w:r>
            <w:r w:rsidR="00A127FB" w:rsidRPr="00207DC2">
              <w:rPr>
                <w:rFonts w:ascii="Arial" w:hAnsi="Arial" w:cs="Arial"/>
                <w:sz w:val="16"/>
                <w:szCs w:val="16"/>
                <w:lang w:val="en-AU"/>
              </w:rPr>
              <w:t>that the</w:t>
            </w:r>
            <w:r w:rsidRPr="00207DC2">
              <w:rPr>
                <w:rFonts w:ascii="Arial" w:hAnsi="Arial" w:cs="Arial"/>
                <w:sz w:val="16"/>
                <w:szCs w:val="16"/>
                <w:lang w:val="en-AU"/>
              </w:rPr>
              <w:t xml:space="preserve"> </w:t>
            </w:r>
            <w:r w:rsidR="00A127FB" w:rsidRPr="00207DC2">
              <w:rPr>
                <w:rFonts w:ascii="Arial" w:hAnsi="Arial" w:cs="Arial"/>
                <w:sz w:val="16"/>
                <w:szCs w:val="16"/>
                <w:lang w:val="en-AU"/>
              </w:rPr>
              <w:t>participant was</w:t>
            </w:r>
            <w:r w:rsidRPr="00207DC2">
              <w:rPr>
                <w:rFonts w:ascii="Arial" w:hAnsi="Arial" w:cs="Arial"/>
                <w:sz w:val="16"/>
                <w:szCs w:val="16"/>
                <w:lang w:val="en-AU"/>
              </w:rPr>
              <w:t xml:space="preserve"> </w:t>
            </w:r>
            <w:r w:rsidR="00A127FB" w:rsidRPr="00207DC2">
              <w:rPr>
                <w:rFonts w:ascii="Arial" w:hAnsi="Arial" w:cs="Arial"/>
                <w:sz w:val="16"/>
                <w:szCs w:val="16"/>
                <w:lang w:val="en-AU"/>
              </w:rPr>
              <w:t>c</w:t>
            </w:r>
            <w:r w:rsidRPr="00207DC2">
              <w:rPr>
                <w:rFonts w:ascii="Arial" w:hAnsi="Arial" w:cs="Arial"/>
                <w:sz w:val="16"/>
                <w:szCs w:val="16"/>
                <w:lang w:val="en-AU"/>
              </w:rPr>
              <w:t>ommenced</w:t>
            </w:r>
          </w:p>
        </w:tc>
        <w:tc>
          <w:tcPr>
            <w:tcW w:w="1127" w:type="dxa"/>
            <w:noWrap/>
            <w:vAlign w:val="center"/>
          </w:tcPr>
          <w:p w14:paraId="6891B601" w14:textId="77777777" w:rsidR="00305052" w:rsidRPr="00207DC2" w:rsidRDefault="00305052"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0.1***</w:t>
            </w:r>
          </w:p>
        </w:tc>
        <w:tc>
          <w:tcPr>
            <w:tcW w:w="1127" w:type="dxa"/>
            <w:noWrap/>
            <w:vAlign w:val="center"/>
          </w:tcPr>
          <w:p w14:paraId="39002625"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-0.02***</w:t>
            </w:r>
          </w:p>
        </w:tc>
        <w:tc>
          <w:tcPr>
            <w:tcW w:w="1127" w:type="dxa"/>
            <w:vAlign w:val="center"/>
          </w:tcPr>
          <w:p w14:paraId="55C434DA"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1.01***</w:t>
            </w:r>
          </w:p>
        </w:tc>
        <w:tc>
          <w:tcPr>
            <w:tcW w:w="1127" w:type="dxa"/>
            <w:vAlign w:val="center"/>
          </w:tcPr>
          <w:p w14:paraId="632C801C" w14:textId="77777777" w:rsidR="00305052" w:rsidRPr="00207DC2" w:rsidRDefault="00305052"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1.004***</w:t>
            </w:r>
          </w:p>
        </w:tc>
        <w:tc>
          <w:tcPr>
            <w:tcW w:w="1221" w:type="dxa"/>
            <w:vAlign w:val="center"/>
          </w:tcPr>
          <w:p w14:paraId="3D3BA81C" w14:textId="77777777" w:rsidR="00305052" w:rsidRPr="00207DC2" w:rsidRDefault="00305052"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2***</w:t>
            </w:r>
          </w:p>
        </w:tc>
      </w:tr>
      <w:tr w:rsidR="00305052" w:rsidRPr="00207DC2" w14:paraId="76B41AB1" w14:textId="77777777" w:rsidTr="00383F4E">
        <w:trPr>
          <w:trHeight w:val="285"/>
        </w:trPr>
        <w:tc>
          <w:tcPr>
            <w:tcW w:w="1951" w:type="dxa"/>
            <w:noWrap/>
            <w:vAlign w:val="center"/>
          </w:tcPr>
          <w:p w14:paraId="6E55CF3A" w14:textId="77777777" w:rsidR="00305052" w:rsidRPr="00207DC2" w:rsidRDefault="00305052" w:rsidP="00FB626D">
            <w:pPr>
              <w:spacing w:before="60" w:after="0"/>
              <w:rPr>
                <w:rFonts w:ascii="Arial" w:hAnsi="Arial" w:cs="Arial"/>
                <w:b/>
                <w:sz w:val="16"/>
                <w:szCs w:val="16"/>
                <w:lang w:val="en-AU"/>
              </w:rPr>
            </w:pPr>
            <w:r w:rsidRPr="00207DC2">
              <w:rPr>
                <w:rFonts w:ascii="Arial" w:hAnsi="Arial" w:cs="Arial"/>
                <w:b/>
                <w:sz w:val="16"/>
                <w:szCs w:val="16"/>
                <w:lang w:val="en-AU"/>
              </w:rPr>
              <w:t>Remoteness index</w:t>
            </w:r>
          </w:p>
        </w:tc>
        <w:tc>
          <w:tcPr>
            <w:tcW w:w="6804" w:type="dxa"/>
            <w:vAlign w:val="center"/>
          </w:tcPr>
          <w:p w14:paraId="6CFBCBB2" w14:textId="77777777" w:rsidR="00305052" w:rsidRPr="00207DC2" w:rsidRDefault="00305052" w:rsidP="00FB626D">
            <w:pPr>
              <w:spacing w:before="60" w:after="0"/>
              <w:rPr>
                <w:rFonts w:ascii="Arial" w:hAnsi="Arial" w:cs="Arial"/>
                <w:sz w:val="16"/>
                <w:szCs w:val="16"/>
                <w:lang w:val="en-AU"/>
              </w:rPr>
            </w:pPr>
            <w:r w:rsidRPr="00207DC2">
              <w:rPr>
                <w:rFonts w:ascii="Arial" w:hAnsi="Arial" w:cs="Arial"/>
                <w:sz w:val="16"/>
                <w:szCs w:val="16"/>
                <w:lang w:val="en-AU"/>
              </w:rPr>
              <w:t>Remoteness index</w:t>
            </w:r>
          </w:p>
        </w:tc>
        <w:tc>
          <w:tcPr>
            <w:tcW w:w="1127" w:type="dxa"/>
            <w:noWrap/>
            <w:vAlign w:val="center"/>
          </w:tcPr>
          <w:p w14:paraId="12C24D99" w14:textId="77777777" w:rsidR="00305052" w:rsidRPr="00207DC2" w:rsidRDefault="00305052" w:rsidP="00FB626D">
            <w:pPr>
              <w:tabs>
                <w:tab w:val="decimal" w:pos="325"/>
              </w:tabs>
              <w:spacing w:before="60" w:after="0"/>
              <w:rPr>
                <w:rFonts w:ascii="Arial" w:hAnsi="Arial" w:cs="Arial"/>
                <w:sz w:val="16"/>
                <w:szCs w:val="16"/>
                <w:lang w:val="en-AU"/>
              </w:rPr>
            </w:pPr>
            <w:r w:rsidRPr="00207DC2">
              <w:rPr>
                <w:rFonts w:ascii="Arial" w:hAnsi="Arial" w:cs="Arial"/>
                <w:sz w:val="16"/>
                <w:szCs w:val="16"/>
                <w:lang w:val="en-AU"/>
              </w:rPr>
              <w:t>-0.3**</w:t>
            </w:r>
          </w:p>
        </w:tc>
        <w:tc>
          <w:tcPr>
            <w:tcW w:w="1127" w:type="dxa"/>
            <w:noWrap/>
            <w:vAlign w:val="center"/>
          </w:tcPr>
          <w:p w14:paraId="4327A9A5"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-0.2*</w:t>
            </w:r>
          </w:p>
        </w:tc>
        <w:tc>
          <w:tcPr>
            <w:tcW w:w="1127" w:type="dxa"/>
            <w:vAlign w:val="center"/>
          </w:tcPr>
          <w:p w14:paraId="63A3E838" w14:textId="77777777" w:rsidR="00305052" w:rsidRPr="00207DC2" w:rsidRDefault="00305052" w:rsidP="00FB626D">
            <w:pPr>
              <w:tabs>
                <w:tab w:val="decimal" w:pos="326"/>
              </w:tabs>
              <w:spacing w:before="60" w:after="0"/>
              <w:rPr>
                <w:rFonts w:ascii="Arial" w:hAnsi="Arial" w:cs="Arial"/>
                <w:sz w:val="16"/>
                <w:szCs w:val="16"/>
                <w:lang w:val="en-AU"/>
              </w:rPr>
            </w:pPr>
            <w:r w:rsidRPr="00207DC2">
              <w:rPr>
                <w:rFonts w:ascii="Arial" w:hAnsi="Arial" w:cs="Arial"/>
                <w:sz w:val="16"/>
                <w:szCs w:val="16"/>
                <w:lang w:val="en-AU"/>
              </w:rPr>
              <w:t>1.01</w:t>
            </w:r>
          </w:p>
        </w:tc>
        <w:tc>
          <w:tcPr>
            <w:tcW w:w="1127" w:type="dxa"/>
            <w:vAlign w:val="center"/>
          </w:tcPr>
          <w:p w14:paraId="22109EE9" w14:textId="77777777" w:rsidR="00305052" w:rsidRPr="00207DC2" w:rsidRDefault="00305052" w:rsidP="00FB626D">
            <w:pPr>
              <w:tabs>
                <w:tab w:val="decimal" w:pos="341"/>
              </w:tabs>
              <w:spacing w:before="60" w:after="0"/>
              <w:rPr>
                <w:rFonts w:ascii="Arial" w:hAnsi="Arial" w:cs="Arial"/>
                <w:sz w:val="16"/>
                <w:szCs w:val="16"/>
                <w:lang w:val="en-AU"/>
              </w:rPr>
            </w:pPr>
            <w:r w:rsidRPr="00207DC2">
              <w:rPr>
                <w:rFonts w:ascii="Arial" w:hAnsi="Arial" w:cs="Arial"/>
                <w:sz w:val="16"/>
                <w:szCs w:val="16"/>
                <w:lang w:val="en-AU"/>
              </w:rPr>
              <w:t>1.01</w:t>
            </w:r>
          </w:p>
        </w:tc>
        <w:tc>
          <w:tcPr>
            <w:tcW w:w="1221" w:type="dxa"/>
            <w:vAlign w:val="center"/>
          </w:tcPr>
          <w:p w14:paraId="72AD2011" w14:textId="77777777" w:rsidR="00305052" w:rsidRPr="00207DC2" w:rsidRDefault="005D174E" w:rsidP="00FB626D">
            <w:pPr>
              <w:tabs>
                <w:tab w:val="decimal" w:pos="464"/>
              </w:tabs>
              <w:spacing w:before="60" w:after="0"/>
              <w:rPr>
                <w:rFonts w:ascii="Arial" w:hAnsi="Arial" w:cs="Arial"/>
                <w:sz w:val="16"/>
                <w:szCs w:val="16"/>
                <w:lang w:val="en-AU"/>
              </w:rPr>
            </w:pPr>
            <w:r w:rsidRPr="00207DC2">
              <w:rPr>
                <w:rFonts w:ascii="Arial" w:hAnsi="Arial" w:cs="Arial"/>
                <w:sz w:val="16"/>
                <w:szCs w:val="16"/>
                <w:lang w:val="en-AU"/>
              </w:rPr>
              <w:t>5</w:t>
            </w:r>
          </w:p>
        </w:tc>
      </w:tr>
      <w:tr w:rsidR="004D1C58" w:rsidRPr="00207DC2" w14:paraId="5E1F04B8" w14:textId="77777777" w:rsidTr="00383F4E">
        <w:trPr>
          <w:trHeight w:val="285"/>
        </w:trPr>
        <w:tc>
          <w:tcPr>
            <w:tcW w:w="8755" w:type="dxa"/>
            <w:gridSpan w:val="2"/>
            <w:tcBorders>
              <w:bottom w:val="single" w:sz="4" w:space="0" w:color="1C1C1C" w:themeColor="background1" w:themeShade="BF"/>
            </w:tcBorders>
            <w:noWrap/>
            <w:vAlign w:val="center"/>
          </w:tcPr>
          <w:p w14:paraId="7670F581" w14:textId="668C7757" w:rsidR="004D1C58" w:rsidRPr="00207DC2" w:rsidRDefault="004D1C58" w:rsidP="00FB626D">
            <w:pPr>
              <w:spacing w:before="60" w:after="0"/>
              <w:rPr>
                <w:rFonts w:ascii="Arial" w:hAnsi="Arial" w:cs="Arial"/>
                <w:sz w:val="16"/>
                <w:szCs w:val="16"/>
                <w:lang w:val="en-AU"/>
              </w:rPr>
            </w:pPr>
            <w:r w:rsidRPr="00207DC2">
              <w:rPr>
                <w:rFonts w:ascii="Arial" w:hAnsi="Arial" w:cs="Arial"/>
                <w:b/>
                <w:sz w:val="16"/>
                <w:szCs w:val="16"/>
                <w:lang w:val="en-AU"/>
              </w:rPr>
              <w:t>N</w:t>
            </w:r>
            <w:r w:rsidR="00610095" w:rsidRPr="00207DC2">
              <w:rPr>
                <w:rFonts w:ascii="Arial" w:hAnsi="Arial" w:cs="Arial"/>
                <w:b/>
                <w:sz w:val="16"/>
                <w:szCs w:val="16"/>
                <w:lang w:val="en-AU"/>
              </w:rPr>
              <w:t>umber of participants</w:t>
            </w:r>
          </w:p>
        </w:tc>
        <w:tc>
          <w:tcPr>
            <w:tcW w:w="1127" w:type="dxa"/>
            <w:tcBorders>
              <w:bottom w:val="single" w:sz="4" w:space="0" w:color="1C1C1C" w:themeColor="background1" w:themeShade="BF"/>
            </w:tcBorders>
            <w:noWrap/>
            <w:vAlign w:val="center"/>
          </w:tcPr>
          <w:p w14:paraId="668743C8" w14:textId="77777777" w:rsidR="004D1C58"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23,</w:t>
            </w:r>
            <w:r w:rsidR="006F79B2" w:rsidRPr="00207DC2">
              <w:rPr>
                <w:rFonts w:ascii="Arial" w:hAnsi="Arial" w:cs="Arial"/>
                <w:b/>
                <w:sz w:val="16"/>
                <w:szCs w:val="16"/>
                <w:lang w:val="en-AU"/>
              </w:rPr>
              <w:t>755</w:t>
            </w:r>
          </w:p>
        </w:tc>
        <w:tc>
          <w:tcPr>
            <w:tcW w:w="1127" w:type="dxa"/>
            <w:tcBorders>
              <w:bottom w:val="single" w:sz="4" w:space="0" w:color="1C1C1C" w:themeColor="background1" w:themeShade="BF"/>
            </w:tcBorders>
            <w:noWrap/>
            <w:vAlign w:val="center"/>
          </w:tcPr>
          <w:p w14:paraId="6E403B7A" w14:textId="77777777" w:rsidR="004D1C58"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23,</w:t>
            </w:r>
            <w:r w:rsidR="006F79B2" w:rsidRPr="00207DC2">
              <w:rPr>
                <w:rFonts w:ascii="Arial" w:hAnsi="Arial" w:cs="Arial"/>
                <w:b/>
                <w:sz w:val="16"/>
                <w:szCs w:val="16"/>
                <w:lang w:val="en-AU"/>
              </w:rPr>
              <w:t>755</w:t>
            </w:r>
          </w:p>
        </w:tc>
        <w:tc>
          <w:tcPr>
            <w:tcW w:w="1127" w:type="dxa"/>
            <w:tcBorders>
              <w:bottom w:val="single" w:sz="4" w:space="0" w:color="1C1C1C" w:themeColor="background1" w:themeShade="BF"/>
            </w:tcBorders>
            <w:vAlign w:val="center"/>
          </w:tcPr>
          <w:p w14:paraId="31369FC6" w14:textId="77777777" w:rsidR="004D1C58"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28,</w:t>
            </w:r>
            <w:r w:rsidR="006F79B2" w:rsidRPr="00207DC2">
              <w:rPr>
                <w:rFonts w:ascii="Arial" w:hAnsi="Arial" w:cs="Arial"/>
                <w:b/>
                <w:sz w:val="16"/>
                <w:szCs w:val="16"/>
                <w:lang w:val="en-AU"/>
              </w:rPr>
              <w:t>596</w:t>
            </w:r>
          </w:p>
        </w:tc>
        <w:tc>
          <w:tcPr>
            <w:tcW w:w="1127" w:type="dxa"/>
            <w:tcBorders>
              <w:bottom w:val="single" w:sz="4" w:space="0" w:color="1C1C1C" w:themeColor="background1" w:themeShade="BF"/>
            </w:tcBorders>
            <w:vAlign w:val="center"/>
          </w:tcPr>
          <w:p w14:paraId="179C2A80" w14:textId="77777777" w:rsidR="004D1C58"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16,</w:t>
            </w:r>
            <w:r w:rsidR="006F79B2" w:rsidRPr="00207DC2">
              <w:rPr>
                <w:rFonts w:ascii="Arial" w:hAnsi="Arial" w:cs="Arial"/>
                <w:b/>
                <w:sz w:val="16"/>
                <w:szCs w:val="16"/>
                <w:lang w:val="en-AU"/>
              </w:rPr>
              <w:t>820</w:t>
            </w:r>
          </w:p>
        </w:tc>
        <w:tc>
          <w:tcPr>
            <w:tcW w:w="1221" w:type="dxa"/>
            <w:tcBorders>
              <w:bottom w:val="single" w:sz="4" w:space="0" w:color="1C1C1C" w:themeColor="background1" w:themeShade="BF"/>
            </w:tcBorders>
            <w:vAlign w:val="center"/>
          </w:tcPr>
          <w:p w14:paraId="5D17337C" w14:textId="77777777" w:rsidR="004D1C58" w:rsidRPr="00207DC2" w:rsidRDefault="004D1C58" w:rsidP="00FB626D">
            <w:pPr>
              <w:spacing w:before="60" w:after="0"/>
              <w:rPr>
                <w:rFonts w:ascii="Arial" w:hAnsi="Arial" w:cs="Arial"/>
                <w:b/>
                <w:sz w:val="16"/>
                <w:szCs w:val="16"/>
                <w:lang w:val="en-AU"/>
              </w:rPr>
            </w:pPr>
            <w:r w:rsidRPr="00207DC2">
              <w:rPr>
                <w:rFonts w:ascii="Arial" w:hAnsi="Arial" w:cs="Arial"/>
                <w:b/>
                <w:sz w:val="16"/>
                <w:szCs w:val="16"/>
                <w:lang w:val="en-AU"/>
              </w:rPr>
              <w:t>16,</w:t>
            </w:r>
            <w:r w:rsidR="006F79B2" w:rsidRPr="00207DC2">
              <w:rPr>
                <w:rFonts w:ascii="Arial" w:hAnsi="Arial" w:cs="Arial"/>
                <w:b/>
                <w:sz w:val="16"/>
                <w:szCs w:val="16"/>
                <w:lang w:val="en-AU"/>
              </w:rPr>
              <w:t>820</w:t>
            </w:r>
          </w:p>
        </w:tc>
      </w:tr>
    </w:tbl>
    <w:p w14:paraId="6704FD87" w14:textId="77777777" w:rsidR="0025705E" w:rsidRPr="00207DC2" w:rsidRDefault="0025705E" w:rsidP="00FB626D">
      <w:pPr>
        <w:pStyle w:val="tablenotes"/>
      </w:pPr>
      <w:r w:rsidRPr="00207DC2">
        <w:rPr>
          <w:i/>
        </w:rPr>
        <w:t>Notes:</w:t>
      </w:r>
      <w:r w:rsidRPr="00207DC2">
        <w:t xml:space="preserve"> </w:t>
      </w:r>
      <w:r w:rsidR="008C49D7" w:rsidRPr="00207DC2">
        <w:t>(a) OR – odds ratio. OR values are the probability of a penalty given the effect value, as a multiple of the probability given the reference value. (b)</w:t>
      </w:r>
      <w:r w:rsidR="00FC4369" w:rsidRPr="00207DC2">
        <w:t xml:space="preserve"> There are three categories of transport availability recorded: Owns transport; Public or other private transport; and No transport.</w:t>
      </w:r>
      <w:r w:rsidR="00D64FE6" w:rsidRPr="00207DC2">
        <w:t xml:space="preserve"> </w:t>
      </w:r>
      <w:r w:rsidR="00B30AAA" w:rsidRPr="00207DC2">
        <w:t xml:space="preserve">Estimates marked as *** are statistically significant at the </w:t>
      </w:r>
      <w:r w:rsidR="00F205E7" w:rsidRPr="00207DC2">
        <w:t>one</w:t>
      </w:r>
      <w:r w:rsidR="00B30AAA" w:rsidRPr="00207DC2">
        <w:t xml:space="preserve"> per cent level, **are statistically significant at the </w:t>
      </w:r>
      <w:r w:rsidR="00F205E7" w:rsidRPr="00207DC2">
        <w:t>five</w:t>
      </w:r>
      <w:r w:rsidR="00B30AAA" w:rsidRPr="00207DC2">
        <w:t xml:space="preserve"> per cent level, and * are statistically significant at the </w:t>
      </w:r>
      <w:r w:rsidR="00F205E7" w:rsidRPr="00207DC2">
        <w:t>ten</w:t>
      </w:r>
      <w:r w:rsidR="00B30AAA" w:rsidRPr="00207DC2">
        <w:t> per cent level.</w:t>
      </w:r>
      <w:r w:rsidR="00DE7DCC" w:rsidRPr="00207DC2">
        <w:t xml:space="preserve"> Results for CDP regions excluded from table to conserve space. There were statistically significant variations between regions in all models except the model for whether </w:t>
      </w:r>
      <w:r w:rsidR="001A58AB" w:rsidRPr="00207DC2">
        <w:t>a person</w:t>
      </w:r>
      <w:r w:rsidR="00DE7DCC" w:rsidRPr="00207DC2">
        <w:t xml:space="preserve"> ever received a zero-rate penalty.</w:t>
      </w:r>
      <w:r w:rsidR="00410631" w:rsidRPr="00207DC2">
        <w:t xml:space="preserve"> Statistical significance is for difference from one in the first three models, and difference from zero in the fourth model.</w:t>
      </w:r>
    </w:p>
    <w:p w14:paraId="457F1975" w14:textId="77777777" w:rsidR="0025705E" w:rsidRPr="00207DC2" w:rsidRDefault="0025705E" w:rsidP="00FB626D">
      <w:pPr>
        <w:rPr>
          <w:lang w:val="en-AU"/>
        </w:rPr>
      </w:pPr>
    </w:p>
    <w:p w14:paraId="3800692F" w14:textId="77777777" w:rsidR="0025705E" w:rsidRPr="00207DC2" w:rsidRDefault="0025705E" w:rsidP="00523C33">
      <w:pPr>
        <w:pStyle w:val="Heading1"/>
        <w:rPr>
          <w:lang w:val="en-AU"/>
        </w:rPr>
        <w:sectPr w:rsidR="0025705E" w:rsidRPr="00207DC2" w:rsidSect="00581320">
          <w:type w:val="continuous"/>
          <w:pgSz w:w="16839" w:h="11907" w:orient="landscape" w:code="9"/>
          <w:pgMar w:top="1514" w:right="1559" w:bottom="1514" w:left="1559" w:header="624" w:footer="284" w:gutter="0"/>
          <w:cols w:space="720"/>
          <w:docGrid w:linePitch="360"/>
        </w:sectPr>
      </w:pPr>
    </w:p>
    <w:p w14:paraId="02CFF516" w14:textId="77777777" w:rsidR="00404559" w:rsidRPr="00207DC2" w:rsidRDefault="00BD26BB" w:rsidP="00221CB8">
      <w:pPr>
        <w:pStyle w:val="Heading1nonumber"/>
        <w:outlineLvl w:val="1"/>
        <w:rPr>
          <w:lang w:val="en-AU"/>
        </w:rPr>
      </w:pPr>
      <w:bookmarkStart w:id="770" w:name="_Toc511661262"/>
      <w:bookmarkStart w:id="771" w:name="_Toc509234903"/>
      <w:bookmarkStart w:id="772" w:name="_Toc509587056"/>
      <w:bookmarkStart w:id="773" w:name="_Toc509588082"/>
      <w:bookmarkStart w:id="774" w:name="_Toc509588345"/>
      <w:bookmarkStart w:id="775" w:name="_Toc509589493"/>
      <w:bookmarkStart w:id="776" w:name="_Toc509926911"/>
      <w:bookmarkStart w:id="777" w:name="_Toc511826319"/>
      <w:bookmarkStart w:id="778" w:name="_Toc511940635"/>
      <w:bookmarkStart w:id="779" w:name="_Toc515185487"/>
      <w:bookmarkStart w:id="780" w:name="_Toc516219860"/>
      <w:bookmarkStart w:id="781" w:name="_Toc516220501"/>
      <w:bookmarkStart w:id="782" w:name="_Toc516223321"/>
      <w:bookmarkStart w:id="783" w:name="_Toc516225229"/>
      <w:bookmarkStart w:id="784" w:name="_Toc516229005"/>
      <w:bookmarkStart w:id="785" w:name="_Toc518468065"/>
      <w:bookmarkStart w:id="786" w:name="_Toc518487846"/>
      <w:bookmarkStart w:id="787" w:name="_Toc518558811"/>
      <w:bookmarkStart w:id="788" w:name="_Toc518565334"/>
      <w:bookmarkStart w:id="789" w:name="_Toc518565578"/>
      <w:bookmarkStart w:id="790" w:name="_Toc519504749"/>
      <w:bookmarkStart w:id="791" w:name="_Toc519505973"/>
      <w:bookmarkStart w:id="792" w:name="_Toc519844079"/>
      <w:bookmarkStart w:id="793" w:name="_Toc521068581"/>
      <w:bookmarkStart w:id="794" w:name="_Toc521391095"/>
      <w:bookmarkStart w:id="795" w:name="_Toc522013264"/>
      <w:bookmarkStart w:id="796" w:name="_Toc534965180"/>
      <w:bookmarkStart w:id="797" w:name="_Toc535935077"/>
      <w:bookmarkStart w:id="798" w:name="_Toc509412988"/>
      <w:r w:rsidRPr="00207DC2">
        <w:rPr>
          <w:lang w:val="en-AU"/>
        </w:rPr>
        <w:t>Appendix C</w:t>
      </w:r>
      <w:r w:rsidR="00375E8A" w:rsidRPr="00207DC2">
        <w:rPr>
          <w:lang w:val="en-AU"/>
        </w:rPr>
        <w:t>:</w:t>
      </w:r>
      <w:r w:rsidRPr="00207DC2">
        <w:rPr>
          <w:lang w:val="en-AU"/>
        </w:rPr>
        <w:t xml:space="preserve"> </w:t>
      </w:r>
      <w:r w:rsidR="00DF3872" w:rsidRPr="00207DC2">
        <w:rPr>
          <w:lang w:val="en-AU"/>
        </w:rPr>
        <w:t xml:space="preserve">Analysis of </w:t>
      </w:r>
      <w:r w:rsidR="00404559" w:rsidRPr="00207DC2">
        <w:rPr>
          <w:lang w:val="en-AU"/>
        </w:rPr>
        <w:t xml:space="preserve">employment </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DF3872" w:rsidRPr="00207DC2">
        <w:rPr>
          <w:lang w:val="en-AU"/>
        </w:rPr>
        <w:t>outcomes</w:t>
      </w:r>
      <w:bookmarkEnd w:id="785"/>
      <w:bookmarkEnd w:id="786"/>
      <w:bookmarkEnd w:id="787"/>
      <w:bookmarkEnd w:id="788"/>
      <w:bookmarkEnd w:id="789"/>
      <w:bookmarkEnd w:id="790"/>
      <w:bookmarkEnd w:id="791"/>
      <w:bookmarkEnd w:id="792"/>
      <w:bookmarkEnd w:id="793"/>
      <w:bookmarkEnd w:id="794"/>
      <w:bookmarkEnd w:id="795"/>
      <w:bookmarkEnd w:id="796"/>
      <w:bookmarkEnd w:id="797"/>
    </w:p>
    <w:p w14:paraId="7EFA0BA1" w14:textId="55C44905" w:rsidR="00404559" w:rsidRPr="00207DC2" w:rsidRDefault="00404559" w:rsidP="00404559">
      <w:pPr>
        <w:jc w:val="both"/>
        <w:rPr>
          <w:lang w:val="en-AU"/>
        </w:rPr>
      </w:pPr>
      <w:r w:rsidRPr="00207DC2">
        <w:rPr>
          <w:lang w:val="en-AU"/>
        </w:rPr>
        <w:t>Identifying the effect of</w:t>
      </w:r>
      <w:r w:rsidR="00610752" w:rsidRPr="00207DC2">
        <w:rPr>
          <w:lang w:val="en-AU"/>
        </w:rPr>
        <w:t xml:space="preserve"> the</w:t>
      </w:r>
      <w:r w:rsidRPr="00207DC2">
        <w:rPr>
          <w:lang w:val="en-AU"/>
        </w:rPr>
        <w:t xml:space="preserve"> CDP </w:t>
      </w:r>
      <w:r w:rsidR="00473E52" w:rsidRPr="00207DC2">
        <w:rPr>
          <w:lang w:val="en-AU"/>
        </w:rPr>
        <w:t xml:space="preserve">(Community Development Programme) </w:t>
      </w:r>
      <w:r w:rsidRPr="00207DC2">
        <w:rPr>
          <w:lang w:val="en-AU"/>
        </w:rPr>
        <w:t>on employmen</w:t>
      </w:r>
      <w:r w:rsidR="00312EC2" w:rsidRPr="00207DC2">
        <w:rPr>
          <w:lang w:val="en-AU"/>
        </w:rPr>
        <w:t>t outcomes for remote program participants</w:t>
      </w:r>
      <w:r w:rsidRPr="00207DC2">
        <w:rPr>
          <w:lang w:val="en-AU"/>
        </w:rPr>
        <w:t xml:space="preserve"> is confounded by a number of unknown and unknowable factors. However, changes in labour market conditions </w:t>
      </w:r>
      <w:r w:rsidR="00856939">
        <w:rPr>
          <w:lang w:val="en-AU"/>
        </w:rPr>
        <w:t xml:space="preserve">are a measurable </w:t>
      </w:r>
      <w:r w:rsidRPr="00207DC2">
        <w:rPr>
          <w:lang w:val="en-AU"/>
        </w:rPr>
        <w:t xml:space="preserve">and critical </w:t>
      </w:r>
      <w:r w:rsidR="00856939">
        <w:rPr>
          <w:lang w:val="en-AU"/>
        </w:rPr>
        <w:t>factor</w:t>
      </w:r>
      <w:r w:rsidRPr="00207DC2">
        <w:rPr>
          <w:lang w:val="en-AU"/>
        </w:rPr>
        <w:t xml:space="preserve">. </w:t>
      </w:r>
    </w:p>
    <w:p w14:paraId="599D19FF" w14:textId="1CCFDE99" w:rsidR="00404559" w:rsidRPr="00207DC2" w:rsidRDefault="00404559" w:rsidP="00404559">
      <w:pPr>
        <w:jc w:val="both"/>
        <w:rPr>
          <w:lang w:val="en-AU"/>
        </w:rPr>
      </w:pPr>
      <w:r w:rsidRPr="00207DC2">
        <w:rPr>
          <w:lang w:val="en-AU"/>
        </w:rPr>
        <w:t xml:space="preserve">Labour market conditions change over time, and any observed differences in outcomes </w:t>
      </w:r>
      <w:r w:rsidR="00EB07EF">
        <w:rPr>
          <w:lang w:val="en-AU"/>
        </w:rPr>
        <w:t>may</w:t>
      </w:r>
      <w:r w:rsidR="00EB07EF" w:rsidRPr="00207DC2">
        <w:rPr>
          <w:lang w:val="en-AU"/>
        </w:rPr>
        <w:t xml:space="preserve"> </w:t>
      </w:r>
      <w:r w:rsidRPr="00207DC2">
        <w:rPr>
          <w:lang w:val="en-AU"/>
        </w:rPr>
        <w:t xml:space="preserve">not be due to the policy differences between the </w:t>
      </w:r>
      <w:r w:rsidR="00473E52" w:rsidRPr="00207DC2">
        <w:rPr>
          <w:lang w:val="en-AU"/>
        </w:rPr>
        <w:t>Remote Jobs and Communities Program</w:t>
      </w:r>
      <w:r w:rsidR="007779BC" w:rsidRPr="00207DC2">
        <w:rPr>
          <w:lang w:val="en-AU"/>
        </w:rPr>
        <w:t xml:space="preserve"> (RJCP)</w:t>
      </w:r>
      <w:r w:rsidR="00473E52" w:rsidRPr="00207DC2">
        <w:rPr>
          <w:lang w:val="en-AU"/>
        </w:rPr>
        <w:t xml:space="preserve"> </w:t>
      </w:r>
      <w:r w:rsidRPr="00207DC2">
        <w:rPr>
          <w:lang w:val="en-AU"/>
        </w:rPr>
        <w:t>and the CDP, but to different labour market conditions. The unemployment rate was slightly higher on average</w:t>
      </w:r>
      <w:r w:rsidR="00FC1CF3" w:rsidRPr="00207DC2">
        <w:rPr>
          <w:lang w:val="en-AU"/>
        </w:rPr>
        <w:t xml:space="preserve"> (by around 0.2 percentage points based on </w:t>
      </w:r>
      <w:r w:rsidR="005E2159" w:rsidRPr="00207DC2">
        <w:rPr>
          <w:lang w:val="en-AU"/>
        </w:rPr>
        <w:t xml:space="preserve">Small Area Labour Market </w:t>
      </w:r>
      <w:r w:rsidR="00CC48F7" w:rsidRPr="00207DC2">
        <w:rPr>
          <w:lang w:val="en-AU"/>
        </w:rPr>
        <w:t>(</w:t>
      </w:r>
      <w:r w:rsidR="005E2159" w:rsidRPr="00207DC2">
        <w:rPr>
          <w:lang w:val="en-AU"/>
        </w:rPr>
        <w:t>SALM</w:t>
      </w:r>
      <w:r w:rsidR="00CC48F7" w:rsidRPr="00207DC2">
        <w:rPr>
          <w:lang w:val="en-AU"/>
        </w:rPr>
        <w:t xml:space="preserve">) </w:t>
      </w:r>
      <w:r w:rsidR="00FC1CF3" w:rsidRPr="00207DC2">
        <w:rPr>
          <w:lang w:val="en-AU"/>
        </w:rPr>
        <w:t>data)</w:t>
      </w:r>
      <w:r w:rsidRPr="00207DC2">
        <w:rPr>
          <w:lang w:val="en-AU"/>
        </w:rPr>
        <w:t xml:space="preserve">, and job vacancies slightly lower, in the CDP region, during the CDP compared to </w:t>
      </w:r>
      <w:r w:rsidR="0028792D" w:rsidRPr="00207DC2">
        <w:rPr>
          <w:lang w:val="en-AU"/>
        </w:rPr>
        <w:t xml:space="preserve">the </w:t>
      </w:r>
      <w:r w:rsidRPr="00207DC2">
        <w:rPr>
          <w:lang w:val="en-AU"/>
        </w:rPr>
        <w:t>RJCP period</w:t>
      </w:r>
      <w:r w:rsidR="00316127" w:rsidRPr="00207DC2">
        <w:rPr>
          <w:lang w:val="en-AU"/>
        </w:rPr>
        <w:t xml:space="preserve"> (PMC analysis of SALM data from DJSB)</w:t>
      </w:r>
      <w:r w:rsidRPr="00207DC2">
        <w:rPr>
          <w:lang w:val="en-AU"/>
        </w:rPr>
        <w:t xml:space="preserve">. </w:t>
      </w:r>
      <w:r w:rsidR="007779BC" w:rsidRPr="00207DC2">
        <w:rPr>
          <w:lang w:val="en-AU"/>
        </w:rPr>
        <w:t>T</w:t>
      </w:r>
      <w:r w:rsidRPr="00207DC2">
        <w:rPr>
          <w:lang w:val="en-AU"/>
        </w:rPr>
        <w:t xml:space="preserve">he change in the labour market conditions between the RJCP and </w:t>
      </w:r>
      <w:r w:rsidR="0028792D" w:rsidRPr="00207DC2">
        <w:rPr>
          <w:lang w:val="en-AU"/>
        </w:rPr>
        <w:t xml:space="preserve">the </w:t>
      </w:r>
      <w:r w:rsidRPr="00207DC2">
        <w:rPr>
          <w:lang w:val="en-AU"/>
        </w:rPr>
        <w:t>CDP periods is not uniform across the whole region</w:t>
      </w:r>
      <w:r w:rsidR="00ED628C" w:rsidRPr="00207DC2">
        <w:rPr>
          <w:lang w:val="en-AU"/>
        </w:rPr>
        <w:t xml:space="preserve">. Based on the SALM, </w:t>
      </w:r>
      <w:r w:rsidR="007779BC" w:rsidRPr="00207DC2">
        <w:rPr>
          <w:lang w:val="en-AU"/>
        </w:rPr>
        <w:t>between 2014 and 2016,</w:t>
      </w:r>
      <w:r w:rsidRPr="00207DC2">
        <w:rPr>
          <w:lang w:val="en-AU"/>
        </w:rPr>
        <w:t xml:space="preserve"> </w:t>
      </w:r>
      <w:r w:rsidR="007779BC" w:rsidRPr="00207DC2">
        <w:rPr>
          <w:lang w:val="en-AU"/>
        </w:rPr>
        <w:t xml:space="preserve">the change in </w:t>
      </w:r>
      <w:r w:rsidR="003B7CF5" w:rsidRPr="00207DC2">
        <w:rPr>
          <w:lang w:val="en-AU"/>
        </w:rPr>
        <w:t>unemployment</w:t>
      </w:r>
      <w:r w:rsidR="007779BC" w:rsidRPr="00207DC2">
        <w:rPr>
          <w:lang w:val="en-AU"/>
        </w:rPr>
        <w:t xml:space="preserve"> rates </w:t>
      </w:r>
      <w:r w:rsidR="005E2159" w:rsidRPr="00207DC2">
        <w:rPr>
          <w:lang w:val="en-AU"/>
        </w:rPr>
        <w:t xml:space="preserve">varies by sub-region, with some showing </w:t>
      </w:r>
      <w:r w:rsidR="007779BC" w:rsidRPr="00207DC2">
        <w:rPr>
          <w:lang w:val="en-AU"/>
        </w:rPr>
        <w:t xml:space="preserve">an </w:t>
      </w:r>
      <w:r w:rsidR="005E2159" w:rsidRPr="00207DC2">
        <w:rPr>
          <w:lang w:val="en-AU"/>
        </w:rPr>
        <w:t>improvement</w:t>
      </w:r>
      <w:r w:rsidR="007779BC" w:rsidRPr="00207DC2">
        <w:rPr>
          <w:lang w:val="en-AU"/>
        </w:rPr>
        <w:t>,</w:t>
      </w:r>
      <w:r w:rsidR="005E2159" w:rsidRPr="00207DC2">
        <w:rPr>
          <w:lang w:val="en-AU"/>
        </w:rPr>
        <w:t xml:space="preserve"> while others showed </w:t>
      </w:r>
      <w:r w:rsidR="007779BC" w:rsidRPr="00207DC2">
        <w:rPr>
          <w:lang w:val="en-AU"/>
        </w:rPr>
        <w:t xml:space="preserve">a </w:t>
      </w:r>
      <w:r w:rsidR="005E2159" w:rsidRPr="00207DC2">
        <w:rPr>
          <w:lang w:val="en-AU"/>
        </w:rPr>
        <w:t>decline</w:t>
      </w:r>
      <w:r w:rsidRPr="00207DC2">
        <w:rPr>
          <w:lang w:val="en-AU"/>
        </w:rPr>
        <w:t xml:space="preserve">. </w:t>
      </w:r>
    </w:p>
    <w:p w14:paraId="7AFB3BCD" w14:textId="77777777" w:rsidR="00404559" w:rsidRPr="00207DC2" w:rsidRDefault="00404559" w:rsidP="00404559">
      <w:pPr>
        <w:jc w:val="both"/>
        <w:rPr>
          <w:lang w:val="en-AU"/>
        </w:rPr>
      </w:pPr>
      <w:r w:rsidRPr="00207DC2">
        <w:rPr>
          <w:lang w:val="en-AU"/>
        </w:rPr>
        <w:t>Two modelling approaches were considered:</w:t>
      </w:r>
    </w:p>
    <w:p w14:paraId="13322475" w14:textId="2E4FED5E" w:rsidR="00404559" w:rsidRPr="00207DC2" w:rsidRDefault="00404559" w:rsidP="008C7947">
      <w:pPr>
        <w:pStyle w:val="ListParagraph"/>
        <w:numPr>
          <w:ilvl w:val="0"/>
          <w:numId w:val="11"/>
        </w:numPr>
        <w:jc w:val="both"/>
        <w:rPr>
          <w:lang w:val="en-AU"/>
        </w:rPr>
      </w:pPr>
      <w:r w:rsidRPr="00207DC2">
        <w:rPr>
          <w:i/>
          <w:lang w:val="en-AU"/>
        </w:rPr>
        <w:t xml:space="preserve">Before </w:t>
      </w:r>
      <w:r w:rsidR="00FD02CA" w:rsidRPr="00207DC2">
        <w:rPr>
          <w:i/>
          <w:lang w:val="en-AU"/>
        </w:rPr>
        <w:t>to</w:t>
      </w:r>
      <w:r w:rsidRPr="00207DC2">
        <w:rPr>
          <w:i/>
          <w:lang w:val="en-AU"/>
        </w:rPr>
        <w:t xml:space="preserve"> after modelling</w:t>
      </w:r>
      <w:r w:rsidRPr="00207DC2">
        <w:rPr>
          <w:lang w:val="en-AU"/>
        </w:rPr>
        <w:t xml:space="preserve">. To control for changes in labour market conditions, quarterly SALM unemployment estimates for each study period </w:t>
      </w:r>
      <w:r w:rsidR="00AD5AC7" w:rsidRPr="00207DC2">
        <w:rPr>
          <w:lang w:val="en-AU"/>
        </w:rPr>
        <w:t xml:space="preserve">(March 2014 and March 2016) </w:t>
      </w:r>
      <w:r w:rsidR="005E2159" w:rsidRPr="00207DC2">
        <w:rPr>
          <w:lang w:val="en-AU"/>
        </w:rPr>
        <w:t xml:space="preserve">were included </w:t>
      </w:r>
      <w:r w:rsidRPr="00207DC2">
        <w:rPr>
          <w:lang w:val="en-AU"/>
        </w:rPr>
        <w:t xml:space="preserve">as control variables in the analysis. </w:t>
      </w:r>
      <w:r w:rsidR="0074616D" w:rsidRPr="00207DC2">
        <w:rPr>
          <w:lang w:val="en-AU"/>
        </w:rPr>
        <w:t xml:space="preserve">SALM unemployment </w:t>
      </w:r>
      <w:r w:rsidRPr="00207DC2">
        <w:rPr>
          <w:lang w:val="en-AU"/>
        </w:rPr>
        <w:t xml:space="preserve">estimates must be interpreted cautiously however, as </w:t>
      </w:r>
      <w:r w:rsidR="008C7947">
        <w:rPr>
          <w:lang w:val="en-AU"/>
        </w:rPr>
        <w:t>estimates</w:t>
      </w:r>
      <w:r w:rsidR="008C7947" w:rsidRPr="008C7947">
        <w:rPr>
          <w:lang w:val="en-AU"/>
        </w:rPr>
        <w:t xml:space="preserve"> are based on small sample sizes and, as a result, have potentially large standard errors</w:t>
      </w:r>
      <w:r w:rsidRPr="00207DC2">
        <w:rPr>
          <w:lang w:val="en-AU"/>
        </w:rPr>
        <w:t xml:space="preserve">. Nonetheless, </w:t>
      </w:r>
      <w:r w:rsidR="00EB07EF">
        <w:rPr>
          <w:lang w:val="en-AU"/>
        </w:rPr>
        <w:t xml:space="preserve">unemployment rates </w:t>
      </w:r>
      <w:r w:rsidRPr="00207DC2">
        <w:rPr>
          <w:lang w:val="en-AU"/>
        </w:rPr>
        <w:t xml:space="preserve">are consistent in how they are estimated across time, and so may be sufficient for </w:t>
      </w:r>
      <w:r w:rsidR="00037A9C" w:rsidRPr="00207DC2">
        <w:rPr>
          <w:lang w:val="en-AU"/>
        </w:rPr>
        <w:t>controlling</w:t>
      </w:r>
      <w:r w:rsidR="0074616D" w:rsidRPr="00207DC2">
        <w:rPr>
          <w:lang w:val="en-AU"/>
        </w:rPr>
        <w:t xml:space="preserve"> for changes in</w:t>
      </w:r>
      <w:r w:rsidRPr="00207DC2">
        <w:rPr>
          <w:lang w:val="en-AU"/>
        </w:rPr>
        <w:t xml:space="preserve"> the labour market in each region between the two time points sample</w:t>
      </w:r>
      <w:r w:rsidR="005E2159" w:rsidRPr="00207DC2">
        <w:rPr>
          <w:lang w:val="en-AU"/>
        </w:rPr>
        <w:t>d</w:t>
      </w:r>
      <w:r w:rsidRPr="00207DC2">
        <w:rPr>
          <w:lang w:val="en-AU"/>
        </w:rPr>
        <w:t xml:space="preserve">. </w:t>
      </w:r>
    </w:p>
    <w:p w14:paraId="05AD4F16" w14:textId="77777777" w:rsidR="00404559" w:rsidRPr="00207DC2" w:rsidRDefault="00404559" w:rsidP="00F90446">
      <w:pPr>
        <w:pStyle w:val="ListParagraph"/>
        <w:numPr>
          <w:ilvl w:val="0"/>
          <w:numId w:val="11"/>
        </w:numPr>
        <w:jc w:val="both"/>
        <w:rPr>
          <w:lang w:val="en-AU"/>
        </w:rPr>
      </w:pPr>
      <w:r w:rsidRPr="00207DC2">
        <w:rPr>
          <w:i/>
          <w:lang w:val="en-AU"/>
        </w:rPr>
        <w:t>Difference-in-difference modelling</w:t>
      </w:r>
      <w:r w:rsidRPr="00207DC2">
        <w:rPr>
          <w:lang w:val="en-AU"/>
        </w:rPr>
        <w:t xml:space="preserve"> which attempts to control for the </w:t>
      </w:r>
      <w:r w:rsidR="00F205E7" w:rsidRPr="00207DC2">
        <w:rPr>
          <w:lang w:val="en-AU"/>
        </w:rPr>
        <w:t>change in</w:t>
      </w:r>
      <w:r w:rsidRPr="00207DC2">
        <w:rPr>
          <w:lang w:val="en-AU"/>
        </w:rPr>
        <w:t xml:space="preserve"> the labour market </w:t>
      </w:r>
      <w:r w:rsidR="00385A75" w:rsidRPr="00207DC2">
        <w:rPr>
          <w:lang w:val="en-AU"/>
        </w:rPr>
        <w:t xml:space="preserve">in the CDP region </w:t>
      </w:r>
      <w:r w:rsidRPr="00207DC2">
        <w:rPr>
          <w:lang w:val="en-AU"/>
        </w:rPr>
        <w:t>using neighbo</w:t>
      </w:r>
      <w:r w:rsidR="00DF3314" w:rsidRPr="00207DC2">
        <w:rPr>
          <w:lang w:val="en-AU"/>
        </w:rPr>
        <w:t>u</w:t>
      </w:r>
      <w:r w:rsidRPr="00207DC2">
        <w:rPr>
          <w:lang w:val="en-AU"/>
        </w:rPr>
        <w:t>ring mainstream labour market conditions</w:t>
      </w:r>
      <w:r w:rsidR="00F205E7" w:rsidRPr="00207DC2">
        <w:rPr>
          <w:lang w:val="en-AU"/>
        </w:rPr>
        <w:t xml:space="preserve"> as the baseline</w:t>
      </w:r>
      <w:r w:rsidRPr="00207DC2">
        <w:rPr>
          <w:lang w:val="en-AU"/>
        </w:rPr>
        <w:t>.</w:t>
      </w:r>
    </w:p>
    <w:p w14:paraId="64BFA368" w14:textId="727F885B" w:rsidR="00404559" w:rsidRPr="00207DC2" w:rsidRDefault="00404559" w:rsidP="00404559">
      <w:pPr>
        <w:jc w:val="both"/>
        <w:rPr>
          <w:lang w:val="en-AU"/>
        </w:rPr>
      </w:pPr>
      <w:r w:rsidRPr="00207DC2">
        <w:rPr>
          <w:lang w:val="en-AU"/>
        </w:rPr>
        <w:t>When a participant is placed in employment under</w:t>
      </w:r>
      <w:r w:rsidR="00610752" w:rsidRPr="00207DC2">
        <w:rPr>
          <w:lang w:val="en-AU"/>
        </w:rPr>
        <w:t xml:space="preserve"> the</w:t>
      </w:r>
      <w:r w:rsidRPr="00207DC2">
        <w:rPr>
          <w:lang w:val="en-AU"/>
        </w:rPr>
        <w:t xml:space="preserve"> CDP, providers record details about the job, whether the person has remained in employment for 13</w:t>
      </w:r>
      <w:r w:rsidR="002317B0" w:rsidRPr="00207DC2">
        <w:rPr>
          <w:lang w:val="en-AU"/>
        </w:rPr>
        <w:t> </w:t>
      </w:r>
      <w:r w:rsidRPr="00207DC2">
        <w:rPr>
          <w:lang w:val="en-AU"/>
        </w:rPr>
        <w:t xml:space="preserve">weeks, and if the person has remained in </w:t>
      </w:r>
      <w:r w:rsidR="00123991" w:rsidRPr="00207DC2">
        <w:rPr>
          <w:lang w:val="en-AU"/>
        </w:rPr>
        <w:t xml:space="preserve">employment </w:t>
      </w:r>
      <w:r w:rsidRPr="00207DC2">
        <w:rPr>
          <w:lang w:val="en-AU"/>
        </w:rPr>
        <w:t>for 26 weeks. Providers receive outcome payments if a participant has remained in employment for 13</w:t>
      </w:r>
      <w:r w:rsidR="002317B0" w:rsidRPr="00207DC2">
        <w:rPr>
          <w:lang w:val="en-AU"/>
        </w:rPr>
        <w:t> </w:t>
      </w:r>
      <w:r w:rsidRPr="00207DC2">
        <w:rPr>
          <w:lang w:val="en-AU"/>
        </w:rPr>
        <w:t>weeks and then 26</w:t>
      </w:r>
      <w:r w:rsidR="002317B0" w:rsidRPr="00207DC2">
        <w:rPr>
          <w:lang w:val="en-AU"/>
        </w:rPr>
        <w:t> </w:t>
      </w:r>
      <w:r w:rsidRPr="00207DC2">
        <w:rPr>
          <w:lang w:val="en-AU"/>
        </w:rPr>
        <w:t xml:space="preserve">weeks. These payments are more heavily weighted to the 26-week outcomes under </w:t>
      </w:r>
      <w:r w:rsidR="00610752" w:rsidRPr="00207DC2">
        <w:rPr>
          <w:lang w:val="en-AU"/>
        </w:rPr>
        <w:t xml:space="preserve">the </w:t>
      </w:r>
      <w:r w:rsidRPr="00207DC2">
        <w:rPr>
          <w:lang w:val="en-AU"/>
        </w:rPr>
        <w:t xml:space="preserve">CDP. </w:t>
      </w:r>
      <w:r w:rsidR="008C49D7" w:rsidRPr="00207DC2">
        <w:rPr>
          <w:lang w:val="en-AU"/>
        </w:rPr>
        <w:t>S</w:t>
      </w:r>
      <w:r w:rsidR="00DE69DC" w:rsidRPr="00207DC2">
        <w:rPr>
          <w:lang w:val="en-AU"/>
        </w:rPr>
        <w:t xml:space="preserve">ome providers </w:t>
      </w:r>
      <w:r w:rsidR="008C49D7" w:rsidRPr="00207DC2">
        <w:rPr>
          <w:lang w:val="en-AU"/>
        </w:rPr>
        <w:t>may</w:t>
      </w:r>
      <w:r w:rsidR="00DE69DC" w:rsidRPr="00207DC2">
        <w:rPr>
          <w:lang w:val="en-AU"/>
        </w:rPr>
        <w:t xml:space="preserve"> not </w:t>
      </w:r>
      <w:r w:rsidR="008C49D7" w:rsidRPr="00207DC2">
        <w:rPr>
          <w:lang w:val="en-AU"/>
        </w:rPr>
        <w:t>capture all employment outcomes. However,</w:t>
      </w:r>
      <w:r w:rsidR="00DE69DC" w:rsidRPr="00207DC2">
        <w:rPr>
          <w:lang w:val="en-AU"/>
        </w:rPr>
        <w:t xml:space="preserve"> </w:t>
      </w:r>
      <w:r w:rsidRPr="00207DC2">
        <w:rPr>
          <w:lang w:val="en-AU"/>
        </w:rPr>
        <w:t>providers have a financial incentive to record employment</w:t>
      </w:r>
      <w:r w:rsidR="008C49D7" w:rsidRPr="00207DC2">
        <w:rPr>
          <w:lang w:val="en-AU"/>
        </w:rPr>
        <w:t xml:space="preserve"> outcomes and, for this reason,</w:t>
      </w:r>
      <w:r w:rsidRPr="00207DC2">
        <w:rPr>
          <w:lang w:val="en-AU"/>
        </w:rPr>
        <w:t xml:space="preserve"> data are likely to be of</w:t>
      </w:r>
      <w:r w:rsidR="005E6DBD">
        <w:rPr>
          <w:lang w:val="en-AU"/>
        </w:rPr>
        <w:t xml:space="preserve"> re</w:t>
      </w:r>
      <w:r w:rsidR="00856939">
        <w:rPr>
          <w:lang w:val="en-AU"/>
        </w:rPr>
        <w:t>latively</w:t>
      </w:r>
      <w:r w:rsidRPr="00207DC2">
        <w:rPr>
          <w:lang w:val="en-AU"/>
        </w:rPr>
        <w:t xml:space="preserve"> high quality. </w:t>
      </w:r>
    </w:p>
    <w:p w14:paraId="26ECB143" w14:textId="716E13D7" w:rsidR="00404559" w:rsidRPr="00207DC2" w:rsidRDefault="00404559" w:rsidP="008F33BC">
      <w:pPr>
        <w:spacing w:after="120"/>
        <w:jc w:val="both"/>
        <w:rPr>
          <w:lang w:val="en-AU"/>
        </w:rPr>
      </w:pPr>
      <w:r w:rsidRPr="00207DC2">
        <w:rPr>
          <w:lang w:val="en-AU"/>
        </w:rPr>
        <w:t xml:space="preserve">Comparing the number of outcomes </w:t>
      </w:r>
      <w:r w:rsidR="005E2159" w:rsidRPr="00207DC2">
        <w:rPr>
          <w:lang w:val="en-AU"/>
        </w:rPr>
        <w:t xml:space="preserve">reported </w:t>
      </w:r>
      <w:r w:rsidRPr="00207DC2">
        <w:rPr>
          <w:lang w:val="en-AU"/>
        </w:rPr>
        <w:t>by providers between</w:t>
      </w:r>
      <w:r w:rsidR="00610752" w:rsidRPr="00207DC2">
        <w:rPr>
          <w:lang w:val="en-AU"/>
        </w:rPr>
        <w:t xml:space="preserve"> the</w:t>
      </w:r>
      <w:r w:rsidRPr="00207DC2">
        <w:rPr>
          <w:lang w:val="en-AU"/>
        </w:rPr>
        <w:t xml:space="preserve"> CDP and</w:t>
      </w:r>
      <w:r w:rsidR="00610752" w:rsidRPr="00207DC2">
        <w:rPr>
          <w:lang w:val="en-AU"/>
        </w:rPr>
        <w:t xml:space="preserve"> the</w:t>
      </w:r>
      <w:r w:rsidRPr="00207DC2">
        <w:rPr>
          <w:lang w:val="en-AU"/>
        </w:rPr>
        <w:t xml:space="preserve"> RJCP </w:t>
      </w:r>
      <w:r w:rsidR="005E2159" w:rsidRPr="00207DC2">
        <w:rPr>
          <w:lang w:val="en-AU"/>
        </w:rPr>
        <w:t>may be</w:t>
      </w:r>
      <w:r w:rsidRPr="00207DC2">
        <w:rPr>
          <w:lang w:val="en-AU"/>
        </w:rPr>
        <w:t xml:space="preserve"> affected by measurement bias</w:t>
      </w:r>
      <w:r w:rsidR="005E2159" w:rsidRPr="00207DC2">
        <w:rPr>
          <w:lang w:val="en-AU"/>
        </w:rPr>
        <w:t xml:space="preserve"> and</w:t>
      </w:r>
      <w:r w:rsidRPr="00207DC2">
        <w:rPr>
          <w:lang w:val="en-AU"/>
        </w:rPr>
        <w:t xml:space="preserve"> definitional change. The RJCP and the CDP use the same program boundaries</w:t>
      </w:r>
      <w:r w:rsidR="00546F0B" w:rsidRPr="00207DC2">
        <w:rPr>
          <w:lang w:val="en-AU"/>
        </w:rPr>
        <w:t>.</w:t>
      </w:r>
      <w:r w:rsidRPr="00207DC2">
        <w:rPr>
          <w:lang w:val="en-AU"/>
        </w:rPr>
        <w:t xml:space="preserve"> </w:t>
      </w:r>
      <w:r w:rsidR="00546F0B" w:rsidRPr="00207DC2">
        <w:rPr>
          <w:lang w:val="en-AU"/>
        </w:rPr>
        <w:t>H</w:t>
      </w:r>
      <w:r w:rsidRPr="00207DC2">
        <w:rPr>
          <w:lang w:val="en-AU"/>
        </w:rPr>
        <w:t>owever</w:t>
      </w:r>
      <w:r w:rsidR="00546F0B" w:rsidRPr="00207DC2">
        <w:rPr>
          <w:lang w:val="en-AU"/>
        </w:rPr>
        <w:t>, t</w:t>
      </w:r>
      <w:r w:rsidRPr="00207DC2">
        <w:rPr>
          <w:lang w:val="en-AU"/>
        </w:rPr>
        <w:t xml:space="preserve">here are two potential sources of measurement bias using the </w:t>
      </w:r>
      <w:r w:rsidR="00DB1088" w:rsidRPr="00207DC2">
        <w:rPr>
          <w:lang w:val="en-AU"/>
        </w:rPr>
        <w:t>administrative</w:t>
      </w:r>
      <w:r w:rsidRPr="00207DC2">
        <w:rPr>
          <w:lang w:val="en-AU"/>
        </w:rPr>
        <w:t xml:space="preserve"> data</w:t>
      </w:r>
      <w:r w:rsidR="00546F0B" w:rsidRPr="00207DC2">
        <w:rPr>
          <w:lang w:val="en-AU"/>
        </w:rPr>
        <w:t>:</w:t>
      </w:r>
    </w:p>
    <w:p w14:paraId="61592111" w14:textId="7B059C50" w:rsidR="00404559" w:rsidRPr="00207DC2" w:rsidRDefault="00404559" w:rsidP="00F90446">
      <w:pPr>
        <w:pStyle w:val="ListParagraph"/>
        <w:numPr>
          <w:ilvl w:val="0"/>
          <w:numId w:val="12"/>
        </w:numPr>
        <w:jc w:val="both"/>
        <w:rPr>
          <w:lang w:val="en-AU"/>
        </w:rPr>
      </w:pPr>
      <w:r w:rsidRPr="00207DC2">
        <w:rPr>
          <w:lang w:val="en-AU"/>
        </w:rPr>
        <w:t>Stronger financial incentives were introduced in the CDP program for providers to achieve 26-week outcomes</w:t>
      </w:r>
      <w:r w:rsidR="00692000" w:rsidRPr="00207DC2">
        <w:rPr>
          <w:lang w:val="en-AU"/>
        </w:rPr>
        <w:t xml:space="preserve"> (Chapter 1)</w:t>
      </w:r>
      <w:r w:rsidRPr="00207DC2">
        <w:rPr>
          <w:lang w:val="en-AU"/>
        </w:rPr>
        <w:t xml:space="preserve">. </w:t>
      </w:r>
      <w:r w:rsidR="00091E8B" w:rsidRPr="00207DC2">
        <w:rPr>
          <w:lang w:val="en-AU"/>
        </w:rPr>
        <w:t>To the extent</w:t>
      </w:r>
      <w:r w:rsidR="00C016B4" w:rsidRPr="00207DC2">
        <w:rPr>
          <w:lang w:val="en-AU"/>
        </w:rPr>
        <w:t xml:space="preserve"> that</w:t>
      </w:r>
      <w:r w:rsidR="004A79ED" w:rsidRPr="00207DC2">
        <w:rPr>
          <w:lang w:val="en-AU"/>
        </w:rPr>
        <w:t xml:space="preserve"> </w:t>
      </w:r>
      <w:r w:rsidR="00085759" w:rsidRPr="00207DC2">
        <w:rPr>
          <w:lang w:val="en-AU"/>
        </w:rPr>
        <w:t>26</w:t>
      </w:r>
      <w:r w:rsidR="00385A75" w:rsidRPr="00207DC2">
        <w:rPr>
          <w:lang w:val="en-AU"/>
        </w:rPr>
        <w:t>-</w:t>
      </w:r>
      <w:r w:rsidR="00085759" w:rsidRPr="00207DC2">
        <w:rPr>
          <w:lang w:val="en-AU"/>
        </w:rPr>
        <w:t xml:space="preserve">week </w:t>
      </w:r>
      <w:r w:rsidRPr="00207DC2">
        <w:rPr>
          <w:lang w:val="en-AU"/>
        </w:rPr>
        <w:t xml:space="preserve">outcomes </w:t>
      </w:r>
      <w:r w:rsidR="00C016B4" w:rsidRPr="00207DC2">
        <w:rPr>
          <w:lang w:val="en-AU"/>
        </w:rPr>
        <w:t>were</w:t>
      </w:r>
      <w:r w:rsidRPr="00207DC2" w:rsidDel="00C016B4">
        <w:rPr>
          <w:lang w:val="en-AU"/>
        </w:rPr>
        <w:t xml:space="preserve"> </w:t>
      </w:r>
      <w:r w:rsidR="004A79ED" w:rsidRPr="00207DC2">
        <w:rPr>
          <w:lang w:val="en-AU"/>
        </w:rPr>
        <w:t>un</w:t>
      </w:r>
      <w:r w:rsidRPr="00207DC2">
        <w:rPr>
          <w:lang w:val="en-AU"/>
        </w:rPr>
        <w:t xml:space="preserve">reported under </w:t>
      </w:r>
      <w:r w:rsidR="00610752" w:rsidRPr="00207DC2">
        <w:rPr>
          <w:lang w:val="en-AU"/>
        </w:rPr>
        <w:t xml:space="preserve">the </w:t>
      </w:r>
      <w:r w:rsidRPr="00207DC2">
        <w:rPr>
          <w:lang w:val="en-AU"/>
        </w:rPr>
        <w:t xml:space="preserve">RJCP </w:t>
      </w:r>
      <w:r w:rsidR="00C016B4" w:rsidRPr="00207DC2">
        <w:rPr>
          <w:lang w:val="en-AU"/>
        </w:rPr>
        <w:t xml:space="preserve">but </w:t>
      </w:r>
      <w:r w:rsidRPr="00207DC2">
        <w:rPr>
          <w:lang w:val="en-AU"/>
        </w:rPr>
        <w:t xml:space="preserve">reported under </w:t>
      </w:r>
      <w:r w:rsidR="00610752" w:rsidRPr="00207DC2">
        <w:rPr>
          <w:lang w:val="en-AU"/>
        </w:rPr>
        <w:t xml:space="preserve">the </w:t>
      </w:r>
      <w:r w:rsidRPr="00207DC2">
        <w:rPr>
          <w:lang w:val="en-AU"/>
        </w:rPr>
        <w:t>CDP,</w:t>
      </w:r>
      <w:r w:rsidRPr="00207DC2" w:rsidDel="004A79ED">
        <w:rPr>
          <w:lang w:val="en-AU"/>
        </w:rPr>
        <w:t xml:space="preserve"> </w:t>
      </w:r>
      <w:r w:rsidR="00795C3F" w:rsidRPr="00207DC2">
        <w:rPr>
          <w:lang w:val="en-AU"/>
        </w:rPr>
        <w:t xml:space="preserve">some of the </w:t>
      </w:r>
      <w:r w:rsidR="00D01BC0" w:rsidRPr="00207DC2">
        <w:rPr>
          <w:lang w:val="en-AU"/>
        </w:rPr>
        <w:t>observed improvement in 26-week outcomes could be</w:t>
      </w:r>
      <w:r w:rsidR="009C7F73" w:rsidRPr="00207DC2">
        <w:rPr>
          <w:lang w:val="en-AU"/>
        </w:rPr>
        <w:t xml:space="preserve"> partly</w:t>
      </w:r>
      <w:r w:rsidRPr="00207DC2">
        <w:rPr>
          <w:lang w:val="en-AU"/>
        </w:rPr>
        <w:t xml:space="preserve"> </w:t>
      </w:r>
      <w:r w:rsidR="001428D3" w:rsidRPr="00207DC2">
        <w:rPr>
          <w:lang w:val="en-AU"/>
        </w:rPr>
        <w:t>attributed</w:t>
      </w:r>
      <w:r w:rsidRPr="00207DC2">
        <w:rPr>
          <w:lang w:val="en-AU"/>
        </w:rPr>
        <w:t xml:space="preserve"> to</w:t>
      </w:r>
      <w:r w:rsidR="00692000" w:rsidRPr="00207DC2">
        <w:rPr>
          <w:lang w:val="en-AU"/>
        </w:rPr>
        <w:t xml:space="preserve"> </w:t>
      </w:r>
      <w:r w:rsidR="009A5F2A" w:rsidRPr="00207DC2">
        <w:rPr>
          <w:lang w:val="en-AU"/>
        </w:rPr>
        <w:t>increase</w:t>
      </w:r>
      <w:r w:rsidR="00546F0B" w:rsidRPr="00207DC2">
        <w:rPr>
          <w:lang w:val="en-AU"/>
        </w:rPr>
        <w:t>d</w:t>
      </w:r>
      <w:r w:rsidR="00692000" w:rsidRPr="00207DC2">
        <w:rPr>
          <w:lang w:val="en-AU"/>
        </w:rPr>
        <w:t xml:space="preserve"> </w:t>
      </w:r>
      <w:r w:rsidRPr="00207DC2">
        <w:rPr>
          <w:lang w:val="en-AU"/>
        </w:rPr>
        <w:t xml:space="preserve">reporting. </w:t>
      </w:r>
      <w:r w:rsidR="004A79ED" w:rsidRPr="00207DC2">
        <w:rPr>
          <w:lang w:val="en-AU"/>
        </w:rPr>
        <w:t>In this case, s</w:t>
      </w:r>
      <w:r w:rsidRPr="00207DC2">
        <w:rPr>
          <w:lang w:val="en-AU"/>
        </w:rPr>
        <w:t xml:space="preserve">tronger reporting incentives </w:t>
      </w:r>
      <w:r w:rsidR="004A79ED" w:rsidRPr="00207DC2">
        <w:rPr>
          <w:lang w:val="en-AU"/>
        </w:rPr>
        <w:t>could</w:t>
      </w:r>
      <w:r w:rsidRPr="00207DC2">
        <w:rPr>
          <w:lang w:val="en-AU"/>
        </w:rPr>
        <w:t xml:space="preserve"> lead </w:t>
      </w:r>
      <w:r w:rsidR="00D01BC0" w:rsidRPr="00207DC2">
        <w:rPr>
          <w:lang w:val="en-AU"/>
        </w:rPr>
        <w:t>to the</w:t>
      </w:r>
      <w:r w:rsidRPr="00207DC2">
        <w:rPr>
          <w:lang w:val="en-AU"/>
        </w:rPr>
        <w:t xml:space="preserve"> </w:t>
      </w:r>
      <w:r w:rsidR="009A5F2A" w:rsidRPr="00207DC2">
        <w:rPr>
          <w:lang w:val="en-AU"/>
        </w:rPr>
        <w:t xml:space="preserve">estimated </w:t>
      </w:r>
      <w:r w:rsidRPr="00207DC2">
        <w:rPr>
          <w:lang w:val="en-AU"/>
        </w:rPr>
        <w:t>ef</w:t>
      </w:r>
      <w:r w:rsidR="004D1E6E" w:rsidRPr="00207DC2">
        <w:rPr>
          <w:lang w:val="en-AU"/>
        </w:rPr>
        <w:t xml:space="preserve">fect of the CDP on </w:t>
      </w:r>
      <w:r w:rsidR="00085759" w:rsidRPr="00207DC2">
        <w:rPr>
          <w:lang w:val="en-AU"/>
        </w:rPr>
        <w:t>26</w:t>
      </w:r>
      <w:r w:rsidR="004A79ED" w:rsidRPr="00207DC2">
        <w:rPr>
          <w:lang w:val="en-AU"/>
        </w:rPr>
        <w:noBreakHyphen/>
      </w:r>
      <w:r w:rsidR="00085759" w:rsidRPr="00207DC2">
        <w:rPr>
          <w:lang w:val="en-AU"/>
        </w:rPr>
        <w:t>week outcomes</w:t>
      </w:r>
      <w:r w:rsidR="00D01BC0" w:rsidRPr="00207DC2">
        <w:rPr>
          <w:lang w:val="en-AU"/>
        </w:rPr>
        <w:t xml:space="preserve"> </w:t>
      </w:r>
      <w:r w:rsidR="005E2159" w:rsidRPr="00207DC2">
        <w:rPr>
          <w:lang w:val="en-AU"/>
        </w:rPr>
        <w:t>being</w:t>
      </w:r>
      <w:r w:rsidR="00D01BC0" w:rsidRPr="00207DC2">
        <w:rPr>
          <w:lang w:val="en-AU"/>
        </w:rPr>
        <w:t xml:space="preserve"> overstated</w:t>
      </w:r>
      <w:r w:rsidR="004D1E6E" w:rsidRPr="00207DC2">
        <w:rPr>
          <w:lang w:val="en-AU"/>
        </w:rPr>
        <w:t xml:space="preserve">. </w:t>
      </w:r>
    </w:p>
    <w:p w14:paraId="33567F30" w14:textId="1678DC23" w:rsidR="00404559" w:rsidRPr="00207DC2" w:rsidRDefault="00404559" w:rsidP="00F90446">
      <w:pPr>
        <w:pStyle w:val="ListParagraph"/>
        <w:numPr>
          <w:ilvl w:val="0"/>
          <w:numId w:val="12"/>
        </w:numPr>
        <w:jc w:val="both"/>
        <w:rPr>
          <w:lang w:val="en-AU"/>
        </w:rPr>
      </w:pPr>
      <w:r w:rsidRPr="00207DC2">
        <w:rPr>
          <w:lang w:val="en-AU"/>
        </w:rPr>
        <w:t xml:space="preserve">Auto-claiming of outcomes was introduced at the same time as </w:t>
      </w:r>
      <w:r w:rsidR="00610752" w:rsidRPr="00207DC2">
        <w:rPr>
          <w:lang w:val="en-AU"/>
        </w:rPr>
        <w:t xml:space="preserve">the </w:t>
      </w:r>
      <w:r w:rsidRPr="00207DC2">
        <w:rPr>
          <w:lang w:val="en-AU"/>
        </w:rPr>
        <w:t xml:space="preserve">CDP </w:t>
      </w:r>
      <w:r w:rsidR="005E2159" w:rsidRPr="00207DC2">
        <w:rPr>
          <w:lang w:val="en-AU"/>
        </w:rPr>
        <w:t>commenced</w:t>
      </w:r>
      <w:r w:rsidRPr="00207DC2">
        <w:rPr>
          <w:lang w:val="en-AU"/>
        </w:rPr>
        <w:t xml:space="preserve">. This means that for many outcomes, providers no longer have to manually submit an outcome claim – rather, they are automatically recorded as reaching an outcome once the </w:t>
      </w:r>
      <w:r w:rsidR="00D06964" w:rsidRPr="00207DC2">
        <w:rPr>
          <w:lang w:val="en-AU"/>
        </w:rPr>
        <w:t>DHS administrative</w:t>
      </w:r>
      <w:r w:rsidRPr="00207DC2">
        <w:rPr>
          <w:lang w:val="en-AU"/>
        </w:rPr>
        <w:t xml:space="preserve"> system determines that the </w:t>
      </w:r>
      <w:r w:rsidR="00312EC2" w:rsidRPr="00207DC2">
        <w:rPr>
          <w:lang w:val="en-AU"/>
        </w:rPr>
        <w:t>participant</w:t>
      </w:r>
      <w:r w:rsidRPr="00207DC2">
        <w:rPr>
          <w:lang w:val="en-AU"/>
        </w:rPr>
        <w:t xml:space="preserve"> has worked 13</w:t>
      </w:r>
      <w:r w:rsidR="00342F3A">
        <w:rPr>
          <w:lang w:val="en-AU"/>
        </w:rPr>
        <w:t> </w:t>
      </w:r>
      <w:r w:rsidRPr="00207DC2">
        <w:rPr>
          <w:lang w:val="en-AU"/>
        </w:rPr>
        <w:t>or 26</w:t>
      </w:r>
      <w:r w:rsidR="002317B0" w:rsidRPr="00207DC2">
        <w:rPr>
          <w:lang w:val="en-AU"/>
        </w:rPr>
        <w:t> </w:t>
      </w:r>
      <w:r w:rsidRPr="00207DC2">
        <w:rPr>
          <w:lang w:val="en-AU"/>
        </w:rPr>
        <w:t>weeks</w:t>
      </w:r>
      <w:r w:rsidR="00312EC2" w:rsidRPr="00207DC2">
        <w:rPr>
          <w:lang w:val="en-AU"/>
        </w:rPr>
        <w:t xml:space="preserve">. </w:t>
      </w:r>
      <w:r w:rsidRPr="00207DC2">
        <w:rPr>
          <w:lang w:val="en-AU"/>
        </w:rPr>
        <w:t>As with improved financial incentives to report, any observed improvement in outcomes may be due</w:t>
      </w:r>
      <w:r w:rsidR="009A5F2A" w:rsidRPr="00207DC2">
        <w:rPr>
          <w:lang w:val="en-AU"/>
        </w:rPr>
        <w:t>, in part,</w:t>
      </w:r>
      <w:r w:rsidRPr="00207DC2">
        <w:rPr>
          <w:lang w:val="en-AU"/>
        </w:rPr>
        <w:t xml:space="preserve"> to </w:t>
      </w:r>
      <w:r w:rsidR="009A5F2A" w:rsidRPr="00207DC2">
        <w:rPr>
          <w:lang w:val="en-AU"/>
        </w:rPr>
        <w:t>increase</w:t>
      </w:r>
      <w:r w:rsidRPr="00207DC2" w:rsidDel="009A5F2A">
        <w:rPr>
          <w:lang w:val="en-AU"/>
        </w:rPr>
        <w:t xml:space="preserve"> </w:t>
      </w:r>
      <w:r w:rsidRPr="00207DC2">
        <w:rPr>
          <w:lang w:val="en-AU"/>
        </w:rPr>
        <w:t xml:space="preserve">reporting, rather than a genuine improvement </w:t>
      </w:r>
      <w:r w:rsidR="00312EC2" w:rsidRPr="00207DC2">
        <w:rPr>
          <w:lang w:val="en-AU"/>
        </w:rPr>
        <w:t>participants</w:t>
      </w:r>
      <w:r w:rsidRPr="00207DC2">
        <w:rPr>
          <w:lang w:val="en-AU"/>
        </w:rPr>
        <w:t xml:space="preserve"> outcomes under </w:t>
      </w:r>
      <w:r w:rsidR="00610752" w:rsidRPr="00207DC2">
        <w:rPr>
          <w:lang w:val="en-AU"/>
        </w:rPr>
        <w:t>the CDP</w:t>
      </w:r>
      <w:r w:rsidRPr="00207DC2">
        <w:rPr>
          <w:lang w:val="en-AU"/>
        </w:rPr>
        <w:t>. As with stronger reporting incentives,</w:t>
      </w:r>
      <w:r w:rsidR="009A5F2A" w:rsidRPr="00207DC2">
        <w:rPr>
          <w:lang w:val="en-AU"/>
        </w:rPr>
        <w:t xml:space="preserve"> to the extent that</w:t>
      </w:r>
      <w:r w:rsidRPr="00207DC2">
        <w:rPr>
          <w:lang w:val="en-AU"/>
        </w:rPr>
        <w:t xml:space="preserve"> auto-claiming lead to</w:t>
      </w:r>
      <w:r w:rsidR="009A5F2A" w:rsidRPr="00207DC2">
        <w:rPr>
          <w:lang w:val="en-AU"/>
        </w:rPr>
        <w:t xml:space="preserve"> an increase in the reporting of 13</w:t>
      </w:r>
      <w:r w:rsidR="009A5F2A" w:rsidRPr="00207DC2">
        <w:rPr>
          <w:lang w:val="en-AU"/>
        </w:rPr>
        <w:noBreakHyphen/>
        <w:t>week and 26-week employment outcomes,</w:t>
      </w:r>
      <w:r w:rsidRPr="00207DC2">
        <w:rPr>
          <w:lang w:val="en-AU"/>
        </w:rPr>
        <w:t xml:space="preserve"> </w:t>
      </w:r>
      <w:r w:rsidR="00D01BC0" w:rsidRPr="00207DC2">
        <w:rPr>
          <w:lang w:val="en-AU"/>
        </w:rPr>
        <w:t>the</w:t>
      </w:r>
      <w:r w:rsidR="009A5F2A" w:rsidRPr="00207DC2">
        <w:rPr>
          <w:lang w:val="en-AU"/>
        </w:rPr>
        <w:t xml:space="preserve"> estimated</w:t>
      </w:r>
      <w:r w:rsidRPr="00207DC2">
        <w:rPr>
          <w:lang w:val="en-AU"/>
        </w:rPr>
        <w:t xml:space="preserve"> ef</w:t>
      </w:r>
      <w:r w:rsidR="004D1E6E" w:rsidRPr="00207DC2">
        <w:rPr>
          <w:lang w:val="en-AU"/>
        </w:rPr>
        <w:t>fect of the CDP on employment</w:t>
      </w:r>
      <w:r w:rsidR="00D01BC0" w:rsidRPr="00207DC2">
        <w:rPr>
          <w:lang w:val="en-AU"/>
        </w:rPr>
        <w:t xml:space="preserve"> </w:t>
      </w:r>
      <w:r w:rsidR="009A5F2A" w:rsidRPr="00207DC2">
        <w:rPr>
          <w:lang w:val="en-AU"/>
        </w:rPr>
        <w:t xml:space="preserve">could </w:t>
      </w:r>
      <w:r w:rsidR="005E2159" w:rsidRPr="00207DC2">
        <w:rPr>
          <w:lang w:val="en-AU"/>
        </w:rPr>
        <w:t>be</w:t>
      </w:r>
      <w:r w:rsidR="00D01BC0" w:rsidRPr="00207DC2">
        <w:rPr>
          <w:lang w:val="en-AU"/>
        </w:rPr>
        <w:t xml:space="preserve"> </w:t>
      </w:r>
      <w:r w:rsidR="00E46C60" w:rsidRPr="00207DC2">
        <w:rPr>
          <w:lang w:val="en-AU"/>
        </w:rPr>
        <w:t>overstated</w:t>
      </w:r>
      <w:r w:rsidR="004D1E6E" w:rsidRPr="00207DC2">
        <w:rPr>
          <w:lang w:val="en-AU"/>
        </w:rPr>
        <w:t xml:space="preserve">. </w:t>
      </w:r>
    </w:p>
    <w:p w14:paraId="185A3180" w14:textId="01DA3DB4" w:rsidR="00404559" w:rsidRPr="00207DC2" w:rsidRDefault="00AA5C90" w:rsidP="008F33BC">
      <w:pPr>
        <w:tabs>
          <w:tab w:val="left" w:pos="6379"/>
        </w:tabs>
        <w:jc w:val="both"/>
        <w:rPr>
          <w:lang w:val="en-AU"/>
        </w:rPr>
      </w:pPr>
      <w:r w:rsidRPr="00207DC2">
        <w:rPr>
          <w:lang w:val="en-AU"/>
        </w:rPr>
        <w:t>T</w:t>
      </w:r>
      <w:r w:rsidR="00404559" w:rsidRPr="00207DC2">
        <w:rPr>
          <w:lang w:val="en-AU"/>
        </w:rPr>
        <w:t xml:space="preserve">hese two </w:t>
      </w:r>
      <w:r w:rsidRPr="00207DC2">
        <w:rPr>
          <w:lang w:val="en-AU"/>
        </w:rPr>
        <w:t xml:space="preserve">potential </w:t>
      </w:r>
      <w:r w:rsidR="00404559" w:rsidRPr="00207DC2">
        <w:rPr>
          <w:lang w:val="en-AU"/>
        </w:rPr>
        <w:t>sources of measurement bias apply very differently to the before group (RJCP participants) and the after group (CDP participants).</w:t>
      </w:r>
    </w:p>
    <w:p w14:paraId="5729C5E7" w14:textId="165DEDEE" w:rsidR="00404559" w:rsidRPr="00207DC2" w:rsidRDefault="00404559" w:rsidP="00404559">
      <w:pPr>
        <w:jc w:val="both"/>
        <w:rPr>
          <w:lang w:val="en-AU"/>
        </w:rPr>
      </w:pPr>
      <w:r w:rsidRPr="00207DC2">
        <w:rPr>
          <w:lang w:val="en-AU"/>
        </w:rPr>
        <w:t>Distinct from the issue of measurement bias is the change to the definition of ‘outcome’ w</w:t>
      </w:r>
      <w:r w:rsidR="004D1E6E" w:rsidRPr="00207DC2">
        <w:rPr>
          <w:lang w:val="en-AU"/>
        </w:rPr>
        <w:t xml:space="preserve">hen the CDP replaced the RJCP. </w:t>
      </w:r>
      <w:r w:rsidRPr="00207DC2">
        <w:rPr>
          <w:lang w:val="en-AU"/>
        </w:rPr>
        <w:t>Under the CDP, the criteria that needed to be met in order for outcomes to be claimed became more stringent</w:t>
      </w:r>
      <w:r w:rsidR="004D1E6E" w:rsidRPr="00207DC2">
        <w:rPr>
          <w:lang w:val="en-AU"/>
        </w:rPr>
        <w:t xml:space="preserve">. </w:t>
      </w:r>
      <w:r w:rsidRPr="00207DC2">
        <w:rPr>
          <w:lang w:val="en-AU"/>
        </w:rPr>
        <w:t xml:space="preserve">For example, under </w:t>
      </w:r>
      <w:r w:rsidR="0028792D" w:rsidRPr="00207DC2">
        <w:rPr>
          <w:lang w:val="en-AU"/>
        </w:rPr>
        <w:t>the</w:t>
      </w:r>
      <w:r w:rsidRPr="00207DC2">
        <w:rPr>
          <w:lang w:val="en-AU"/>
        </w:rPr>
        <w:t xml:space="preserve"> RJCP a 26</w:t>
      </w:r>
      <w:r w:rsidR="002317B0" w:rsidRPr="00207DC2">
        <w:rPr>
          <w:lang w:val="en-AU"/>
        </w:rPr>
        <w:noBreakHyphen/>
      </w:r>
      <w:r w:rsidRPr="00207DC2">
        <w:rPr>
          <w:lang w:val="en-AU"/>
        </w:rPr>
        <w:t xml:space="preserve">week outcome could be achieved when a </w:t>
      </w:r>
      <w:r w:rsidR="00312EC2" w:rsidRPr="00207DC2">
        <w:rPr>
          <w:lang w:val="en-AU"/>
        </w:rPr>
        <w:t>participant had been employed for 26</w:t>
      </w:r>
      <w:r w:rsidR="001E6F86">
        <w:rPr>
          <w:lang w:val="en-AU"/>
        </w:rPr>
        <w:t> </w:t>
      </w:r>
      <w:r w:rsidRPr="00207DC2">
        <w:rPr>
          <w:lang w:val="en-AU"/>
        </w:rPr>
        <w:t>weeks over a maximum of 52 consecutive weeks</w:t>
      </w:r>
      <w:r w:rsidR="001E6F86">
        <w:rPr>
          <w:lang w:val="en-AU"/>
        </w:rPr>
        <w:t>.</w:t>
      </w:r>
      <w:r w:rsidRPr="00207DC2">
        <w:rPr>
          <w:lang w:val="en-AU"/>
        </w:rPr>
        <w:t xml:space="preserve"> </w:t>
      </w:r>
      <w:r w:rsidR="001E6F86">
        <w:rPr>
          <w:lang w:val="en-AU"/>
        </w:rPr>
        <w:t>W</w:t>
      </w:r>
      <w:r w:rsidRPr="00207DC2">
        <w:rPr>
          <w:lang w:val="en-AU"/>
        </w:rPr>
        <w:t xml:space="preserve">hereas under </w:t>
      </w:r>
      <w:r w:rsidR="00610752" w:rsidRPr="00207DC2">
        <w:rPr>
          <w:lang w:val="en-AU"/>
        </w:rPr>
        <w:t>the CDP</w:t>
      </w:r>
      <w:r w:rsidRPr="00207DC2">
        <w:rPr>
          <w:lang w:val="en-AU"/>
        </w:rPr>
        <w:t>, a 26</w:t>
      </w:r>
      <w:r w:rsidR="002317B0" w:rsidRPr="00207DC2">
        <w:rPr>
          <w:lang w:val="en-AU"/>
        </w:rPr>
        <w:noBreakHyphen/>
      </w:r>
      <w:r w:rsidRPr="00207DC2">
        <w:rPr>
          <w:lang w:val="en-AU"/>
        </w:rPr>
        <w:t xml:space="preserve">week outcome </w:t>
      </w:r>
      <w:r w:rsidR="005E2159" w:rsidRPr="00207DC2">
        <w:rPr>
          <w:lang w:val="en-AU"/>
        </w:rPr>
        <w:t xml:space="preserve">had </w:t>
      </w:r>
      <w:r w:rsidRPr="00207DC2">
        <w:rPr>
          <w:lang w:val="en-AU"/>
        </w:rPr>
        <w:t>to be achieved within 26 consecutive weeks (with allowable breaks). Moreover, allowable breaks became shorter, thereby making it harder for providers to claim a 26-week outcome if a participant took a break</w:t>
      </w:r>
      <w:r w:rsidR="004D1E6E" w:rsidRPr="00207DC2">
        <w:rPr>
          <w:lang w:val="en-AU"/>
        </w:rPr>
        <w:t xml:space="preserve">. </w:t>
      </w:r>
    </w:p>
    <w:p w14:paraId="789A16EA" w14:textId="21B51868" w:rsidR="00404559" w:rsidRPr="00207DC2" w:rsidRDefault="00404559" w:rsidP="00404559">
      <w:pPr>
        <w:jc w:val="both"/>
        <w:rPr>
          <w:lang w:val="en-AU"/>
        </w:rPr>
      </w:pPr>
      <w:r w:rsidRPr="00207DC2">
        <w:rPr>
          <w:lang w:val="en-AU"/>
        </w:rPr>
        <w:t xml:space="preserve">These definitional changes are not measurement bias. They do not reflect a change in the ability to measure the outcome, but rather are a change to what the outcome itself is. </w:t>
      </w:r>
      <w:r w:rsidR="001E6F86">
        <w:rPr>
          <w:lang w:val="en-AU"/>
        </w:rPr>
        <w:t>T</w:t>
      </w:r>
      <w:r w:rsidRPr="00207DC2">
        <w:rPr>
          <w:lang w:val="en-AU"/>
        </w:rPr>
        <w:t xml:space="preserve">he definitional changes are part of the suite of policy changes </w:t>
      </w:r>
      <w:r w:rsidR="008C7947">
        <w:rPr>
          <w:lang w:val="en-AU"/>
        </w:rPr>
        <w:t>introduced under</w:t>
      </w:r>
      <w:r w:rsidRPr="00207DC2">
        <w:rPr>
          <w:lang w:val="en-AU"/>
        </w:rPr>
        <w:t xml:space="preserve"> the CDP, and therefore form part of the treatment effect </w:t>
      </w:r>
      <w:r w:rsidR="00624397" w:rsidRPr="00207DC2">
        <w:rPr>
          <w:lang w:val="en-AU"/>
        </w:rPr>
        <w:t>tested</w:t>
      </w:r>
      <w:r w:rsidRPr="00207DC2">
        <w:rPr>
          <w:lang w:val="en-AU"/>
        </w:rPr>
        <w:t>.</w:t>
      </w:r>
    </w:p>
    <w:p w14:paraId="4A6E13B5" w14:textId="0B5E589D" w:rsidR="00404559" w:rsidRPr="00207DC2" w:rsidRDefault="00404559" w:rsidP="00404559">
      <w:pPr>
        <w:jc w:val="both"/>
        <w:rPr>
          <w:lang w:val="en-AU"/>
        </w:rPr>
      </w:pPr>
      <w:r w:rsidRPr="00207DC2">
        <w:rPr>
          <w:lang w:val="en-AU"/>
        </w:rPr>
        <w:t xml:space="preserve">While the two sources of measurement bias identified above may lead to </w:t>
      </w:r>
      <w:r w:rsidR="00624397" w:rsidRPr="00207DC2">
        <w:rPr>
          <w:lang w:val="en-AU"/>
        </w:rPr>
        <w:t>an</w:t>
      </w:r>
      <w:r w:rsidRPr="00207DC2" w:rsidDel="00624397">
        <w:rPr>
          <w:lang w:val="en-AU"/>
        </w:rPr>
        <w:t xml:space="preserve"> </w:t>
      </w:r>
      <w:r w:rsidR="00624397" w:rsidRPr="00207DC2">
        <w:rPr>
          <w:lang w:val="en-AU"/>
        </w:rPr>
        <w:t xml:space="preserve">overestimation of </w:t>
      </w:r>
      <w:r w:rsidRPr="00207DC2">
        <w:rPr>
          <w:lang w:val="en-AU"/>
        </w:rPr>
        <w:t xml:space="preserve">any possible effect of the CDP on employment, the tighter defining of outcomes might lead to </w:t>
      </w:r>
      <w:r w:rsidR="00624397" w:rsidRPr="00207DC2">
        <w:rPr>
          <w:lang w:val="en-AU"/>
        </w:rPr>
        <w:t>an</w:t>
      </w:r>
      <w:r w:rsidRPr="00207DC2" w:rsidDel="00624397">
        <w:rPr>
          <w:lang w:val="en-AU"/>
        </w:rPr>
        <w:t xml:space="preserve"> </w:t>
      </w:r>
      <w:r w:rsidR="00624397" w:rsidRPr="00207DC2">
        <w:rPr>
          <w:lang w:val="en-AU"/>
        </w:rPr>
        <w:t xml:space="preserve">underestimation of </w:t>
      </w:r>
      <w:r w:rsidRPr="00207DC2">
        <w:rPr>
          <w:lang w:val="en-AU"/>
        </w:rPr>
        <w:t>the effect of the CDP.</w:t>
      </w:r>
    </w:p>
    <w:p w14:paraId="7BF6D49A" w14:textId="77777777" w:rsidR="00404559" w:rsidRPr="00207DC2" w:rsidRDefault="00660BF0" w:rsidP="001626EA">
      <w:pPr>
        <w:keepNext/>
        <w:jc w:val="both"/>
        <w:rPr>
          <w:lang w:val="en-AU"/>
        </w:rPr>
      </w:pPr>
      <w:r w:rsidRPr="00207DC2">
        <w:rPr>
          <w:lang w:val="en-AU"/>
        </w:rPr>
        <w:t>The</w:t>
      </w:r>
      <w:r w:rsidR="00404559" w:rsidRPr="00207DC2">
        <w:rPr>
          <w:lang w:val="en-AU"/>
        </w:rPr>
        <w:t xml:space="preserve"> analyses </w:t>
      </w:r>
      <w:r w:rsidRPr="00207DC2">
        <w:rPr>
          <w:lang w:val="en-AU"/>
        </w:rPr>
        <w:t xml:space="preserve">uses </w:t>
      </w:r>
      <w:r w:rsidR="00404559" w:rsidRPr="00207DC2">
        <w:rPr>
          <w:lang w:val="en-AU"/>
        </w:rPr>
        <w:t xml:space="preserve">two different samples of </w:t>
      </w:r>
      <w:r w:rsidR="00AF7124" w:rsidRPr="00207DC2">
        <w:rPr>
          <w:lang w:val="en-AU"/>
        </w:rPr>
        <w:t>participants</w:t>
      </w:r>
      <w:r w:rsidR="00404559" w:rsidRPr="00207DC2">
        <w:rPr>
          <w:lang w:val="en-AU"/>
        </w:rPr>
        <w:t xml:space="preserve">: </w:t>
      </w:r>
    </w:p>
    <w:p w14:paraId="47470D95" w14:textId="591B8872" w:rsidR="00404559" w:rsidRPr="00207DC2" w:rsidRDefault="00404559" w:rsidP="00F90446">
      <w:pPr>
        <w:pStyle w:val="ListParagraph"/>
        <w:numPr>
          <w:ilvl w:val="0"/>
          <w:numId w:val="13"/>
        </w:numPr>
        <w:jc w:val="both"/>
        <w:rPr>
          <w:lang w:val="en-AU"/>
        </w:rPr>
      </w:pPr>
      <w:r w:rsidRPr="00207DC2">
        <w:rPr>
          <w:i/>
          <w:lang w:val="en-AU"/>
        </w:rPr>
        <w:t>The point-in-time sample</w:t>
      </w:r>
      <w:r w:rsidRPr="00207DC2">
        <w:rPr>
          <w:lang w:val="en-AU"/>
        </w:rPr>
        <w:t xml:space="preserve"> (PIT). </w:t>
      </w:r>
      <w:r w:rsidR="00A929AF" w:rsidRPr="00207DC2">
        <w:rPr>
          <w:lang w:val="en-AU"/>
        </w:rPr>
        <w:t xml:space="preserve">This sample includes </w:t>
      </w:r>
      <w:r w:rsidR="00ED628C" w:rsidRPr="00207DC2" w:rsidDel="003B7CF5">
        <w:rPr>
          <w:lang w:val="en-AU"/>
        </w:rPr>
        <w:t>all CDP</w:t>
      </w:r>
      <w:r w:rsidR="008F33BC" w:rsidRPr="00207DC2">
        <w:rPr>
          <w:lang w:val="en-AU"/>
        </w:rPr>
        <w:t xml:space="preserve"> </w:t>
      </w:r>
      <w:r w:rsidR="00ED628C" w:rsidRPr="00207DC2" w:rsidDel="003B7CF5">
        <w:rPr>
          <w:lang w:val="en-AU"/>
        </w:rPr>
        <w:t>participants (</w:t>
      </w:r>
      <w:r w:rsidRPr="00207DC2">
        <w:rPr>
          <w:lang w:val="en-AU"/>
        </w:rPr>
        <w:t xml:space="preserve">commenced, </w:t>
      </w:r>
      <w:r w:rsidR="00FA7BD7" w:rsidRPr="00207DC2">
        <w:rPr>
          <w:lang w:val="en-AU"/>
        </w:rPr>
        <w:t>temporarily</w:t>
      </w:r>
      <w:r w:rsidR="00FA7BD7" w:rsidRPr="00207DC2" w:rsidDel="00FA7BD7">
        <w:rPr>
          <w:lang w:val="en-AU"/>
        </w:rPr>
        <w:t xml:space="preserve"> </w:t>
      </w:r>
      <w:r w:rsidR="00FA7BD7" w:rsidRPr="00207DC2">
        <w:rPr>
          <w:lang w:val="en-AU"/>
        </w:rPr>
        <w:t>exempt</w:t>
      </w:r>
      <w:r w:rsidRPr="00207DC2">
        <w:rPr>
          <w:lang w:val="en-AU"/>
        </w:rPr>
        <w:t xml:space="preserve"> or pending) on 1 January of each analysis year (</w:t>
      </w:r>
      <w:r w:rsidR="00A929AF" w:rsidRPr="00207DC2">
        <w:rPr>
          <w:lang w:val="en-AU"/>
        </w:rPr>
        <w:t xml:space="preserve">2014 for </w:t>
      </w:r>
      <w:r w:rsidR="00610752" w:rsidRPr="00207DC2">
        <w:rPr>
          <w:lang w:val="en-AU"/>
        </w:rPr>
        <w:t xml:space="preserve">the </w:t>
      </w:r>
      <w:r w:rsidR="00A929AF" w:rsidRPr="00207DC2">
        <w:rPr>
          <w:lang w:val="en-AU"/>
        </w:rPr>
        <w:t>RJCP and 2016 for</w:t>
      </w:r>
      <w:r w:rsidR="00610752" w:rsidRPr="00207DC2">
        <w:rPr>
          <w:lang w:val="en-AU"/>
        </w:rPr>
        <w:t xml:space="preserve"> the</w:t>
      </w:r>
      <w:r w:rsidR="00A929AF" w:rsidRPr="00207DC2">
        <w:rPr>
          <w:lang w:val="en-AU"/>
        </w:rPr>
        <w:t xml:space="preserve"> CDP)</w:t>
      </w:r>
      <w:r w:rsidRPr="00207DC2">
        <w:rPr>
          <w:lang w:val="en-AU"/>
        </w:rPr>
        <w:t>.</w:t>
      </w:r>
      <w:r w:rsidRPr="00207DC2" w:rsidDel="00B8209D">
        <w:rPr>
          <w:lang w:val="en-AU"/>
        </w:rPr>
        <w:t xml:space="preserve"> </w:t>
      </w:r>
    </w:p>
    <w:p w14:paraId="0BE0EDDD" w14:textId="3FCD4317" w:rsidR="00404559" w:rsidRPr="00207DC2" w:rsidRDefault="00404559" w:rsidP="00F90446">
      <w:pPr>
        <w:pStyle w:val="ListParagraph"/>
        <w:numPr>
          <w:ilvl w:val="0"/>
          <w:numId w:val="13"/>
        </w:numPr>
        <w:jc w:val="both"/>
        <w:rPr>
          <w:lang w:val="en-AU"/>
        </w:rPr>
      </w:pPr>
      <w:r w:rsidRPr="00207DC2">
        <w:rPr>
          <w:i/>
          <w:lang w:val="en-AU"/>
        </w:rPr>
        <w:t>The newly commenced sample</w:t>
      </w:r>
      <w:r w:rsidRPr="00207DC2">
        <w:rPr>
          <w:lang w:val="en-AU"/>
        </w:rPr>
        <w:t xml:space="preserve"> (NEW). The second group were not </w:t>
      </w:r>
      <w:r w:rsidR="00CB38FB" w:rsidRPr="00207DC2">
        <w:rPr>
          <w:lang w:val="en-AU"/>
        </w:rPr>
        <w:t xml:space="preserve">participating </w:t>
      </w:r>
      <w:r w:rsidRPr="00207DC2">
        <w:rPr>
          <w:lang w:val="en-AU"/>
        </w:rPr>
        <w:t>in the program on 1 January, but newly commenced between 2</w:t>
      </w:r>
      <w:r w:rsidR="00CB38FB" w:rsidRPr="00207DC2">
        <w:rPr>
          <w:lang w:val="en-AU"/>
        </w:rPr>
        <w:t> </w:t>
      </w:r>
      <w:r w:rsidRPr="00207DC2">
        <w:rPr>
          <w:lang w:val="en-AU"/>
        </w:rPr>
        <w:t>January and 30</w:t>
      </w:r>
      <w:r w:rsidR="002317B0" w:rsidRPr="00207DC2">
        <w:rPr>
          <w:lang w:val="en-AU"/>
        </w:rPr>
        <w:t> </w:t>
      </w:r>
      <w:r w:rsidRPr="00207DC2">
        <w:rPr>
          <w:lang w:val="en-AU"/>
        </w:rPr>
        <w:t xml:space="preserve">June of each year. A 90-day exclusion period was used in order to remove people who were not actually new to their program, or had been absent </w:t>
      </w:r>
      <w:r w:rsidR="004D1E6E" w:rsidRPr="00207DC2">
        <w:rPr>
          <w:lang w:val="en-AU"/>
        </w:rPr>
        <w:t xml:space="preserve">from the program only briefly. </w:t>
      </w:r>
      <w:r w:rsidRPr="00207DC2">
        <w:rPr>
          <w:lang w:val="en-AU"/>
        </w:rPr>
        <w:t xml:space="preserve">The 90-day period is also consistent with the definition of a new period of service under both </w:t>
      </w:r>
      <w:r w:rsidR="00610752" w:rsidRPr="00207DC2">
        <w:rPr>
          <w:lang w:val="en-AU"/>
        </w:rPr>
        <w:t xml:space="preserve">the </w:t>
      </w:r>
      <w:r w:rsidRPr="00207DC2">
        <w:rPr>
          <w:lang w:val="en-AU"/>
        </w:rPr>
        <w:t>CDP and jobactive, and is the maximum length that a person can be exited or</w:t>
      </w:r>
      <w:r w:rsidR="00FA7BD7" w:rsidRPr="00207DC2">
        <w:rPr>
          <w:lang w:val="en-AU"/>
        </w:rPr>
        <w:t xml:space="preserve"> temporarily exempt</w:t>
      </w:r>
      <w:r w:rsidRPr="00207DC2">
        <w:rPr>
          <w:lang w:val="en-AU"/>
        </w:rPr>
        <w:t xml:space="preserve"> from the CDP without being deemed to have to start in the program again </w:t>
      </w:r>
      <w:r w:rsidR="009433F2" w:rsidRPr="00207DC2">
        <w:rPr>
          <w:lang w:val="en-AU"/>
        </w:rPr>
        <w:t>(</w:t>
      </w:r>
      <w:r w:rsidRPr="00207DC2">
        <w:rPr>
          <w:lang w:val="en-AU"/>
        </w:rPr>
        <w:t>and</w:t>
      </w:r>
      <w:r w:rsidR="009433F2" w:rsidRPr="00207DC2">
        <w:rPr>
          <w:lang w:val="en-AU"/>
        </w:rPr>
        <w:t xml:space="preserve"> therefore</w:t>
      </w:r>
      <w:r w:rsidRPr="00207DC2">
        <w:rPr>
          <w:lang w:val="en-AU"/>
        </w:rPr>
        <w:t xml:space="preserve"> repeat the various starting activities such as completing a new JSCI assessment</w:t>
      </w:r>
      <w:r w:rsidR="009433F2" w:rsidRPr="00207DC2">
        <w:rPr>
          <w:lang w:val="en-AU"/>
        </w:rPr>
        <w:t>)</w:t>
      </w:r>
      <w:r w:rsidR="004D1E6E" w:rsidRPr="00207DC2">
        <w:rPr>
          <w:lang w:val="en-AU"/>
        </w:rPr>
        <w:t xml:space="preserve">. </w:t>
      </w:r>
    </w:p>
    <w:p w14:paraId="4F11FDDE" w14:textId="19E48537" w:rsidR="00404559" w:rsidRPr="00207DC2" w:rsidRDefault="00404559" w:rsidP="00404559">
      <w:pPr>
        <w:jc w:val="both"/>
        <w:rPr>
          <w:lang w:val="en-AU"/>
        </w:rPr>
      </w:pPr>
      <w:r w:rsidRPr="00207DC2">
        <w:rPr>
          <w:lang w:val="en-AU"/>
        </w:rPr>
        <w:t xml:space="preserve">The CDP point-in-time sample </w:t>
      </w:r>
      <w:r w:rsidR="00987F6C" w:rsidRPr="00207DC2">
        <w:rPr>
          <w:lang w:val="en-AU"/>
        </w:rPr>
        <w:t>contains 34,726 participants</w:t>
      </w:r>
      <w:r w:rsidRPr="00207DC2">
        <w:rPr>
          <w:lang w:val="en-AU"/>
        </w:rPr>
        <w:t xml:space="preserve">, while the CDP </w:t>
      </w:r>
      <w:r w:rsidR="00660BF0" w:rsidRPr="00207DC2">
        <w:rPr>
          <w:lang w:val="en-AU"/>
        </w:rPr>
        <w:t>newly commenced</w:t>
      </w:r>
      <w:r w:rsidR="00660BF0" w:rsidRPr="00207DC2" w:rsidDel="00660BF0">
        <w:rPr>
          <w:lang w:val="en-AU"/>
        </w:rPr>
        <w:t xml:space="preserve"> </w:t>
      </w:r>
      <w:r w:rsidRPr="00207DC2">
        <w:rPr>
          <w:lang w:val="en-AU"/>
        </w:rPr>
        <w:t xml:space="preserve">sample contains 9,743. For </w:t>
      </w:r>
      <w:r w:rsidR="0028792D" w:rsidRPr="00207DC2">
        <w:rPr>
          <w:lang w:val="en-AU"/>
        </w:rPr>
        <w:t>the</w:t>
      </w:r>
      <w:r w:rsidRPr="00207DC2">
        <w:rPr>
          <w:lang w:val="en-AU"/>
        </w:rPr>
        <w:t xml:space="preserve"> RJCP, the point-in-time sample</w:t>
      </w:r>
      <w:r w:rsidR="00312EC2" w:rsidRPr="00207DC2">
        <w:rPr>
          <w:lang w:val="en-AU"/>
        </w:rPr>
        <w:t xml:space="preserve"> contains 35,543 participants</w:t>
      </w:r>
      <w:r w:rsidR="00624397" w:rsidRPr="00207DC2">
        <w:rPr>
          <w:lang w:val="en-AU"/>
        </w:rPr>
        <w:t>, while t</w:t>
      </w:r>
      <w:r w:rsidRPr="00207DC2">
        <w:rPr>
          <w:lang w:val="en-AU"/>
        </w:rPr>
        <w:t xml:space="preserve">he RJCP </w:t>
      </w:r>
      <w:r w:rsidR="00660BF0" w:rsidRPr="00207DC2">
        <w:rPr>
          <w:lang w:val="en-AU"/>
        </w:rPr>
        <w:t>newly commenced</w:t>
      </w:r>
      <w:r w:rsidR="00660BF0" w:rsidRPr="00207DC2" w:rsidDel="00660BF0">
        <w:rPr>
          <w:lang w:val="en-AU"/>
        </w:rPr>
        <w:t xml:space="preserve"> </w:t>
      </w:r>
      <w:r w:rsidRPr="00207DC2">
        <w:rPr>
          <w:lang w:val="en-AU"/>
        </w:rPr>
        <w:t>sample consists of 10,745</w:t>
      </w:r>
      <w:r w:rsidR="001E6F86">
        <w:rPr>
          <w:lang w:val="en-AU"/>
        </w:rPr>
        <w:t> </w:t>
      </w:r>
      <w:r w:rsidR="00312EC2" w:rsidRPr="00207DC2">
        <w:rPr>
          <w:lang w:val="en-AU"/>
        </w:rPr>
        <w:t>participants</w:t>
      </w:r>
      <w:r w:rsidRPr="00207DC2">
        <w:rPr>
          <w:lang w:val="en-AU"/>
        </w:rPr>
        <w:t xml:space="preserve">. </w:t>
      </w:r>
    </w:p>
    <w:p w14:paraId="00450B8A" w14:textId="23D4103C" w:rsidR="00404559" w:rsidRPr="00207DC2" w:rsidRDefault="00404559" w:rsidP="00404559">
      <w:pPr>
        <w:jc w:val="both"/>
        <w:rPr>
          <w:lang w:val="en-AU"/>
        </w:rPr>
      </w:pPr>
      <w:r w:rsidRPr="00207DC2">
        <w:rPr>
          <w:lang w:val="en-AU"/>
        </w:rPr>
        <w:t xml:space="preserve">The point-in-time and </w:t>
      </w:r>
      <w:r w:rsidR="00660BF0" w:rsidRPr="00207DC2">
        <w:rPr>
          <w:lang w:val="en-AU"/>
        </w:rPr>
        <w:t>newly commenced</w:t>
      </w:r>
      <w:r w:rsidRPr="00207DC2">
        <w:rPr>
          <w:lang w:val="en-AU"/>
        </w:rPr>
        <w:t xml:space="preserve"> sample did not capture everyone who passed through the CDP program. The remaining </w:t>
      </w:r>
      <w:r w:rsidR="00385A75" w:rsidRPr="00207DC2">
        <w:rPr>
          <w:lang w:val="en-AU"/>
        </w:rPr>
        <w:t>participants</w:t>
      </w:r>
      <w:r w:rsidRPr="00207DC2">
        <w:rPr>
          <w:lang w:val="en-AU"/>
        </w:rPr>
        <w:t xml:space="preserve"> (over the </w:t>
      </w:r>
      <w:r w:rsidR="00831CC9">
        <w:rPr>
          <w:lang w:val="en-AU"/>
        </w:rPr>
        <w:t>six</w:t>
      </w:r>
      <w:r w:rsidRPr="00207DC2">
        <w:rPr>
          <w:lang w:val="en-AU"/>
        </w:rPr>
        <w:t xml:space="preserve">-month sampling period) </w:t>
      </w:r>
      <w:r w:rsidR="00385A75" w:rsidRPr="00207DC2">
        <w:rPr>
          <w:lang w:val="en-AU"/>
        </w:rPr>
        <w:t>were</w:t>
      </w:r>
      <w:r w:rsidRPr="00207DC2">
        <w:rPr>
          <w:lang w:val="en-AU"/>
        </w:rPr>
        <w:t xml:space="preserve"> </w:t>
      </w:r>
      <w:r w:rsidR="00385A75" w:rsidRPr="00207DC2">
        <w:rPr>
          <w:lang w:val="en-AU"/>
        </w:rPr>
        <w:t>grouped</w:t>
      </w:r>
      <w:r w:rsidRPr="00207DC2">
        <w:rPr>
          <w:lang w:val="en-AU"/>
        </w:rPr>
        <w:t xml:space="preserve"> and analysed in a third sample. The results for this third sample are not materially different from the other sample</w:t>
      </w:r>
      <w:r w:rsidR="00424DE6" w:rsidRPr="00207DC2">
        <w:rPr>
          <w:lang w:val="en-AU"/>
        </w:rPr>
        <w:t>s</w:t>
      </w:r>
      <w:r w:rsidRPr="00207DC2">
        <w:rPr>
          <w:lang w:val="en-AU"/>
        </w:rPr>
        <w:t>. Th</w:t>
      </w:r>
      <w:r w:rsidR="002317B0" w:rsidRPr="00207DC2">
        <w:rPr>
          <w:lang w:val="en-AU"/>
        </w:rPr>
        <w:t>is third sample contained 4,631 </w:t>
      </w:r>
      <w:r w:rsidR="00312EC2" w:rsidRPr="00207DC2">
        <w:rPr>
          <w:lang w:val="en-AU"/>
        </w:rPr>
        <w:t>participants</w:t>
      </w:r>
      <w:r w:rsidRPr="00207DC2">
        <w:rPr>
          <w:lang w:val="en-AU"/>
        </w:rPr>
        <w:t xml:space="preserve"> for </w:t>
      </w:r>
      <w:r w:rsidR="00610752" w:rsidRPr="00207DC2">
        <w:rPr>
          <w:lang w:val="en-AU"/>
        </w:rPr>
        <w:t xml:space="preserve">the </w:t>
      </w:r>
      <w:r w:rsidRPr="00207DC2">
        <w:rPr>
          <w:lang w:val="en-AU"/>
        </w:rPr>
        <w:t>CDP and 4,950</w:t>
      </w:r>
      <w:r w:rsidR="00312EC2" w:rsidRPr="00207DC2">
        <w:rPr>
          <w:lang w:val="en-AU"/>
        </w:rPr>
        <w:t> participants</w:t>
      </w:r>
      <w:r w:rsidRPr="00207DC2">
        <w:rPr>
          <w:lang w:val="en-AU"/>
        </w:rPr>
        <w:t xml:space="preserve"> for</w:t>
      </w:r>
      <w:r w:rsidR="00610752" w:rsidRPr="00207DC2">
        <w:rPr>
          <w:lang w:val="en-AU"/>
        </w:rPr>
        <w:t xml:space="preserve"> the</w:t>
      </w:r>
      <w:r w:rsidRPr="00207DC2">
        <w:rPr>
          <w:lang w:val="en-AU"/>
        </w:rPr>
        <w:t xml:space="preserve"> RJCP. </w:t>
      </w:r>
    </w:p>
    <w:p w14:paraId="73D85118" w14:textId="4695ACE2" w:rsidR="00404559" w:rsidRPr="00207DC2" w:rsidRDefault="00404559" w:rsidP="00404559">
      <w:pPr>
        <w:jc w:val="both"/>
        <w:rPr>
          <w:lang w:val="en-AU"/>
        </w:rPr>
      </w:pPr>
      <w:r w:rsidRPr="00207DC2">
        <w:rPr>
          <w:lang w:val="en-AU"/>
        </w:rPr>
        <w:t xml:space="preserve">The jobactive data were provided by </w:t>
      </w:r>
      <w:r w:rsidRPr="00207DC2" w:rsidDel="00C12064">
        <w:rPr>
          <w:lang w:val="en-AU"/>
        </w:rPr>
        <w:t xml:space="preserve">Department of </w:t>
      </w:r>
      <w:r w:rsidR="00C12064" w:rsidRPr="00207DC2">
        <w:rPr>
          <w:lang w:val="en-AU"/>
        </w:rPr>
        <w:t>Jobs and Small Business</w:t>
      </w:r>
      <w:r w:rsidRPr="00207DC2">
        <w:rPr>
          <w:lang w:val="en-AU"/>
        </w:rPr>
        <w:t xml:space="preserve"> to match the point-in-time and </w:t>
      </w:r>
      <w:r w:rsidR="00660BF0" w:rsidRPr="00207DC2">
        <w:rPr>
          <w:lang w:val="en-AU"/>
        </w:rPr>
        <w:t>newly commenced</w:t>
      </w:r>
      <w:r w:rsidR="00660BF0" w:rsidRPr="00207DC2" w:rsidDel="00660BF0">
        <w:rPr>
          <w:lang w:val="en-AU"/>
        </w:rPr>
        <w:t xml:space="preserve"> </w:t>
      </w:r>
      <w:r w:rsidRPr="00207DC2">
        <w:rPr>
          <w:lang w:val="en-AU"/>
        </w:rPr>
        <w:t xml:space="preserve">samples. </w:t>
      </w:r>
    </w:p>
    <w:p w14:paraId="799C8C0D" w14:textId="77777777" w:rsidR="00641AC5" w:rsidRPr="008050A9" w:rsidRDefault="00641AC5" w:rsidP="008406DD">
      <w:pPr>
        <w:pStyle w:val="zed77"/>
        <w:outlineLvl w:val="2"/>
      </w:pPr>
      <w:bookmarkStart w:id="799" w:name="_Toc533064493"/>
      <w:bookmarkStart w:id="800" w:name="_Toc534965181"/>
      <w:bookmarkStart w:id="801" w:name="_Toc535935078"/>
      <w:r w:rsidRPr="008050A9">
        <w:t>Employment Outcome variables</w:t>
      </w:r>
      <w:bookmarkEnd w:id="799"/>
      <w:bookmarkEnd w:id="800"/>
      <w:bookmarkEnd w:id="801"/>
    </w:p>
    <w:p w14:paraId="05B5D752" w14:textId="77777777" w:rsidR="00641AC5" w:rsidRPr="00207DC2" w:rsidRDefault="00641AC5" w:rsidP="00641AC5">
      <w:pPr>
        <w:jc w:val="both"/>
        <w:rPr>
          <w:lang w:val="en-AU"/>
        </w:rPr>
      </w:pPr>
      <w:r w:rsidRPr="00207DC2">
        <w:rPr>
          <w:lang w:val="en-AU"/>
        </w:rPr>
        <w:t xml:space="preserve">Three variables from the administrative data were used as outcomes for these analyses. </w:t>
      </w:r>
    </w:p>
    <w:p w14:paraId="2C121D5D" w14:textId="47EFCCFA" w:rsidR="00641AC5" w:rsidRPr="00207DC2" w:rsidRDefault="003332FC" w:rsidP="00F90446">
      <w:pPr>
        <w:pStyle w:val="ListParagraph"/>
        <w:numPr>
          <w:ilvl w:val="0"/>
          <w:numId w:val="13"/>
        </w:numPr>
        <w:jc w:val="both"/>
        <w:rPr>
          <w:lang w:val="en-AU"/>
        </w:rPr>
      </w:pPr>
      <w:r>
        <w:rPr>
          <w:lang w:val="en-AU"/>
        </w:rPr>
        <w:t xml:space="preserve">Job placements – </w:t>
      </w:r>
      <w:r w:rsidR="00641AC5" w:rsidRPr="00207DC2">
        <w:rPr>
          <w:lang w:val="en-AU"/>
        </w:rPr>
        <w:t>any job in the period between the starting date in these data (January 1 for the PIT sample, actual commencement date for the newly commenced</w:t>
      </w:r>
      <w:r w:rsidR="00641AC5" w:rsidRPr="00207DC2" w:rsidDel="00660BF0">
        <w:rPr>
          <w:lang w:val="en-AU"/>
        </w:rPr>
        <w:t xml:space="preserve"> </w:t>
      </w:r>
      <w:r w:rsidR="00641AC5" w:rsidRPr="00207DC2">
        <w:rPr>
          <w:lang w:val="en-AU"/>
        </w:rPr>
        <w:t xml:space="preserve">sample) and June 30 of the following year. </w:t>
      </w:r>
    </w:p>
    <w:p w14:paraId="4DFD3195" w14:textId="314678A3" w:rsidR="00641AC5" w:rsidRPr="00207DC2" w:rsidRDefault="00641AC5" w:rsidP="00F90446">
      <w:pPr>
        <w:pStyle w:val="ListParagraph"/>
        <w:numPr>
          <w:ilvl w:val="0"/>
          <w:numId w:val="13"/>
        </w:numPr>
        <w:jc w:val="both"/>
        <w:rPr>
          <w:lang w:val="en-AU"/>
        </w:rPr>
      </w:pPr>
      <w:r w:rsidRPr="00207DC2">
        <w:rPr>
          <w:lang w:val="en-AU"/>
        </w:rPr>
        <w:t>13-week outcomes</w:t>
      </w:r>
      <w:r w:rsidR="003332FC">
        <w:rPr>
          <w:lang w:val="en-AU"/>
        </w:rPr>
        <w:t xml:space="preserve"> – </w:t>
      </w:r>
      <w:r w:rsidRPr="00207DC2">
        <w:rPr>
          <w:lang w:val="en-AU"/>
        </w:rPr>
        <w:t>at least one 13-week outcome in the study period (noting this was changed to 12-week outcome under jobactive).</w:t>
      </w:r>
    </w:p>
    <w:p w14:paraId="0563EED5" w14:textId="3AA0470F" w:rsidR="00641AC5" w:rsidRPr="00207DC2" w:rsidRDefault="00641AC5" w:rsidP="00F90446">
      <w:pPr>
        <w:pStyle w:val="ListParagraph"/>
        <w:numPr>
          <w:ilvl w:val="0"/>
          <w:numId w:val="13"/>
        </w:numPr>
        <w:jc w:val="both"/>
        <w:rPr>
          <w:lang w:val="en-AU"/>
        </w:rPr>
      </w:pPr>
      <w:r w:rsidRPr="00207DC2">
        <w:rPr>
          <w:lang w:val="en-AU"/>
        </w:rPr>
        <w:t>26-week outcomes</w:t>
      </w:r>
      <w:r w:rsidR="003332FC">
        <w:rPr>
          <w:lang w:val="en-AU"/>
        </w:rPr>
        <w:t xml:space="preserve"> – </w:t>
      </w:r>
      <w:r w:rsidRPr="00207DC2">
        <w:rPr>
          <w:lang w:val="en-AU"/>
        </w:rPr>
        <w:t xml:space="preserve">at least one 26-week outcome in the study period. </w:t>
      </w:r>
    </w:p>
    <w:p w14:paraId="71B6B0A9" w14:textId="77777777" w:rsidR="00641AC5" w:rsidRPr="008050A9" w:rsidRDefault="00641AC5" w:rsidP="008406DD">
      <w:pPr>
        <w:pStyle w:val="zed77"/>
        <w:outlineLvl w:val="2"/>
      </w:pPr>
      <w:bookmarkStart w:id="802" w:name="_Toc533064494"/>
      <w:bookmarkStart w:id="803" w:name="_Toc534965182"/>
      <w:bookmarkStart w:id="804" w:name="_Toc535935079"/>
      <w:r w:rsidRPr="008050A9">
        <w:t>Control variables</w:t>
      </w:r>
      <w:bookmarkEnd w:id="802"/>
      <w:bookmarkEnd w:id="803"/>
      <w:bookmarkEnd w:id="804"/>
    </w:p>
    <w:p w14:paraId="08A430F2" w14:textId="7725B52E" w:rsidR="00641AC5" w:rsidRPr="00207DC2" w:rsidRDefault="00641AC5" w:rsidP="00641AC5">
      <w:pPr>
        <w:spacing w:after="120"/>
        <w:jc w:val="both"/>
        <w:rPr>
          <w:lang w:val="en-AU"/>
        </w:rPr>
      </w:pPr>
      <w:r w:rsidRPr="00207DC2">
        <w:rPr>
          <w:lang w:val="en-AU"/>
        </w:rPr>
        <w:t>The control variables come from the administrative data. Further ‘regional’ variables (including small area unemployment rates) were assigned based on the participant’s home address. The analyses use data about the characteristics of these participants at the time they commenced on the programs, namely:</w:t>
      </w:r>
    </w:p>
    <w:p w14:paraId="1DF6569C" w14:textId="58B220DD" w:rsidR="00641AC5" w:rsidRPr="00207DC2" w:rsidRDefault="00831CC9" w:rsidP="00F90446">
      <w:pPr>
        <w:pStyle w:val="ListParagraph"/>
        <w:numPr>
          <w:ilvl w:val="0"/>
          <w:numId w:val="14"/>
        </w:numPr>
        <w:jc w:val="both"/>
        <w:rPr>
          <w:lang w:val="en-AU"/>
        </w:rPr>
      </w:pPr>
      <w:r>
        <w:rPr>
          <w:lang w:val="en-AU"/>
        </w:rPr>
        <w:t>g</w:t>
      </w:r>
      <w:r w:rsidR="00641AC5" w:rsidRPr="00207DC2">
        <w:rPr>
          <w:lang w:val="en-AU"/>
        </w:rPr>
        <w:t xml:space="preserve">ender, age and Indigenous status </w:t>
      </w:r>
    </w:p>
    <w:p w14:paraId="0E6555F9" w14:textId="77777777" w:rsidR="00641AC5" w:rsidRPr="00207DC2" w:rsidRDefault="00641AC5" w:rsidP="00F90446">
      <w:pPr>
        <w:pStyle w:val="ListParagraph"/>
        <w:numPr>
          <w:ilvl w:val="0"/>
          <w:numId w:val="14"/>
        </w:numPr>
        <w:jc w:val="both"/>
        <w:rPr>
          <w:lang w:val="en-AU"/>
        </w:rPr>
      </w:pPr>
      <w:r w:rsidRPr="00207DC2">
        <w:rPr>
          <w:lang w:val="en-AU"/>
        </w:rPr>
        <w:t>Job Search Classification Instrument (JSCI) score and associated data collected during its assessment most recently prior to commencing on the programs. These included data about homelessness, disability, education level, literacy, transport disadvantage (Table B.1)</w:t>
      </w:r>
    </w:p>
    <w:p w14:paraId="609FE6E1" w14:textId="3672F28F" w:rsidR="00641AC5" w:rsidRPr="00207DC2" w:rsidRDefault="00831CC9" w:rsidP="00F90446">
      <w:pPr>
        <w:pStyle w:val="ListParagraph"/>
        <w:numPr>
          <w:ilvl w:val="0"/>
          <w:numId w:val="14"/>
        </w:numPr>
        <w:jc w:val="both"/>
        <w:rPr>
          <w:lang w:val="en-AU"/>
        </w:rPr>
      </w:pPr>
      <w:r>
        <w:rPr>
          <w:lang w:val="en-AU"/>
        </w:rPr>
        <w:t>w</w:t>
      </w:r>
      <w:r w:rsidR="00641AC5" w:rsidRPr="00207DC2">
        <w:rPr>
          <w:lang w:val="en-AU"/>
        </w:rPr>
        <w:t xml:space="preserve">hether a participant was on an </w:t>
      </w:r>
      <w:r w:rsidR="00903A7A">
        <w:rPr>
          <w:lang w:val="en-AU"/>
        </w:rPr>
        <w:t>activity-tested</w:t>
      </w:r>
      <w:r w:rsidR="00641AC5" w:rsidRPr="00207DC2">
        <w:rPr>
          <w:lang w:val="en-AU"/>
        </w:rPr>
        <w:t xml:space="preserve"> benefit</w:t>
      </w:r>
    </w:p>
    <w:p w14:paraId="71693322" w14:textId="77777777" w:rsidR="00641AC5" w:rsidRPr="00207DC2" w:rsidRDefault="00641AC5" w:rsidP="00F90446">
      <w:pPr>
        <w:pStyle w:val="ListParagraph"/>
        <w:numPr>
          <w:ilvl w:val="0"/>
          <w:numId w:val="14"/>
        </w:numPr>
        <w:jc w:val="both"/>
        <w:rPr>
          <w:lang w:val="en-AU"/>
        </w:rPr>
      </w:pPr>
      <w:r w:rsidRPr="00207DC2">
        <w:rPr>
          <w:lang w:val="en-AU"/>
        </w:rPr>
        <w:t>CDP region where they were registered</w:t>
      </w:r>
    </w:p>
    <w:p w14:paraId="6BDB80AE" w14:textId="02A2313F" w:rsidR="00641AC5" w:rsidRPr="00207DC2" w:rsidRDefault="00831CC9" w:rsidP="00F90446">
      <w:pPr>
        <w:pStyle w:val="ListParagraph"/>
        <w:numPr>
          <w:ilvl w:val="0"/>
          <w:numId w:val="14"/>
        </w:numPr>
        <w:jc w:val="both"/>
        <w:rPr>
          <w:lang w:val="en-AU"/>
        </w:rPr>
      </w:pPr>
      <w:r>
        <w:rPr>
          <w:lang w:val="en-AU"/>
        </w:rPr>
        <w:t>w</w:t>
      </w:r>
      <w:r w:rsidR="00641AC5" w:rsidRPr="00207DC2">
        <w:rPr>
          <w:lang w:val="en-AU"/>
        </w:rPr>
        <w:t>hether the CDP/RJCP provider was an Indigenous provider</w:t>
      </w:r>
    </w:p>
    <w:p w14:paraId="5EE4919D" w14:textId="2D8934F9" w:rsidR="00641AC5" w:rsidRPr="00207DC2" w:rsidRDefault="00831CC9" w:rsidP="00F90446">
      <w:pPr>
        <w:pStyle w:val="ListParagraph"/>
        <w:numPr>
          <w:ilvl w:val="0"/>
          <w:numId w:val="14"/>
        </w:numPr>
        <w:jc w:val="both"/>
        <w:rPr>
          <w:lang w:val="en-AU"/>
        </w:rPr>
      </w:pPr>
      <w:r>
        <w:rPr>
          <w:lang w:val="en-AU"/>
        </w:rPr>
        <w:t>t</w:t>
      </w:r>
      <w:r w:rsidR="00641AC5" w:rsidRPr="00207DC2">
        <w:rPr>
          <w:lang w:val="en-AU"/>
        </w:rPr>
        <w:t>he percentage of time since 1998 (or coming of working age for those younger than 35 years) that a participant was on income support prior to commencing on their employment program (calculated from income support payments data). For participants who were working age prior to 1998, these data are incomplete in the payment’s system – which only contains data back to 1998.</w:t>
      </w:r>
    </w:p>
    <w:p w14:paraId="771646F8" w14:textId="01B31E5D" w:rsidR="00641AC5" w:rsidRPr="00207DC2" w:rsidRDefault="00641AC5" w:rsidP="00641AC5">
      <w:pPr>
        <w:jc w:val="both"/>
        <w:rPr>
          <w:lang w:val="en-AU"/>
        </w:rPr>
      </w:pPr>
      <w:r w:rsidRPr="00207DC2">
        <w:rPr>
          <w:lang w:val="en-AU"/>
        </w:rPr>
        <w:t>Unemployment rates – the unemployment rate of the Statistical Area 2 in which the job seeker lived (Using SALM data) for the first quarter of 2014 (for the RJCP sample) and the first quarter of 2016 (for the CDP sample).</w:t>
      </w:r>
    </w:p>
    <w:p w14:paraId="7F800273" w14:textId="77777777" w:rsidR="00404559" w:rsidRPr="00207DC2" w:rsidRDefault="00404559" w:rsidP="00FB626D">
      <w:pPr>
        <w:pStyle w:val="Table"/>
        <w:numPr>
          <w:ilvl w:val="0"/>
          <w:numId w:val="0"/>
        </w:numPr>
        <w:outlineLvl w:val="9"/>
      </w:pPr>
      <w:r w:rsidRPr="00207DC2">
        <w:t xml:space="preserve">Table C.1 Proportions of </w:t>
      </w:r>
      <w:r w:rsidR="007402F4" w:rsidRPr="00207DC2">
        <w:t xml:space="preserve">participants </w:t>
      </w:r>
      <w:r w:rsidRPr="00207DC2">
        <w:t xml:space="preserve">by sample and </w:t>
      </w:r>
      <w:r w:rsidR="008B05BB" w:rsidRPr="00207DC2">
        <w:t xml:space="preserve">participant </w:t>
      </w:r>
      <w:r w:rsidRPr="00207DC2">
        <w:t>characteristic</w:t>
      </w:r>
    </w:p>
    <w:tbl>
      <w:tblPr>
        <w:tblStyle w:val="PlainTable21"/>
        <w:tblW w:w="9351" w:type="dxa"/>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Proportion of participants by sample and participant characteristic"/>
        <w:tblDescription w:val="The table breaks down the point in time and new cohorts of participants in both the RJCP and the CDP by JSCI, age group and sex, with mean values of age and JSCI score. "/>
      </w:tblPr>
      <w:tblGrid>
        <w:gridCol w:w="1531"/>
        <w:gridCol w:w="1696"/>
        <w:gridCol w:w="1531"/>
        <w:gridCol w:w="1531"/>
        <w:gridCol w:w="1531"/>
        <w:gridCol w:w="1531"/>
      </w:tblGrid>
      <w:tr w:rsidR="00404559" w:rsidRPr="00207DC2" w14:paraId="42CAE65C"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1" w:type="dxa"/>
            <w:tcBorders>
              <w:top w:val="single" w:sz="4" w:space="0" w:color="auto"/>
              <w:bottom w:val="nil"/>
            </w:tcBorders>
          </w:tcPr>
          <w:p w14:paraId="6CEAEBB6" w14:textId="77777777" w:rsidR="00404559" w:rsidRPr="00207DC2" w:rsidRDefault="00404559" w:rsidP="00FB626D">
            <w:pPr>
              <w:pStyle w:val="TableText"/>
              <w:rPr>
                <w:lang w:val="en-AU"/>
              </w:rPr>
            </w:pPr>
          </w:p>
        </w:tc>
        <w:tc>
          <w:tcPr>
            <w:tcW w:w="1696" w:type="dxa"/>
            <w:tcBorders>
              <w:top w:val="single" w:sz="4" w:space="0" w:color="auto"/>
              <w:bottom w:val="nil"/>
            </w:tcBorders>
          </w:tcPr>
          <w:p w14:paraId="0B61A1BA" w14:textId="77777777" w:rsidR="00404559" w:rsidRPr="00207DC2" w:rsidRDefault="00404559" w:rsidP="00FB626D">
            <w:pPr>
              <w:pStyle w:val="TableText"/>
              <w:cnfStyle w:val="100000000000" w:firstRow="1" w:lastRow="0" w:firstColumn="0" w:lastColumn="0" w:oddVBand="0" w:evenVBand="0" w:oddHBand="0" w:evenHBand="0" w:firstRowFirstColumn="0" w:firstRowLastColumn="0" w:lastRowFirstColumn="0" w:lastRowLastColumn="0"/>
              <w:rPr>
                <w:lang w:val="en-AU"/>
              </w:rPr>
            </w:pPr>
          </w:p>
        </w:tc>
        <w:tc>
          <w:tcPr>
            <w:tcW w:w="3062" w:type="dxa"/>
            <w:gridSpan w:val="2"/>
            <w:tcBorders>
              <w:top w:val="single" w:sz="4" w:space="0" w:color="auto"/>
              <w:bottom w:val="nil"/>
            </w:tcBorders>
          </w:tcPr>
          <w:p w14:paraId="3B8612BE" w14:textId="77777777" w:rsidR="00404559" w:rsidRPr="00207DC2" w:rsidRDefault="00404559" w:rsidP="00FB626D">
            <w:pPr>
              <w:pStyle w:val="TableText"/>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RJCP, 2014</w:t>
            </w:r>
          </w:p>
        </w:tc>
        <w:tc>
          <w:tcPr>
            <w:tcW w:w="3062" w:type="dxa"/>
            <w:gridSpan w:val="2"/>
            <w:tcBorders>
              <w:top w:val="single" w:sz="4" w:space="0" w:color="auto"/>
              <w:bottom w:val="nil"/>
            </w:tcBorders>
          </w:tcPr>
          <w:p w14:paraId="2189E961" w14:textId="77777777" w:rsidR="00404559" w:rsidRPr="00207DC2" w:rsidRDefault="00404559" w:rsidP="00FB626D">
            <w:pPr>
              <w:pStyle w:val="TableText"/>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CDP, 2016</w:t>
            </w:r>
          </w:p>
        </w:tc>
      </w:tr>
      <w:tr w:rsidR="00404559" w:rsidRPr="00207DC2" w14:paraId="4F28E305" w14:textId="77777777" w:rsidTr="00BA1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nil"/>
            </w:tcBorders>
          </w:tcPr>
          <w:p w14:paraId="7CF43321" w14:textId="77777777" w:rsidR="00404559" w:rsidRPr="00207DC2" w:rsidRDefault="00404559" w:rsidP="00FB626D">
            <w:pPr>
              <w:pStyle w:val="TableText"/>
              <w:rPr>
                <w:lang w:val="en-AU"/>
              </w:rPr>
            </w:pPr>
          </w:p>
        </w:tc>
        <w:tc>
          <w:tcPr>
            <w:tcW w:w="1696" w:type="dxa"/>
            <w:tcBorders>
              <w:top w:val="nil"/>
              <w:bottom w:val="single" w:sz="4" w:space="0" w:color="262626" w:themeColor="background1"/>
            </w:tcBorders>
          </w:tcPr>
          <w:p w14:paraId="3F5A85C7" w14:textId="77777777" w:rsidR="00404559" w:rsidRPr="00207DC2" w:rsidRDefault="00404559" w:rsidP="00FB626D">
            <w:pPr>
              <w:pStyle w:val="TableText"/>
              <w:jc w:val="both"/>
              <w:cnfStyle w:val="000000100000" w:firstRow="0" w:lastRow="0" w:firstColumn="0" w:lastColumn="0" w:oddVBand="0" w:evenVBand="0" w:oddHBand="1" w:evenHBand="0" w:firstRowFirstColumn="0" w:firstRowLastColumn="0" w:lastRowFirstColumn="0" w:lastRowLastColumn="0"/>
              <w:rPr>
                <w:b/>
                <w:lang w:val="en-AU"/>
              </w:rPr>
            </w:pPr>
            <w:r w:rsidRPr="00207DC2">
              <w:rPr>
                <w:b/>
                <w:lang w:val="en-AU"/>
              </w:rPr>
              <w:t>Cohort</w:t>
            </w:r>
          </w:p>
        </w:tc>
        <w:tc>
          <w:tcPr>
            <w:tcW w:w="1531" w:type="dxa"/>
            <w:tcBorders>
              <w:top w:val="nil"/>
              <w:bottom w:val="single" w:sz="4" w:space="0" w:color="262626" w:themeColor="background1"/>
            </w:tcBorders>
          </w:tcPr>
          <w:p w14:paraId="0ECB08D3" w14:textId="77777777" w:rsidR="00404559" w:rsidRPr="00207DC2" w:rsidRDefault="00404559" w:rsidP="00FB626D">
            <w:pPr>
              <w:pStyle w:val="TableText"/>
              <w:jc w:val="both"/>
              <w:cnfStyle w:val="000000100000" w:firstRow="0" w:lastRow="0" w:firstColumn="0" w:lastColumn="0" w:oddVBand="0" w:evenVBand="0" w:oddHBand="1" w:evenHBand="0" w:firstRowFirstColumn="0" w:firstRowLastColumn="0" w:lastRowFirstColumn="0" w:lastRowLastColumn="0"/>
              <w:rPr>
                <w:b/>
                <w:lang w:val="en-AU"/>
              </w:rPr>
            </w:pPr>
            <w:r w:rsidRPr="00207DC2">
              <w:rPr>
                <w:b/>
                <w:lang w:val="en-AU"/>
              </w:rPr>
              <w:t>NEW</w:t>
            </w:r>
          </w:p>
        </w:tc>
        <w:tc>
          <w:tcPr>
            <w:tcW w:w="1531" w:type="dxa"/>
            <w:tcBorders>
              <w:top w:val="nil"/>
              <w:bottom w:val="single" w:sz="4" w:space="0" w:color="262626" w:themeColor="background1"/>
            </w:tcBorders>
          </w:tcPr>
          <w:p w14:paraId="1E1E3EDA" w14:textId="77777777" w:rsidR="00404559" w:rsidRPr="00207DC2" w:rsidRDefault="00404559" w:rsidP="00FB626D">
            <w:pPr>
              <w:pStyle w:val="TableText"/>
              <w:jc w:val="both"/>
              <w:cnfStyle w:val="000000100000" w:firstRow="0" w:lastRow="0" w:firstColumn="0" w:lastColumn="0" w:oddVBand="0" w:evenVBand="0" w:oddHBand="1" w:evenHBand="0" w:firstRowFirstColumn="0" w:firstRowLastColumn="0" w:lastRowFirstColumn="0" w:lastRowLastColumn="0"/>
              <w:rPr>
                <w:b/>
                <w:lang w:val="en-AU"/>
              </w:rPr>
            </w:pPr>
            <w:r w:rsidRPr="00207DC2">
              <w:rPr>
                <w:b/>
                <w:lang w:val="en-AU"/>
              </w:rPr>
              <w:t>PIT</w:t>
            </w:r>
          </w:p>
        </w:tc>
        <w:tc>
          <w:tcPr>
            <w:tcW w:w="1531" w:type="dxa"/>
            <w:tcBorders>
              <w:top w:val="nil"/>
              <w:bottom w:val="single" w:sz="4" w:space="0" w:color="262626" w:themeColor="background1"/>
            </w:tcBorders>
          </w:tcPr>
          <w:p w14:paraId="095DED84" w14:textId="77777777" w:rsidR="00404559" w:rsidRPr="00207DC2" w:rsidRDefault="00404559" w:rsidP="00FB626D">
            <w:pPr>
              <w:pStyle w:val="TableText"/>
              <w:jc w:val="both"/>
              <w:cnfStyle w:val="000000100000" w:firstRow="0" w:lastRow="0" w:firstColumn="0" w:lastColumn="0" w:oddVBand="0" w:evenVBand="0" w:oddHBand="1" w:evenHBand="0" w:firstRowFirstColumn="0" w:firstRowLastColumn="0" w:lastRowFirstColumn="0" w:lastRowLastColumn="0"/>
              <w:rPr>
                <w:b/>
                <w:lang w:val="en-AU"/>
              </w:rPr>
            </w:pPr>
            <w:r w:rsidRPr="00207DC2">
              <w:rPr>
                <w:b/>
                <w:lang w:val="en-AU"/>
              </w:rPr>
              <w:t>NEW</w:t>
            </w:r>
          </w:p>
        </w:tc>
        <w:tc>
          <w:tcPr>
            <w:tcW w:w="1531" w:type="dxa"/>
            <w:tcBorders>
              <w:top w:val="nil"/>
              <w:bottom w:val="single" w:sz="4" w:space="0" w:color="262626" w:themeColor="background1"/>
            </w:tcBorders>
          </w:tcPr>
          <w:p w14:paraId="736D9CE5" w14:textId="77777777" w:rsidR="00404559" w:rsidRPr="00207DC2" w:rsidRDefault="00404559" w:rsidP="00FB626D">
            <w:pPr>
              <w:pStyle w:val="TableText"/>
              <w:jc w:val="both"/>
              <w:cnfStyle w:val="000000100000" w:firstRow="0" w:lastRow="0" w:firstColumn="0" w:lastColumn="0" w:oddVBand="0" w:evenVBand="0" w:oddHBand="1" w:evenHBand="0" w:firstRowFirstColumn="0" w:firstRowLastColumn="0" w:lastRowFirstColumn="0" w:lastRowLastColumn="0"/>
              <w:rPr>
                <w:b/>
                <w:lang w:val="en-AU"/>
              </w:rPr>
            </w:pPr>
            <w:r w:rsidRPr="00207DC2">
              <w:rPr>
                <w:b/>
                <w:lang w:val="en-AU"/>
              </w:rPr>
              <w:t>PIT</w:t>
            </w:r>
          </w:p>
        </w:tc>
      </w:tr>
      <w:tr w:rsidR="00404559" w:rsidRPr="00207DC2" w14:paraId="30CAAB99"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val="restart"/>
            <w:vAlign w:val="center"/>
          </w:tcPr>
          <w:p w14:paraId="6E9A0AF5" w14:textId="77777777" w:rsidR="00404559" w:rsidRPr="00207DC2" w:rsidRDefault="00404559" w:rsidP="00FB626D">
            <w:pPr>
              <w:pStyle w:val="TableText"/>
              <w:rPr>
                <w:lang w:val="en-AU"/>
              </w:rPr>
            </w:pPr>
            <w:r w:rsidRPr="00207DC2">
              <w:rPr>
                <w:lang w:val="en-AU"/>
              </w:rPr>
              <w:t xml:space="preserve">JSCI </w:t>
            </w:r>
            <w:r w:rsidR="00BD724E" w:rsidRPr="00207DC2">
              <w:rPr>
                <w:lang w:val="en-AU"/>
              </w:rPr>
              <w:t xml:space="preserve">group </w:t>
            </w:r>
            <w:r w:rsidRPr="00207DC2">
              <w:rPr>
                <w:lang w:val="en-AU"/>
              </w:rPr>
              <w:t>%</w:t>
            </w:r>
          </w:p>
        </w:tc>
        <w:tc>
          <w:tcPr>
            <w:tcW w:w="1696" w:type="dxa"/>
            <w:tcBorders>
              <w:bottom w:val="nil"/>
            </w:tcBorders>
          </w:tcPr>
          <w:p w14:paraId="26A35889" w14:textId="77777777" w:rsidR="00404559" w:rsidRPr="00207DC2" w:rsidRDefault="00BD724E"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low barriers</w:t>
            </w:r>
          </w:p>
        </w:tc>
        <w:tc>
          <w:tcPr>
            <w:tcW w:w="1531" w:type="dxa"/>
            <w:tcBorders>
              <w:bottom w:val="nil"/>
            </w:tcBorders>
          </w:tcPr>
          <w:p w14:paraId="6388393D"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20.2</w:t>
            </w:r>
          </w:p>
        </w:tc>
        <w:tc>
          <w:tcPr>
            <w:tcW w:w="1531" w:type="dxa"/>
            <w:tcBorders>
              <w:bottom w:val="nil"/>
            </w:tcBorders>
          </w:tcPr>
          <w:p w14:paraId="7C08BF36"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8.5</w:t>
            </w:r>
          </w:p>
        </w:tc>
        <w:tc>
          <w:tcPr>
            <w:tcW w:w="1531" w:type="dxa"/>
            <w:tcBorders>
              <w:bottom w:val="nil"/>
            </w:tcBorders>
          </w:tcPr>
          <w:p w14:paraId="769C6397"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18.6</w:t>
            </w:r>
          </w:p>
        </w:tc>
        <w:tc>
          <w:tcPr>
            <w:tcW w:w="1531" w:type="dxa"/>
            <w:tcBorders>
              <w:bottom w:val="nil"/>
            </w:tcBorders>
          </w:tcPr>
          <w:p w14:paraId="68A58420"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8.8</w:t>
            </w:r>
          </w:p>
        </w:tc>
      </w:tr>
      <w:tr w:rsidR="00404559" w:rsidRPr="00207DC2" w14:paraId="1F3BF490"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Pr>
          <w:p w14:paraId="6A25DC9A" w14:textId="77777777" w:rsidR="00404559" w:rsidRPr="00207DC2" w:rsidRDefault="00404559" w:rsidP="00FB626D">
            <w:pPr>
              <w:pStyle w:val="TableText"/>
              <w:rPr>
                <w:lang w:val="en-AU"/>
              </w:rPr>
            </w:pPr>
          </w:p>
        </w:tc>
        <w:tc>
          <w:tcPr>
            <w:tcW w:w="1696" w:type="dxa"/>
            <w:tcBorders>
              <w:top w:val="nil"/>
              <w:bottom w:val="nil"/>
            </w:tcBorders>
          </w:tcPr>
          <w:p w14:paraId="498CFFD9" w14:textId="77777777" w:rsidR="00404559" w:rsidRPr="00207DC2" w:rsidRDefault="00BD724E"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mild barriers</w:t>
            </w:r>
          </w:p>
        </w:tc>
        <w:tc>
          <w:tcPr>
            <w:tcW w:w="1531" w:type="dxa"/>
            <w:tcBorders>
              <w:top w:val="nil"/>
              <w:bottom w:val="nil"/>
            </w:tcBorders>
          </w:tcPr>
          <w:p w14:paraId="414003FE"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27.5</w:t>
            </w:r>
          </w:p>
        </w:tc>
        <w:tc>
          <w:tcPr>
            <w:tcW w:w="1531" w:type="dxa"/>
            <w:tcBorders>
              <w:top w:val="nil"/>
              <w:bottom w:val="nil"/>
            </w:tcBorders>
          </w:tcPr>
          <w:p w14:paraId="4FE61125"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19.5</w:t>
            </w:r>
          </w:p>
        </w:tc>
        <w:tc>
          <w:tcPr>
            <w:tcW w:w="1531" w:type="dxa"/>
            <w:tcBorders>
              <w:top w:val="nil"/>
              <w:bottom w:val="nil"/>
            </w:tcBorders>
          </w:tcPr>
          <w:p w14:paraId="482CAB88"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30.4</w:t>
            </w:r>
          </w:p>
        </w:tc>
        <w:tc>
          <w:tcPr>
            <w:tcW w:w="1531" w:type="dxa"/>
            <w:tcBorders>
              <w:top w:val="nil"/>
              <w:bottom w:val="nil"/>
            </w:tcBorders>
          </w:tcPr>
          <w:p w14:paraId="74BD5A3E"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20.8</w:t>
            </w:r>
          </w:p>
        </w:tc>
      </w:tr>
      <w:tr w:rsidR="00404559" w:rsidRPr="00207DC2" w14:paraId="14562E5B"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tcBorders>
              <w:bottom w:val="dashSmallGap" w:sz="4" w:space="0" w:color="auto"/>
            </w:tcBorders>
          </w:tcPr>
          <w:p w14:paraId="5A21EB7D" w14:textId="77777777" w:rsidR="00404559" w:rsidRPr="00207DC2" w:rsidRDefault="00404559" w:rsidP="00FB626D">
            <w:pPr>
              <w:pStyle w:val="TableText"/>
              <w:rPr>
                <w:lang w:val="en-AU"/>
              </w:rPr>
            </w:pPr>
          </w:p>
        </w:tc>
        <w:tc>
          <w:tcPr>
            <w:tcW w:w="1696" w:type="dxa"/>
            <w:tcBorders>
              <w:top w:val="nil"/>
              <w:bottom w:val="dashSmallGap" w:sz="4" w:space="0" w:color="auto"/>
            </w:tcBorders>
          </w:tcPr>
          <w:p w14:paraId="6253F692" w14:textId="77777777" w:rsidR="00404559" w:rsidRPr="00207DC2" w:rsidRDefault="00BD724E"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 xml:space="preserve">moderate to </w:t>
            </w:r>
            <w:r w:rsidR="00A85E3C" w:rsidRPr="00207DC2">
              <w:rPr>
                <w:lang w:val="en-AU"/>
              </w:rPr>
              <w:t>e</w:t>
            </w:r>
            <w:r w:rsidRPr="00207DC2">
              <w:rPr>
                <w:lang w:val="en-AU"/>
              </w:rPr>
              <w:t>xtreme barriers</w:t>
            </w:r>
          </w:p>
        </w:tc>
        <w:tc>
          <w:tcPr>
            <w:tcW w:w="1531" w:type="dxa"/>
            <w:tcBorders>
              <w:top w:val="nil"/>
              <w:bottom w:val="dashSmallGap" w:sz="4" w:space="0" w:color="auto"/>
            </w:tcBorders>
          </w:tcPr>
          <w:p w14:paraId="4A2728EA"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52.3</w:t>
            </w:r>
          </w:p>
        </w:tc>
        <w:tc>
          <w:tcPr>
            <w:tcW w:w="1531" w:type="dxa"/>
            <w:tcBorders>
              <w:top w:val="nil"/>
              <w:bottom w:val="dashSmallGap" w:sz="4" w:space="0" w:color="auto"/>
            </w:tcBorders>
          </w:tcPr>
          <w:p w14:paraId="5B5965BC"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72.0</w:t>
            </w:r>
          </w:p>
        </w:tc>
        <w:tc>
          <w:tcPr>
            <w:tcW w:w="1531" w:type="dxa"/>
            <w:tcBorders>
              <w:top w:val="nil"/>
              <w:bottom w:val="dashSmallGap" w:sz="4" w:space="0" w:color="auto"/>
            </w:tcBorders>
          </w:tcPr>
          <w:p w14:paraId="0FA0B724"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51.0</w:t>
            </w:r>
          </w:p>
        </w:tc>
        <w:tc>
          <w:tcPr>
            <w:tcW w:w="1531" w:type="dxa"/>
            <w:tcBorders>
              <w:top w:val="nil"/>
              <w:bottom w:val="dashSmallGap" w:sz="4" w:space="0" w:color="auto"/>
            </w:tcBorders>
          </w:tcPr>
          <w:p w14:paraId="239E8B64"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70.4</w:t>
            </w:r>
          </w:p>
        </w:tc>
      </w:tr>
      <w:tr w:rsidR="00404559" w:rsidRPr="00207DC2" w14:paraId="401588C4" w14:textId="77777777" w:rsidTr="00BA1D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tcBorders>
              <w:top w:val="dashSmallGap" w:sz="4" w:space="0" w:color="auto"/>
              <w:bottom w:val="dashSmallGap" w:sz="4" w:space="0" w:color="auto"/>
            </w:tcBorders>
          </w:tcPr>
          <w:p w14:paraId="493D2749" w14:textId="77777777" w:rsidR="00404559" w:rsidRPr="00207DC2" w:rsidRDefault="00404559" w:rsidP="00FB626D">
            <w:pPr>
              <w:pStyle w:val="TableText"/>
              <w:rPr>
                <w:lang w:val="en-AU"/>
              </w:rPr>
            </w:pPr>
            <w:r w:rsidRPr="00207DC2">
              <w:rPr>
                <w:lang w:val="en-AU"/>
              </w:rPr>
              <w:t>JSCI score</w:t>
            </w:r>
          </w:p>
        </w:tc>
        <w:tc>
          <w:tcPr>
            <w:tcW w:w="1696" w:type="dxa"/>
            <w:tcBorders>
              <w:top w:val="dashSmallGap" w:sz="4" w:space="0" w:color="auto"/>
              <w:bottom w:val="dashSmallGap" w:sz="4" w:space="0" w:color="auto"/>
            </w:tcBorders>
          </w:tcPr>
          <w:p w14:paraId="4A18E746"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mean</w:t>
            </w:r>
          </w:p>
        </w:tc>
        <w:tc>
          <w:tcPr>
            <w:tcW w:w="1531" w:type="dxa"/>
            <w:tcBorders>
              <w:top w:val="dashSmallGap" w:sz="4" w:space="0" w:color="auto"/>
              <w:bottom w:val="dashSmallGap" w:sz="4" w:space="0" w:color="auto"/>
            </w:tcBorders>
          </w:tcPr>
          <w:p w14:paraId="386D3468"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28.8</w:t>
            </w:r>
          </w:p>
        </w:tc>
        <w:tc>
          <w:tcPr>
            <w:tcW w:w="1531" w:type="dxa"/>
            <w:tcBorders>
              <w:top w:val="dashSmallGap" w:sz="4" w:space="0" w:color="auto"/>
              <w:bottom w:val="dashSmallGap" w:sz="4" w:space="0" w:color="auto"/>
            </w:tcBorders>
          </w:tcPr>
          <w:p w14:paraId="50805AAA"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33.9</w:t>
            </w:r>
          </w:p>
        </w:tc>
        <w:tc>
          <w:tcPr>
            <w:tcW w:w="1531" w:type="dxa"/>
            <w:tcBorders>
              <w:top w:val="dashSmallGap" w:sz="4" w:space="0" w:color="auto"/>
              <w:bottom w:val="dashSmallGap" w:sz="4" w:space="0" w:color="auto"/>
            </w:tcBorders>
          </w:tcPr>
          <w:p w14:paraId="67230046"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28.5</w:t>
            </w:r>
          </w:p>
        </w:tc>
        <w:tc>
          <w:tcPr>
            <w:tcW w:w="1531" w:type="dxa"/>
            <w:tcBorders>
              <w:top w:val="dashSmallGap" w:sz="4" w:space="0" w:color="auto"/>
              <w:bottom w:val="dashSmallGap" w:sz="4" w:space="0" w:color="auto"/>
            </w:tcBorders>
          </w:tcPr>
          <w:p w14:paraId="44CE7970"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33.6</w:t>
            </w:r>
          </w:p>
        </w:tc>
      </w:tr>
      <w:tr w:rsidR="00404559" w:rsidRPr="00207DC2" w14:paraId="683482D4"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val="restart"/>
            <w:tcBorders>
              <w:top w:val="dashSmallGap" w:sz="4" w:space="0" w:color="auto"/>
            </w:tcBorders>
            <w:vAlign w:val="center"/>
          </w:tcPr>
          <w:p w14:paraId="152CA132" w14:textId="77777777" w:rsidR="00404559" w:rsidRPr="00207DC2" w:rsidRDefault="00404559" w:rsidP="00FB626D">
            <w:pPr>
              <w:pStyle w:val="TableText"/>
              <w:rPr>
                <w:lang w:val="en-AU"/>
              </w:rPr>
            </w:pPr>
            <w:r w:rsidRPr="00207DC2">
              <w:rPr>
                <w:lang w:val="en-AU"/>
              </w:rPr>
              <w:t>Gender %</w:t>
            </w:r>
          </w:p>
        </w:tc>
        <w:tc>
          <w:tcPr>
            <w:tcW w:w="1696" w:type="dxa"/>
            <w:tcBorders>
              <w:top w:val="dashSmallGap" w:sz="4" w:space="0" w:color="auto"/>
              <w:bottom w:val="nil"/>
            </w:tcBorders>
          </w:tcPr>
          <w:p w14:paraId="6C30B468"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Female</w:t>
            </w:r>
          </w:p>
        </w:tc>
        <w:tc>
          <w:tcPr>
            <w:tcW w:w="1531" w:type="dxa"/>
            <w:tcBorders>
              <w:top w:val="dashSmallGap" w:sz="4" w:space="0" w:color="auto"/>
              <w:bottom w:val="nil"/>
            </w:tcBorders>
          </w:tcPr>
          <w:p w14:paraId="2385F14B"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41.4</w:t>
            </w:r>
          </w:p>
        </w:tc>
        <w:tc>
          <w:tcPr>
            <w:tcW w:w="1531" w:type="dxa"/>
            <w:tcBorders>
              <w:top w:val="dashSmallGap" w:sz="4" w:space="0" w:color="auto"/>
              <w:bottom w:val="nil"/>
            </w:tcBorders>
          </w:tcPr>
          <w:p w14:paraId="6486994B"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43.7</w:t>
            </w:r>
          </w:p>
        </w:tc>
        <w:tc>
          <w:tcPr>
            <w:tcW w:w="1531" w:type="dxa"/>
            <w:tcBorders>
              <w:top w:val="dashSmallGap" w:sz="4" w:space="0" w:color="auto"/>
              <w:bottom w:val="nil"/>
            </w:tcBorders>
          </w:tcPr>
          <w:p w14:paraId="1AB3C44A"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41.0</w:t>
            </w:r>
          </w:p>
        </w:tc>
        <w:tc>
          <w:tcPr>
            <w:tcW w:w="1531" w:type="dxa"/>
            <w:tcBorders>
              <w:top w:val="dashSmallGap" w:sz="4" w:space="0" w:color="auto"/>
              <w:bottom w:val="nil"/>
            </w:tcBorders>
          </w:tcPr>
          <w:p w14:paraId="7D7E0FE3"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43.9</w:t>
            </w:r>
          </w:p>
        </w:tc>
      </w:tr>
      <w:tr w:rsidR="00404559" w:rsidRPr="00207DC2" w14:paraId="7FCE48D8"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Borders>
              <w:bottom w:val="dashSmallGap" w:sz="4" w:space="0" w:color="auto"/>
            </w:tcBorders>
          </w:tcPr>
          <w:p w14:paraId="418BF986" w14:textId="77777777" w:rsidR="00404559" w:rsidRPr="00207DC2" w:rsidRDefault="00404559" w:rsidP="00FB626D">
            <w:pPr>
              <w:pStyle w:val="TableText"/>
              <w:rPr>
                <w:lang w:val="en-AU"/>
              </w:rPr>
            </w:pPr>
          </w:p>
        </w:tc>
        <w:tc>
          <w:tcPr>
            <w:tcW w:w="1696" w:type="dxa"/>
            <w:tcBorders>
              <w:top w:val="nil"/>
              <w:bottom w:val="dashSmallGap" w:sz="4" w:space="0" w:color="auto"/>
            </w:tcBorders>
          </w:tcPr>
          <w:p w14:paraId="31F062D8"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Ma</w:t>
            </w:r>
            <w:r w:rsidR="00C4656B" w:rsidRPr="00207DC2">
              <w:rPr>
                <w:lang w:val="en-AU"/>
              </w:rPr>
              <w:t>le</w:t>
            </w:r>
          </w:p>
        </w:tc>
        <w:tc>
          <w:tcPr>
            <w:tcW w:w="1531" w:type="dxa"/>
            <w:tcBorders>
              <w:top w:val="nil"/>
              <w:bottom w:val="dashSmallGap" w:sz="4" w:space="0" w:color="auto"/>
            </w:tcBorders>
          </w:tcPr>
          <w:p w14:paraId="6E0CD826"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58.6</w:t>
            </w:r>
          </w:p>
        </w:tc>
        <w:tc>
          <w:tcPr>
            <w:tcW w:w="1531" w:type="dxa"/>
            <w:tcBorders>
              <w:top w:val="nil"/>
              <w:bottom w:val="dashSmallGap" w:sz="4" w:space="0" w:color="auto"/>
            </w:tcBorders>
          </w:tcPr>
          <w:p w14:paraId="7DCD2848"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56.3</w:t>
            </w:r>
          </w:p>
        </w:tc>
        <w:tc>
          <w:tcPr>
            <w:tcW w:w="1531" w:type="dxa"/>
            <w:tcBorders>
              <w:top w:val="nil"/>
              <w:bottom w:val="dashSmallGap" w:sz="4" w:space="0" w:color="auto"/>
            </w:tcBorders>
          </w:tcPr>
          <w:p w14:paraId="428F4360"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59.0</w:t>
            </w:r>
          </w:p>
        </w:tc>
        <w:tc>
          <w:tcPr>
            <w:tcW w:w="1531" w:type="dxa"/>
            <w:tcBorders>
              <w:top w:val="nil"/>
              <w:bottom w:val="dashSmallGap" w:sz="4" w:space="0" w:color="auto"/>
            </w:tcBorders>
          </w:tcPr>
          <w:p w14:paraId="0D187F0A"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56.1</w:t>
            </w:r>
          </w:p>
        </w:tc>
      </w:tr>
      <w:tr w:rsidR="00404559" w:rsidRPr="00207DC2" w14:paraId="6EFF9538"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val="restart"/>
            <w:tcBorders>
              <w:top w:val="dashSmallGap" w:sz="4" w:space="0" w:color="auto"/>
            </w:tcBorders>
            <w:vAlign w:val="center"/>
          </w:tcPr>
          <w:p w14:paraId="27CD78BC" w14:textId="77777777" w:rsidR="00404559" w:rsidRPr="00207DC2" w:rsidRDefault="00404559" w:rsidP="00FB626D">
            <w:pPr>
              <w:pStyle w:val="TableText"/>
              <w:rPr>
                <w:lang w:val="en-AU"/>
              </w:rPr>
            </w:pPr>
            <w:r w:rsidRPr="00207DC2">
              <w:rPr>
                <w:lang w:val="en-AU"/>
              </w:rPr>
              <w:t>Age category %</w:t>
            </w:r>
          </w:p>
        </w:tc>
        <w:tc>
          <w:tcPr>
            <w:tcW w:w="1696" w:type="dxa"/>
            <w:tcBorders>
              <w:top w:val="dashSmallGap" w:sz="4" w:space="0" w:color="auto"/>
              <w:bottom w:val="nil"/>
            </w:tcBorders>
          </w:tcPr>
          <w:p w14:paraId="109D9E4A"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&lt;18</w:t>
            </w:r>
          </w:p>
        </w:tc>
        <w:tc>
          <w:tcPr>
            <w:tcW w:w="1531" w:type="dxa"/>
            <w:tcBorders>
              <w:top w:val="dashSmallGap" w:sz="4" w:space="0" w:color="auto"/>
              <w:bottom w:val="nil"/>
            </w:tcBorders>
          </w:tcPr>
          <w:p w14:paraId="09CE3622"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10.1</w:t>
            </w:r>
          </w:p>
        </w:tc>
        <w:tc>
          <w:tcPr>
            <w:tcW w:w="1531" w:type="dxa"/>
            <w:tcBorders>
              <w:top w:val="dashSmallGap" w:sz="4" w:space="0" w:color="auto"/>
              <w:bottom w:val="nil"/>
            </w:tcBorders>
          </w:tcPr>
          <w:p w14:paraId="46FF6123"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3.7</w:t>
            </w:r>
          </w:p>
        </w:tc>
        <w:tc>
          <w:tcPr>
            <w:tcW w:w="1531" w:type="dxa"/>
            <w:tcBorders>
              <w:top w:val="dashSmallGap" w:sz="4" w:space="0" w:color="auto"/>
              <w:bottom w:val="nil"/>
            </w:tcBorders>
          </w:tcPr>
          <w:p w14:paraId="4E3E4AB0"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9.6</w:t>
            </w:r>
          </w:p>
        </w:tc>
        <w:tc>
          <w:tcPr>
            <w:tcW w:w="1531" w:type="dxa"/>
            <w:tcBorders>
              <w:top w:val="dashSmallGap" w:sz="4" w:space="0" w:color="auto"/>
              <w:bottom w:val="nil"/>
            </w:tcBorders>
          </w:tcPr>
          <w:p w14:paraId="46C42D03"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2.8</w:t>
            </w:r>
          </w:p>
        </w:tc>
      </w:tr>
      <w:tr w:rsidR="00404559" w:rsidRPr="00207DC2" w14:paraId="53DBDCFC"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Pr>
          <w:p w14:paraId="5E0C69F9" w14:textId="77777777" w:rsidR="00404559" w:rsidRPr="00207DC2" w:rsidRDefault="00404559" w:rsidP="00FB626D">
            <w:pPr>
              <w:pStyle w:val="TableText"/>
              <w:rPr>
                <w:lang w:val="en-AU"/>
              </w:rPr>
            </w:pPr>
          </w:p>
        </w:tc>
        <w:tc>
          <w:tcPr>
            <w:tcW w:w="1696" w:type="dxa"/>
            <w:tcBorders>
              <w:top w:val="nil"/>
              <w:bottom w:val="nil"/>
            </w:tcBorders>
          </w:tcPr>
          <w:p w14:paraId="1D4A4D33"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18-24</w:t>
            </w:r>
          </w:p>
        </w:tc>
        <w:tc>
          <w:tcPr>
            <w:tcW w:w="1531" w:type="dxa"/>
            <w:tcBorders>
              <w:top w:val="nil"/>
              <w:bottom w:val="nil"/>
            </w:tcBorders>
          </w:tcPr>
          <w:p w14:paraId="46806BE7"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26.2</w:t>
            </w:r>
          </w:p>
        </w:tc>
        <w:tc>
          <w:tcPr>
            <w:tcW w:w="1531" w:type="dxa"/>
            <w:tcBorders>
              <w:top w:val="nil"/>
              <w:bottom w:val="nil"/>
            </w:tcBorders>
          </w:tcPr>
          <w:p w14:paraId="47B8569B"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24.7</w:t>
            </w:r>
          </w:p>
        </w:tc>
        <w:tc>
          <w:tcPr>
            <w:tcW w:w="1531" w:type="dxa"/>
            <w:tcBorders>
              <w:top w:val="nil"/>
              <w:bottom w:val="nil"/>
            </w:tcBorders>
          </w:tcPr>
          <w:p w14:paraId="05DF6269"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25.5</w:t>
            </w:r>
          </w:p>
        </w:tc>
        <w:tc>
          <w:tcPr>
            <w:tcW w:w="1531" w:type="dxa"/>
            <w:tcBorders>
              <w:top w:val="nil"/>
              <w:bottom w:val="nil"/>
            </w:tcBorders>
          </w:tcPr>
          <w:p w14:paraId="65CF1169"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22.0</w:t>
            </w:r>
          </w:p>
        </w:tc>
      </w:tr>
      <w:tr w:rsidR="00404559" w:rsidRPr="00207DC2" w14:paraId="24653444"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tcPr>
          <w:p w14:paraId="34B98258" w14:textId="77777777" w:rsidR="00404559" w:rsidRPr="00207DC2" w:rsidRDefault="00404559" w:rsidP="00FB626D">
            <w:pPr>
              <w:pStyle w:val="TableText"/>
              <w:rPr>
                <w:lang w:val="en-AU"/>
              </w:rPr>
            </w:pPr>
          </w:p>
        </w:tc>
        <w:tc>
          <w:tcPr>
            <w:tcW w:w="1696" w:type="dxa"/>
            <w:tcBorders>
              <w:top w:val="nil"/>
              <w:bottom w:val="nil"/>
            </w:tcBorders>
          </w:tcPr>
          <w:p w14:paraId="4BCA38CB"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25-29</w:t>
            </w:r>
          </w:p>
        </w:tc>
        <w:tc>
          <w:tcPr>
            <w:tcW w:w="1531" w:type="dxa"/>
            <w:tcBorders>
              <w:top w:val="nil"/>
              <w:bottom w:val="nil"/>
            </w:tcBorders>
          </w:tcPr>
          <w:p w14:paraId="27F1A0E2"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14.1</w:t>
            </w:r>
          </w:p>
        </w:tc>
        <w:tc>
          <w:tcPr>
            <w:tcW w:w="1531" w:type="dxa"/>
            <w:tcBorders>
              <w:top w:val="nil"/>
              <w:bottom w:val="nil"/>
            </w:tcBorders>
          </w:tcPr>
          <w:p w14:paraId="7BB5CF78"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13.8</w:t>
            </w:r>
          </w:p>
        </w:tc>
        <w:tc>
          <w:tcPr>
            <w:tcW w:w="1531" w:type="dxa"/>
            <w:tcBorders>
              <w:top w:val="nil"/>
              <w:bottom w:val="nil"/>
            </w:tcBorders>
          </w:tcPr>
          <w:p w14:paraId="08E538D7"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13.9</w:t>
            </w:r>
          </w:p>
        </w:tc>
        <w:tc>
          <w:tcPr>
            <w:tcW w:w="1531" w:type="dxa"/>
            <w:tcBorders>
              <w:top w:val="nil"/>
              <w:bottom w:val="nil"/>
            </w:tcBorders>
          </w:tcPr>
          <w:p w14:paraId="5CC24886"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13.7</w:t>
            </w:r>
          </w:p>
        </w:tc>
      </w:tr>
      <w:tr w:rsidR="00404559" w:rsidRPr="00207DC2" w14:paraId="708FF5E1"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Pr>
          <w:p w14:paraId="5992EAA5" w14:textId="77777777" w:rsidR="00404559" w:rsidRPr="00207DC2" w:rsidRDefault="00404559" w:rsidP="00FB626D">
            <w:pPr>
              <w:pStyle w:val="TableText"/>
              <w:rPr>
                <w:lang w:val="en-AU"/>
              </w:rPr>
            </w:pPr>
          </w:p>
        </w:tc>
        <w:tc>
          <w:tcPr>
            <w:tcW w:w="1696" w:type="dxa"/>
            <w:tcBorders>
              <w:top w:val="nil"/>
              <w:bottom w:val="nil"/>
            </w:tcBorders>
          </w:tcPr>
          <w:p w14:paraId="7440A2E4"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30-34</w:t>
            </w:r>
          </w:p>
        </w:tc>
        <w:tc>
          <w:tcPr>
            <w:tcW w:w="1531" w:type="dxa"/>
            <w:tcBorders>
              <w:top w:val="nil"/>
              <w:bottom w:val="nil"/>
            </w:tcBorders>
          </w:tcPr>
          <w:p w14:paraId="6EB5F4B2"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11.5</w:t>
            </w:r>
          </w:p>
        </w:tc>
        <w:tc>
          <w:tcPr>
            <w:tcW w:w="1531" w:type="dxa"/>
            <w:tcBorders>
              <w:top w:val="nil"/>
              <w:bottom w:val="nil"/>
            </w:tcBorders>
          </w:tcPr>
          <w:p w14:paraId="557931D8"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12.4</w:t>
            </w:r>
          </w:p>
        </w:tc>
        <w:tc>
          <w:tcPr>
            <w:tcW w:w="1531" w:type="dxa"/>
            <w:tcBorders>
              <w:top w:val="nil"/>
              <w:bottom w:val="nil"/>
            </w:tcBorders>
          </w:tcPr>
          <w:p w14:paraId="257A1BF0"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11.3</w:t>
            </w:r>
          </w:p>
        </w:tc>
        <w:tc>
          <w:tcPr>
            <w:tcW w:w="1531" w:type="dxa"/>
            <w:tcBorders>
              <w:top w:val="nil"/>
              <w:bottom w:val="nil"/>
            </w:tcBorders>
          </w:tcPr>
          <w:p w14:paraId="588E9250"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12.9</w:t>
            </w:r>
          </w:p>
        </w:tc>
      </w:tr>
      <w:tr w:rsidR="00404559" w:rsidRPr="00207DC2" w14:paraId="189691B7"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tcPr>
          <w:p w14:paraId="5DD8AB61" w14:textId="77777777" w:rsidR="00404559" w:rsidRPr="00207DC2" w:rsidRDefault="00404559" w:rsidP="00FB626D">
            <w:pPr>
              <w:pStyle w:val="TableText"/>
              <w:rPr>
                <w:lang w:val="en-AU"/>
              </w:rPr>
            </w:pPr>
          </w:p>
        </w:tc>
        <w:tc>
          <w:tcPr>
            <w:tcW w:w="1696" w:type="dxa"/>
            <w:tcBorders>
              <w:top w:val="nil"/>
              <w:bottom w:val="nil"/>
            </w:tcBorders>
          </w:tcPr>
          <w:p w14:paraId="5C337EC7"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35-39</w:t>
            </w:r>
          </w:p>
        </w:tc>
        <w:tc>
          <w:tcPr>
            <w:tcW w:w="1531" w:type="dxa"/>
            <w:tcBorders>
              <w:top w:val="nil"/>
              <w:bottom w:val="nil"/>
            </w:tcBorders>
          </w:tcPr>
          <w:p w14:paraId="3E9390A1"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9.7</w:t>
            </w:r>
          </w:p>
        </w:tc>
        <w:tc>
          <w:tcPr>
            <w:tcW w:w="1531" w:type="dxa"/>
            <w:tcBorders>
              <w:top w:val="nil"/>
              <w:bottom w:val="nil"/>
            </w:tcBorders>
          </w:tcPr>
          <w:p w14:paraId="3E203F63"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11.1</w:t>
            </w:r>
          </w:p>
        </w:tc>
        <w:tc>
          <w:tcPr>
            <w:tcW w:w="1531" w:type="dxa"/>
            <w:tcBorders>
              <w:top w:val="nil"/>
              <w:bottom w:val="nil"/>
            </w:tcBorders>
          </w:tcPr>
          <w:p w14:paraId="762C9D11"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9.6</w:t>
            </w:r>
          </w:p>
        </w:tc>
        <w:tc>
          <w:tcPr>
            <w:tcW w:w="1531" w:type="dxa"/>
            <w:tcBorders>
              <w:top w:val="nil"/>
              <w:bottom w:val="nil"/>
            </w:tcBorders>
          </w:tcPr>
          <w:p w14:paraId="289288CB"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11.3</w:t>
            </w:r>
          </w:p>
        </w:tc>
      </w:tr>
      <w:tr w:rsidR="00404559" w:rsidRPr="00207DC2" w14:paraId="1C166D52"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Pr>
          <w:p w14:paraId="6360D545" w14:textId="77777777" w:rsidR="00404559" w:rsidRPr="00207DC2" w:rsidRDefault="00404559" w:rsidP="00FB626D">
            <w:pPr>
              <w:pStyle w:val="TableText"/>
              <w:rPr>
                <w:lang w:val="en-AU"/>
              </w:rPr>
            </w:pPr>
          </w:p>
        </w:tc>
        <w:tc>
          <w:tcPr>
            <w:tcW w:w="1696" w:type="dxa"/>
            <w:tcBorders>
              <w:top w:val="nil"/>
              <w:bottom w:val="nil"/>
            </w:tcBorders>
          </w:tcPr>
          <w:p w14:paraId="14E2B653"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40-49</w:t>
            </w:r>
          </w:p>
        </w:tc>
        <w:tc>
          <w:tcPr>
            <w:tcW w:w="1531" w:type="dxa"/>
            <w:tcBorders>
              <w:top w:val="nil"/>
              <w:bottom w:val="nil"/>
            </w:tcBorders>
          </w:tcPr>
          <w:p w14:paraId="58794419"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15.9</w:t>
            </w:r>
          </w:p>
        </w:tc>
        <w:tc>
          <w:tcPr>
            <w:tcW w:w="1531" w:type="dxa"/>
            <w:tcBorders>
              <w:top w:val="nil"/>
              <w:bottom w:val="nil"/>
            </w:tcBorders>
          </w:tcPr>
          <w:p w14:paraId="3F366AE5"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19.8</w:t>
            </w:r>
          </w:p>
        </w:tc>
        <w:tc>
          <w:tcPr>
            <w:tcW w:w="1531" w:type="dxa"/>
            <w:tcBorders>
              <w:top w:val="nil"/>
              <w:bottom w:val="nil"/>
            </w:tcBorders>
          </w:tcPr>
          <w:p w14:paraId="25AF97AE"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16.2</w:t>
            </w:r>
          </w:p>
        </w:tc>
        <w:tc>
          <w:tcPr>
            <w:tcW w:w="1531" w:type="dxa"/>
            <w:tcBorders>
              <w:top w:val="nil"/>
              <w:bottom w:val="nil"/>
            </w:tcBorders>
          </w:tcPr>
          <w:p w14:paraId="5C5AA26F"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20.5</w:t>
            </w:r>
          </w:p>
        </w:tc>
      </w:tr>
      <w:tr w:rsidR="00404559" w:rsidRPr="00207DC2" w14:paraId="7547EE16" w14:textId="77777777" w:rsidTr="00D743A2">
        <w:tc>
          <w:tcPr>
            <w:cnfStyle w:val="001000000000" w:firstRow="0" w:lastRow="0" w:firstColumn="1" w:lastColumn="0" w:oddVBand="0" w:evenVBand="0" w:oddHBand="0" w:evenHBand="0" w:firstRowFirstColumn="0" w:firstRowLastColumn="0" w:lastRowFirstColumn="0" w:lastRowLastColumn="0"/>
            <w:tcW w:w="1531" w:type="dxa"/>
            <w:vMerge/>
          </w:tcPr>
          <w:p w14:paraId="236C92F8" w14:textId="77777777" w:rsidR="00404559" w:rsidRPr="00207DC2" w:rsidRDefault="00404559" w:rsidP="00FB626D">
            <w:pPr>
              <w:pStyle w:val="TableText"/>
              <w:rPr>
                <w:lang w:val="en-AU"/>
              </w:rPr>
            </w:pPr>
          </w:p>
        </w:tc>
        <w:tc>
          <w:tcPr>
            <w:tcW w:w="1696" w:type="dxa"/>
            <w:tcBorders>
              <w:top w:val="nil"/>
              <w:bottom w:val="nil"/>
            </w:tcBorders>
          </w:tcPr>
          <w:p w14:paraId="174F0611"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50-59</w:t>
            </w:r>
          </w:p>
        </w:tc>
        <w:tc>
          <w:tcPr>
            <w:tcW w:w="1531" w:type="dxa"/>
            <w:tcBorders>
              <w:top w:val="nil"/>
              <w:bottom w:val="nil"/>
            </w:tcBorders>
          </w:tcPr>
          <w:p w14:paraId="4DA88913"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9.6</w:t>
            </w:r>
          </w:p>
        </w:tc>
        <w:tc>
          <w:tcPr>
            <w:tcW w:w="1531" w:type="dxa"/>
            <w:tcBorders>
              <w:top w:val="nil"/>
              <w:bottom w:val="nil"/>
            </w:tcBorders>
          </w:tcPr>
          <w:p w14:paraId="559F8201"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11.0</w:t>
            </w:r>
          </w:p>
        </w:tc>
        <w:tc>
          <w:tcPr>
            <w:tcW w:w="1531" w:type="dxa"/>
            <w:tcBorders>
              <w:top w:val="nil"/>
              <w:bottom w:val="nil"/>
            </w:tcBorders>
          </w:tcPr>
          <w:p w14:paraId="634B53FA"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10.5</w:t>
            </w:r>
          </w:p>
        </w:tc>
        <w:tc>
          <w:tcPr>
            <w:tcW w:w="1531" w:type="dxa"/>
            <w:tcBorders>
              <w:top w:val="nil"/>
              <w:bottom w:val="nil"/>
            </w:tcBorders>
          </w:tcPr>
          <w:p w14:paraId="5BE18213"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12.6</w:t>
            </w:r>
          </w:p>
        </w:tc>
      </w:tr>
      <w:tr w:rsidR="00404559" w:rsidRPr="00207DC2" w14:paraId="3EFF639C" w14:textId="77777777" w:rsidTr="00D743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dxa"/>
            <w:vMerge/>
            <w:tcBorders>
              <w:bottom w:val="dashSmallGap" w:sz="4" w:space="0" w:color="auto"/>
            </w:tcBorders>
          </w:tcPr>
          <w:p w14:paraId="6385C45E" w14:textId="77777777" w:rsidR="00404559" w:rsidRPr="00207DC2" w:rsidRDefault="00404559" w:rsidP="00FB626D">
            <w:pPr>
              <w:pStyle w:val="TableText"/>
              <w:rPr>
                <w:lang w:val="en-AU"/>
              </w:rPr>
            </w:pPr>
          </w:p>
        </w:tc>
        <w:tc>
          <w:tcPr>
            <w:tcW w:w="1696" w:type="dxa"/>
            <w:tcBorders>
              <w:top w:val="nil"/>
              <w:bottom w:val="dashSmallGap" w:sz="4" w:space="0" w:color="auto"/>
            </w:tcBorders>
          </w:tcPr>
          <w:p w14:paraId="1DCB2616" w14:textId="77777777" w:rsidR="00404559" w:rsidRPr="00207DC2" w:rsidRDefault="00404559" w:rsidP="00FB626D">
            <w:pPr>
              <w:pStyle w:val="TableText"/>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60+</w:t>
            </w:r>
          </w:p>
        </w:tc>
        <w:tc>
          <w:tcPr>
            <w:tcW w:w="1531" w:type="dxa"/>
            <w:tcBorders>
              <w:top w:val="nil"/>
              <w:bottom w:val="dashSmallGap" w:sz="4" w:space="0" w:color="auto"/>
            </w:tcBorders>
          </w:tcPr>
          <w:p w14:paraId="1580EEF7" w14:textId="77777777" w:rsidR="00404559" w:rsidRPr="00207DC2" w:rsidRDefault="00404559" w:rsidP="00FB626D">
            <w:pPr>
              <w:pStyle w:val="TableText"/>
              <w:tabs>
                <w:tab w:val="decimal" w:pos="463"/>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3.0</w:t>
            </w:r>
          </w:p>
        </w:tc>
        <w:tc>
          <w:tcPr>
            <w:tcW w:w="1531" w:type="dxa"/>
            <w:tcBorders>
              <w:top w:val="nil"/>
              <w:bottom w:val="dashSmallGap" w:sz="4" w:space="0" w:color="auto"/>
            </w:tcBorders>
          </w:tcPr>
          <w:p w14:paraId="0E5C2C76" w14:textId="77777777" w:rsidR="00404559" w:rsidRPr="00207DC2" w:rsidRDefault="00404559" w:rsidP="00FB626D">
            <w:pPr>
              <w:pStyle w:val="TableText"/>
              <w:tabs>
                <w:tab w:val="decimal" w:pos="510"/>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3.6</w:t>
            </w:r>
          </w:p>
        </w:tc>
        <w:tc>
          <w:tcPr>
            <w:tcW w:w="1531" w:type="dxa"/>
            <w:tcBorders>
              <w:top w:val="nil"/>
              <w:bottom w:val="dashSmallGap" w:sz="4" w:space="0" w:color="auto"/>
            </w:tcBorders>
          </w:tcPr>
          <w:p w14:paraId="01225D39" w14:textId="77777777" w:rsidR="00404559" w:rsidRPr="00207DC2" w:rsidRDefault="00404559" w:rsidP="00FB626D">
            <w:pPr>
              <w:pStyle w:val="TableText"/>
              <w:tabs>
                <w:tab w:val="decimal" w:pos="397"/>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3.4</w:t>
            </w:r>
          </w:p>
        </w:tc>
        <w:tc>
          <w:tcPr>
            <w:tcW w:w="1531" w:type="dxa"/>
            <w:tcBorders>
              <w:top w:val="nil"/>
              <w:bottom w:val="dashSmallGap" w:sz="4" w:space="0" w:color="auto"/>
            </w:tcBorders>
          </w:tcPr>
          <w:p w14:paraId="1E5F0995" w14:textId="77777777" w:rsidR="00404559" w:rsidRPr="00207DC2" w:rsidRDefault="00404559" w:rsidP="00FB626D">
            <w:pPr>
              <w:pStyle w:val="TableText"/>
              <w:tabs>
                <w:tab w:val="decimal" w:pos="425"/>
              </w:tabs>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4.2</w:t>
            </w:r>
          </w:p>
        </w:tc>
      </w:tr>
      <w:tr w:rsidR="00404559" w:rsidRPr="00207DC2" w14:paraId="64AF3FD3" w14:textId="77777777" w:rsidTr="004B4A41">
        <w:tc>
          <w:tcPr>
            <w:cnfStyle w:val="001000000000" w:firstRow="0" w:lastRow="0" w:firstColumn="1" w:lastColumn="0" w:oddVBand="0" w:evenVBand="0" w:oddHBand="0" w:evenHBand="0" w:firstRowFirstColumn="0" w:firstRowLastColumn="0" w:lastRowFirstColumn="0" w:lastRowLastColumn="0"/>
            <w:tcW w:w="1531" w:type="dxa"/>
            <w:tcBorders>
              <w:top w:val="dashSmallGap" w:sz="4" w:space="0" w:color="auto"/>
            </w:tcBorders>
          </w:tcPr>
          <w:p w14:paraId="669D2BC7" w14:textId="77777777" w:rsidR="00404559" w:rsidRPr="00207DC2" w:rsidRDefault="00404559" w:rsidP="00FB626D">
            <w:pPr>
              <w:pStyle w:val="TableText"/>
              <w:rPr>
                <w:lang w:val="en-AU"/>
              </w:rPr>
            </w:pPr>
            <w:r w:rsidRPr="00207DC2">
              <w:rPr>
                <w:lang w:val="en-AU"/>
              </w:rPr>
              <w:t>Age</w:t>
            </w:r>
          </w:p>
        </w:tc>
        <w:tc>
          <w:tcPr>
            <w:tcW w:w="1696" w:type="dxa"/>
            <w:tcBorders>
              <w:top w:val="dashSmallGap" w:sz="4" w:space="0" w:color="auto"/>
            </w:tcBorders>
          </w:tcPr>
          <w:p w14:paraId="36A55A32" w14:textId="77777777" w:rsidR="00404559" w:rsidRPr="00207DC2" w:rsidRDefault="00404559" w:rsidP="00FB626D">
            <w:pPr>
              <w:pStyle w:val="TableText"/>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mean</w:t>
            </w:r>
          </w:p>
        </w:tc>
        <w:tc>
          <w:tcPr>
            <w:tcW w:w="1531" w:type="dxa"/>
            <w:tcBorders>
              <w:top w:val="dashSmallGap" w:sz="4" w:space="0" w:color="auto"/>
            </w:tcBorders>
          </w:tcPr>
          <w:p w14:paraId="0081EF08" w14:textId="77777777" w:rsidR="00404559" w:rsidRPr="00207DC2" w:rsidRDefault="00404559" w:rsidP="00FB626D">
            <w:pPr>
              <w:pStyle w:val="TableText"/>
              <w:tabs>
                <w:tab w:val="decimal" w:pos="463"/>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32.6</w:t>
            </w:r>
          </w:p>
        </w:tc>
        <w:tc>
          <w:tcPr>
            <w:tcW w:w="1531" w:type="dxa"/>
            <w:tcBorders>
              <w:top w:val="dashSmallGap" w:sz="4" w:space="0" w:color="auto"/>
            </w:tcBorders>
          </w:tcPr>
          <w:p w14:paraId="13BBC898" w14:textId="77777777" w:rsidR="00404559" w:rsidRPr="00207DC2" w:rsidRDefault="00404559" w:rsidP="00FB626D">
            <w:pPr>
              <w:pStyle w:val="TableText"/>
              <w:tabs>
                <w:tab w:val="decimal" w:pos="510"/>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34.9</w:t>
            </w:r>
          </w:p>
        </w:tc>
        <w:tc>
          <w:tcPr>
            <w:tcW w:w="1531" w:type="dxa"/>
            <w:tcBorders>
              <w:top w:val="dashSmallGap" w:sz="4" w:space="0" w:color="auto"/>
            </w:tcBorders>
          </w:tcPr>
          <w:p w14:paraId="260B3C06" w14:textId="77777777" w:rsidR="00404559" w:rsidRPr="00207DC2" w:rsidRDefault="00404559" w:rsidP="00FB626D">
            <w:pPr>
              <w:pStyle w:val="TableText"/>
              <w:tabs>
                <w:tab w:val="decimal" w:pos="397"/>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33.2</w:t>
            </w:r>
          </w:p>
        </w:tc>
        <w:tc>
          <w:tcPr>
            <w:tcW w:w="1531" w:type="dxa"/>
            <w:tcBorders>
              <w:top w:val="dashSmallGap" w:sz="4" w:space="0" w:color="auto"/>
            </w:tcBorders>
          </w:tcPr>
          <w:p w14:paraId="180A7821" w14:textId="77777777" w:rsidR="00404559" w:rsidRPr="00207DC2" w:rsidRDefault="00404559" w:rsidP="00FB626D">
            <w:pPr>
              <w:pStyle w:val="TableText"/>
              <w:tabs>
                <w:tab w:val="decimal" w:pos="425"/>
              </w:tabs>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36.1</w:t>
            </w:r>
          </w:p>
        </w:tc>
      </w:tr>
    </w:tbl>
    <w:p w14:paraId="32305BD4" w14:textId="77777777" w:rsidR="00404559" w:rsidRPr="00207DC2" w:rsidRDefault="00404559" w:rsidP="00FB626D">
      <w:pPr>
        <w:pStyle w:val="tablenotes"/>
      </w:pPr>
      <w:r w:rsidRPr="00207DC2">
        <w:rPr>
          <w:i/>
        </w:rPr>
        <w:t>Source:</w:t>
      </w:r>
      <w:r w:rsidRPr="00207DC2">
        <w:t xml:space="preserve"> </w:t>
      </w:r>
      <w:r w:rsidR="0057565A" w:rsidRPr="00207DC2">
        <w:t>PMC</w:t>
      </w:r>
      <w:r w:rsidR="00660C3D" w:rsidRPr="00207DC2">
        <w:t xml:space="preserve"> estimates based u</w:t>
      </w:r>
      <w:r w:rsidRPr="00207DC2">
        <w:t>npublished ESS operational</w:t>
      </w:r>
      <w:r w:rsidR="00660C3D" w:rsidRPr="00207DC2">
        <w:t xml:space="preserve"> data (extracted on </w:t>
      </w:r>
      <w:r w:rsidR="00BA709E" w:rsidRPr="00207DC2">
        <w:t>3 October 2017</w:t>
      </w:r>
      <w:r w:rsidRPr="00207DC2">
        <w:t>).</w:t>
      </w:r>
    </w:p>
    <w:p w14:paraId="31598427" w14:textId="77777777" w:rsidR="00404559" w:rsidRPr="00207DC2" w:rsidRDefault="00404559" w:rsidP="00FB626D">
      <w:pPr>
        <w:pStyle w:val="Table"/>
        <w:numPr>
          <w:ilvl w:val="0"/>
          <w:numId w:val="0"/>
        </w:numPr>
        <w:outlineLvl w:val="9"/>
      </w:pPr>
      <w:r w:rsidRPr="00207DC2">
        <w:t>Table C.2 Descriptive statistics</w:t>
      </w:r>
      <w:r w:rsidR="00660BF0" w:rsidRPr="00207DC2">
        <w:t xml:space="preserve"> for the</w:t>
      </w:r>
      <w:r w:rsidRPr="00207DC2">
        <w:t xml:space="preserve"> </w:t>
      </w:r>
      <w:r w:rsidR="00660BF0" w:rsidRPr="00207DC2">
        <w:t>point-in-time and</w:t>
      </w:r>
      <w:r w:rsidRPr="00207DC2">
        <w:t xml:space="preserve"> </w:t>
      </w:r>
      <w:r w:rsidR="00660BF0" w:rsidRPr="00207DC2">
        <w:t>newly commenced</w:t>
      </w:r>
      <w:r w:rsidRPr="00207DC2">
        <w:t xml:space="preserve"> samples</w:t>
      </w:r>
    </w:p>
    <w:tbl>
      <w:tblPr>
        <w:tblStyle w:val="PlainTable21"/>
        <w:tblW w:w="10099" w:type="dxa"/>
        <w:jc w:val="center"/>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Descriptive statistics for the new point-in-time and newly commenced samply"/>
        <w:tblDescription w:val="The table presents the mean values and standard deviations for each explanatory variable included in the employment regression models, for the point in time and new cohorts of participants in both the RJCP and the CDP. "/>
      </w:tblPr>
      <w:tblGrid>
        <w:gridCol w:w="3851"/>
        <w:gridCol w:w="1562"/>
        <w:gridCol w:w="1562"/>
        <w:gridCol w:w="1562"/>
        <w:gridCol w:w="1562"/>
      </w:tblGrid>
      <w:tr w:rsidR="00404559" w:rsidRPr="00207DC2" w14:paraId="1C6B7224" w14:textId="77777777" w:rsidTr="00402A4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851" w:type="dxa"/>
            <w:tcBorders>
              <w:bottom w:val="nil"/>
              <w:right w:val="single" w:sz="4" w:space="0" w:color="auto"/>
            </w:tcBorders>
            <w:noWrap/>
            <w:hideMark/>
          </w:tcPr>
          <w:p w14:paraId="522FA33C" w14:textId="77777777" w:rsidR="00404559" w:rsidRPr="00207DC2" w:rsidRDefault="00404559" w:rsidP="00FB626D">
            <w:pPr>
              <w:pStyle w:val="TableText"/>
              <w:keepNext/>
              <w:keepLines/>
              <w:rPr>
                <w:sz w:val="20"/>
                <w:lang w:val="en-AU" w:eastAsia="en-AU"/>
              </w:rPr>
            </w:pPr>
          </w:p>
        </w:tc>
        <w:tc>
          <w:tcPr>
            <w:tcW w:w="3124" w:type="dxa"/>
            <w:gridSpan w:val="2"/>
            <w:tcBorders>
              <w:left w:val="single" w:sz="4" w:space="0" w:color="auto"/>
              <w:bottom w:val="nil"/>
              <w:right w:val="single" w:sz="4" w:space="0" w:color="auto"/>
            </w:tcBorders>
            <w:noWrap/>
            <w:hideMark/>
          </w:tcPr>
          <w:p w14:paraId="08961130" w14:textId="23DEF821" w:rsidR="00404559" w:rsidRPr="00207DC2" w:rsidRDefault="00404559" w:rsidP="00FB626D">
            <w:pPr>
              <w:pStyle w:val="TableText"/>
              <w:keepNext/>
              <w:keepLines/>
              <w:jc w:val="center"/>
              <w:cnfStyle w:val="100000000000" w:firstRow="1" w:lastRow="0" w:firstColumn="0" w:lastColumn="0" w:oddVBand="0" w:evenVBand="0" w:oddHBand="0" w:evenHBand="0" w:firstRowFirstColumn="0" w:firstRowLastColumn="0" w:lastRowFirstColumn="0" w:lastRowLastColumn="0"/>
              <w:rPr>
                <w:sz w:val="20"/>
                <w:lang w:val="en-AU" w:eastAsia="en-AU"/>
              </w:rPr>
            </w:pPr>
            <w:r w:rsidRPr="00207DC2">
              <w:rPr>
                <w:sz w:val="20"/>
                <w:lang w:val="en-AU" w:eastAsia="en-AU"/>
              </w:rPr>
              <w:t>PIT</w:t>
            </w:r>
            <w:r w:rsidR="005338D2" w:rsidRPr="00207DC2">
              <w:rPr>
                <w:sz w:val="20"/>
                <w:lang w:val="en-AU" w:eastAsia="en-AU"/>
              </w:rPr>
              <w:t xml:space="preserve"> </w:t>
            </w:r>
            <w:r w:rsidR="00482C9D" w:rsidRPr="00207DC2">
              <w:rPr>
                <w:sz w:val="20"/>
                <w:lang w:val="en-AU" w:eastAsia="en-AU"/>
              </w:rPr>
              <w:t xml:space="preserve">% </w:t>
            </w:r>
            <w:r w:rsidR="005338D2" w:rsidRPr="00207DC2">
              <w:rPr>
                <w:sz w:val="20"/>
                <w:lang w:val="en-AU" w:eastAsia="en-AU"/>
              </w:rPr>
              <w:t>Mean(s</w:t>
            </w:r>
            <w:r w:rsidR="00341766" w:rsidRPr="00207DC2">
              <w:rPr>
                <w:sz w:val="20"/>
                <w:lang w:val="en-AU" w:eastAsia="en-AU"/>
              </w:rPr>
              <w:t>.</w:t>
            </w:r>
            <w:r w:rsidR="005338D2" w:rsidRPr="00207DC2">
              <w:rPr>
                <w:sz w:val="20"/>
                <w:lang w:val="en-AU" w:eastAsia="en-AU"/>
              </w:rPr>
              <w:t>d</w:t>
            </w:r>
            <w:r w:rsidR="00341766" w:rsidRPr="00207DC2">
              <w:rPr>
                <w:sz w:val="20"/>
                <w:lang w:val="en-AU" w:eastAsia="en-AU"/>
              </w:rPr>
              <w:t>.</w:t>
            </w:r>
            <w:r w:rsidR="005338D2" w:rsidRPr="00207DC2">
              <w:rPr>
                <w:sz w:val="20"/>
                <w:lang w:val="en-AU" w:eastAsia="en-AU"/>
              </w:rPr>
              <w:t>)</w:t>
            </w:r>
          </w:p>
        </w:tc>
        <w:tc>
          <w:tcPr>
            <w:tcW w:w="3124" w:type="dxa"/>
            <w:gridSpan w:val="2"/>
            <w:tcBorders>
              <w:left w:val="single" w:sz="4" w:space="0" w:color="auto"/>
              <w:bottom w:val="nil"/>
            </w:tcBorders>
            <w:noWrap/>
            <w:hideMark/>
          </w:tcPr>
          <w:p w14:paraId="001E107E" w14:textId="38776281" w:rsidR="00404559" w:rsidRPr="00207DC2" w:rsidRDefault="00404559" w:rsidP="00FB626D">
            <w:pPr>
              <w:pStyle w:val="TableText"/>
              <w:keepNext/>
              <w:keepLines/>
              <w:jc w:val="center"/>
              <w:cnfStyle w:val="100000000000" w:firstRow="1" w:lastRow="0" w:firstColumn="0" w:lastColumn="0" w:oddVBand="0" w:evenVBand="0" w:oddHBand="0" w:evenHBand="0" w:firstRowFirstColumn="0" w:firstRowLastColumn="0" w:lastRowFirstColumn="0" w:lastRowLastColumn="0"/>
              <w:rPr>
                <w:sz w:val="20"/>
                <w:lang w:val="en-AU" w:eastAsia="en-AU"/>
              </w:rPr>
            </w:pPr>
            <w:r w:rsidRPr="00207DC2">
              <w:rPr>
                <w:sz w:val="20"/>
                <w:lang w:val="en-AU" w:eastAsia="en-AU"/>
              </w:rPr>
              <w:t>NEW</w:t>
            </w:r>
            <w:r w:rsidR="005338D2" w:rsidRPr="00207DC2">
              <w:rPr>
                <w:sz w:val="20"/>
                <w:lang w:val="en-AU" w:eastAsia="en-AU"/>
              </w:rPr>
              <w:t xml:space="preserve"> </w:t>
            </w:r>
            <w:r w:rsidR="00482C9D" w:rsidRPr="00207DC2">
              <w:rPr>
                <w:sz w:val="20"/>
                <w:lang w:val="en-AU" w:eastAsia="en-AU"/>
              </w:rPr>
              <w:t xml:space="preserve">% </w:t>
            </w:r>
            <w:r w:rsidR="005338D2" w:rsidRPr="00207DC2">
              <w:rPr>
                <w:sz w:val="20"/>
                <w:lang w:val="en-AU" w:eastAsia="en-AU"/>
              </w:rPr>
              <w:t>Mean(s</w:t>
            </w:r>
            <w:r w:rsidR="00341766" w:rsidRPr="00207DC2">
              <w:rPr>
                <w:sz w:val="20"/>
                <w:lang w:val="en-AU" w:eastAsia="en-AU"/>
              </w:rPr>
              <w:t>.</w:t>
            </w:r>
            <w:r w:rsidR="005338D2" w:rsidRPr="00207DC2">
              <w:rPr>
                <w:sz w:val="20"/>
                <w:lang w:val="en-AU" w:eastAsia="en-AU"/>
              </w:rPr>
              <w:t>d</w:t>
            </w:r>
            <w:r w:rsidR="00341766" w:rsidRPr="00207DC2">
              <w:rPr>
                <w:sz w:val="20"/>
                <w:lang w:val="en-AU" w:eastAsia="en-AU"/>
              </w:rPr>
              <w:t>.</w:t>
            </w:r>
            <w:r w:rsidR="005338D2" w:rsidRPr="00207DC2">
              <w:rPr>
                <w:sz w:val="20"/>
                <w:lang w:val="en-AU" w:eastAsia="en-AU"/>
              </w:rPr>
              <w:t>)</w:t>
            </w:r>
          </w:p>
        </w:tc>
      </w:tr>
      <w:tr w:rsidR="00404559" w:rsidRPr="00207DC2" w14:paraId="79696CDA"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tcPr>
          <w:p w14:paraId="610683AD" w14:textId="77777777" w:rsidR="00404559" w:rsidRPr="00207DC2" w:rsidRDefault="005338D2" w:rsidP="00FB626D">
            <w:pPr>
              <w:pStyle w:val="TableText"/>
              <w:keepNext/>
              <w:keepLines/>
              <w:rPr>
                <w:color w:val="4A4848" w:themeColor="text2"/>
                <w:sz w:val="20"/>
                <w:lang w:val="en-AU" w:eastAsia="en-AU"/>
              </w:rPr>
            </w:pPr>
            <w:r w:rsidRPr="00207DC2">
              <w:rPr>
                <w:color w:val="4A4848" w:themeColor="text2"/>
                <w:sz w:val="20"/>
                <w:lang w:val="en-AU" w:eastAsia="en-AU"/>
              </w:rPr>
              <w:t>Variable</w:t>
            </w:r>
          </w:p>
        </w:tc>
        <w:tc>
          <w:tcPr>
            <w:tcW w:w="1562" w:type="dxa"/>
            <w:tcBorders>
              <w:top w:val="nil"/>
              <w:left w:val="single" w:sz="4" w:space="0" w:color="auto"/>
              <w:bottom w:val="nil"/>
            </w:tcBorders>
            <w:noWrap/>
          </w:tcPr>
          <w:p w14:paraId="51F67FB4" w14:textId="77777777" w:rsidR="00404559" w:rsidRPr="00207DC2" w:rsidRDefault="00404559" w:rsidP="00FB626D">
            <w:pPr>
              <w:pStyle w:val="TableText"/>
              <w:keepNext/>
              <w:keepLines/>
              <w:cnfStyle w:val="000000100000" w:firstRow="0" w:lastRow="0" w:firstColumn="0" w:lastColumn="0" w:oddVBand="0" w:evenVBand="0" w:oddHBand="1" w:evenHBand="0" w:firstRowFirstColumn="0" w:firstRowLastColumn="0" w:lastRowFirstColumn="0" w:lastRowLastColumn="0"/>
              <w:rPr>
                <w:b/>
                <w:color w:val="4A4848" w:themeColor="text2"/>
                <w:sz w:val="20"/>
                <w:lang w:val="en-AU" w:eastAsia="en-AU"/>
              </w:rPr>
            </w:pPr>
            <w:r w:rsidRPr="00207DC2">
              <w:rPr>
                <w:b/>
                <w:color w:val="4A4848" w:themeColor="text2"/>
                <w:sz w:val="20"/>
                <w:lang w:val="en-AU" w:eastAsia="en-AU"/>
              </w:rPr>
              <w:t>RJCP 2014</w:t>
            </w:r>
          </w:p>
        </w:tc>
        <w:tc>
          <w:tcPr>
            <w:tcW w:w="1562" w:type="dxa"/>
            <w:tcBorders>
              <w:top w:val="nil"/>
              <w:bottom w:val="nil"/>
              <w:right w:val="single" w:sz="4" w:space="0" w:color="auto"/>
            </w:tcBorders>
            <w:noWrap/>
          </w:tcPr>
          <w:p w14:paraId="788DFFE4" w14:textId="77777777" w:rsidR="00404559" w:rsidRPr="00207DC2" w:rsidRDefault="00404559" w:rsidP="00FB626D">
            <w:pPr>
              <w:pStyle w:val="TableText"/>
              <w:keepNext/>
              <w:keepLines/>
              <w:cnfStyle w:val="000000100000" w:firstRow="0" w:lastRow="0" w:firstColumn="0" w:lastColumn="0" w:oddVBand="0" w:evenVBand="0" w:oddHBand="1" w:evenHBand="0" w:firstRowFirstColumn="0" w:firstRowLastColumn="0" w:lastRowFirstColumn="0" w:lastRowLastColumn="0"/>
              <w:rPr>
                <w:b/>
                <w:color w:val="4A4848" w:themeColor="text2"/>
                <w:sz w:val="20"/>
                <w:lang w:val="en-AU" w:eastAsia="en-AU"/>
              </w:rPr>
            </w:pPr>
            <w:r w:rsidRPr="00207DC2">
              <w:rPr>
                <w:b/>
                <w:color w:val="4A4848" w:themeColor="text2"/>
                <w:sz w:val="20"/>
                <w:lang w:val="en-AU" w:eastAsia="en-AU"/>
              </w:rPr>
              <w:t>CDP 2016</w:t>
            </w:r>
          </w:p>
        </w:tc>
        <w:tc>
          <w:tcPr>
            <w:tcW w:w="1562" w:type="dxa"/>
            <w:tcBorders>
              <w:top w:val="nil"/>
              <w:left w:val="single" w:sz="4" w:space="0" w:color="auto"/>
              <w:bottom w:val="nil"/>
            </w:tcBorders>
            <w:noWrap/>
          </w:tcPr>
          <w:p w14:paraId="7A9ED66B" w14:textId="77777777" w:rsidR="00404559" w:rsidRPr="00207DC2" w:rsidRDefault="00404559" w:rsidP="00FB626D">
            <w:pPr>
              <w:pStyle w:val="TableText"/>
              <w:keepNext/>
              <w:keepLines/>
              <w:cnfStyle w:val="000000100000" w:firstRow="0" w:lastRow="0" w:firstColumn="0" w:lastColumn="0" w:oddVBand="0" w:evenVBand="0" w:oddHBand="1" w:evenHBand="0" w:firstRowFirstColumn="0" w:firstRowLastColumn="0" w:lastRowFirstColumn="0" w:lastRowLastColumn="0"/>
              <w:rPr>
                <w:b/>
                <w:color w:val="4A4848" w:themeColor="text2"/>
                <w:sz w:val="20"/>
                <w:lang w:val="en-AU" w:eastAsia="en-AU"/>
              </w:rPr>
            </w:pPr>
            <w:r w:rsidRPr="00207DC2">
              <w:rPr>
                <w:b/>
                <w:color w:val="4A4848" w:themeColor="text2"/>
                <w:sz w:val="20"/>
                <w:lang w:val="en-AU" w:eastAsia="en-AU"/>
              </w:rPr>
              <w:t>RJCP 2014</w:t>
            </w:r>
          </w:p>
        </w:tc>
        <w:tc>
          <w:tcPr>
            <w:tcW w:w="1562" w:type="dxa"/>
            <w:tcBorders>
              <w:top w:val="nil"/>
              <w:bottom w:val="nil"/>
            </w:tcBorders>
            <w:noWrap/>
          </w:tcPr>
          <w:p w14:paraId="3A94CC2B" w14:textId="77777777" w:rsidR="00404559" w:rsidRPr="00207DC2" w:rsidRDefault="00404559" w:rsidP="00FB626D">
            <w:pPr>
              <w:pStyle w:val="TableText"/>
              <w:keepNext/>
              <w:keepLines/>
              <w:cnfStyle w:val="000000100000" w:firstRow="0" w:lastRow="0" w:firstColumn="0" w:lastColumn="0" w:oddVBand="0" w:evenVBand="0" w:oddHBand="1" w:evenHBand="0" w:firstRowFirstColumn="0" w:firstRowLastColumn="0" w:lastRowFirstColumn="0" w:lastRowLastColumn="0"/>
              <w:rPr>
                <w:b/>
                <w:color w:val="4A4848" w:themeColor="text2"/>
                <w:sz w:val="20"/>
                <w:lang w:val="en-AU" w:eastAsia="en-AU"/>
              </w:rPr>
            </w:pPr>
            <w:r w:rsidRPr="00207DC2">
              <w:rPr>
                <w:b/>
                <w:color w:val="4A4848" w:themeColor="text2"/>
                <w:sz w:val="20"/>
                <w:lang w:val="en-AU" w:eastAsia="en-AU"/>
              </w:rPr>
              <w:t>CDP 2016</w:t>
            </w:r>
          </w:p>
        </w:tc>
      </w:tr>
      <w:tr w:rsidR="00404559" w:rsidRPr="00207DC2" w14:paraId="7B209068"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bottom w:val="nil"/>
              <w:right w:val="single" w:sz="4" w:space="0" w:color="auto"/>
            </w:tcBorders>
            <w:noWrap/>
            <w:hideMark/>
          </w:tcPr>
          <w:p w14:paraId="5C81E23A"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male</w:t>
            </w:r>
          </w:p>
        </w:tc>
        <w:tc>
          <w:tcPr>
            <w:tcW w:w="1562" w:type="dxa"/>
            <w:tcBorders>
              <w:left w:val="single" w:sz="4" w:space="0" w:color="auto"/>
              <w:bottom w:val="nil"/>
            </w:tcBorders>
            <w:noWrap/>
          </w:tcPr>
          <w:p w14:paraId="7DD0AECC"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56.3 (0.</w:t>
            </w:r>
            <w:r w:rsidR="00664BB6" w:rsidRPr="00207DC2">
              <w:rPr>
                <w:sz w:val="20"/>
                <w:szCs w:val="18"/>
                <w:lang w:val="en-AU"/>
              </w:rPr>
              <w:t>5</w:t>
            </w:r>
            <w:r w:rsidRPr="00207DC2">
              <w:rPr>
                <w:sz w:val="20"/>
                <w:lang w:val="en-AU"/>
              </w:rPr>
              <w:t>)</w:t>
            </w:r>
          </w:p>
        </w:tc>
        <w:tc>
          <w:tcPr>
            <w:tcW w:w="1562" w:type="dxa"/>
            <w:tcBorders>
              <w:bottom w:val="nil"/>
              <w:right w:val="single" w:sz="4" w:space="0" w:color="auto"/>
            </w:tcBorders>
            <w:noWrap/>
          </w:tcPr>
          <w:p w14:paraId="49CEBF3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56.1 (0.</w:t>
            </w:r>
            <w:r w:rsidR="00664BB6" w:rsidRPr="00207DC2">
              <w:rPr>
                <w:sz w:val="20"/>
                <w:szCs w:val="18"/>
                <w:lang w:val="en-AU"/>
              </w:rPr>
              <w:t>5</w:t>
            </w:r>
            <w:r w:rsidRPr="00207DC2">
              <w:rPr>
                <w:sz w:val="20"/>
                <w:lang w:val="en-AU"/>
              </w:rPr>
              <w:t>)</w:t>
            </w:r>
          </w:p>
        </w:tc>
        <w:tc>
          <w:tcPr>
            <w:tcW w:w="1562" w:type="dxa"/>
            <w:tcBorders>
              <w:left w:val="single" w:sz="4" w:space="0" w:color="auto"/>
              <w:bottom w:val="nil"/>
            </w:tcBorders>
            <w:noWrap/>
          </w:tcPr>
          <w:p w14:paraId="1B8BA689"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58.6 (0.</w:t>
            </w:r>
            <w:r w:rsidR="005338D2" w:rsidRPr="00207DC2">
              <w:rPr>
                <w:sz w:val="20"/>
                <w:szCs w:val="18"/>
                <w:lang w:val="en-AU"/>
              </w:rPr>
              <w:t>5</w:t>
            </w:r>
            <w:r w:rsidRPr="00207DC2">
              <w:rPr>
                <w:sz w:val="20"/>
                <w:lang w:val="en-AU"/>
              </w:rPr>
              <w:t>)</w:t>
            </w:r>
          </w:p>
        </w:tc>
        <w:tc>
          <w:tcPr>
            <w:tcW w:w="1562" w:type="dxa"/>
            <w:tcBorders>
              <w:bottom w:val="nil"/>
            </w:tcBorders>
            <w:noWrap/>
          </w:tcPr>
          <w:p w14:paraId="578096A8"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59.0 (0.</w:t>
            </w:r>
            <w:r w:rsidR="005338D2" w:rsidRPr="00207DC2">
              <w:rPr>
                <w:sz w:val="20"/>
                <w:szCs w:val="18"/>
                <w:lang w:val="en-AU"/>
              </w:rPr>
              <w:t>5</w:t>
            </w:r>
            <w:r w:rsidRPr="00207DC2">
              <w:rPr>
                <w:sz w:val="20"/>
                <w:lang w:val="en-AU"/>
              </w:rPr>
              <w:t>)</w:t>
            </w:r>
          </w:p>
        </w:tc>
      </w:tr>
      <w:tr w:rsidR="00404559" w:rsidRPr="00207DC2" w14:paraId="644BC9CF"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B50DCC5" w14:textId="2586A8BA" w:rsidR="00404559" w:rsidRPr="00207DC2" w:rsidRDefault="00402A41" w:rsidP="00FB626D">
            <w:pPr>
              <w:pStyle w:val="TableText"/>
              <w:keepNext/>
              <w:keepLines/>
              <w:rPr>
                <w:b w:val="0"/>
                <w:sz w:val="20"/>
                <w:lang w:val="en-AU" w:eastAsia="en-AU"/>
              </w:rPr>
            </w:pPr>
            <w:r>
              <w:rPr>
                <w:b w:val="0"/>
                <w:sz w:val="20"/>
                <w:lang w:val="en-AU" w:eastAsia="en-AU"/>
              </w:rPr>
              <w:t>I</w:t>
            </w:r>
            <w:r w:rsidR="00404559" w:rsidRPr="00207DC2">
              <w:rPr>
                <w:b w:val="0"/>
                <w:sz w:val="20"/>
                <w:lang w:val="en-AU" w:eastAsia="en-AU"/>
              </w:rPr>
              <w:t>dentifies as indigenous</w:t>
            </w:r>
          </w:p>
        </w:tc>
        <w:tc>
          <w:tcPr>
            <w:tcW w:w="1562" w:type="dxa"/>
            <w:tcBorders>
              <w:top w:val="nil"/>
              <w:left w:val="single" w:sz="4" w:space="0" w:color="auto"/>
              <w:bottom w:val="nil"/>
            </w:tcBorders>
            <w:noWrap/>
          </w:tcPr>
          <w:p w14:paraId="58323620"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84.3 (0.</w:t>
            </w:r>
            <w:r w:rsidR="005338D2" w:rsidRPr="00207DC2">
              <w:rPr>
                <w:sz w:val="20"/>
                <w:szCs w:val="18"/>
                <w:lang w:val="en-AU"/>
              </w:rPr>
              <w:t>4</w:t>
            </w:r>
            <w:r w:rsidRPr="00207DC2">
              <w:rPr>
                <w:sz w:val="20"/>
                <w:lang w:val="en-AU"/>
              </w:rPr>
              <w:t>)</w:t>
            </w:r>
          </w:p>
        </w:tc>
        <w:tc>
          <w:tcPr>
            <w:tcW w:w="1562" w:type="dxa"/>
            <w:tcBorders>
              <w:top w:val="nil"/>
              <w:bottom w:val="nil"/>
              <w:right w:val="single" w:sz="4" w:space="0" w:color="auto"/>
            </w:tcBorders>
            <w:noWrap/>
          </w:tcPr>
          <w:p w14:paraId="19534B2F"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83.9 (0.</w:t>
            </w:r>
            <w:r w:rsidR="005338D2" w:rsidRPr="00207DC2">
              <w:rPr>
                <w:sz w:val="20"/>
                <w:szCs w:val="18"/>
                <w:lang w:val="en-AU"/>
              </w:rPr>
              <w:t>4</w:t>
            </w:r>
            <w:r w:rsidRPr="00207DC2">
              <w:rPr>
                <w:sz w:val="20"/>
                <w:lang w:val="en-AU"/>
              </w:rPr>
              <w:t>)</w:t>
            </w:r>
          </w:p>
        </w:tc>
        <w:tc>
          <w:tcPr>
            <w:tcW w:w="1562" w:type="dxa"/>
            <w:tcBorders>
              <w:top w:val="nil"/>
              <w:left w:val="single" w:sz="4" w:space="0" w:color="auto"/>
              <w:bottom w:val="nil"/>
            </w:tcBorders>
            <w:noWrap/>
          </w:tcPr>
          <w:p w14:paraId="2B781095"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71.6 (0.</w:t>
            </w:r>
            <w:r w:rsidR="005338D2" w:rsidRPr="00207DC2">
              <w:rPr>
                <w:sz w:val="20"/>
                <w:szCs w:val="18"/>
                <w:lang w:val="en-AU"/>
              </w:rPr>
              <w:t>5</w:t>
            </w:r>
            <w:r w:rsidRPr="00207DC2">
              <w:rPr>
                <w:sz w:val="20"/>
                <w:lang w:val="en-AU"/>
              </w:rPr>
              <w:t>)</w:t>
            </w:r>
          </w:p>
        </w:tc>
        <w:tc>
          <w:tcPr>
            <w:tcW w:w="1562" w:type="dxa"/>
            <w:tcBorders>
              <w:top w:val="nil"/>
              <w:bottom w:val="nil"/>
            </w:tcBorders>
            <w:noWrap/>
          </w:tcPr>
          <w:p w14:paraId="3820FB0C"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71.7 (0.</w:t>
            </w:r>
            <w:r w:rsidRPr="00207DC2">
              <w:rPr>
                <w:sz w:val="20"/>
                <w:szCs w:val="18"/>
                <w:lang w:val="en-AU"/>
              </w:rPr>
              <w:t>5</w:t>
            </w:r>
            <w:r w:rsidRPr="00207DC2">
              <w:rPr>
                <w:sz w:val="20"/>
                <w:lang w:val="en-AU"/>
              </w:rPr>
              <w:t>)</w:t>
            </w:r>
          </w:p>
        </w:tc>
      </w:tr>
      <w:tr w:rsidR="00404559" w:rsidRPr="00207DC2" w14:paraId="67A132BF" w14:textId="77777777" w:rsidTr="00402A41">
        <w:trPr>
          <w:trHeight w:val="38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dashSmallGap" w:sz="4" w:space="0" w:color="auto"/>
              <w:right w:val="single" w:sz="4" w:space="0" w:color="auto"/>
            </w:tcBorders>
            <w:noWrap/>
            <w:hideMark/>
          </w:tcPr>
          <w:p w14:paraId="4A89EADB"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Indigenous provider</w:t>
            </w:r>
          </w:p>
        </w:tc>
        <w:tc>
          <w:tcPr>
            <w:tcW w:w="1562" w:type="dxa"/>
            <w:tcBorders>
              <w:top w:val="nil"/>
              <w:left w:val="single" w:sz="4" w:space="0" w:color="auto"/>
              <w:bottom w:val="dashSmallGap" w:sz="4" w:space="0" w:color="auto"/>
            </w:tcBorders>
            <w:noWrap/>
          </w:tcPr>
          <w:p w14:paraId="2803B98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50.9 (0.</w:t>
            </w:r>
            <w:r w:rsidR="00664BB6" w:rsidRPr="00207DC2">
              <w:rPr>
                <w:sz w:val="20"/>
                <w:szCs w:val="18"/>
                <w:lang w:val="en-AU"/>
              </w:rPr>
              <w:t>5</w:t>
            </w:r>
            <w:r w:rsidRPr="00207DC2">
              <w:rPr>
                <w:sz w:val="20"/>
                <w:lang w:val="en-AU"/>
              </w:rPr>
              <w:t>)</w:t>
            </w:r>
          </w:p>
        </w:tc>
        <w:tc>
          <w:tcPr>
            <w:tcW w:w="1562" w:type="dxa"/>
            <w:tcBorders>
              <w:top w:val="nil"/>
              <w:bottom w:val="dashSmallGap" w:sz="4" w:space="0" w:color="auto"/>
              <w:right w:val="single" w:sz="4" w:space="0" w:color="auto"/>
            </w:tcBorders>
            <w:noWrap/>
          </w:tcPr>
          <w:p w14:paraId="31F19EC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55.0 (0.</w:t>
            </w:r>
            <w:r w:rsidR="00664BB6" w:rsidRPr="00207DC2">
              <w:rPr>
                <w:sz w:val="20"/>
                <w:szCs w:val="18"/>
                <w:lang w:val="en-AU"/>
              </w:rPr>
              <w:t>5</w:t>
            </w:r>
            <w:r w:rsidRPr="00207DC2">
              <w:rPr>
                <w:sz w:val="20"/>
                <w:lang w:val="en-AU"/>
              </w:rPr>
              <w:t>)</w:t>
            </w:r>
          </w:p>
        </w:tc>
        <w:tc>
          <w:tcPr>
            <w:tcW w:w="1562" w:type="dxa"/>
            <w:tcBorders>
              <w:top w:val="nil"/>
              <w:left w:val="single" w:sz="4" w:space="0" w:color="auto"/>
              <w:bottom w:val="dashSmallGap" w:sz="4" w:space="0" w:color="auto"/>
            </w:tcBorders>
            <w:noWrap/>
          </w:tcPr>
          <w:p w14:paraId="1D650240"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47.1 (0.</w:t>
            </w:r>
            <w:r w:rsidR="005338D2" w:rsidRPr="00207DC2">
              <w:rPr>
                <w:sz w:val="20"/>
                <w:szCs w:val="18"/>
                <w:lang w:val="en-AU"/>
              </w:rPr>
              <w:t>5</w:t>
            </w:r>
            <w:r w:rsidRPr="00207DC2">
              <w:rPr>
                <w:sz w:val="20"/>
                <w:lang w:val="en-AU"/>
              </w:rPr>
              <w:t>)</w:t>
            </w:r>
          </w:p>
        </w:tc>
        <w:tc>
          <w:tcPr>
            <w:tcW w:w="1562" w:type="dxa"/>
            <w:tcBorders>
              <w:top w:val="nil"/>
              <w:bottom w:val="dashSmallGap" w:sz="4" w:space="0" w:color="auto"/>
            </w:tcBorders>
            <w:noWrap/>
          </w:tcPr>
          <w:p w14:paraId="47140F71"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53.4 (0.</w:t>
            </w:r>
            <w:r w:rsidR="00664BB6" w:rsidRPr="00207DC2">
              <w:rPr>
                <w:sz w:val="20"/>
                <w:szCs w:val="18"/>
                <w:lang w:val="en-AU"/>
              </w:rPr>
              <w:t>5</w:t>
            </w:r>
            <w:r w:rsidRPr="00207DC2">
              <w:rPr>
                <w:sz w:val="20"/>
                <w:lang w:val="en-AU"/>
              </w:rPr>
              <w:t>)</w:t>
            </w:r>
          </w:p>
        </w:tc>
      </w:tr>
      <w:tr w:rsidR="00404559" w:rsidRPr="00207DC2" w14:paraId="70CB8EAA"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E24BB4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1</w:t>
            </w:r>
          </w:p>
        </w:tc>
        <w:tc>
          <w:tcPr>
            <w:tcW w:w="1562" w:type="dxa"/>
            <w:tcBorders>
              <w:top w:val="nil"/>
              <w:left w:val="single" w:sz="4" w:space="0" w:color="auto"/>
              <w:bottom w:val="nil"/>
            </w:tcBorders>
            <w:noWrap/>
          </w:tcPr>
          <w:p w14:paraId="5231703A"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12.0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4DAB4E5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10.6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3FE84CD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10.3 (0.</w:t>
            </w:r>
            <w:r w:rsidRPr="00207DC2">
              <w:rPr>
                <w:sz w:val="20"/>
                <w:szCs w:val="18"/>
                <w:lang w:val="en-AU"/>
              </w:rPr>
              <w:t>3</w:t>
            </w:r>
            <w:r w:rsidRPr="00207DC2">
              <w:rPr>
                <w:sz w:val="20"/>
                <w:lang w:val="en-AU"/>
              </w:rPr>
              <w:t>)</w:t>
            </w:r>
          </w:p>
        </w:tc>
        <w:tc>
          <w:tcPr>
            <w:tcW w:w="1562" w:type="dxa"/>
            <w:tcBorders>
              <w:top w:val="nil"/>
              <w:bottom w:val="nil"/>
            </w:tcBorders>
            <w:noWrap/>
          </w:tcPr>
          <w:p w14:paraId="4DD7F47F"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10.4 (0.</w:t>
            </w:r>
            <w:r w:rsidRPr="00207DC2">
              <w:rPr>
                <w:sz w:val="20"/>
                <w:szCs w:val="18"/>
                <w:lang w:val="en-AU"/>
              </w:rPr>
              <w:t>3</w:t>
            </w:r>
            <w:r w:rsidRPr="00207DC2">
              <w:rPr>
                <w:sz w:val="20"/>
                <w:lang w:val="en-AU"/>
              </w:rPr>
              <w:t>)</w:t>
            </w:r>
          </w:p>
        </w:tc>
      </w:tr>
      <w:tr w:rsidR="00404559" w:rsidRPr="00207DC2" w14:paraId="0EA5D219"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4C2D0A7D"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2</w:t>
            </w:r>
          </w:p>
        </w:tc>
        <w:tc>
          <w:tcPr>
            <w:tcW w:w="1562" w:type="dxa"/>
            <w:tcBorders>
              <w:top w:val="nil"/>
              <w:left w:val="single" w:sz="4" w:space="0" w:color="auto"/>
              <w:bottom w:val="nil"/>
            </w:tcBorders>
            <w:noWrap/>
          </w:tcPr>
          <w:p w14:paraId="76F84BA0"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8.8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2E7A40B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2312B089"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11.6 (0.</w:t>
            </w:r>
            <w:r w:rsidR="00664BB6" w:rsidRPr="00207DC2">
              <w:rPr>
                <w:sz w:val="20"/>
                <w:szCs w:val="18"/>
                <w:lang w:val="en-AU"/>
              </w:rPr>
              <w:t>3</w:t>
            </w:r>
            <w:r w:rsidRPr="00207DC2">
              <w:rPr>
                <w:sz w:val="20"/>
                <w:lang w:val="en-AU"/>
              </w:rPr>
              <w:t>)</w:t>
            </w:r>
          </w:p>
        </w:tc>
        <w:tc>
          <w:tcPr>
            <w:tcW w:w="1562" w:type="dxa"/>
            <w:tcBorders>
              <w:top w:val="nil"/>
              <w:bottom w:val="nil"/>
            </w:tcBorders>
            <w:noWrap/>
          </w:tcPr>
          <w:p w14:paraId="1F0B46B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r>
      <w:tr w:rsidR="00404559" w:rsidRPr="00207DC2" w14:paraId="06B8E54A"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0A79D23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3</w:t>
            </w:r>
          </w:p>
        </w:tc>
        <w:tc>
          <w:tcPr>
            <w:tcW w:w="1562" w:type="dxa"/>
            <w:tcBorders>
              <w:top w:val="nil"/>
              <w:left w:val="single" w:sz="4" w:space="0" w:color="auto"/>
              <w:bottom w:val="nil"/>
            </w:tcBorders>
            <w:noWrap/>
          </w:tcPr>
          <w:p w14:paraId="7E82463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66CDB68D"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12.2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CE12D24"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7.9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658DA9D3"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10.3 (0.</w:t>
            </w:r>
            <w:r w:rsidRPr="00207DC2">
              <w:rPr>
                <w:sz w:val="20"/>
                <w:szCs w:val="18"/>
                <w:lang w:val="en-AU"/>
              </w:rPr>
              <w:t>3</w:t>
            </w:r>
            <w:r w:rsidRPr="00207DC2">
              <w:rPr>
                <w:sz w:val="20"/>
                <w:lang w:val="en-AU"/>
              </w:rPr>
              <w:t>)</w:t>
            </w:r>
          </w:p>
        </w:tc>
      </w:tr>
      <w:tr w:rsidR="00404559" w:rsidRPr="00207DC2" w14:paraId="060769E5"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7E40EEFE"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4</w:t>
            </w:r>
          </w:p>
        </w:tc>
        <w:tc>
          <w:tcPr>
            <w:tcW w:w="1562" w:type="dxa"/>
            <w:tcBorders>
              <w:top w:val="nil"/>
              <w:left w:val="single" w:sz="4" w:space="0" w:color="auto"/>
              <w:bottom w:val="nil"/>
            </w:tcBorders>
            <w:noWrap/>
          </w:tcPr>
          <w:p w14:paraId="1C1D7F6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9.1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32AE943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7.7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6E7932C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12.0 (0.</w:t>
            </w:r>
            <w:r w:rsidRPr="00207DC2">
              <w:rPr>
                <w:sz w:val="20"/>
                <w:szCs w:val="18"/>
                <w:lang w:val="en-AU"/>
              </w:rPr>
              <w:t>3</w:t>
            </w:r>
            <w:r w:rsidRPr="00207DC2">
              <w:rPr>
                <w:sz w:val="20"/>
                <w:lang w:val="en-AU"/>
              </w:rPr>
              <w:t>)</w:t>
            </w:r>
          </w:p>
        </w:tc>
        <w:tc>
          <w:tcPr>
            <w:tcW w:w="1562" w:type="dxa"/>
            <w:tcBorders>
              <w:top w:val="nil"/>
              <w:bottom w:val="nil"/>
            </w:tcBorders>
            <w:noWrap/>
          </w:tcPr>
          <w:p w14:paraId="3A9F22D0"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12.4 (0.</w:t>
            </w:r>
            <w:r w:rsidRPr="00207DC2">
              <w:rPr>
                <w:sz w:val="20"/>
                <w:szCs w:val="18"/>
                <w:lang w:val="en-AU"/>
              </w:rPr>
              <w:t>3</w:t>
            </w:r>
            <w:r w:rsidRPr="00207DC2">
              <w:rPr>
                <w:sz w:val="20"/>
                <w:lang w:val="en-AU"/>
              </w:rPr>
              <w:t>)</w:t>
            </w:r>
          </w:p>
        </w:tc>
      </w:tr>
      <w:tr w:rsidR="00404559" w:rsidRPr="00207DC2" w14:paraId="375D974D"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657631FB"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5</w:t>
            </w:r>
          </w:p>
        </w:tc>
        <w:tc>
          <w:tcPr>
            <w:tcW w:w="1562" w:type="dxa"/>
            <w:tcBorders>
              <w:top w:val="nil"/>
              <w:left w:val="single" w:sz="4" w:space="0" w:color="auto"/>
              <w:bottom w:val="nil"/>
            </w:tcBorders>
            <w:noWrap/>
          </w:tcPr>
          <w:p w14:paraId="0268687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12.2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7A7B6CFF"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6C116A7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10.1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732D9943"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7.1 (0.</w:t>
            </w:r>
            <w:r w:rsidR="005338D2" w:rsidRPr="00207DC2">
              <w:rPr>
                <w:sz w:val="20"/>
                <w:szCs w:val="18"/>
                <w:lang w:val="en-AU"/>
              </w:rPr>
              <w:t>3</w:t>
            </w:r>
            <w:r w:rsidRPr="00207DC2">
              <w:rPr>
                <w:sz w:val="20"/>
                <w:lang w:val="en-AU"/>
              </w:rPr>
              <w:t>)</w:t>
            </w:r>
          </w:p>
        </w:tc>
      </w:tr>
      <w:tr w:rsidR="00404559" w:rsidRPr="00207DC2" w14:paraId="324B3EBD"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1C823779"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6</w:t>
            </w:r>
          </w:p>
        </w:tc>
        <w:tc>
          <w:tcPr>
            <w:tcW w:w="1562" w:type="dxa"/>
            <w:tcBorders>
              <w:top w:val="nil"/>
              <w:left w:val="single" w:sz="4" w:space="0" w:color="auto"/>
              <w:bottom w:val="nil"/>
            </w:tcBorders>
            <w:noWrap/>
          </w:tcPr>
          <w:p w14:paraId="4A96CFE8"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7.7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16B2E4E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14.4 (0.</w:t>
            </w:r>
            <w:r w:rsidR="005338D2" w:rsidRPr="00207DC2">
              <w:rPr>
                <w:sz w:val="20"/>
                <w:szCs w:val="18"/>
                <w:lang w:val="en-AU"/>
              </w:rPr>
              <w:t>4</w:t>
            </w:r>
            <w:r w:rsidRPr="00207DC2">
              <w:rPr>
                <w:sz w:val="20"/>
                <w:lang w:val="en-AU"/>
              </w:rPr>
              <w:t>)</w:t>
            </w:r>
          </w:p>
        </w:tc>
        <w:tc>
          <w:tcPr>
            <w:tcW w:w="1562" w:type="dxa"/>
            <w:tcBorders>
              <w:top w:val="nil"/>
              <w:left w:val="single" w:sz="4" w:space="0" w:color="auto"/>
              <w:bottom w:val="nil"/>
            </w:tcBorders>
            <w:noWrap/>
          </w:tcPr>
          <w:p w14:paraId="680441C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9.2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065CD45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r>
      <w:tr w:rsidR="00404559" w:rsidRPr="00207DC2" w14:paraId="24D8B653"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0BB29B6D"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7</w:t>
            </w:r>
          </w:p>
        </w:tc>
        <w:tc>
          <w:tcPr>
            <w:tcW w:w="1562" w:type="dxa"/>
            <w:tcBorders>
              <w:top w:val="nil"/>
              <w:left w:val="single" w:sz="4" w:space="0" w:color="auto"/>
              <w:bottom w:val="nil"/>
            </w:tcBorders>
            <w:noWrap/>
          </w:tcPr>
          <w:p w14:paraId="5E01520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73B3CD0C"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6.4 (0.</w:t>
            </w:r>
            <w:r w:rsidRPr="00207DC2">
              <w:rPr>
                <w:sz w:val="20"/>
                <w:szCs w:val="18"/>
                <w:lang w:val="en-AU"/>
              </w:rPr>
              <w:t>2</w:t>
            </w:r>
            <w:r w:rsidRPr="00207DC2">
              <w:rPr>
                <w:sz w:val="20"/>
                <w:lang w:val="en-AU"/>
              </w:rPr>
              <w:t>)</w:t>
            </w:r>
          </w:p>
        </w:tc>
        <w:tc>
          <w:tcPr>
            <w:tcW w:w="1562" w:type="dxa"/>
            <w:tcBorders>
              <w:top w:val="nil"/>
              <w:left w:val="single" w:sz="4" w:space="0" w:color="auto"/>
              <w:bottom w:val="nil"/>
            </w:tcBorders>
            <w:noWrap/>
          </w:tcPr>
          <w:p w14:paraId="53CE39A6"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29866B8D"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10.8 (0.</w:t>
            </w:r>
            <w:r w:rsidRPr="00207DC2">
              <w:rPr>
                <w:sz w:val="20"/>
                <w:szCs w:val="18"/>
                <w:lang w:val="en-AU"/>
              </w:rPr>
              <w:t>3</w:t>
            </w:r>
            <w:r w:rsidRPr="00207DC2">
              <w:rPr>
                <w:sz w:val="20"/>
                <w:lang w:val="en-AU"/>
              </w:rPr>
              <w:t>)</w:t>
            </w:r>
          </w:p>
        </w:tc>
      </w:tr>
      <w:tr w:rsidR="00404559" w:rsidRPr="00207DC2" w14:paraId="2AD34A22"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8D7472D"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8</w:t>
            </w:r>
          </w:p>
        </w:tc>
        <w:tc>
          <w:tcPr>
            <w:tcW w:w="1562" w:type="dxa"/>
            <w:tcBorders>
              <w:top w:val="nil"/>
              <w:left w:val="single" w:sz="4" w:space="0" w:color="auto"/>
              <w:bottom w:val="nil"/>
            </w:tcBorders>
            <w:noWrap/>
          </w:tcPr>
          <w:p w14:paraId="65D2459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4EC48D31"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10.8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65697AB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9.0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1A96EB73"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11.6 (0.</w:t>
            </w:r>
            <w:r w:rsidRPr="00207DC2">
              <w:rPr>
                <w:sz w:val="20"/>
                <w:szCs w:val="18"/>
                <w:lang w:val="en-AU"/>
              </w:rPr>
              <w:t>3</w:t>
            </w:r>
            <w:r w:rsidRPr="00207DC2">
              <w:rPr>
                <w:sz w:val="20"/>
                <w:lang w:val="en-AU"/>
              </w:rPr>
              <w:t>)</w:t>
            </w:r>
          </w:p>
        </w:tc>
      </w:tr>
      <w:tr w:rsidR="00404559" w:rsidRPr="00207DC2" w14:paraId="7AA09DFC"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dashSmallGap" w:sz="4" w:space="0" w:color="auto"/>
              <w:right w:val="single" w:sz="4" w:space="0" w:color="auto"/>
            </w:tcBorders>
            <w:noWrap/>
            <w:hideMark/>
          </w:tcPr>
          <w:p w14:paraId="06CFCC6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unemployed-region decile 9</w:t>
            </w:r>
          </w:p>
        </w:tc>
        <w:tc>
          <w:tcPr>
            <w:tcW w:w="1562" w:type="dxa"/>
            <w:tcBorders>
              <w:top w:val="nil"/>
              <w:left w:val="single" w:sz="4" w:space="0" w:color="auto"/>
              <w:bottom w:val="dashSmallGap" w:sz="4" w:space="0" w:color="auto"/>
            </w:tcBorders>
            <w:noWrap/>
          </w:tcPr>
          <w:p w14:paraId="6CE13AEC"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8.9 (0.</w:t>
            </w:r>
            <w:r w:rsidR="005338D2" w:rsidRPr="00207DC2">
              <w:rPr>
                <w:sz w:val="20"/>
                <w:szCs w:val="18"/>
                <w:lang w:val="en-AU"/>
              </w:rPr>
              <w:t>3</w:t>
            </w:r>
            <w:r w:rsidRPr="00207DC2">
              <w:rPr>
                <w:sz w:val="20"/>
                <w:lang w:val="en-AU"/>
              </w:rPr>
              <w:t>)</w:t>
            </w:r>
          </w:p>
        </w:tc>
        <w:tc>
          <w:tcPr>
            <w:tcW w:w="1562" w:type="dxa"/>
            <w:tcBorders>
              <w:top w:val="nil"/>
              <w:bottom w:val="dashSmallGap" w:sz="4" w:space="0" w:color="auto"/>
              <w:right w:val="single" w:sz="4" w:space="0" w:color="auto"/>
            </w:tcBorders>
            <w:noWrap/>
          </w:tcPr>
          <w:p w14:paraId="179E4FB8"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dashSmallGap" w:sz="4" w:space="0" w:color="auto"/>
            </w:tcBorders>
            <w:noWrap/>
          </w:tcPr>
          <w:p w14:paraId="2F65138C"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9.7 (0.</w:t>
            </w:r>
            <w:r w:rsidR="00664BB6" w:rsidRPr="00207DC2">
              <w:rPr>
                <w:sz w:val="20"/>
                <w:szCs w:val="18"/>
                <w:lang w:val="en-AU"/>
              </w:rPr>
              <w:t>3</w:t>
            </w:r>
            <w:r w:rsidRPr="00207DC2">
              <w:rPr>
                <w:sz w:val="20"/>
                <w:lang w:val="en-AU"/>
              </w:rPr>
              <w:t>)</w:t>
            </w:r>
          </w:p>
        </w:tc>
        <w:tc>
          <w:tcPr>
            <w:tcW w:w="1562" w:type="dxa"/>
            <w:tcBorders>
              <w:top w:val="nil"/>
              <w:bottom w:val="dashSmallGap" w:sz="4" w:space="0" w:color="auto"/>
            </w:tcBorders>
            <w:noWrap/>
          </w:tcPr>
          <w:p w14:paraId="53ABA33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10.3 (0.</w:t>
            </w:r>
            <w:r w:rsidRPr="00207DC2">
              <w:rPr>
                <w:sz w:val="20"/>
                <w:szCs w:val="18"/>
                <w:lang w:val="en-AU"/>
              </w:rPr>
              <w:t>3</w:t>
            </w:r>
            <w:r w:rsidRPr="00207DC2">
              <w:rPr>
                <w:sz w:val="20"/>
                <w:lang w:val="en-AU"/>
              </w:rPr>
              <w:t>)</w:t>
            </w:r>
          </w:p>
        </w:tc>
      </w:tr>
      <w:tr w:rsidR="00404559" w:rsidRPr="00207DC2" w14:paraId="69FAED2C"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dashSmallGap" w:sz="4" w:space="0" w:color="auto"/>
              <w:bottom w:val="nil"/>
              <w:right w:val="single" w:sz="4" w:space="0" w:color="auto"/>
            </w:tcBorders>
            <w:noWrap/>
            <w:hideMark/>
          </w:tcPr>
          <w:p w14:paraId="7ED9D12B"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1</w:t>
            </w:r>
          </w:p>
        </w:tc>
        <w:tc>
          <w:tcPr>
            <w:tcW w:w="1562" w:type="dxa"/>
            <w:tcBorders>
              <w:top w:val="dashSmallGap" w:sz="4" w:space="0" w:color="auto"/>
              <w:left w:val="single" w:sz="4" w:space="0" w:color="auto"/>
              <w:bottom w:val="nil"/>
            </w:tcBorders>
            <w:noWrap/>
          </w:tcPr>
          <w:p w14:paraId="053A4BF2"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10.8 (0.</w:t>
            </w:r>
            <w:r w:rsidRPr="00207DC2">
              <w:rPr>
                <w:sz w:val="20"/>
                <w:szCs w:val="18"/>
                <w:lang w:val="en-AU"/>
              </w:rPr>
              <w:t>3</w:t>
            </w:r>
            <w:r w:rsidRPr="00207DC2">
              <w:rPr>
                <w:sz w:val="20"/>
                <w:lang w:val="en-AU"/>
              </w:rPr>
              <w:t>)</w:t>
            </w:r>
          </w:p>
        </w:tc>
        <w:tc>
          <w:tcPr>
            <w:tcW w:w="1562" w:type="dxa"/>
            <w:tcBorders>
              <w:top w:val="dashSmallGap" w:sz="4" w:space="0" w:color="auto"/>
              <w:bottom w:val="nil"/>
              <w:right w:val="single" w:sz="4" w:space="0" w:color="auto"/>
            </w:tcBorders>
            <w:noWrap/>
          </w:tcPr>
          <w:p w14:paraId="288036FE"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dashSmallGap" w:sz="4" w:space="0" w:color="auto"/>
              <w:left w:val="single" w:sz="4" w:space="0" w:color="auto"/>
              <w:bottom w:val="nil"/>
            </w:tcBorders>
            <w:noWrap/>
          </w:tcPr>
          <w:p w14:paraId="59CA6AF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12.5 (0.</w:t>
            </w:r>
            <w:r w:rsidRPr="00207DC2">
              <w:rPr>
                <w:sz w:val="20"/>
                <w:szCs w:val="18"/>
                <w:lang w:val="en-AU"/>
              </w:rPr>
              <w:t>3</w:t>
            </w:r>
            <w:r w:rsidRPr="00207DC2">
              <w:rPr>
                <w:sz w:val="20"/>
                <w:lang w:val="en-AU"/>
              </w:rPr>
              <w:t>)</w:t>
            </w:r>
          </w:p>
        </w:tc>
        <w:tc>
          <w:tcPr>
            <w:tcW w:w="1562" w:type="dxa"/>
            <w:tcBorders>
              <w:top w:val="dashSmallGap" w:sz="4" w:space="0" w:color="auto"/>
              <w:bottom w:val="nil"/>
            </w:tcBorders>
            <w:noWrap/>
          </w:tcPr>
          <w:p w14:paraId="45766484"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12.4 (0.</w:t>
            </w:r>
            <w:r w:rsidRPr="00207DC2">
              <w:rPr>
                <w:sz w:val="20"/>
                <w:szCs w:val="18"/>
                <w:lang w:val="en-AU"/>
              </w:rPr>
              <w:t>3</w:t>
            </w:r>
            <w:r w:rsidRPr="00207DC2">
              <w:rPr>
                <w:sz w:val="20"/>
                <w:lang w:val="en-AU"/>
              </w:rPr>
              <w:t>)</w:t>
            </w:r>
          </w:p>
        </w:tc>
      </w:tr>
      <w:tr w:rsidR="00404559" w:rsidRPr="00207DC2" w14:paraId="192EA74F"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5A69AD4A"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2</w:t>
            </w:r>
          </w:p>
        </w:tc>
        <w:tc>
          <w:tcPr>
            <w:tcW w:w="1562" w:type="dxa"/>
            <w:tcBorders>
              <w:top w:val="nil"/>
              <w:left w:val="single" w:sz="4" w:space="0" w:color="auto"/>
              <w:bottom w:val="nil"/>
            </w:tcBorders>
            <w:noWrap/>
          </w:tcPr>
          <w:p w14:paraId="2329D6D6"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17239940"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4BBAE6F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8.4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5C3C87B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7.9 (0.</w:t>
            </w:r>
            <w:r w:rsidR="005338D2" w:rsidRPr="00207DC2">
              <w:rPr>
                <w:sz w:val="20"/>
                <w:szCs w:val="18"/>
                <w:lang w:val="en-AU"/>
              </w:rPr>
              <w:t>3</w:t>
            </w:r>
            <w:r w:rsidRPr="00207DC2">
              <w:rPr>
                <w:sz w:val="20"/>
                <w:lang w:val="en-AU"/>
              </w:rPr>
              <w:t>)</w:t>
            </w:r>
          </w:p>
        </w:tc>
      </w:tr>
      <w:tr w:rsidR="00404559" w:rsidRPr="00207DC2" w14:paraId="327CC4A1"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DD54DE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3</w:t>
            </w:r>
          </w:p>
        </w:tc>
        <w:tc>
          <w:tcPr>
            <w:tcW w:w="1562" w:type="dxa"/>
            <w:tcBorders>
              <w:top w:val="nil"/>
              <w:left w:val="single" w:sz="4" w:space="0" w:color="auto"/>
              <w:bottom w:val="nil"/>
            </w:tcBorders>
            <w:noWrap/>
          </w:tcPr>
          <w:p w14:paraId="6B1A665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10.6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6ED5061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D58D07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bottom w:val="nil"/>
            </w:tcBorders>
            <w:noWrap/>
          </w:tcPr>
          <w:p w14:paraId="53425326"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10.5 (0.</w:t>
            </w:r>
            <w:r w:rsidRPr="00207DC2">
              <w:rPr>
                <w:sz w:val="20"/>
                <w:szCs w:val="18"/>
                <w:lang w:val="en-AU"/>
              </w:rPr>
              <w:t>3</w:t>
            </w:r>
            <w:r w:rsidRPr="00207DC2">
              <w:rPr>
                <w:sz w:val="20"/>
                <w:lang w:val="en-AU"/>
              </w:rPr>
              <w:t>)</w:t>
            </w:r>
          </w:p>
        </w:tc>
      </w:tr>
      <w:tr w:rsidR="00404559" w:rsidRPr="00207DC2" w14:paraId="0BE66987"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77901692"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4</w:t>
            </w:r>
          </w:p>
        </w:tc>
        <w:tc>
          <w:tcPr>
            <w:tcW w:w="1562" w:type="dxa"/>
            <w:tcBorders>
              <w:top w:val="nil"/>
              <w:left w:val="single" w:sz="4" w:space="0" w:color="auto"/>
              <w:bottom w:val="nil"/>
            </w:tcBorders>
            <w:noWrap/>
          </w:tcPr>
          <w:p w14:paraId="6DBEE72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9.3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4FB7D190"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10.6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59EF52E8"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9.9 (0.</w:t>
            </w:r>
            <w:r w:rsidR="00664BB6" w:rsidRPr="00207DC2">
              <w:rPr>
                <w:sz w:val="20"/>
                <w:szCs w:val="18"/>
                <w:lang w:val="en-AU"/>
              </w:rPr>
              <w:t>3</w:t>
            </w:r>
            <w:r w:rsidRPr="00207DC2">
              <w:rPr>
                <w:sz w:val="20"/>
                <w:lang w:val="en-AU"/>
              </w:rPr>
              <w:t>)</w:t>
            </w:r>
          </w:p>
        </w:tc>
        <w:tc>
          <w:tcPr>
            <w:tcW w:w="1562" w:type="dxa"/>
            <w:tcBorders>
              <w:top w:val="nil"/>
              <w:bottom w:val="nil"/>
            </w:tcBorders>
            <w:noWrap/>
          </w:tcPr>
          <w:p w14:paraId="4D4C871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r>
      <w:tr w:rsidR="00404559" w:rsidRPr="00207DC2" w14:paraId="64204257"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16B050F"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5</w:t>
            </w:r>
          </w:p>
        </w:tc>
        <w:tc>
          <w:tcPr>
            <w:tcW w:w="1562" w:type="dxa"/>
            <w:tcBorders>
              <w:top w:val="nil"/>
              <w:left w:val="single" w:sz="4" w:space="0" w:color="auto"/>
              <w:bottom w:val="nil"/>
            </w:tcBorders>
            <w:noWrap/>
          </w:tcPr>
          <w:p w14:paraId="21ADDFF3"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26753C6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10.1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A9B0E10"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nil"/>
              <w:bottom w:val="nil"/>
            </w:tcBorders>
            <w:noWrap/>
          </w:tcPr>
          <w:p w14:paraId="29776311"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9.2 (0.</w:t>
            </w:r>
            <w:r w:rsidR="005338D2" w:rsidRPr="00207DC2">
              <w:rPr>
                <w:sz w:val="20"/>
                <w:szCs w:val="18"/>
                <w:lang w:val="en-AU"/>
              </w:rPr>
              <w:t>3</w:t>
            </w:r>
            <w:r w:rsidRPr="00207DC2">
              <w:rPr>
                <w:sz w:val="20"/>
                <w:lang w:val="en-AU"/>
              </w:rPr>
              <w:t>)</w:t>
            </w:r>
          </w:p>
        </w:tc>
      </w:tr>
      <w:tr w:rsidR="00404559" w:rsidRPr="00207DC2" w14:paraId="18C826A7"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449DE22A"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6</w:t>
            </w:r>
          </w:p>
        </w:tc>
        <w:tc>
          <w:tcPr>
            <w:tcW w:w="1562" w:type="dxa"/>
            <w:tcBorders>
              <w:top w:val="nil"/>
              <w:left w:val="single" w:sz="4" w:space="0" w:color="auto"/>
              <w:bottom w:val="nil"/>
            </w:tcBorders>
            <w:noWrap/>
          </w:tcPr>
          <w:p w14:paraId="77FA47EF"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57A6A47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2F015B9A"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bottom w:val="nil"/>
            </w:tcBorders>
            <w:noWrap/>
          </w:tcPr>
          <w:p w14:paraId="6223F703"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10.5 (0.</w:t>
            </w:r>
            <w:r w:rsidRPr="00207DC2">
              <w:rPr>
                <w:sz w:val="20"/>
                <w:szCs w:val="18"/>
                <w:lang w:val="en-AU"/>
              </w:rPr>
              <w:t>3</w:t>
            </w:r>
            <w:r w:rsidRPr="00207DC2">
              <w:rPr>
                <w:sz w:val="20"/>
                <w:lang w:val="en-AU"/>
              </w:rPr>
              <w:t>)</w:t>
            </w:r>
          </w:p>
        </w:tc>
      </w:tr>
      <w:tr w:rsidR="00404559" w:rsidRPr="00207DC2" w14:paraId="03AEEDD2"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517F921C"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7</w:t>
            </w:r>
          </w:p>
        </w:tc>
        <w:tc>
          <w:tcPr>
            <w:tcW w:w="1562" w:type="dxa"/>
            <w:tcBorders>
              <w:top w:val="nil"/>
              <w:left w:val="single" w:sz="4" w:space="0" w:color="auto"/>
              <w:bottom w:val="nil"/>
            </w:tcBorders>
            <w:noWrap/>
          </w:tcPr>
          <w:p w14:paraId="261513E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10.7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11A9C663"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392C774B"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10.5 (0.</w:t>
            </w:r>
            <w:r w:rsidRPr="00207DC2">
              <w:rPr>
                <w:sz w:val="20"/>
                <w:szCs w:val="18"/>
                <w:lang w:val="en-AU"/>
              </w:rPr>
              <w:t>3</w:t>
            </w:r>
            <w:r w:rsidRPr="00207DC2">
              <w:rPr>
                <w:sz w:val="20"/>
                <w:lang w:val="en-AU"/>
              </w:rPr>
              <w:t>)</w:t>
            </w:r>
          </w:p>
        </w:tc>
        <w:tc>
          <w:tcPr>
            <w:tcW w:w="1562" w:type="dxa"/>
            <w:tcBorders>
              <w:top w:val="nil"/>
              <w:bottom w:val="nil"/>
            </w:tcBorders>
            <w:noWrap/>
          </w:tcPr>
          <w:p w14:paraId="79E93BF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10.3 (0.</w:t>
            </w:r>
            <w:r w:rsidRPr="00207DC2">
              <w:rPr>
                <w:sz w:val="20"/>
                <w:szCs w:val="18"/>
                <w:lang w:val="en-AU"/>
              </w:rPr>
              <w:t>3</w:t>
            </w:r>
            <w:r w:rsidRPr="00207DC2">
              <w:rPr>
                <w:sz w:val="20"/>
                <w:lang w:val="en-AU"/>
              </w:rPr>
              <w:t>)</w:t>
            </w:r>
          </w:p>
        </w:tc>
      </w:tr>
      <w:tr w:rsidR="00404559" w:rsidRPr="00207DC2" w14:paraId="34BEB1CD"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68E63879"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8</w:t>
            </w:r>
          </w:p>
        </w:tc>
        <w:tc>
          <w:tcPr>
            <w:tcW w:w="1562" w:type="dxa"/>
            <w:tcBorders>
              <w:top w:val="nil"/>
              <w:left w:val="single" w:sz="4" w:space="0" w:color="auto"/>
              <w:bottom w:val="nil"/>
            </w:tcBorders>
            <w:noWrap/>
          </w:tcPr>
          <w:p w14:paraId="63117A15"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308568B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090E522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9.3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05735634"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r>
      <w:tr w:rsidR="00404559" w:rsidRPr="00207DC2" w14:paraId="45E7F7A6" w14:textId="77777777" w:rsidTr="00402A41">
        <w:trPr>
          <w:trHeight w:val="403"/>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dashSmallGap" w:sz="4" w:space="0" w:color="auto"/>
              <w:right w:val="single" w:sz="4" w:space="0" w:color="auto"/>
            </w:tcBorders>
            <w:noWrap/>
            <w:hideMark/>
          </w:tcPr>
          <w:p w14:paraId="12B7E60F"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income-support duration decile 9</w:t>
            </w:r>
          </w:p>
        </w:tc>
        <w:tc>
          <w:tcPr>
            <w:tcW w:w="1562" w:type="dxa"/>
            <w:tcBorders>
              <w:top w:val="nil"/>
              <w:left w:val="single" w:sz="4" w:space="0" w:color="auto"/>
              <w:bottom w:val="dashSmallGap" w:sz="4" w:space="0" w:color="auto"/>
            </w:tcBorders>
            <w:noWrap/>
          </w:tcPr>
          <w:p w14:paraId="34018619"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10.6 (0.</w:t>
            </w:r>
            <w:r w:rsidRPr="00207DC2">
              <w:rPr>
                <w:sz w:val="20"/>
                <w:szCs w:val="18"/>
                <w:lang w:val="en-AU"/>
              </w:rPr>
              <w:t>3</w:t>
            </w:r>
            <w:r w:rsidRPr="00207DC2">
              <w:rPr>
                <w:sz w:val="20"/>
                <w:lang w:val="en-AU"/>
              </w:rPr>
              <w:t>)</w:t>
            </w:r>
          </w:p>
        </w:tc>
        <w:tc>
          <w:tcPr>
            <w:tcW w:w="1562" w:type="dxa"/>
            <w:tcBorders>
              <w:top w:val="nil"/>
              <w:bottom w:val="dashSmallGap" w:sz="4" w:space="0" w:color="auto"/>
              <w:right w:val="single" w:sz="4" w:space="0" w:color="auto"/>
            </w:tcBorders>
            <w:noWrap/>
          </w:tcPr>
          <w:p w14:paraId="39822CD9"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10.1 (0.</w:t>
            </w:r>
            <w:r w:rsidRPr="00207DC2">
              <w:rPr>
                <w:sz w:val="20"/>
                <w:szCs w:val="18"/>
                <w:lang w:val="en-AU"/>
              </w:rPr>
              <w:t>3</w:t>
            </w:r>
            <w:r w:rsidRPr="00207DC2">
              <w:rPr>
                <w:sz w:val="20"/>
                <w:lang w:val="en-AU"/>
              </w:rPr>
              <w:t>)</w:t>
            </w:r>
          </w:p>
        </w:tc>
        <w:tc>
          <w:tcPr>
            <w:tcW w:w="1562" w:type="dxa"/>
            <w:tcBorders>
              <w:top w:val="nil"/>
              <w:left w:val="single" w:sz="4" w:space="0" w:color="auto"/>
              <w:bottom w:val="dashSmallGap" w:sz="4" w:space="0" w:color="auto"/>
            </w:tcBorders>
            <w:noWrap/>
          </w:tcPr>
          <w:p w14:paraId="51FF4A69"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10.4 (0.</w:t>
            </w:r>
            <w:r w:rsidRPr="00207DC2">
              <w:rPr>
                <w:sz w:val="20"/>
                <w:szCs w:val="18"/>
                <w:lang w:val="en-AU"/>
              </w:rPr>
              <w:t>3</w:t>
            </w:r>
            <w:r w:rsidRPr="00207DC2">
              <w:rPr>
                <w:sz w:val="20"/>
                <w:lang w:val="en-AU"/>
              </w:rPr>
              <w:t>)</w:t>
            </w:r>
          </w:p>
        </w:tc>
        <w:tc>
          <w:tcPr>
            <w:tcW w:w="1562" w:type="dxa"/>
            <w:tcBorders>
              <w:top w:val="nil"/>
              <w:bottom w:val="dashSmallGap" w:sz="4" w:space="0" w:color="auto"/>
            </w:tcBorders>
            <w:noWrap/>
          </w:tcPr>
          <w:p w14:paraId="49D68638"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9.4 (0.</w:t>
            </w:r>
            <w:r w:rsidR="005338D2" w:rsidRPr="00207DC2">
              <w:rPr>
                <w:sz w:val="20"/>
                <w:szCs w:val="18"/>
                <w:lang w:val="en-AU"/>
              </w:rPr>
              <w:t>3</w:t>
            </w:r>
            <w:r w:rsidRPr="00207DC2">
              <w:rPr>
                <w:sz w:val="20"/>
                <w:lang w:val="en-AU"/>
              </w:rPr>
              <w:t>)</w:t>
            </w:r>
          </w:p>
        </w:tc>
      </w:tr>
      <w:tr w:rsidR="00404559" w:rsidRPr="00207DC2" w14:paraId="1C102AEA"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6F1464F5"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1</w:t>
            </w:r>
          </w:p>
        </w:tc>
        <w:tc>
          <w:tcPr>
            <w:tcW w:w="1562" w:type="dxa"/>
            <w:tcBorders>
              <w:top w:val="nil"/>
              <w:left w:val="single" w:sz="4" w:space="0" w:color="auto"/>
              <w:bottom w:val="nil"/>
            </w:tcBorders>
            <w:noWrap/>
          </w:tcPr>
          <w:p w14:paraId="7C71FA0B"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3B927FB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10.6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E398157"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Pr="00207DC2">
              <w:rPr>
                <w:sz w:val="20"/>
                <w:szCs w:val="18"/>
                <w:lang w:val="en-AU"/>
              </w:rPr>
              <w:t>3</w:t>
            </w:r>
            <w:r w:rsidRPr="00207DC2">
              <w:rPr>
                <w:sz w:val="20"/>
                <w:lang w:val="en-AU"/>
              </w:rPr>
              <w:t>)</w:t>
            </w:r>
          </w:p>
        </w:tc>
        <w:tc>
          <w:tcPr>
            <w:tcW w:w="1562" w:type="dxa"/>
            <w:tcBorders>
              <w:top w:val="nil"/>
              <w:bottom w:val="nil"/>
            </w:tcBorders>
            <w:noWrap/>
          </w:tcPr>
          <w:p w14:paraId="7F23D0DA"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10.0 (0.</w:t>
            </w:r>
            <w:r w:rsidRPr="00207DC2">
              <w:rPr>
                <w:sz w:val="20"/>
                <w:szCs w:val="18"/>
                <w:lang w:val="en-AU"/>
              </w:rPr>
              <w:t>3</w:t>
            </w:r>
            <w:r w:rsidRPr="00207DC2">
              <w:rPr>
                <w:sz w:val="20"/>
                <w:lang w:val="en-AU"/>
              </w:rPr>
              <w:t>)</w:t>
            </w:r>
          </w:p>
        </w:tc>
      </w:tr>
      <w:tr w:rsidR="00404559" w:rsidRPr="00207DC2" w14:paraId="403AD622"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334B2641"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2</w:t>
            </w:r>
          </w:p>
        </w:tc>
        <w:tc>
          <w:tcPr>
            <w:tcW w:w="1562" w:type="dxa"/>
            <w:tcBorders>
              <w:top w:val="nil"/>
              <w:left w:val="single" w:sz="4" w:space="0" w:color="auto"/>
              <w:bottom w:val="nil"/>
            </w:tcBorders>
            <w:noWrap/>
          </w:tcPr>
          <w:p w14:paraId="65075DE2"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10.9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66A991DF"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9.9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124E1200"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8.7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58153263"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9.6 (0.</w:t>
            </w:r>
            <w:r w:rsidR="00664BB6" w:rsidRPr="00207DC2">
              <w:rPr>
                <w:sz w:val="20"/>
                <w:szCs w:val="18"/>
                <w:lang w:val="en-AU"/>
              </w:rPr>
              <w:t>3</w:t>
            </w:r>
            <w:r w:rsidRPr="00207DC2">
              <w:rPr>
                <w:sz w:val="20"/>
                <w:lang w:val="en-AU"/>
              </w:rPr>
              <w:t>)</w:t>
            </w:r>
          </w:p>
        </w:tc>
      </w:tr>
      <w:tr w:rsidR="00404559" w:rsidRPr="00207DC2" w14:paraId="0396E5CC"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2C35ABD9"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3</w:t>
            </w:r>
          </w:p>
        </w:tc>
        <w:tc>
          <w:tcPr>
            <w:tcW w:w="1562" w:type="dxa"/>
            <w:tcBorders>
              <w:top w:val="nil"/>
              <w:left w:val="single" w:sz="4" w:space="0" w:color="auto"/>
              <w:bottom w:val="nil"/>
            </w:tcBorders>
            <w:noWrap/>
          </w:tcPr>
          <w:p w14:paraId="220E60FA"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8.2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1CAB12B1"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11.3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69F8C8CB"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9.5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083C124E"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8.8 (0.</w:t>
            </w:r>
            <w:r w:rsidR="005338D2" w:rsidRPr="00207DC2">
              <w:rPr>
                <w:sz w:val="20"/>
                <w:szCs w:val="18"/>
                <w:lang w:val="en-AU"/>
              </w:rPr>
              <w:t>3</w:t>
            </w:r>
            <w:r w:rsidRPr="00207DC2">
              <w:rPr>
                <w:sz w:val="20"/>
                <w:lang w:val="en-AU"/>
              </w:rPr>
              <w:t>)</w:t>
            </w:r>
          </w:p>
        </w:tc>
      </w:tr>
      <w:tr w:rsidR="00404559" w:rsidRPr="00207DC2" w14:paraId="70735AEB"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4EFA8412"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4</w:t>
            </w:r>
          </w:p>
        </w:tc>
        <w:tc>
          <w:tcPr>
            <w:tcW w:w="1562" w:type="dxa"/>
            <w:tcBorders>
              <w:top w:val="nil"/>
              <w:left w:val="single" w:sz="4" w:space="0" w:color="auto"/>
              <w:bottom w:val="nil"/>
            </w:tcBorders>
            <w:noWrap/>
          </w:tcPr>
          <w:p w14:paraId="7BA992E2"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3374DAF8"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7.1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2501211B"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9.8 (0.</w:t>
            </w:r>
            <w:r w:rsidR="00664BB6" w:rsidRPr="00207DC2">
              <w:rPr>
                <w:sz w:val="20"/>
                <w:szCs w:val="18"/>
                <w:lang w:val="en-AU"/>
              </w:rPr>
              <w:t>3</w:t>
            </w:r>
            <w:r w:rsidRPr="00207DC2">
              <w:rPr>
                <w:sz w:val="20"/>
                <w:lang w:val="en-AU"/>
              </w:rPr>
              <w:t>)</w:t>
            </w:r>
          </w:p>
        </w:tc>
        <w:tc>
          <w:tcPr>
            <w:tcW w:w="1562" w:type="dxa"/>
            <w:tcBorders>
              <w:top w:val="nil"/>
              <w:bottom w:val="nil"/>
            </w:tcBorders>
            <w:noWrap/>
          </w:tcPr>
          <w:p w14:paraId="375FC773"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11.5 (0.</w:t>
            </w:r>
            <w:r w:rsidRPr="00207DC2">
              <w:rPr>
                <w:sz w:val="20"/>
                <w:szCs w:val="18"/>
                <w:lang w:val="en-AU"/>
              </w:rPr>
              <w:t>3</w:t>
            </w:r>
            <w:r w:rsidRPr="00207DC2">
              <w:rPr>
                <w:sz w:val="20"/>
                <w:lang w:val="en-AU"/>
              </w:rPr>
              <w:t>)</w:t>
            </w:r>
          </w:p>
        </w:tc>
      </w:tr>
      <w:tr w:rsidR="00404559" w:rsidRPr="00207DC2" w14:paraId="02C67AAE"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1473E8E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5</w:t>
            </w:r>
          </w:p>
        </w:tc>
        <w:tc>
          <w:tcPr>
            <w:tcW w:w="1562" w:type="dxa"/>
            <w:tcBorders>
              <w:top w:val="nil"/>
              <w:left w:val="single" w:sz="4" w:space="0" w:color="auto"/>
              <w:bottom w:val="nil"/>
            </w:tcBorders>
            <w:noWrap/>
          </w:tcPr>
          <w:p w14:paraId="3DBA9F63"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7.6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3B817F05"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11.3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1F2A56D"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8.9 (0.28)</w:t>
            </w:r>
          </w:p>
        </w:tc>
        <w:tc>
          <w:tcPr>
            <w:tcW w:w="1562" w:type="dxa"/>
            <w:tcBorders>
              <w:top w:val="nil"/>
              <w:bottom w:val="nil"/>
            </w:tcBorders>
            <w:noWrap/>
          </w:tcPr>
          <w:p w14:paraId="04C132CC"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10.2 (0.</w:t>
            </w:r>
            <w:r w:rsidRPr="00207DC2">
              <w:rPr>
                <w:sz w:val="20"/>
                <w:szCs w:val="18"/>
                <w:lang w:val="en-AU"/>
              </w:rPr>
              <w:t>3</w:t>
            </w:r>
            <w:r w:rsidRPr="00207DC2">
              <w:rPr>
                <w:sz w:val="20"/>
                <w:lang w:val="en-AU"/>
              </w:rPr>
              <w:t>)</w:t>
            </w:r>
          </w:p>
        </w:tc>
      </w:tr>
      <w:tr w:rsidR="00404559" w:rsidRPr="00207DC2" w14:paraId="37957CE5"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135D0C0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6</w:t>
            </w:r>
          </w:p>
        </w:tc>
        <w:tc>
          <w:tcPr>
            <w:tcW w:w="1562" w:type="dxa"/>
            <w:tcBorders>
              <w:top w:val="nil"/>
              <w:left w:val="single" w:sz="4" w:space="0" w:color="auto"/>
              <w:bottom w:val="nil"/>
            </w:tcBorders>
            <w:noWrap/>
          </w:tcPr>
          <w:p w14:paraId="73A31F77"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11.4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53FB0E8B"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7.5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6169BD24"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9.1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3089F555"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7.2 (0.</w:t>
            </w:r>
            <w:r w:rsidR="005338D2" w:rsidRPr="00207DC2">
              <w:rPr>
                <w:sz w:val="20"/>
                <w:szCs w:val="18"/>
                <w:lang w:val="en-AU"/>
              </w:rPr>
              <w:t>3</w:t>
            </w:r>
            <w:r w:rsidRPr="00207DC2">
              <w:rPr>
                <w:sz w:val="20"/>
                <w:lang w:val="en-AU"/>
              </w:rPr>
              <w:t>)</w:t>
            </w:r>
          </w:p>
        </w:tc>
      </w:tr>
      <w:tr w:rsidR="00404559" w:rsidRPr="00207DC2" w14:paraId="69DA5C29"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7CE52DD0"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7</w:t>
            </w:r>
          </w:p>
        </w:tc>
        <w:tc>
          <w:tcPr>
            <w:tcW w:w="1562" w:type="dxa"/>
            <w:tcBorders>
              <w:top w:val="nil"/>
              <w:left w:val="single" w:sz="4" w:space="0" w:color="auto"/>
              <w:bottom w:val="nil"/>
            </w:tcBorders>
            <w:noWrap/>
          </w:tcPr>
          <w:p w14:paraId="7F1B6F7B"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7.0 (0.</w:t>
            </w:r>
            <w:r w:rsidR="005338D2"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5A90C9AD"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10.4 (0.</w:t>
            </w:r>
            <w:r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7F95E5C2"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8.8 (0.</w:t>
            </w:r>
            <w:r w:rsidR="005338D2" w:rsidRPr="00207DC2">
              <w:rPr>
                <w:sz w:val="20"/>
                <w:szCs w:val="18"/>
                <w:lang w:val="en-AU"/>
              </w:rPr>
              <w:t>3</w:t>
            </w:r>
            <w:r w:rsidRPr="00207DC2">
              <w:rPr>
                <w:sz w:val="20"/>
                <w:lang w:val="en-AU"/>
              </w:rPr>
              <w:t>)</w:t>
            </w:r>
          </w:p>
        </w:tc>
        <w:tc>
          <w:tcPr>
            <w:tcW w:w="1562" w:type="dxa"/>
            <w:tcBorders>
              <w:top w:val="nil"/>
              <w:bottom w:val="nil"/>
            </w:tcBorders>
            <w:noWrap/>
          </w:tcPr>
          <w:p w14:paraId="349C439B"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9.2 (0.</w:t>
            </w:r>
            <w:r w:rsidR="005338D2" w:rsidRPr="00207DC2">
              <w:rPr>
                <w:sz w:val="20"/>
                <w:szCs w:val="18"/>
                <w:lang w:val="en-AU"/>
              </w:rPr>
              <w:t>3</w:t>
            </w:r>
            <w:r w:rsidRPr="00207DC2">
              <w:rPr>
                <w:sz w:val="20"/>
                <w:lang w:val="en-AU"/>
              </w:rPr>
              <w:t>)</w:t>
            </w:r>
          </w:p>
        </w:tc>
      </w:tr>
      <w:tr w:rsidR="00404559" w:rsidRPr="00207DC2" w14:paraId="470A9045" w14:textId="77777777" w:rsidTr="00402A41">
        <w:trPr>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nil"/>
              <w:right w:val="single" w:sz="4" w:space="0" w:color="auto"/>
            </w:tcBorders>
            <w:noWrap/>
            <w:hideMark/>
          </w:tcPr>
          <w:p w14:paraId="790E7C57"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8</w:t>
            </w:r>
          </w:p>
        </w:tc>
        <w:tc>
          <w:tcPr>
            <w:tcW w:w="1562" w:type="dxa"/>
            <w:tcBorders>
              <w:top w:val="nil"/>
              <w:left w:val="single" w:sz="4" w:space="0" w:color="auto"/>
              <w:bottom w:val="nil"/>
            </w:tcBorders>
            <w:noWrap/>
          </w:tcPr>
          <w:p w14:paraId="3BC50194"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10.9 (0.</w:t>
            </w:r>
            <w:r w:rsidRPr="00207DC2">
              <w:rPr>
                <w:sz w:val="20"/>
                <w:szCs w:val="18"/>
                <w:lang w:val="en-AU"/>
              </w:rPr>
              <w:t>3</w:t>
            </w:r>
            <w:r w:rsidRPr="00207DC2">
              <w:rPr>
                <w:sz w:val="20"/>
                <w:lang w:val="en-AU"/>
              </w:rPr>
              <w:t>)</w:t>
            </w:r>
          </w:p>
        </w:tc>
        <w:tc>
          <w:tcPr>
            <w:tcW w:w="1562" w:type="dxa"/>
            <w:tcBorders>
              <w:top w:val="nil"/>
              <w:bottom w:val="nil"/>
              <w:right w:val="single" w:sz="4" w:space="0" w:color="auto"/>
            </w:tcBorders>
            <w:noWrap/>
          </w:tcPr>
          <w:p w14:paraId="0FDA5ADE"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10.7 (0.</w:t>
            </w:r>
            <w:r w:rsidR="00664BB6" w:rsidRPr="00207DC2">
              <w:rPr>
                <w:sz w:val="20"/>
                <w:szCs w:val="18"/>
                <w:lang w:val="en-AU"/>
              </w:rPr>
              <w:t>3</w:t>
            </w:r>
            <w:r w:rsidRPr="00207DC2">
              <w:rPr>
                <w:sz w:val="20"/>
                <w:lang w:val="en-AU"/>
              </w:rPr>
              <w:t>)</w:t>
            </w:r>
          </w:p>
        </w:tc>
        <w:tc>
          <w:tcPr>
            <w:tcW w:w="1562" w:type="dxa"/>
            <w:tcBorders>
              <w:top w:val="nil"/>
              <w:left w:val="single" w:sz="4" w:space="0" w:color="auto"/>
              <w:bottom w:val="nil"/>
            </w:tcBorders>
            <w:noWrap/>
          </w:tcPr>
          <w:p w14:paraId="46DCB0CB"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10.5 (0.</w:t>
            </w:r>
            <w:r w:rsidRPr="00207DC2">
              <w:rPr>
                <w:sz w:val="20"/>
                <w:szCs w:val="18"/>
                <w:lang w:val="en-AU"/>
              </w:rPr>
              <w:t>3</w:t>
            </w:r>
            <w:r w:rsidRPr="00207DC2">
              <w:rPr>
                <w:sz w:val="20"/>
                <w:lang w:val="en-AU"/>
              </w:rPr>
              <w:t>)</w:t>
            </w:r>
          </w:p>
        </w:tc>
        <w:tc>
          <w:tcPr>
            <w:tcW w:w="1562" w:type="dxa"/>
            <w:tcBorders>
              <w:top w:val="nil"/>
              <w:bottom w:val="nil"/>
            </w:tcBorders>
            <w:noWrap/>
          </w:tcPr>
          <w:p w14:paraId="1B7733CA" w14:textId="77777777" w:rsidR="00404559" w:rsidRPr="00207DC2" w:rsidRDefault="00404559" w:rsidP="00FB626D">
            <w:pPr>
              <w:pStyle w:val="TableText"/>
              <w:keepNext/>
              <w:keepLines/>
              <w:jc w:val="right"/>
              <w:cnfStyle w:val="000000000000" w:firstRow="0" w:lastRow="0" w:firstColumn="0" w:lastColumn="0" w:oddVBand="0" w:evenVBand="0" w:oddHBand="0" w:evenHBand="0" w:firstRowFirstColumn="0" w:firstRowLastColumn="0" w:lastRowFirstColumn="0" w:lastRowLastColumn="0"/>
              <w:rPr>
                <w:sz w:val="20"/>
                <w:lang w:val="en-AU" w:eastAsia="en-AU"/>
              </w:rPr>
            </w:pPr>
            <w:r w:rsidRPr="00207DC2">
              <w:rPr>
                <w:sz w:val="20"/>
                <w:lang w:val="en-AU"/>
              </w:rPr>
              <w:t>10.8 (0.</w:t>
            </w:r>
            <w:r w:rsidRPr="00207DC2">
              <w:rPr>
                <w:sz w:val="20"/>
                <w:szCs w:val="18"/>
                <w:lang w:val="en-AU"/>
              </w:rPr>
              <w:t>3</w:t>
            </w:r>
            <w:r w:rsidRPr="00207DC2">
              <w:rPr>
                <w:sz w:val="20"/>
                <w:lang w:val="en-AU"/>
              </w:rPr>
              <w:t>)</w:t>
            </w:r>
          </w:p>
        </w:tc>
      </w:tr>
      <w:tr w:rsidR="00404559" w:rsidRPr="00207DC2" w14:paraId="2BCE664D" w14:textId="77777777" w:rsidTr="00402A4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1" w:type="dxa"/>
            <w:tcBorders>
              <w:top w:val="nil"/>
              <w:bottom w:val="single" w:sz="4" w:space="0" w:color="000000"/>
              <w:right w:val="single" w:sz="4" w:space="0" w:color="auto"/>
            </w:tcBorders>
            <w:noWrap/>
            <w:hideMark/>
          </w:tcPr>
          <w:p w14:paraId="7B4D7045" w14:textId="77777777" w:rsidR="00404559" w:rsidRPr="00207DC2" w:rsidRDefault="00404559" w:rsidP="00FB626D">
            <w:pPr>
              <w:pStyle w:val="TableText"/>
              <w:keepNext/>
              <w:keepLines/>
              <w:rPr>
                <w:b w:val="0"/>
                <w:sz w:val="20"/>
                <w:lang w:val="en-AU" w:eastAsia="en-AU"/>
              </w:rPr>
            </w:pPr>
            <w:r w:rsidRPr="00207DC2">
              <w:rPr>
                <w:b w:val="0"/>
                <w:sz w:val="20"/>
                <w:lang w:val="en-AU" w:eastAsia="en-AU"/>
              </w:rPr>
              <w:t>JSCI score decile 9</w:t>
            </w:r>
          </w:p>
        </w:tc>
        <w:tc>
          <w:tcPr>
            <w:tcW w:w="1562" w:type="dxa"/>
            <w:tcBorders>
              <w:top w:val="nil"/>
              <w:left w:val="single" w:sz="4" w:space="0" w:color="auto"/>
              <w:bottom w:val="single" w:sz="4" w:space="0" w:color="000000"/>
            </w:tcBorders>
            <w:noWrap/>
          </w:tcPr>
          <w:p w14:paraId="64D8F2A9"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8.6 (0.</w:t>
            </w:r>
            <w:r w:rsidR="005338D2" w:rsidRPr="00207DC2">
              <w:rPr>
                <w:sz w:val="20"/>
                <w:szCs w:val="18"/>
                <w:lang w:val="en-AU"/>
              </w:rPr>
              <w:t>3</w:t>
            </w:r>
            <w:r w:rsidRPr="00207DC2">
              <w:rPr>
                <w:sz w:val="20"/>
                <w:lang w:val="en-AU"/>
              </w:rPr>
              <w:t>)</w:t>
            </w:r>
          </w:p>
        </w:tc>
        <w:tc>
          <w:tcPr>
            <w:tcW w:w="1562" w:type="dxa"/>
            <w:tcBorders>
              <w:top w:val="nil"/>
              <w:bottom w:val="single" w:sz="4" w:space="0" w:color="000000"/>
              <w:right w:val="single" w:sz="4" w:space="0" w:color="auto"/>
            </w:tcBorders>
            <w:noWrap/>
          </w:tcPr>
          <w:p w14:paraId="71E2374D"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8.8 (0.</w:t>
            </w:r>
            <w:r w:rsidR="005338D2" w:rsidRPr="00207DC2">
              <w:rPr>
                <w:sz w:val="20"/>
                <w:szCs w:val="18"/>
                <w:lang w:val="en-AU"/>
              </w:rPr>
              <w:t>3</w:t>
            </w:r>
            <w:r w:rsidRPr="00207DC2">
              <w:rPr>
                <w:sz w:val="20"/>
                <w:lang w:val="en-AU"/>
              </w:rPr>
              <w:t>)</w:t>
            </w:r>
          </w:p>
        </w:tc>
        <w:tc>
          <w:tcPr>
            <w:tcW w:w="1562" w:type="dxa"/>
            <w:tcBorders>
              <w:top w:val="nil"/>
              <w:left w:val="single" w:sz="4" w:space="0" w:color="auto"/>
              <w:bottom w:val="single" w:sz="4" w:space="0" w:color="000000"/>
            </w:tcBorders>
            <w:noWrap/>
          </w:tcPr>
          <w:p w14:paraId="0E70731F"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8.5 (0.</w:t>
            </w:r>
            <w:r w:rsidR="005338D2" w:rsidRPr="00207DC2">
              <w:rPr>
                <w:sz w:val="20"/>
                <w:szCs w:val="18"/>
                <w:lang w:val="en-AU"/>
              </w:rPr>
              <w:t>3</w:t>
            </w:r>
            <w:r w:rsidRPr="00207DC2">
              <w:rPr>
                <w:sz w:val="20"/>
                <w:lang w:val="en-AU"/>
              </w:rPr>
              <w:t>)</w:t>
            </w:r>
          </w:p>
        </w:tc>
        <w:tc>
          <w:tcPr>
            <w:tcW w:w="1562" w:type="dxa"/>
            <w:tcBorders>
              <w:top w:val="nil"/>
              <w:bottom w:val="single" w:sz="4" w:space="0" w:color="000000"/>
            </w:tcBorders>
            <w:noWrap/>
          </w:tcPr>
          <w:p w14:paraId="0AFD2057" w14:textId="77777777" w:rsidR="00404559" w:rsidRPr="00207DC2" w:rsidRDefault="00404559" w:rsidP="00FB626D">
            <w:pPr>
              <w:pStyle w:val="TableText"/>
              <w:keepNext/>
              <w:keepLines/>
              <w:jc w:val="right"/>
              <w:cnfStyle w:val="000000100000" w:firstRow="0" w:lastRow="0" w:firstColumn="0" w:lastColumn="0" w:oddVBand="0" w:evenVBand="0" w:oddHBand="1" w:evenHBand="0" w:firstRowFirstColumn="0" w:firstRowLastColumn="0" w:lastRowFirstColumn="0" w:lastRowLastColumn="0"/>
              <w:rPr>
                <w:sz w:val="20"/>
                <w:lang w:val="en-AU" w:eastAsia="en-AU"/>
              </w:rPr>
            </w:pPr>
            <w:r w:rsidRPr="00207DC2">
              <w:rPr>
                <w:sz w:val="20"/>
                <w:lang w:val="en-AU"/>
              </w:rPr>
              <w:t>8.2 (0.</w:t>
            </w:r>
            <w:r w:rsidR="005338D2" w:rsidRPr="00207DC2">
              <w:rPr>
                <w:sz w:val="20"/>
                <w:szCs w:val="18"/>
                <w:lang w:val="en-AU"/>
              </w:rPr>
              <w:t>3</w:t>
            </w:r>
            <w:r w:rsidRPr="00207DC2">
              <w:rPr>
                <w:sz w:val="20"/>
                <w:lang w:val="en-AU"/>
              </w:rPr>
              <w:t>)</w:t>
            </w:r>
          </w:p>
        </w:tc>
      </w:tr>
    </w:tbl>
    <w:p w14:paraId="28375065" w14:textId="77777777" w:rsidR="00404559" w:rsidRPr="00207DC2" w:rsidRDefault="00404559" w:rsidP="00FB626D">
      <w:pPr>
        <w:pStyle w:val="tablenotes"/>
      </w:pPr>
      <w:r w:rsidRPr="00207DC2">
        <w:rPr>
          <w:i/>
        </w:rPr>
        <w:t>Source:</w:t>
      </w:r>
      <w:r w:rsidRPr="00207DC2">
        <w:t xml:space="preserve"> </w:t>
      </w:r>
      <w:r w:rsidR="0057565A" w:rsidRPr="00207DC2">
        <w:t>PMC</w:t>
      </w:r>
      <w:r w:rsidR="00660C3D" w:rsidRPr="00207DC2">
        <w:t xml:space="preserve"> estimates based u</w:t>
      </w:r>
      <w:r w:rsidRPr="00207DC2">
        <w:t>npublished ESS operational</w:t>
      </w:r>
      <w:r w:rsidR="00660C3D" w:rsidRPr="00207DC2">
        <w:t xml:space="preserve"> data (extracted on </w:t>
      </w:r>
      <w:r w:rsidR="00BA709E" w:rsidRPr="00207DC2">
        <w:t>3</w:t>
      </w:r>
      <w:r w:rsidR="00660C3D" w:rsidRPr="00207DC2">
        <w:t> </w:t>
      </w:r>
      <w:r w:rsidR="00BA709E" w:rsidRPr="00207DC2">
        <w:t>Octo</w:t>
      </w:r>
      <w:r w:rsidR="00660C3D" w:rsidRPr="00207DC2">
        <w:t>ber </w:t>
      </w:r>
      <w:r w:rsidRPr="00207DC2">
        <w:t>2017)</w:t>
      </w:r>
      <w:r w:rsidR="00EB0B63" w:rsidRPr="00207DC2">
        <w:t xml:space="preserve"> and DHS operational data (extracted on </w:t>
      </w:r>
      <w:r w:rsidR="00BA709E" w:rsidRPr="00207DC2">
        <w:t>9 October 2017</w:t>
      </w:r>
      <w:r w:rsidR="00EB0B63" w:rsidRPr="00207DC2">
        <w:t>)</w:t>
      </w:r>
      <w:r w:rsidRPr="00207DC2">
        <w:t>.</w:t>
      </w:r>
    </w:p>
    <w:p w14:paraId="6D1403E9" w14:textId="77777777" w:rsidR="00DB7280" w:rsidRPr="00207DC2" w:rsidRDefault="00DB7280" w:rsidP="00FB626D">
      <w:pPr>
        <w:rPr>
          <w:lang w:val="en-AU"/>
        </w:rPr>
      </w:pPr>
    </w:p>
    <w:p w14:paraId="33E6FDF4" w14:textId="77777777" w:rsidR="00404559" w:rsidRPr="008050A9" w:rsidRDefault="00404559" w:rsidP="008406DD">
      <w:pPr>
        <w:pStyle w:val="ZED5"/>
      </w:pPr>
      <w:bookmarkStart w:id="805" w:name="_Toc509587057"/>
      <w:bookmarkStart w:id="806" w:name="_Toc509588083"/>
      <w:bookmarkStart w:id="807" w:name="_Toc509588346"/>
      <w:bookmarkStart w:id="808" w:name="_Toc509589494"/>
      <w:bookmarkStart w:id="809" w:name="_Toc509926912"/>
      <w:bookmarkStart w:id="810" w:name="_Toc511661263"/>
      <w:bookmarkStart w:id="811" w:name="_Toc511826320"/>
      <w:bookmarkStart w:id="812" w:name="_Toc511940636"/>
      <w:bookmarkStart w:id="813" w:name="_Toc515185488"/>
      <w:bookmarkStart w:id="814" w:name="_Toc516219861"/>
      <w:bookmarkStart w:id="815" w:name="_Toc516220502"/>
      <w:bookmarkStart w:id="816" w:name="_Toc516223322"/>
      <w:bookmarkStart w:id="817" w:name="_Toc516225230"/>
      <w:bookmarkStart w:id="818" w:name="_Toc516229006"/>
      <w:bookmarkStart w:id="819" w:name="_Toc533064495"/>
      <w:bookmarkStart w:id="820" w:name="_Toc534965183"/>
      <w:bookmarkStart w:id="821" w:name="_Toc535935080"/>
      <w:r w:rsidRPr="008050A9">
        <w:t xml:space="preserve">CDP compared to RJCP (before </w:t>
      </w:r>
      <w:r w:rsidR="00B47805" w:rsidRPr="008050A9">
        <w:t>to</w:t>
      </w:r>
      <w:r w:rsidRPr="008050A9">
        <w:t xml:space="preserve"> after)</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3FA93A4E" w14:textId="77777777" w:rsidR="00404559" w:rsidRPr="00207DC2" w:rsidRDefault="00404559" w:rsidP="00404559">
      <w:pPr>
        <w:jc w:val="both"/>
        <w:rPr>
          <w:lang w:val="en-AU"/>
        </w:rPr>
      </w:pPr>
      <w:r w:rsidRPr="00207DC2">
        <w:rPr>
          <w:lang w:val="en-AU"/>
        </w:rPr>
        <w:t xml:space="preserve">For the before </w:t>
      </w:r>
      <w:r w:rsidR="00B47805" w:rsidRPr="00207DC2">
        <w:rPr>
          <w:lang w:val="en-AU"/>
        </w:rPr>
        <w:t>to</w:t>
      </w:r>
      <w:r w:rsidRPr="00207DC2">
        <w:rPr>
          <w:lang w:val="en-AU"/>
        </w:rPr>
        <w:t xml:space="preserve"> after analysis, a linear regression model for probability of </w:t>
      </w:r>
      <w:r w:rsidR="00987F6C" w:rsidRPr="00207DC2">
        <w:rPr>
          <w:lang w:val="en-AU"/>
        </w:rPr>
        <w:t>achieving an employment outcome</w:t>
      </w:r>
      <w:r w:rsidR="0014439C" w:rsidRPr="00207DC2">
        <w:rPr>
          <w:lang w:val="en-AU"/>
        </w:rPr>
        <w:t xml:space="preserve"> was modelled with a variable indicating if the participant was part of the RJCP or </w:t>
      </w:r>
      <w:r w:rsidR="00610752" w:rsidRPr="00207DC2">
        <w:rPr>
          <w:lang w:val="en-AU"/>
        </w:rPr>
        <w:t xml:space="preserve">the </w:t>
      </w:r>
      <w:r w:rsidR="0014439C" w:rsidRPr="00207DC2">
        <w:rPr>
          <w:lang w:val="en-AU"/>
        </w:rPr>
        <w:t>CDP</w:t>
      </w:r>
      <w:r w:rsidRPr="00207DC2">
        <w:rPr>
          <w:lang w:val="en-AU"/>
        </w:rPr>
        <w:t xml:space="preserve">. Placement, 13-week and 26-week outcomes </w:t>
      </w:r>
      <w:r w:rsidR="005B78E4" w:rsidRPr="00207DC2">
        <w:rPr>
          <w:lang w:val="en-AU"/>
        </w:rPr>
        <w:t>we</w:t>
      </w:r>
      <w:r w:rsidRPr="00207DC2">
        <w:rPr>
          <w:lang w:val="en-AU"/>
        </w:rPr>
        <w:t xml:space="preserve">re modelled separately. </w:t>
      </w:r>
    </w:p>
    <w:p w14:paraId="5A2E92CF" w14:textId="1FCB2B91" w:rsidR="004C5702" w:rsidRPr="00207DC2" w:rsidRDefault="00A45454" w:rsidP="00404559">
      <w:pPr>
        <w:jc w:val="both"/>
        <w:rPr>
          <w:lang w:val="en-AU"/>
        </w:rPr>
      </w:pPr>
      <w:r w:rsidRPr="00207DC2">
        <w:rPr>
          <w:lang w:val="en-AU"/>
        </w:rPr>
        <w:t>The first approach employed</w:t>
      </w:r>
      <w:r w:rsidR="00404559" w:rsidRPr="00207DC2">
        <w:rPr>
          <w:lang w:val="en-AU"/>
        </w:rPr>
        <w:t xml:space="preserve"> straightforward models consisting of the prog</w:t>
      </w:r>
      <w:r w:rsidR="004D1E6E" w:rsidRPr="00207DC2">
        <w:rPr>
          <w:lang w:val="en-AU"/>
        </w:rPr>
        <w:t xml:space="preserve">ram as the treatment variable. </w:t>
      </w:r>
      <w:r w:rsidRPr="00207DC2">
        <w:rPr>
          <w:lang w:val="en-AU"/>
        </w:rPr>
        <w:t>A second approach</w:t>
      </w:r>
      <w:r w:rsidR="00404559" w:rsidRPr="00207DC2">
        <w:rPr>
          <w:lang w:val="en-AU"/>
        </w:rPr>
        <w:t xml:space="preserve"> constructed more extensive models that controlled for other potential contributors to employment that may have varied over the time period (</w:t>
      </w:r>
      <w:r w:rsidR="00624397" w:rsidRPr="00207DC2">
        <w:rPr>
          <w:lang w:val="en-AU"/>
        </w:rPr>
        <w:t xml:space="preserve">control </w:t>
      </w:r>
      <w:r w:rsidR="00404559" w:rsidRPr="00207DC2">
        <w:rPr>
          <w:lang w:val="en-AU"/>
        </w:rPr>
        <w:t xml:space="preserve">variables </w:t>
      </w:r>
      <w:r w:rsidR="00155603" w:rsidRPr="00207DC2">
        <w:rPr>
          <w:lang w:val="en-AU"/>
        </w:rPr>
        <w:t xml:space="preserve">are </w:t>
      </w:r>
      <w:r w:rsidR="00E46C60" w:rsidRPr="00207DC2">
        <w:rPr>
          <w:lang w:val="en-AU"/>
        </w:rPr>
        <w:t>discussed</w:t>
      </w:r>
      <w:r w:rsidR="00155603" w:rsidRPr="00207DC2">
        <w:rPr>
          <w:lang w:val="en-AU"/>
        </w:rPr>
        <w:t xml:space="preserve"> </w:t>
      </w:r>
      <w:r w:rsidR="00404559" w:rsidRPr="00207DC2">
        <w:rPr>
          <w:lang w:val="en-AU"/>
        </w:rPr>
        <w:t>above)</w:t>
      </w:r>
      <w:r w:rsidR="00424DE6" w:rsidRPr="00207DC2">
        <w:rPr>
          <w:lang w:val="en-AU"/>
        </w:rPr>
        <w:t>.</w:t>
      </w:r>
      <w:r w:rsidR="00404559" w:rsidRPr="00207DC2">
        <w:rPr>
          <w:lang w:val="en-AU"/>
        </w:rPr>
        <w:t xml:space="preserve"> The choice of control variables was based on </w:t>
      </w:r>
      <w:r w:rsidR="00404559" w:rsidRPr="00207DC2">
        <w:rPr>
          <w:i/>
          <w:lang w:val="en-AU"/>
        </w:rPr>
        <w:t>a priori</w:t>
      </w:r>
      <w:r w:rsidR="00404559" w:rsidRPr="00207DC2">
        <w:rPr>
          <w:lang w:val="en-AU"/>
        </w:rPr>
        <w:t xml:space="preserve"> assumptions about what affects a person’s ability to gain and keep a job.</w:t>
      </w:r>
      <w:r w:rsidR="00BA709E" w:rsidRPr="00207DC2">
        <w:rPr>
          <w:lang w:val="en-AU"/>
        </w:rPr>
        <w:t xml:space="preserve"> </w:t>
      </w:r>
      <w:r w:rsidR="00404559" w:rsidRPr="00207DC2">
        <w:rPr>
          <w:lang w:val="en-AU"/>
        </w:rPr>
        <w:t>The independent variables ‘control’ for the variability of that factor (</w:t>
      </w:r>
      <w:r w:rsidR="00E06A7C">
        <w:rPr>
          <w:lang w:val="en-AU"/>
        </w:rPr>
        <w:t xml:space="preserve">for </w:t>
      </w:r>
      <w:r w:rsidR="00404559" w:rsidRPr="00207DC2">
        <w:rPr>
          <w:lang w:val="en-AU"/>
        </w:rPr>
        <w:t xml:space="preserve">example, </w:t>
      </w:r>
      <w:r w:rsidRPr="00207DC2">
        <w:rPr>
          <w:lang w:val="en-AU"/>
        </w:rPr>
        <w:t xml:space="preserve">inclusion of a </w:t>
      </w:r>
      <w:r w:rsidR="00B3096E" w:rsidRPr="00207DC2">
        <w:rPr>
          <w:lang w:val="en-AU"/>
        </w:rPr>
        <w:t>gender</w:t>
      </w:r>
      <w:r w:rsidRPr="00207DC2">
        <w:rPr>
          <w:lang w:val="en-AU"/>
        </w:rPr>
        <w:t xml:space="preserve"> split controls for </w:t>
      </w:r>
      <w:r w:rsidR="00B3096E" w:rsidRPr="00207DC2">
        <w:rPr>
          <w:lang w:val="en-AU"/>
        </w:rPr>
        <w:t>gender</w:t>
      </w:r>
      <w:r w:rsidRPr="00207DC2">
        <w:rPr>
          <w:lang w:val="en-AU"/>
        </w:rPr>
        <w:t xml:space="preserve"> differences</w:t>
      </w:r>
      <w:r w:rsidR="00404559" w:rsidRPr="00207DC2">
        <w:rPr>
          <w:lang w:val="en-AU"/>
        </w:rPr>
        <w:t xml:space="preserve">). </w:t>
      </w:r>
      <w:r w:rsidRPr="00207DC2">
        <w:rPr>
          <w:lang w:val="en-AU"/>
        </w:rPr>
        <w:t>The models controlled</w:t>
      </w:r>
      <w:r w:rsidR="00404559" w:rsidRPr="00207DC2">
        <w:rPr>
          <w:lang w:val="en-AU"/>
        </w:rPr>
        <w:t xml:space="preserve"> for six items in total</w:t>
      </w:r>
      <w:r w:rsidR="00E06A7C">
        <w:rPr>
          <w:lang w:val="en-AU"/>
        </w:rPr>
        <w:t>:</w:t>
      </w:r>
      <w:r w:rsidR="00404559" w:rsidRPr="00207DC2">
        <w:rPr>
          <w:lang w:val="en-AU"/>
        </w:rPr>
        <w:t xml:space="preserve"> </w:t>
      </w:r>
      <w:r w:rsidR="0054246D" w:rsidRPr="00207DC2">
        <w:rPr>
          <w:lang w:val="en-AU"/>
        </w:rPr>
        <w:t>gender</w:t>
      </w:r>
      <w:r w:rsidR="00E06A7C">
        <w:rPr>
          <w:lang w:val="en-AU"/>
        </w:rPr>
        <w:t>;</w:t>
      </w:r>
      <w:r w:rsidR="00404559" w:rsidRPr="00207DC2">
        <w:rPr>
          <w:lang w:val="en-AU"/>
        </w:rPr>
        <w:t xml:space="preserve"> Indigenous status</w:t>
      </w:r>
      <w:r w:rsidR="00E06A7C">
        <w:rPr>
          <w:lang w:val="en-AU"/>
        </w:rPr>
        <w:t>;</w:t>
      </w:r>
      <w:r w:rsidR="00404559" w:rsidRPr="00207DC2">
        <w:rPr>
          <w:lang w:val="en-AU"/>
        </w:rPr>
        <w:t xml:space="preserve"> provider</w:t>
      </w:r>
      <w:r w:rsidR="00B6792F" w:rsidRPr="00207DC2">
        <w:rPr>
          <w:lang w:val="en-AU"/>
        </w:rPr>
        <w:t xml:space="preserve"> status</w:t>
      </w:r>
      <w:r w:rsidR="00E06A7C">
        <w:rPr>
          <w:lang w:val="en-AU"/>
        </w:rPr>
        <w:t>;</w:t>
      </w:r>
      <w:r w:rsidR="00404559" w:rsidRPr="00207DC2">
        <w:rPr>
          <w:lang w:val="en-AU"/>
        </w:rPr>
        <w:t xml:space="preserve"> </w:t>
      </w:r>
      <w:r w:rsidR="0054246D" w:rsidRPr="00207DC2">
        <w:rPr>
          <w:lang w:val="en-AU"/>
        </w:rPr>
        <w:t xml:space="preserve">participant’s </w:t>
      </w:r>
      <w:r w:rsidR="00404559" w:rsidRPr="00207DC2">
        <w:rPr>
          <w:lang w:val="en-AU"/>
        </w:rPr>
        <w:t>home area unemployment rate</w:t>
      </w:r>
      <w:r w:rsidR="00E06A7C">
        <w:rPr>
          <w:lang w:val="en-AU"/>
        </w:rPr>
        <w:t>;</w:t>
      </w:r>
      <w:r w:rsidR="00404559" w:rsidRPr="00207DC2">
        <w:rPr>
          <w:lang w:val="en-AU"/>
        </w:rPr>
        <w:t xml:space="preserve"> </w:t>
      </w:r>
      <w:r w:rsidR="0054246D" w:rsidRPr="00207DC2">
        <w:rPr>
          <w:lang w:val="en-AU"/>
        </w:rPr>
        <w:t xml:space="preserve">the </w:t>
      </w:r>
      <w:r w:rsidR="00B6792F" w:rsidRPr="00207DC2">
        <w:rPr>
          <w:lang w:val="en-AU"/>
        </w:rPr>
        <w:t xml:space="preserve">individual’s </w:t>
      </w:r>
      <w:r w:rsidR="0054246D" w:rsidRPr="00207DC2">
        <w:rPr>
          <w:lang w:val="en-AU"/>
        </w:rPr>
        <w:t xml:space="preserve">time </w:t>
      </w:r>
      <w:r w:rsidR="00404559" w:rsidRPr="00207DC2">
        <w:rPr>
          <w:lang w:val="en-AU"/>
        </w:rPr>
        <w:t>on income support payments</w:t>
      </w:r>
      <w:r w:rsidR="00E06A7C">
        <w:rPr>
          <w:lang w:val="en-AU"/>
        </w:rPr>
        <w:t>;</w:t>
      </w:r>
      <w:r w:rsidR="00404559" w:rsidRPr="00207DC2">
        <w:rPr>
          <w:lang w:val="en-AU"/>
        </w:rPr>
        <w:t xml:space="preserve"> and </w:t>
      </w:r>
      <w:r w:rsidR="0054246D" w:rsidRPr="00207DC2">
        <w:rPr>
          <w:lang w:val="en-AU"/>
        </w:rPr>
        <w:t>participant’</w:t>
      </w:r>
      <w:r w:rsidR="00B44AA3" w:rsidRPr="00207DC2">
        <w:rPr>
          <w:lang w:val="en-AU"/>
        </w:rPr>
        <w:t>s</w:t>
      </w:r>
      <w:r w:rsidR="00404559" w:rsidRPr="00207DC2">
        <w:rPr>
          <w:lang w:val="en-AU"/>
        </w:rPr>
        <w:t xml:space="preserve"> personal JSCI score. </w:t>
      </w:r>
      <w:r w:rsidRPr="00207DC2">
        <w:rPr>
          <w:lang w:val="en-AU"/>
        </w:rPr>
        <w:t>Models were run</w:t>
      </w:r>
      <w:r w:rsidR="00404559" w:rsidRPr="00207DC2">
        <w:rPr>
          <w:lang w:val="en-AU"/>
        </w:rPr>
        <w:t xml:space="preserve"> for both the </w:t>
      </w:r>
      <w:r w:rsidR="009D6C49" w:rsidRPr="00207DC2">
        <w:rPr>
          <w:lang w:val="en-AU"/>
        </w:rPr>
        <w:t xml:space="preserve">point-in-time and newly commenced </w:t>
      </w:r>
      <w:r w:rsidR="00404559" w:rsidRPr="00207DC2">
        <w:rPr>
          <w:lang w:val="en-AU"/>
        </w:rPr>
        <w:t xml:space="preserve">samples. </w:t>
      </w:r>
    </w:p>
    <w:p w14:paraId="47C2EC2F" w14:textId="5249202D" w:rsidR="00404559" w:rsidRPr="00207DC2" w:rsidRDefault="005659C4" w:rsidP="00404559">
      <w:pPr>
        <w:jc w:val="both"/>
        <w:rPr>
          <w:lang w:val="en-AU"/>
        </w:rPr>
      </w:pPr>
      <w:r w:rsidRPr="00207DC2">
        <w:rPr>
          <w:lang w:val="en-AU"/>
        </w:rPr>
        <w:t xml:space="preserve">The point-in-time analysis was run with a second sample </w:t>
      </w:r>
      <w:r w:rsidR="00624397" w:rsidRPr="00207DC2">
        <w:rPr>
          <w:lang w:val="en-AU"/>
        </w:rPr>
        <w:t xml:space="preserve">pairing </w:t>
      </w:r>
      <w:r w:rsidRPr="00207DC2">
        <w:rPr>
          <w:lang w:val="en-AU"/>
        </w:rPr>
        <w:t>taken on June</w:t>
      </w:r>
      <w:r w:rsidR="002317B0" w:rsidRPr="00207DC2">
        <w:rPr>
          <w:lang w:val="en-AU"/>
        </w:rPr>
        <w:t> </w:t>
      </w:r>
      <w:r w:rsidRPr="00207DC2">
        <w:rPr>
          <w:lang w:val="en-AU"/>
        </w:rPr>
        <w:t xml:space="preserve">1 </w:t>
      </w:r>
      <w:r w:rsidR="00624397" w:rsidRPr="00207DC2">
        <w:rPr>
          <w:lang w:val="en-AU"/>
        </w:rPr>
        <w:t xml:space="preserve">of 2014 and 2016 </w:t>
      </w:r>
      <w:r w:rsidRPr="00207DC2">
        <w:rPr>
          <w:lang w:val="en-AU"/>
        </w:rPr>
        <w:t>to confirm that the January 1 sample</w:t>
      </w:r>
      <w:r w:rsidR="00624397" w:rsidRPr="00207DC2">
        <w:rPr>
          <w:lang w:val="en-AU"/>
        </w:rPr>
        <w:t>s</w:t>
      </w:r>
      <w:r w:rsidRPr="00207DC2">
        <w:rPr>
          <w:lang w:val="en-AU"/>
        </w:rPr>
        <w:t xml:space="preserve"> </w:t>
      </w:r>
      <w:r w:rsidR="00624397" w:rsidRPr="00207DC2">
        <w:rPr>
          <w:lang w:val="en-AU"/>
        </w:rPr>
        <w:t xml:space="preserve">were </w:t>
      </w:r>
      <w:r w:rsidRPr="00207DC2">
        <w:rPr>
          <w:lang w:val="en-AU"/>
        </w:rPr>
        <w:t xml:space="preserve">typical – the results were consistent with those reported below. </w:t>
      </w:r>
    </w:p>
    <w:p w14:paraId="1BEBB0E0" w14:textId="77777777" w:rsidR="00404559" w:rsidRPr="00207DC2" w:rsidRDefault="00404559" w:rsidP="00404559">
      <w:pPr>
        <w:spacing w:after="160"/>
        <w:rPr>
          <w:rFonts w:asciiTheme="majorHAnsi" w:eastAsiaTheme="majorEastAsia" w:hAnsiTheme="majorHAnsi" w:cstheme="majorBidi"/>
          <w:color w:val="15202A" w:themeColor="accent1" w:themeShade="BF"/>
          <w:spacing w:val="22"/>
          <w:sz w:val="24"/>
          <w:szCs w:val="22"/>
          <w:lang w:val="en-AU" w:eastAsia="en-US"/>
        </w:rPr>
      </w:pPr>
      <w:r w:rsidRPr="00207DC2">
        <w:rPr>
          <w:sz w:val="24"/>
          <w:lang w:val="en-AU"/>
        </w:rPr>
        <w:br w:type="page"/>
      </w:r>
    </w:p>
    <w:p w14:paraId="3BED4722" w14:textId="77777777" w:rsidR="00404559" w:rsidRPr="00207DC2" w:rsidRDefault="00404559" w:rsidP="00FB626D">
      <w:pPr>
        <w:pStyle w:val="Table"/>
        <w:numPr>
          <w:ilvl w:val="0"/>
          <w:numId w:val="0"/>
        </w:numPr>
        <w:outlineLvl w:val="9"/>
        <w:rPr>
          <w:vertAlign w:val="superscript"/>
        </w:rPr>
      </w:pPr>
      <w:r w:rsidRPr="00207DC2">
        <w:t xml:space="preserve">Table C.3 </w:t>
      </w:r>
      <w:r w:rsidR="00987F6C" w:rsidRPr="00207DC2">
        <w:t>Estimated c</w:t>
      </w:r>
      <w:r w:rsidRPr="00207DC2">
        <w:t xml:space="preserve">oefficients for the </w:t>
      </w:r>
      <w:r w:rsidR="00987F6C" w:rsidRPr="00207DC2">
        <w:t xml:space="preserve">before to after </w:t>
      </w:r>
      <w:r w:rsidRPr="00207DC2">
        <w:t>regressions</w:t>
      </w:r>
      <w:r w:rsidR="00987F6C" w:rsidRPr="00207DC2">
        <w:t>, the point-in-time sample</w:t>
      </w:r>
      <w:r w:rsidR="00482C9D" w:rsidRPr="00207DC2">
        <w:rPr>
          <w:vertAlign w:val="superscript"/>
        </w:rPr>
        <w:t>a</w:t>
      </w:r>
    </w:p>
    <w:tbl>
      <w:tblPr>
        <w:tblStyle w:val="PlainTable21"/>
        <w:tblW w:w="8880" w:type="dxa"/>
        <w:tblBorders>
          <w:top w:val="single" w:sz="4" w:space="0" w:color="262626" w:themeColor="background1"/>
          <w:bottom w:val="single" w:sz="4" w:space="0" w:color="262626" w:themeColor="background1"/>
          <w:insideH w:val="single" w:sz="4" w:space="0" w:color="262626" w:themeColor="background1"/>
        </w:tblBorders>
        <w:tblLook w:val="04A0" w:firstRow="1" w:lastRow="0" w:firstColumn="1" w:lastColumn="0" w:noHBand="0" w:noVBand="1"/>
        <w:tblCaption w:val="Estimated coefficients for the before to after regressions, the point-in-time sample"/>
        <w:tblDescription w:val="The table displays the estimated regression coefficients of the main before to after regression model for the point in time cohort of participants."/>
      </w:tblPr>
      <w:tblGrid>
        <w:gridCol w:w="4199"/>
        <w:gridCol w:w="1722"/>
        <w:gridCol w:w="1412"/>
        <w:gridCol w:w="1547"/>
      </w:tblGrid>
      <w:tr w:rsidR="00404559" w:rsidRPr="00207DC2" w14:paraId="5269BFFF"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262626" w:themeColor="background1"/>
            </w:tcBorders>
          </w:tcPr>
          <w:p w14:paraId="18CEC150" w14:textId="77777777" w:rsidR="00404559" w:rsidRPr="00207DC2" w:rsidRDefault="00404559" w:rsidP="00FB626D">
            <w:pPr>
              <w:pStyle w:val="TableText"/>
              <w:keepNext/>
              <w:keepLines/>
              <w:spacing w:after="0"/>
              <w:ind w:left="142" w:right="142"/>
              <w:rPr>
                <w:lang w:val="en-AU"/>
              </w:rPr>
            </w:pPr>
          </w:p>
        </w:tc>
        <w:tc>
          <w:tcPr>
            <w:tcW w:w="1702" w:type="dxa"/>
            <w:tcBorders>
              <w:bottom w:val="single" w:sz="4" w:space="0" w:color="262626" w:themeColor="background1"/>
            </w:tcBorders>
          </w:tcPr>
          <w:p w14:paraId="4EDAEB5C" w14:textId="77777777" w:rsidR="00404559" w:rsidRPr="00207DC2" w:rsidRDefault="00CA6DF9" w:rsidP="00FB626D">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P</w:t>
            </w:r>
            <w:r w:rsidR="00404559" w:rsidRPr="00207DC2">
              <w:rPr>
                <w:lang w:val="en-AU"/>
              </w:rPr>
              <w:t>lacements</w:t>
            </w:r>
          </w:p>
        </w:tc>
        <w:tc>
          <w:tcPr>
            <w:tcW w:w="1412" w:type="dxa"/>
            <w:tcBorders>
              <w:bottom w:val="single" w:sz="4" w:space="0" w:color="262626" w:themeColor="background1"/>
            </w:tcBorders>
          </w:tcPr>
          <w:p w14:paraId="3F840555" w14:textId="09764CBB" w:rsidR="00404559" w:rsidRPr="00207DC2" w:rsidRDefault="00404559"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13</w:t>
            </w:r>
            <w:r w:rsidR="00281CF6">
              <w:rPr>
                <w:lang w:val="en-AU"/>
              </w:rPr>
              <w:t xml:space="preserve"> </w:t>
            </w:r>
            <w:r w:rsidRPr="00207DC2">
              <w:rPr>
                <w:lang w:val="en-AU"/>
              </w:rPr>
              <w:t>week</w:t>
            </w:r>
          </w:p>
        </w:tc>
        <w:tc>
          <w:tcPr>
            <w:tcW w:w="1547" w:type="dxa"/>
            <w:tcBorders>
              <w:bottom w:val="single" w:sz="4" w:space="0" w:color="262626" w:themeColor="background1"/>
            </w:tcBorders>
          </w:tcPr>
          <w:p w14:paraId="46CD70B6" w14:textId="31F4E5C0" w:rsidR="00404559" w:rsidRPr="00207DC2" w:rsidRDefault="00404559"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26</w:t>
            </w:r>
            <w:r w:rsidR="00281CF6">
              <w:rPr>
                <w:lang w:val="en-AU"/>
              </w:rPr>
              <w:t xml:space="preserve"> </w:t>
            </w:r>
            <w:r w:rsidRPr="00207DC2">
              <w:rPr>
                <w:lang w:val="en-AU"/>
              </w:rPr>
              <w:t>week</w:t>
            </w:r>
          </w:p>
        </w:tc>
      </w:tr>
      <w:tr w:rsidR="00404559" w:rsidRPr="00207DC2" w14:paraId="2E79BBC0"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nil"/>
            </w:tcBorders>
          </w:tcPr>
          <w:p w14:paraId="3DF77739"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CDP participant</w:t>
            </w:r>
          </w:p>
        </w:tc>
        <w:tc>
          <w:tcPr>
            <w:tcW w:w="1702" w:type="dxa"/>
            <w:tcBorders>
              <w:bottom w:val="nil"/>
            </w:tcBorders>
          </w:tcPr>
          <w:p w14:paraId="59A59A86"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00487FB9" w:rsidRPr="00207DC2">
              <w:rPr>
                <w:lang w:val="en-AU"/>
              </w:rPr>
              <w:t>3</w:t>
            </w:r>
            <w:r w:rsidR="00404559" w:rsidRPr="00207DC2">
              <w:rPr>
                <w:lang w:val="en-AU"/>
              </w:rPr>
              <w:t>***</w:t>
            </w:r>
          </w:p>
        </w:tc>
        <w:tc>
          <w:tcPr>
            <w:tcW w:w="1412" w:type="dxa"/>
            <w:tcBorders>
              <w:bottom w:val="nil"/>
            </w:tcBorders>
          </w:tcPr>
          <w:p w14:paraId="4125F832" w14:textId="77777777" w:rsidR="00404559" w:rsidRPr="00207DC2" w:rsidRDefault="00664BB6"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2</w:t>
            </w:r>
            <w:r w:rsidR="00404559" w:rsidRPr="00207DC2">
              <w:rPr>
                <w:lang w:val="en-AU"/>
              </w:rPr>
              <w:t>***</w:t>
            </w:r>
          </w:p>
        </w:tc>
        <w:tc>
          <w:tcPr>
            <w:tcW w:w="1547" w:type="dxa"/>
            <w:tcBorders>
              <w:bottom w:val="nil"/>
            </w:tcBorders>
          </w:tcPr>
          <w:p w14:paraId="68AF771E"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2***</w:t>
            </w:r>
          </w:p>
        </w:tc>
      </w:tr>
      <w:tr w:rsidR="00404559" w:rsidRPr="00207DC2" w14:paraId="192E1705"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F248646"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male</w:t>
            </w:r>
          </w:p>
        </w:tc>
        <w:tc>
          <w:tcPr>
            <w:tcW w:w="1702" w:type="dxa"/>
            <w:tcBorders>
              <w:top w:val="nil"/>
              <w:bottom w:val="nil"/>
            </w:tcBorders>
          </w:tcPr>
          <w:p w14:paraId="073FF6E3"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0</w:t>
            </w:r>
            <w:r w:rsidR="00404559" w:rsidRPr="00207DC2">
              <w:rPr>
                <w:lang w:val="en-AU"/>
              </w:rPr>
              <w:t>***</w:t>
            </w:r>
          </w:p>
        </w:tc>
        <w:tc>
          <w:tcPr>
            <w:tcW w:w="1412" w:type="dxa"/>
            <w:tcBorders>
              <w:top w:val="nil"/>
              <w:bottom w:val="nil"/>
            </w:tcBorders>
          </w:tcPr>
          <w:p w14:paraId="3BEF1292"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8</w:t>
            </w:r>
            <w:r w:rsidR="00404559" w:rsidRPr="00207DC2">
              <w:rPr>
                <w:lang w:val="en-AU"/>
              </w:rPr>
              <w:t>***</w:t>
            </w:r>
          </w:p>
        </w:tc>
        <w:tc>
          <w:tcPr>
            <w:tcW w:w="1547" w:type="dxa"/>
            <w:tcBorders>
              <w:top w:val="nil"/>
              <w:bottom w:val="nil"/>
            </w:tcBorders>
          </w:tcPr>
          <w:p w14:paraId="5DA8360A"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3</w:t>
            </w:r>
          </w:p>
        </w:tc>
      </w:tr>
      <w:tr w:rsidR="00404559" w:rsidRPr="00207DC2" w14:paraId="6C10F3A2"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835D82F"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Identified as Indigenous</w:t>
            </w:r>
          </w:p>
        </w:tc>
        <w:tc>
          <w:tcPr>
            <w:tcW w:w="1702" w:type="dxa"/>
            <w:tcBorders>
              <w:top w:val="nil"/>
              <w:bottom w:val="nil"/>
            </w:tcBorders>
          </w:tcPr>
          <w:p w14:paraId="64B353D8"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3</w:t>
            </w:r>
            <w:r w:rsidR="00404559" w:rsidRPr="00207DC2">
              <w:rPr>
                <w:lang w:val="en-AU"/>
              </w:rPr>
              <w:t>***</w:t>
            </w:r>
          </w:p>
        </w:tc>
        <w:tc>
          <w:tcPr>
            <w:tcW w:w="1412" w:type="dxa"/>
            <w:tcBorders>
              <w:top w:val="nil"/>
              <w:bottom w:val="nil"/>
            </w:tcBorders>
          </w:tcPr>
          <w:p w14:paraId="4EA47E54"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4***</w:t>
            </w:r>
          </w:p>
        </w:tc>
        <w:tc>
          <w:tcPr>
            <w:tcW w:w="1547" w:type="dxa"/>
            <w:tcBorders>
              <w:top w:val="nil"/>
              <w:bottom w:val="nil"/>
            </w:tcBorders>
          </w:tcPr>
          <w:p w14:paraId="178F35D5"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9</w:t>
            </w:r>
            <w:r w:rsidR="00404559" w:rsidRPr="00207DC2">
              <w:rPr>
                <w:lang w:val="en-AU"/>
              </w:rPr>
              <w:t>*</w:t>
            </w:r>
          </w:p>
        </w:tc>
      </w:tr>
      <w:tr w:rsidR="00404559" w:rsidRPr="00207DC2" w14:paraId="3F47A675"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615F8416"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Indigenous provider</w:t>
            </w:r>
          </w:p>
        </w:tc>
        <w:tc>
          <w:tcPr>
            <w:tcW w:w="1702" w:type="dxa"/>
            <w:tcBorders>
              <w:top w:val="nil"/>
              <w:bottom w:val="dashSmallGap" w:sz="4" w:space="0" w:color="auto"/>
            </w:tcBorders>
          </w:tcPr>
          <w:p w14:paraId="285B321C"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4***</w:t>
            </w:r>
          </w:p>
        </w:tc>
        <w:tc>
          <w:tcPr>
            <w:tcW w:w="1412" w:type="dxa"/>
            <w:tcBorders>
              <w:top w:val="nil"/>
              <w:bottom w:val="dashSmallGap" w:sz="4" w:space="0" w:color="auto"/>
            </w:tcBorders>
          </w:tcPr>
          <w:p w14:paraId="4D9E2826"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w:t>
            </w:r>
            <w:r w:rsidR="00664BB6" w:rsidRPr="00207DC2">
              <w:rPr>
                <w:lang w:val="en-AU"/>
              </w:rPr>
              <w:t>2</w:t>
            </w:r>
            <w:r w:rsidR="00383F4E" w:rsidRPr="00207DC2">
              <w:rPr>
                <w:lang w:val="en-AU"/>
              </w:rPr>
              <w:t>.</w:t>
            </w:r>
            <w:r w:rsidR="00664BB6" w:rsidRPr="00207DC2">
              <w:rPr>
                <w:lang w:val="en-AU"/>
              </w:rPr>
              <w:t>1</w:t>
            </w:r>
            <w:r w:rsidRPr="00207DC2">
              <w:rPr>
                <w:lang w:val="en-AU"/>
              </w:rPr>
              <w:t>***</w:t>
            </w:r>
          </w:p>
        </w:tc>
        <w:tc>
          <w:tcPr>
            <w:tcW w:w="1547" w:type="dxa"/>
            <w:tcBorders>
              <w:top w:val="nil"/>
              <w:bottom w:val="dashSmallGap" w:sz="4" w:space="0" w:color="auto"/>
            </w:tcBorders>
          </w:tcPr>
          <w:p w14:paraId="47771AB0"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w:t>
            </w:r>
            <w:r w:rsidR="00664BB6" w:rsidRPr="00207DC2">
              <w:rPr>
                <w:lang w:val="en-AU"/>
              </w:rPr>
              <w:t>1</w:t>
            </w:r>
            <w:r w:rsidR="00383F4E" w:rsidRPr="00207DC2">
              <w:rPr>
                <w:lang w:val="en-AU"/>
              </w:rPr>
              <w:t>.</w:t>
            </w:r>
            <w:r w:rsidR="00664BB6" w:rsidRPr="00207DC2">
              <w:rPr>
                <w:lang w:val="en-AU"/>
              </w:rPr>
              <w:t>7</w:t>
            </w:r>
            <w:r w:rsidRPr="00207DC2">
              <w:rPr>
                <w:lang w:val="en-AU"/>
              </w:rPr>
              <w:t>***</w:t>
            </w:r>
          </w:p>
        </w:tc>
      </w:tr>
      <w:tr w:rsidR="00404559" w:rsidRPr="00207DC2" w14:paraId="48C191E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bottom w:val="nil"/>
            </w:tcBorders>
          </w:tcPr>
          <w:p w14:paraId="3AC9AC26"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1</w:t>
            </w:r>
          </w:p>
        </w:tc>
        <w:tc>
          <w:tcPr>
            <w:tcW w:w="1702" w:type="dxa"/>
            <w:tcBorders>
              <w:top w:val="dashSmallGap" w:sz="4" w:space="0" w:color="auto"/>
              <w:bottom w:val="nil"/>
            </w:tcBorders>
          </w:tcPr>
          <w:p w14:paraId="65DDF8E1"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2</w:t>
            </w:r>
            <w:r w:rsidR="00404559" w:rsidRPr="00207DC2">
              <w:rPr>
                <w:lang w:val="en-AU"/>
              </w:rPr>
              <w:t>***</w:t>
            </w:r>
          </w:p>
        </w:tc>
        <w:tc>
          <w:tcPr>
            <w:tcW w:w="1412" w:type="dxa"/>
            <w:tcBorders>
              <w:top w:val="dashSmallGap" w:sz="4" w:space="0" w:color="auto"/>
              <w:bottom w:val="nil"/>
            </w:tcBorders>
          </w:tcPr>
          <w:p w14:paraId="0FA1D018" w14:textId="77777777" w:rsidR="00404559" w:rsidRPr="00207DC2" w:rsidRDefault="00664BB6"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3</w:t>
            </w:r>
            <w:r w:rsidR="00404559" w:rsidRPr="00207DC2">
              <w:rPr>
                <w:lang w:val="en-AU"/>
              </w:rPr>
              <w:t>***</w:t>
            </w:r>
          </w:p>
        </w:tc>
        <w:tc>
          <w:tcPr>
            <w:tcW w:w="1547" w:type="dxa"/>
            <w:tcBorders>
              <w:top w:val="dashSmallGap" w:sz="4" w:space="0" w:color="auto"/>
              <w:bottom w:val="nil"/>
            </w:tcBorders>
          </w:tcPr>
          <w:p w14:paraId="4DB8E1F7"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2</w:t>
            </w:r>
            <w:r w:rsidR="00404559" w:rsidRPr="00207DC2">
              <w:rPr>
                <w:lang w:val="en-AU"/>
              </w:rPr>
              <w:t>***</w:t>
            </w:r>
          </w:p>
        </w:tc>
      </w:tr>
      <w:tr w:rsidR="00404559" w:rsidRPr="00207DC2" w14:paraId="3900F506"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50633B6"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2</w:t>
            </w:r>
          </w:p>
        </w:tc>
        <w:tc>
          <w:tcPr>
            <w:tcW w:w="1702" w:type="dxa"/>
            <w:tcBorders>
              <w:top w:val="nil"/>
              <w:bottom w:val="nil"/>
            </w:tcBorders>
          </w:tcPr>
          <w:p w14:paraId="19FAB831"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8</w:t>
            </w:r>
            <w:r w:rsidR="00404559" w:rsidRPr="00207DC2">
              <w:rPr>
                <w:lang w:val="en-AU"/>
              </w:rPr>
              <w:t>***</w:t>
            </w:r>
          </w:p>
        </w:tc>
        <w:tc>
          <w:tcPr>
            <w:tcW w:w="1412" w:type="dxa"/>
            <w:tcBorders>
              <w:top w:val="nil"/>
              <w:bottom w:val="nil"/>
            </w:tcBorders>
          </w:tcPr>
          <w:p w14:paraId="4278F8EE"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3***</w:t>
            </w:r>
          </w:p>
        </w:tc>
        <w:tc>
          <w:tcPr>
            <w:tcW w:w="1547" w:type="dxa"/>
            <w:tcBorders>
              <w:top w:val="nil"/>
              <w:bottom w:val="nil"/>
            </w:tcBorders>
          </w:tcPr>
          <w:p w14:paraId="35F2A717"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1***</w:t>
            </w:r>
          </w:p>
        </w:tc>
      </w:tr>
      <w:tr w:rsidR="00404559" w:rsidRPr="00207DC2" w14:paraId="5B2FF228"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4C4AE95"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3</w:t>
            </w:r>
          </w:p>
        </w:tc>
        <w:tc>
          <w:tcPr>
            <w:tcW w:w="1702" w:type="dxa"/>
            <w:tcBorders>
              <w:top w:val="nil"/>
              <w:bottom w:val="nil"/>
            </w:tcBorders>
          </w:tcPr>
          <w:p w14:paraId="386A8E4E"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0</w:t>
            </w:r>
            <w:r w:rsidR="00404559" w:rsidRPr="00207DC2">
              <w:rPr>
                <w:lang w:val="en-AU"/>
              </w:rPr>
              <w:t>***</w:t>
            </w:r>
          </w:p>
        </w:tc>
        <w:tc>
          <w:tcPr>
            <w:tcW w:w="1412" w:type="dxa"/>
            <w:tcBorders>
              <w:top w:val="nil"/>
              <w:bottom w:val="nil"/>
            </w:tcBorders>
          </w:tcPr>
          <w:p w14:paraId="6AE209B2"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2***</w:t>
            </w:r>
          </w:p>
        </w:tc>
        <w:tc>
          <w:tcPr>
            <w:tcW w:w="1547" w:type="dxa"/>
            <w:tcBorders>
              <w:top w:val="nil"/>
              <w:bottom w:val="nil"/>
            </w:tcBorders>
          </w:tcPr>
          <w:p w14:paraId="7C9AD6D0"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3***</w:t>
            </w:r>
          </w:p>
        </w:tc>
      </w:tr>
      <w:tr w:rsidR="00404559" w:rsidRPr="00207DC2" w14:paraId="52F96C59"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969C777"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4</w:t>
            </w:r>
          </w:p>
        </w:tc>
        <w:tc>
          <w:tcPr>
            <w:tcW w:w="1702" w:type="dxa"/>
            <w:tcBorders>
              <w:top w:val="nil"/>
              <w:bottom w:val="nil"/>
            </w:tcBorders>
          </w:tcPr>
          <w:p w14:paraId="4A15FF64"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383F4E" w:rsidRPr="00207DC2">
              <w:rPr>
                <w:lang w:val="en-AU"/>
              </w:rPr>
              <w:t>.</w:t>
            </w:r>
            <w:r w:rsidRPr="00207DC2">
              <w:rPr>
                <w:lang w:val="en-AU"/>
              </w:rPr>
              <w:t>3***</w:t>
            </w:r>
          </w:p>
        </w:tc>
        <w:tc>
          <w:tcPr>
            <w:tcW w:w="1412" w:type="dxa"/>
            <w:tcBorders>
              <w:top w:val="nil"/>
              <w:bottom w:val="nil"/>
            </w:tcBorders>
          </w:tcPr>
          <w:p w14:paraId="48F36D07"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9***</w:t>
            </w:r>
          </w:p>
        </w:tc>
        <w:tc>
          <w:tcPr>
            <w:tcW w:w="1547" w:type="dxa"/>
            <w:tcBorders>
              <w:top w:val="nil"/>
              <w:bottom w:val="nil"/>
            </w:tcBorders>
          </w:tcPr>
          <w:p w14:paraId="3DAA8D3F"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4***</w:t>
            </w:r>
          </w:p>
        </w:tc>
      </w:tr>
      <w:tr w:rsidR="00404559" w:rsidRPr="00207DC2" w14:paraId="70E1F563"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5BE7098"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5</w:t>
            </w:r>
          </w:p>
        </w:tc>
        <w:tc>
          <w:tcPr>
            <w:tcW w:w="1702" w:type="dxa"/>
            <w:tcBorders>
              <w:top w:val="nil"/>
              <w:bottom w:val="nil"/>
            </w:tcBorders>
          </w:tcPr>
          <w:p w14:paraId="35F23E07"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9</w:t>
            </w:r>
            <w:r w:rsidR="00404559" w:rsidRPr="00207DC2">
              <w:rPr>
                <w:lang w:val="en-AU"/>
              </w:rPr>
              <w:t>***</w:t>
            </w:r>
          </w:p>
        </w:tc>
        <w:tc>
          <w:tcPr>
            <w:tcW w:w="1412" w:type="dxa"/>
            <w:tcBorders>
              <w:top w:val="nil"/>
              <w:bottom w:val="nil"/>
            </w:tcBorders>
          </w:tcPr>
          <w:p w14:paraId="29425EF9"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1***</w:t>
            </w:r>
          </w:p>
        </w:tc>
        <w:tc>
          <w:tcPr>
            <w:tcW w:w="1547" w:type="dxa"/>
            <w:tcBorders>
              <w:top w:val="nil"/>
              <w:bottom w:val="nil"/>
            </w:tcBorders>
          </w:tcPr>
          <w:p w14:paraId="7242346C"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0</w:t>
            </w:r>
            <w:r w:rsidR="00404559" w:rsidRPr="00207DC2">
              <w:rPr>
                <w:lang w:val="en-AU"/>
              </w:rPr>
              <w:t>***</w:t>
            </w:r>
          </w:p>
        </w:tc>
      </w:tr>
      <w:tr w:rsidR="00404559" w:rsidRPr="00207DC2" w14:paraId="336D6527"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78FD55F"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6</w:t>
            </w:r>
          </w:p>
        </w:tc>
        <w:tc>
          <w:tcPr>
            <w:tcW w:w="1702" w:type="dxa"/>
            <w:tcBorders>
              <w:top w:val="nil"/>
              <w:bottom w:val="nil"/>
            </w:tcBorders>
          </w:tcPr>
          <w:p w14:paraId="53F96179"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2***</w:t>
            </w:r>
          </w:p>
        </w:tc>
        <w:tc>
          <w:tcPr>
            <w:tcW w:w="1412" w:type="dxa"/>
            <w:tcBorders>
              <w:top w:val="nil"/>
              <w:bottom w:val="nil"/>
            </w:tcBorders>
          </w:tcPr>
          <w:p w14:paraId="211D2F22"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1</w:t>
            </w:r>
            <w:r w:rsidR="00404559" w:rsidRPr="00207DC2">
              <w:rPr>
                <w:lang w:val="en-AU"/>
              </w:rPr>
              <w:t>***</w:t>
            </w:r>
          </w:p>
        </w:tc>
        <w:tc>
          <w:tcPr>
            <w:tcW w:w="1547" w:type="dxa"/>
            <w:tcBorders>
              <w:top w:val="nil"/>
              <w:bottom w:val="nil"/>
            </w:tcBorders>
          </w:tcPr>
          <w:p w14:paraId="77A5EC76"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4***</w:t>
            </w:r>
          </w:p>
        </w:tc>
      </w:tr>
      <w:tr w:rsidR="00404559" w:rsidRPr="00207DC2" w14:paraId="54F6A70F"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6CE4D6E"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7</w:t>
            </w:r>
          </w:p>
        </w:tc>
        <w:tc>
          <w:tcPr>
            <w:tcW w:w="1702" w:type="dxa"/>
            <w:tcBorders>
              <w:top w:val="nil"/>
              <w:bottom w:val="nil"/>
            </w:tcBorders>
          </w:tcPr>
          <w:p w14:paraId="337D3AA5"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0**</w:t>
            </w:r>
          </w:p>
        </w:tc>
        <w:tc>
          <w:tcPr>
            <w:tcW w:w="1412" w:type="dxa"/>
            <w:tcBorders>
              <w:top w:val="nil"/>
              <w:bottom w:val="nil"/>
            </w:tcBorders>
          </w:tcPr>
          <w:p w14:paraId="663FA2EE"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3***</w:t>
            </w:r>
          </w:p>
        </w:tc>
        <w:tc>
          <w:tcPr>
            <w:tcW w:w="1547" w:type="dxa"/>
            <w:tcBorders>
              <w:top w:val="nil"/>
              <w:bottom w:val="nil"/>
            </w:tcBorders>
          </w:tcPr>
          <w:p w14:paraId="325A803E"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3</w:t>
            </w:r>
            <w:r w:rsidR="00404559" w:rsidRPr="00207DC2">
              <w:rPr>
                <w:lang w:val="en-AU"/>
              </w:rPr>
              <w:t>***</w:t>
            </w:r>
          </w:p>
        </w:tc>
      </w:tr>
      <w:tr w:rsidR="00404559" w:rsidRPr="00207DC2" w14:paraId="28FDD3D0"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573D0CE"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8</w:t>
            </w:r>
          </w:p>
        </w:tc>
        <w:tc>
          <w:tcPr>
            <w:tcW w:w="1702" w:type="dxa"/>
            <w:tcBorders>
              <w:top w:val="nil"/>
              <w:bottom w:val="nil"/>
            </w:tcBorders>
          </w:tcPr>
          <w:p w14:paraId="171E26F6"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5</w:t>
            </w:r>
            <w:r w:rsidR="00404559" w:rsidRPr="00207DC2">
              <w:rPr>
                <w:lang w:val="en-AU"/>
              </w:rPr>
              <w:t>***</w:t>
            </w:r>
          </w:p>
        </w:tc>
        <w:tc>
          <w:tcPr>
            <w:tcW w:w="1412" w:type="dxa"/>
            <w:tcBorders>
              <w:top w:val="nil"/>
              <w:bottom w:val="nil"/>
            </w:tcBorders>
          </w:tcPr>
          <w:p w14:paraId="7AC960B6"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3***</w:t>
            </w:r>
          </w:p>
        </w:tc>
        <w:tc>
          <w:tcPr>
            <w:tcW w:w="1547" w:type="dxa"/>
            <w:tcBorders>
              <w:top w:val="nil"/>
              <w:bottom w:val="nil"/>
            </w:tcBorders>
          </w:tcPr>
          <w:p w14:paraId="1A9032E9"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0</w:t>
            </w:r>
            <w:r w:rsidR="00404559" w:rsidRPr="00207DC2">
              <w:rPr>
                <w:lang w:val="en-AU"/>
              </w:rPr>
              <w:t>***</w:t>
            </w:r>
          </w:p>
        </w:tc>
      </w:tr>
      <w:tr w:rsidR="00404559" w:rsidRPr="00207DC2" w14:paraId="31A7C31C"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CB38AC3"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9</w:t>
            </w:r>
          </w:p>
        </w:tc>
        <w:tc>
          <w:tcPr>
            <w:tcW w:w="1702" w:type="dxa"/>
            <w:tcBorders>
              <w:top w:val="nil"/>
              <w:bottom w:val="nil"/>
            </w:tcBorders>
          </w:tcPr>
          <w:p w14:paraId="7EDF1727"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0</w:t>
            </w:r>
            <w:r w:rsidR="00404559" w:rsidRPr="00207DC2">
              <w:rPr>
                <w:lang w:val="en-AU"/>
              </w:rPr>
              <w:t>***</w:t>
            </w:r>
          </w:p>
        </w:tc>
        <w:tc>
          <w:tcPr>
            <w:tcW w:w="1412" w:type="dxa"/>
            <w:tcBorders>
              <w:top w:val="nil"/>
              <w:bottom w:val="nil"/>
            </w:tcBorders>
          </w:tcPr>
          <w:p w14:paraId="4F883BD6"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5***</w:t>
            </w:r>
          </w:p>
        </w:tc>
        <w:tc>
          <w:tcPr>
            <w:tcW w:w="1547" w:type="dxa"/>
            <w:tcBorders>
              <w:top w:val="nil"/>
              <w:bottom w:val="nil"/>
            </w:tcBorders>
          </w:tcPr>
          <w:p w14:paraId="386C6692"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4***</w:t>
            </w:r>
          </w:p>
        </w:tc>
      </w:tr>
      <w:tr w:rsidR="00404559" w:rsidRPr="00207DC2" w14:paraId="70620982" w14:textId="77777777" w:rsidTr="003E3336">
        <w:trPr>
          <w:trHeight w:val="184"/>
        </w:trPr>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0BF4DB5F" w14:textId="77777777" w:rsidR="00404559" w:rsidRPr="00207DC2" w:rsidRDefault="00404559" w:rsidP="00FB626D">
            <w:pPr>
              <w:pStyle w:val="TableText"/>
              <w:keepNext/>
              <w:keepLines/>
              <w:spacing w:after="0"/>
              <w:ind w:left="142" w:right="142"/>
              <w:rPr>
                <w:b w:val="0"/>
                <w:lang w:val="en-AU"/>
              </w:rPr>
            </w:pPr>
            <w:r w:rsidRPr="00207DC2">
              <w:rPr>
                <w:b w:val="0"/>
                <w:lang w:val="en-AU"/>
              </w:rPr>
              <w:t>unemployment data missing</w:t>
            </w:r>
          </w:p>
        </w:tc>
        <w:tc>
          <w:tcPr>
            <w:tcW w:w="1702" w:type="dxa"/>
            <w:tcBorders>
              <w:top w:val="nil"/>
              <w:bottom w:val="dashSmallGap" w:sz="4" w:space="0" w:color="auto"/>
            </w:tcBorders>
          </w:tcPr>
          <w:p w14:paraId="4B9088F4"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383F4E" w:rsidRPr="00207DC2">
              <w:rPr>
                <w:lang w:val="en-AU"/>
              </w:rPr>
              <w:t>.</w:t>
            </w:r>
            <w:r w:rsidRPr="00207DC2">
              <w:rPr>
                <w:lang w:val="en-AU"/>
              </w:rPr>
              <w:t>9***</w:t>
            </w:r>
          </w:p>
        </w:tc>
        <w:tc>
          <w:tcPr>
            <w:tcW w:w="1412" w:type="dxa"/>
            <w:tcBorders>
              <w:top w:val="nil"/>
              <w:bottom w:val="dashSmallGap" w:sz="4" w:space="0" w:color="auto"/>
            </w:tcBorders>
          </w:tcPr>
          <w:p w14:paraId="02E2D063"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8***</w:t>
            </w:r>
          </w:p>
        </w:tc>
        <w:tc>
          <w:tcPr>
            <w:tcW w:w="1547" w:type="dxa"/>
            <w:tcBorders>
              <w:top w:val="nil"/>
              <w:bottom w:val="dashSmallGap" w:sz="4" w:space="0" w:color="auto"/>
            </w:tcBorders>
          </w:tcPr>
          <w:p w14:paraId="52610DFA"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7</w:t>
            </w:r>
            <w:r w:rsidR="00404559" w:rsidRPr="00207DC2">
              <w:rPr>
                <w:lang w:val="en-AU"/>
              </w:rPr>
              <w:t>***</w:t>
            </w:r>
          </w:p>
        </w:tc>
      </w:tr>
      <w:tr w:rsidR="00404559" w:rsidRPr="00207DC2" w14:paraId="34BD7D06"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C13C153"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1</w:t>
            </w:r>
          </w:p>
        </w:tc>
        <w:tc>
          <w:tcPr>
            <w:tcW w:w="1702" w:type="dxa"/>
            <w:tcBorders>
              <w:top w:val="nil"/>
              <w:bottom w:val="nil"/>
            </w:tcBorders>
          </w:tcPr>
          <w:p w14:paraId="1CEC8C29"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r w:rsidR="00404559" w:rsidRPr="00207DC2">
              <w:rPr>
                <w:lang w:val="en-AU"/>
              </w:rPr>
              <w:t>*</w:t>
            </w:r>
          </w:p>
        </w:tc>
        <w:tc>
          <w:tcPr>
            <w:tcW w:w="1412" w:type="dxa"/>
            <w:tcBorders>
              <w:top w:val="nil"/>
              <w:bottom w:val="nil"/>
            </w:tcBorders>
          </w:tcPr>
          <w:p w14:paraId="39C9AFE0"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7***</w:t>
            </w:r>
          </w:p>
        </w:tc>
        <w:tc>
          <w:tcPr>
            <w:tcW w:w="1547" w:type="dxa"/>
            <w:tcBorders>
              <w:top w:val="nil"/>
              <w:bottom w:val="nil"/>
            </w:tcBorders>
          </w:tcPr>
          <w:p w14:paraId="096CF9F2"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8</w:t>
            </w:r>
            <w:r w:rsidR="00404559" w:rsidRPr="00207DC2">
              <w:rPr>
                <w:lang w:val="en-AU"/>
              </w:rPr>
              <w:t>***</w:t>
            </w:r>
          </w:p>
        </w:tc>
      </w:tr>
      <w:tr w:rsidR="00404559" w:rsidRPr="00207DC2" w14:paraId="24F8C2D1"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64722D4A"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2</w:t>
            </w:r>
          </w:p>
        </w:tc>
        <w:tc>
          <w:tcPr>
            <w:tcW w:w="1702" w:type="dxa"/>
            <w:tcBorders>
              <w:top w:val="nil"/>
              <w:bottom w:val="nil"/>
            </w:tcBorders>
          </w:tcPr>
          <w:p w14:paraId="0B404F1F"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r w:rsidR="00404559" w:rsidRPr="00207DC2">
              <w:rPr>
                <w:lang w:val="en-AU"/>
              </w:rPr>
              <w:t>*</w:t>
            </w:r>
          </w:p>
        </w:tc>
        <w:tc>
          <w:tcPr>
            <w:tcW w:w="1412" w:type="dxa"/>
            <w:tcBorders>
              <w:top w:val="nil"/>
              <w:bottom w:val="nil"/>
            </w:tcBorders>
          </w:tcPr>
          <w:p w14:paraId="3D280691"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9***</w:t>
            </w:r>
          </w:p>
        </w:tc>
        <w:tc>
          <w:tcPr>
            <w:tcW w:w="1547" w:type="dxa"/>
            <w:tcBorders>
              <w:top w:val="nil"/>
              <w:bottom w:val="nil"/>
            </w:tcBorders>
          </w:tcPr>
          <w:p w14:paraId="4390CC41"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6</w:t>
            </w:r>
            <w:r w:rsidR="00404559" w:rsidRPr="00207DC2">
              <w:rPr>
                <w:lang w:val="en-AU"/>
              </w:rPr>
              <w:t>***</w:t>
            </w:r>
          </w:p>
        </w:tc>
      </w:tr>
      <w:tr w:rsidR="00404559" w:rsidRPr="00207DC2" w14:paraId="7EAE8EDD"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656804C"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3</w:t>
            </w:r>
          </w:p>
        </w:tc>
        <w:tc>
          <w:tcPr>
            <w:tcW w:w="1702" w:type="dxa"/>
            <w:tcBorders>
              <w:top w:val="nil"/>
              <w:bottom w:val="nil"/>
            </w:tcBorders>
          </w:tcPr>
          <w:p w14:paraId="6F84E289"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8</w:t>
            </w:r>
            <w:r w:rsidR="00404559" w:rsidRPr="00207DC2">
              <w:rPr>
                <w:lang w:val="en-AU"/>
              </w:rPr>
              <w:t>**</w:t>
            </w:r>
          </w:p>
        </w:tc>
        <w:tc>
          <w:tcPr>
            <w:tcW w:w="1412" w:type="dxa"/>
            <w:tcBorders>
              <w:top w:val="nil"/>
              <w:bottom w:val="nil"/>
            </w:tcBorders>
          </w:tcPr>
          <w:p w14:paraId="57F39695" w14:textId="77777777" w:rsidR="00404559" w:rsidRPr="00207DC2" w:rsidRDefault="00664BB6"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0</w:t>
            </w:r>
            <w:r w:rsidR="00404559" w:rsidRPr="00207DC2">
              <w:rPr>
                <w:lang w:val="en-AU"/>
              </w:rPr>
              <w:t>***</w:t>
            </w:r>
          </w:p>
        </w:tc>
        <w:tc>
          <w:tcPr>
            <w:tcW w:w="1547" w:type="dxa"/>
            <w:tcBorders>
              <w:top w:val="nil"/>
              <w:bottom w:val="nil"/>
            </w:tcBorders>
          </w:tcPr>
          <w:p w14:paraId="36E4B2DD"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6</w:t>
            </w:r>
            <w:r w:rsidR="00404559" w:rsidRPr="00207DC2">
              <w:rPr>
                <w:lang w:val="en-AU"/>
              </w:rPr>
              <w:t>***</w:t>
            </w:r>
          </w:p>
        </w:tc>
      </w:tr>
      <w:tr w:rsidR="00404559" w:rsidRPr="00207DC2" w14:paraId="0A7AB1E1"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9ABB88A"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4</w:t>
            </w:r>
          </w:p>
        </w:tc>
        <w:tc>
          <w:tcPr>
            <w:tcW w:w="1702" w:type="dxa"/>
            <w:tcBorders>
              <w:top w:val="nil"/>
              <w:bottom w:val="nil"/>
            </w:tcBorders>
          </w:tcPr>
          <w:p w14:paraId="1BD32A2D"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1</w:t>
            </w:r>
          </w:p>
        </w:tc>
        <w:tc>
          <w:tcPr>
            <w:tcW w:w="1412" w:type="dxa"/>
            <w:tcBorders>
              <w:top w:val="nil"/>
              <w:bottom w:val="nil"/>
            </w:tcBorders>
          </w:tcPr>
          <w:p w14:paraId="0F05C1FD"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9***</w:t>
            </w:r>
          </w:p>
        </w:tc>
        <w:tc>
          <w:tcPr>
            <w:tcW w:w="1547" w:type="dxa"/>
            <w:tcBorders>
              <w:top w:val="nil"/>
              <w:bottom w:val="nil"/>
            </w:tcBorders>
          </w:tcPr>
          <w:p w14:paraId="6AEFBEE1"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4</w:t>
            </w:r>
            <w:r w:rsidR="00404559" w:rsidRPr="00207DC2">
              <w:rPr>
                <w:lang w:val="en-AU"/>
              </w:rPr>
              <w:t>***</w:t>
            </w:r>
          </w:p>
        </w:tc>
      </w:tr>
      <w:tr w:rsidR="00404559" w:rsidRPr="00207DC2" w14:paraId="043A63EC"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006CD32"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5</w:t>
            </w:r>
          </w:p>
        </w:tc>
        <w:tc>
          <w:tcPr>
            <w:tcW w:w="1702" w:type="dxa"/>
            <w:tcBorders>
              <w:top w:val="nil"/>
              <w:bottom w:val="nil"/>
            </w:tcBorders>
          </w:tcPr>
          <w:p w14:paraId="3FFAC371"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3</w:t>
            </w:r>
            <w:r w:rsidR="00404559" w:rsidRPr="00207DC2">
              <w:rPr>
                <w:lang w:val="en-AU"/>
              </w:rPr>
              <w:t>*</w:t>
            </w:r>
          </w:p>
        </w:tc>
        <w:tc>
          <w:tcPr>
            <w:tcW w:w="1412" w:type="dxa"/>
            <w:tcBorders>
              <w:top w:val="nil"/>
              <w:bottom w:val="nil"/>
            </w:tcBorders>
          </w:tcPr>
          <w:p w14:paraId="12289C72"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p>
        </w:tc>
        <w:tc>
          <w:tcPr>
            <w:tcW w:w="1547" w:type="dxa"/>
            <w:tcBorders>
              <w:top w:val="nil"/>
              <w:bottom w:val="nil"/>
            </w:tcBorders>
          </w:tcPr>
          <w:p w14:paraId="3B068573"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r w:rsidR="00404559" w:rsidRPr="00207DC2">
              <w:rPr>
                <w:lang w:val="en-AU"/>
              </w:rPr>
              <w:t>***</w:t>
            </w:r>
          </w:p>
        </w:tc>
      </w:tr>
      <w:tr w:rsidR="00404559" w:rsidRPr="00207DC2" w14:paraId="59CB94A5"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F1811BA"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6</w:t>
            </w:r>
          </w:p>
        </w:tc>
        <w:tc>
          <w:tcPr>
            <w:tcW w:w="1702" w:type="dxa"/>
            <w:tcBorders>
              <w:top w:val="nil"/>
              <w:bottom w:val="nil"/>
            </w:tcBorders>
          </w:tcPr>
          <w:p w14:paraId="696CE0DD"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8</w:t>
            </w:r>
          </w:p>
        </w:tc>
        <w:tc>
          <w:tcPr>
            <w:tcW w:w="1412" w:type="dxa"/>
            <w:tcBorders>
              <w:top w:val="nil"/>
              <w:bottom w:val="nil"/>
            </w:tcBorders>
          </w:tcPr>
          <w:p w14:paraId="10FB6564"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2</w:t>
            </w:r>
            <w:r w:rsidR="00404559" w:rsidRPr="00207DC2">
              <w:rPr>
                <w:lang w:val="en-AU"/>
              </w:rPr>
              <w:t>*</w:t>
            </w:r>
          </w:p>
        </w:tc>
        <w:tc>
          <w:tcPr>
            <w:tcW w:w="1547" w:type="dxa"/>
            <w:tcBorders>
              <w:top w:val="nil"/>
              <w:bottom w:val="nil"/>
            </w:tcBorders>
          </w:tcPr>
          <w:p w14:paraId="176D5E69"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1</w:t>
            </w:r>
            <w:r w:rsidR="00404559" w:rsidRPr="00207DC2">
              <w:rPr>
                <w:lang w:val="en-AU"/>
              </w:rPr>
              <w:t>*</w:t>
            </w:r>
          </w:p>
        </w:tc>
      </w:tr>
      <w:tr w:rsidR="00404559" w:rsidRPr="00207DC2" w14:paraId="6496D76B"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212681D"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7</w:t>
            </w:r>
          </w:p>
        </w:tc>
        <w:tc>
          <w:tcPr>
            <w:tcW w:w="1702" w:type="dxa"/>
            <w:tcBorders>
              <w:top w:val="nil"/>
              <w:bottom w:val="nil"/>
            </w:tcBorders>
          </w:tcPr>
          <w:p w14:paraId="47310923"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9**</w:t>
            </w:r>
          </w:p>
        </w:tc>
        <w:tc>
          <w:tcPr>
            <w:tcW w:w="1412" w:type="dxa"/>
            <w:tcBorders>
              <w:top w:val="nil"/>
              <w:bottom w:val="nil"/>
            </w:tcBorders>
          </w:tcPr>
          <w:p w14:paraId="3F384D12"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9***</w:t>
            </w:r>
          </w:p>
        </w:tc>
        <w:tc>
          <w:tcPr>
            <w:tcW w:w="1547" w:type="dxa"/>
            <w:tcBorders>
              <w:top w:val="nil"/>
              <w:bottom w:val="nil"/>
            </w:tcBorders>
          </w:tcPr>
          <w:p w14:paraId="6DF17EB5"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8</w:t>
            </w:r>
            <w:r w:rsidR="00404559" w:rsidRPr="00207DC2">
              <w:rPr>
                <w:lang w:val="en-AU"/>
              </w:rPr>
              <w:t>***</w:t>
            </w:r>
          </w:p>
        </w:tc>
      </w:tr>
      <w:tr w:rsidR="00404559" w:rsidRPr="00207DC2" w14:paraId="7896F3D7"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9D312D8"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8</w:t>
            </w:r>
          </w:p>
        </w:tc>
        <w:tc>
          <w:tcPr>
            <w:tcW w:w="1702" w:type="dxa"/>
            <w:tcBorders>
              <w:top w:val="nil"/>
              <w:bottom w:val="nil"/>
            </w:tcBorders>
          </w:tcPr>
          <w:p w14:paraId="01869C53"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5*</w:t>
            </w:r>
          </w:p>
        </w:tc>
        <w:tc>
          <w:tcPr>
            <w:tcW w:w="1412" w:type="dxa"/>
            <w:tcBorders>
              <w:top w:val="nil"/>
              <w:bottom w:val="nil"/>
            </w:tcBorders>
          </w:tcPr>
          <w:p w14:paraId="2427C3F1"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2</w:t>
            </w:r>
            <w:r w:rsidR="00404559" w:rsidRPr="00207DC2">
              <w:rPr>
                <w:lang w:val="en-AU"/>
              </w:rPr>
              <w:t>*</w:t>
            </w:r>
          </w:p>
        </w:tc>
        <w:tc>
          <w:tcPr>
            <w:tcW w:w="1547" w:type="dxa"/>
            <w:tcBorders>
              <w:top w:val="nil"/>
              <w:bottom w:val="nil"/>
            </w:tcBorders>
          </w:tcPr>
          <w:p w14:paraId="2494B957"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1**</w:t>
            </w:r>
          </w:p>
        </w:tc>
      </w:tr>
      <w:tr w:rsidR="00404559" w:rsidRPr="00207DC2" w14:paraId="2130CADA"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2156E43"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9</w:t>
            </w:r>
          </w:p>
        </w:tc>
        <w:tc>
          <w:tcPr>
            <w:tcW w:w="1702" w:type="dxa"/>
            <w:tcBorders>
              <w:top w:val="nil"/>
              <w:bottom w:val="nil"/>
            </w:tcBorders>
          </w:tcPr>
          <w:p w14:paraId="1B33D8D5"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8</w:t>
            </w:r>
          </w:p>
        </w:tc>
        <w:tc>
          <w:tcPr>
            <w:tcW w:w="1412" w:type="dxa"/>
            <w:tcBorders>
              <w:top w:val="nil"/>
              <w:bottom w:val="nil"/>
            </w:tcBorders>
          </w:tcPr>
          <w:p w14:paraId="2F122AB6"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6</w:t>
            </w:r>
          </w:p>
        </w:tc>
        <w:tc>
          <w:tcPr>
            <w:tcW w:w="1547" w:type="dxa"/>
            <w:tcBorders>
              <w:top w:val="nil"/>
              <w:bottom w:val="nil"/>
            </w:tcBorders>
          </w:tcPr>
          <w:p w14:paraId="66FD5EF5"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5</w:t>
            </w:r>
          </w:p>
        </w:tc>
      </w:tr>
      <w:tr w:rsidR="00404559" w:rsidRPr="00207DC2" w14:paraId="7F33B9FE"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bottom w:val="nil"/>
            </w:tcBorders>
          </w:tcPr>
          <w:p w14:paraId="67E2CB9C"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1</w:t>
            </w:r>
          </w:p>
        </w:tc>
        <w:tc>
          <w:tcPr>
            <w:tcW w:w="1702" w:type="dxa"/>
            <w:tcBorders>
              <w:top w:val="dashSmallGap" w:sz="4" w:space="0" w:color="auto"/>
              <w:bottom w:val="nil"/>
            </w:tcBorders>
          </w:tcPr>
          <w:p w14:paraId="02AA0547"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11</w:t>
            </w:r>
            <w:r w:rsidR="00383F4E" w:rsidRPr="00207DC2">
              <w:rPr>
                <w:lang w:val="en-AU"/>
              </w:rPr>
              <w:t>.</w:t>
            </w:r>
            <w:r w:rsidRPr="00207DC2">
              <w:rPr>
                <w:lang w:val="en-AU"/>
              </w:rPr>
              <w:t>1***</w:t>
            </w:r>
          </w:p>
        </w:tc>
        <w:tc>
          <w:tcPr>
            <w:tcW w:w="1412" w:type="dxa"/>
            <w:tcBorders>
              <w:top w:val="dashSmallGap" w:sz="4" w:space="0" w:color="auto"/>
              <w:bottom w:val="nil"/>
            </w:tcBorders>
          </w:tcPr>
          <w:p w14:paraId="4F9933F5"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383F4E" w:rsidRPr="00207DC2">
              <w:rPr>
                <w:lang w:val="en-AU"/>
              </w:rPr>
              <w:t>.</w:t>
            </w:r>
            <w:r w:rsidRPr="00207DC2">
              <w:rPr>
                <w:lang w:val="en-AU"/>
              </w:rPr>
              <w:t>5</w:t>
            </w:r>
            <w:r w:rsidR="00404559" w:rsidRPr="00207DC2">
              <w:rPr>
                <w:lang w:val="en-AU"/>
              </w:rPr>
              <w:t>***</w:t>
            </w:r>
          </w:p>
        </w:tc>
        <w:tc>
          <w:tcPr>
            <w:tcW w:w="1547" w:type="dxa"/>
            <w:tcBorders>
              <w:top w:val="dashSmallGap" w:sz="4" w:space="0" w:color="auto"/>
              <w:bottom w:val="nil"/>
            </w:tcBorders>
          </w:tcPr>
          <w:p w14:paraId="436B1C91"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3***</w:t>
            </w:r>
          </w:p>
        </w:tc>
      </w:tr>
      <w:tr w:rsidR="00404559" w:rsidRPr="00207DC2" w14:paraId="56301C97"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E7344DF"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2</w:t>
            </w:r>
          </w:p>
        </w:tc>
        <w:tc>
          <w:tcPr>
            <w:tcW w:w="1702" w:type="dxa"/>
            <w:tcBorders>
              <w:top w:val="nil"/>
              <w:bottom w:val="nil"/>
            </w:tcBorders>
          </w:tcPr>
          <w:p w14:paraId="27262C1B"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7</w:t>
            </w:r>
            <w:r w:rsidR="00383F4E" w:rsidRPr="00207DC2">
              <w:rPr>
                <w:lang w:val="en-AU"/>
              </w:rPr>
              <w:t>.</w:t>
            </w:r>
            <w:r w:rsidRPr="00207DC2">
              <w:rPr>
                <w:lang w:val="en-AU"/>
              </w:rPr>
              <w:t>3</w:t>
            </w:r>
            <w:r w:rsidR="00404559" w:rsidRPr="00207DC2">
              <w:rPr>
                <w:lang w:val="en-AU"/>
              </w:rPr>
              <w:t>***</w:t>
            </w:r>
          </w:p>
        </w:tc>
        <w:tc>
          <w:tcPr>
            <w:tcW w:w="1412" w:type="dxa"/>
            <w:tcBorders>
              <w:top w:val="nil"/>
              <w:bottom w:val="nil"/>
            </w:tcBorders>
          </w:tcPr>
          <w:p w14:paraId="7E76BC7B"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3***</w:t>
            </w:r>
          </w:p>
        </w:tc>
        <w:tc>
          <w:tcPr>
            <w:tcW w:w="1547" w:type="dxa"/>
            <w:tcBorders>
              <w:top w:val="nil"/>
              <w:bottom w:val="nil"/>
            </w:tcBorders>
          </w:tcPr>
          <w:p w14:paraId="2C29AF20"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0***</w:t>
            </w:r>
          </w:p>
        </w:tc>
      </w:tr>
      <w:tr w:rsidR="00404559" w:rsidRPr="00207DC2" w14:paraId="74C065F9"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EC5AF04"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3</w:t>
            </w:r>
          </w:p>
        </w:tc>
        <w:tc>
          <w:tcPr>
            <w:tcW w:w="1702" w:type="dxa"/>
            <w:tcBorders>
              <w:top w:val="nil"/>
              <w:bottom w:val="nil"/>
            </w:tcBorders>
          </w:tcPr>
          <w:p w14:paraId="50D7DDFB"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5***</w:t>
            </w:r>
          </w:p>
        </w:tc>
        <w:tc>
          <w:tcPr>
            <w:tcW w:w="1412" w:type="dxa"/>
            <w:tcBorders>
              <w:top w:val="nil"/>
              <w:bottom w:val="nil"/>
            </w:tcBorders>
          </w:tcPr>
          <w:p w14:paraId="046BC280"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4</w:t>
            </w:r>
            <w:r w:rsidR="00404559" w:rsidRPr="00207DC2">
              <w:rPr>
                <w:lang w:val="en-AU"/>
              </w:rPr>
              <w:t>**</w:t>
            </w:r>
          </w:p>
        </w:tc>
        <w:tc>
          <w:tcPr>
            <w:tcW w:w="1547" w:type="dxa"/>
            <w:tcBorders>
              <w:top w:val="nil"/>
              <w:bottom w:val="nil"/>
            </w:tcBorders>
          </w:tcPr>
          <w:p w14:paraId="35115396"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1</w:t>
            </w:r>
            <w:r w:rsidR="00404559" w:rsidRPr="00207DC2">
              <w:rPr>
                <w:lang w:val="en-AU"/>
              </w:rPr>
              <w:t>***</w:t>
            </w:r>
          </w:p>
        </w:tc>
      </w:tr>
      <w:tr w:rsidR="00404559" w:rsidRPr="00207DC2" w14:paraId="205A62A4"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4150269"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4</w:t>
            </w:r>
          </w:p>
        </w:tc>
        <w:tc>
          <w:tcPr>
            <w:tcW w:w="1702" w:type="dxa"/>
            <w:tcBorders>
              <w:top w:val="nil"/>
              <w:bottom w:val="nil"/>
            </w:tcBorders>
          </w:tcPr>
          <w:p w14:paraId="050A40DA"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7</w:t>
            </w:r>
            <w:r w:rsidR="00404559" w:rsidRPr="00207DC2">
              <w:rPr>
                <w:lang w:val="en-AU"/>
              </w:rPr>
              <w:t>***</w:t>
            </w:r>
          </w:p>
        </w:tc>
        <w:tc>
          <w:tcPr>
            <w:tcW w:w="1412" w:type="dxa"/>
            <w:tcBorders>
              <w:top w:val="nil"/>
              <w:bottom w:val="nil"/>
            </w:tcBorders>
          </w:tcPr>
          <w:p w14:paraId="7566A257" w14:textId="77777777" w:rsidR="00404559" w:rsidRPr="00207DC2" w:rsidRDefault="00664BB6"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3</w:t>
            </w:r>
            <w:r w:rsidR="00404559" w:rsidRPr="00207DC2">
              <w:rPr>
                <w:lang w:val="en-AU"/>
              </w:rPr>
              <w:t>***</w:t>
            </w:r>
          </w:p>
        </w:tc>
        <w:tc>
          <w:tcPr>
            <w:tcW w:w="1547" w:type="dxa"/>
            <w:tcBorders>
              <w:top w:val="nil"/>
              <w:bottom w:val="nil"/>
            </w:tcBorders>
          </w:tcPr>
          <w:p w14:paraId="7D6ED7D1" w14:textId="77777777" w:rsidR="00404559" w:rsidRPr="00207DC2" w:rsidRDefault="00664BB6"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7</w:t>
            </w:r>
            <w:r w:rsidR="00404559" w:rsidRPr="00207DC2">
              <w:rPr>
                <w:lang w:val="en-AU"/>
              </w:rPr>
              <w:t>***</w:t>
            </w:r>
          </w:p>
        </w:tc>
      </w:tr>
      <w:tr w:rsidR="00404559" w:rsidRPr="00207DC2" w14:paraId="35597906"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686EED7"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5</w:t>
            </w:r>
          </w:p>
        </w:tc>
        <w:tc>
          <w:tcPr>
            <w:tcW w:w="1702" w:type="dxa"/>
            <w:tcBorders>
              <w:top w:val="nil"/>
              <w:bottom w:val="nil"/>
            </w:tcBorders>
          </w:tcPr>
          <w:p w14:paraId="41858FF6"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383F4E" w:rsidRPr="00207DC2">
              <w:rPr>
                <w:lang w:val="en-AU"/>
              </w:rPr>
              <w:t>.</w:t>
            </w:r>
            <w:r w:rsidRPr="00207DC2">
              <w:rPr>
                <w:lang w:val="en-AU"/>
              </w:rPr>
              <w:t>0</w:t>
            </w:r>
            <w:r w:rsidR="00404559" w:rsidRPr="00207DC2">
              <w:rPr>
                <w:lang w:val="en-AU"/>
              </w:rPr>
              <w:t>***</w:t>
            </w:r>
          </w:p>
        </w:tc>
        <w:tc>
          <w:tcPr>
            <w:tcW w:w="1412" w:type="dxa"/>
            <w:tcBorders>
              <w:top w:val="nil"/>
              <w:bottom w:val="nil"/>
            </w:tcBorders>
          </w:tcPr>
          <w:p w14:paraId="3BF0B2C0"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6***</w:t>
            </w:r>
          </w:p>
        </w:tc>
        <w:tc>
          <w:tcPr>
            <w:tcW w:w="1547" w:type="dxa"/>
            <w:tcBorders>
              <w:top w:val="nil"/>
              <w:bottom w:val="nil"/>
            </w:tcBorders>
          </w:tcPr>
          <w:p w14:paraId="1C06362F"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r w:rsidR="00404559" w:rsidRPr="00207DC2">
              <w:rPr>
                <w:lang w:val="en-AU"/>
              </w:rPr>
              <w:t>***</w:t>
            </w:r>
          </w:p>
        </w:tc>
      </w:tr>
      <w:tr w:rsidR="00404559" w:rsidRPr="00207DC2" w14:paraId="0DAF801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484ADC0"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6</w:t>
            </w:r>
          </w:p>
        </w:tc>
        <w:tc>
          <w:tcPr>
            <w:tcW w:w="1702" w:type="dxa"/>
            <w:tcBorders>
              <w:top w:val="nil"/>
              <w:bottom w:val="nil"/>
            </w:tcBorders>
          </w:tcPr>
          <w:p w14:paraId="310A7F09"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5</w:t>
            </w:r>
            <w:r w:rsidR="00404559" w:rsidRPr="00207DC2">
              <w:rPr>
                <w:lang w:val="en-AU"/>
              </w:rPr>
              <w:t>***</w:t>
            </w:r>
          </w:p>
        </w:tc>
        <w:tc>
          <w:tcPr>
            <w:tcW w:w="1412" w:type="dxa"/>
            <w:tcBorders>
              <w:top w:val="nil"/>
              <w:bottom w:val="nil"/>
            </w:tcBorders>
          </w:tcPr>
          <w:p w14:paraId="7AB83F67"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4***</w:t>
            </w:r>
          </w:p>
        </w:tc>
        <w:tc>
          <w:tcPr>
            <w:tcW w:w="1547" w:type="dxa"/>
            <w:tcBorders>
              <w:top w:val="nil"/>
              <w:bottom w:val="nil"/>
            </w:tcBorders>
          </w:tcPr>
          <w:p w14:paraId="09654908"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7***</w:t>
            </w:r>
          </w:p>
        </w:tc>
      </w:tr>
      <w:tr w:rsidR="00404559" w:rsidRPr="00207DC2" w14:paraId="487A8FE9"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0D0BC95"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7</w:t>
            </w:r>
          </w:p>
        </w:tc>
        <w:tc>
          <w:tcPr>
            <w:tcW w:w="1702" w:type="dxa"/>
            <w:tcBorders>
              <w:top w:val="nil"/>
              <w:bottom w:val="nil"/>
            </w:tcBorders>
          </w:tcPr>
          <w:p w14:paraId="02DF60A5"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1</w:t>
            </w:r>
            <w:r w:rsidR="00404559" w:rsidRPr="00207DC2">
              <w:rPr>
                <w:lang w:val="en-AU"/>
              </w:rPr>
              <w:t>***</w:t>
            </w:r>
          </w:p>
        </w:tc>
        <w:tc>
          <w:tcPr>
            <w:tcW w:w="1412" w:type="dxa"/>
            <w:tcBorders>
              <w:top w:val="nil"/>
              <w:bottom w:val="nil"/>
            </w:tcBorders>
          </w:tcPr>
          <w:p w14:paraId="4E8B5C7A"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p>
        </w:tc>
        <w:tc>
          <w:tcPr>
            <w:tcW w:w="1547" w:type="dxa"/>
            <w:tcBorders>
              <w:top w:val="nil"/>
              <w:bottom w:val="nil"/>
            </w:tcBorders>
          </w:tcPr>
          <w:p w14:paraId="5367998D" w14:textId="77777777" w:rsidR="00404559" w:rsidRPr="00207DC2" w:rsidRDefault="00664BB6"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6</w:t>
            </w:r>
            <w:r w:rsidR="00404559" w:rsidRPr="00207DC2">
              <w:rPr>
                <w:lang w:val="en-AU"/>
              </w:rPr>
              <w:t>***</w:t>
            </w:r>
          </w:p>
        </w:tc>
      </w:tr>
      <w:tr w:rsidR="00404559" w:rsidRPr="00207DC2" w14:paraId="62B28E14"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0EFC7BF"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8</w:t>
            </w:r>
          </w:p>
        </w:tc>
        <w:tc>
          <w:tcPr>
            <w:tcW w:w="1702" w:type="dxa"/>
            <w:tcBorders>
              <w:top w:val="nil"/>
              <w:bottom w:val="nil"/>
            </w:tcBorders>
          </w:tcPr>
          <w:p w14:paraId="29CEA5A8" w14:textId="77777777" w:rsidR="00404559" w:rsidRPr="00207DC2" w:rsidRDefault="00664BB6"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383F4E" w:rsidRPr="00207DC2">
              <w:rPr>
                <w:lang w:val="en-AU"/>
              </w:rPr>
              <w:t>.</w:t>
            </w:r>
            <w:r w:rsidRPr="00207DC2">
              <w:rPr>
                <w:lang w:val="en-AU"/>
              </w:rPr>
              <w:t>9</w:t>
            </w:r>
            <w:r w:rsidR="00404559" w:rsidRPr="00207DC2">
              <w:rPr>
                <w:lang w:val="en-AU"/>
              </w:rPr>
              <w:t>***</w:t>
            </w:r>
          </w:p>
        </w:tc>
        <w:tc>
          <w:tcPr>
            <w:tcW w:w="1412" w:type="dxa"/>
            <w:tcBorders>
              <w:top w:val="nil"/>
              <w:bottom w:val="nil"/>
            </w:tcBorders>
          </w:tcPr>
          <w:p w14:paraId="77B5EB81" w14:textId="77777777" w:rsidR="00404559" w:rsidRPr="00207DC2" w:rsidRDefault="00664BB6"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8</w:t>
            </w:r>
            <w:r w:rsidR="00404559" w:rsidRPr="00207DC2">
              <w:rPr>
                <w:lang w:val="en-AU"/>
              </w:rPr>
              <w:t>***</w:t>
            </w:r>
          </w:p>
        </w:tc>
        <w:tc>
          <w:tcPr>
            <w:tcW w:w="1547" w:type="dxa"/>
            <w:tcBorders>
              <w:top w:val="nil"/>
              <w:bottom w:val="nil"/>
            </w:tcBorders>
          </w:tcPr>
          <w:p w14:paraId="1918AD06"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3**</w:t>
            </w:r>
          </w:p>
        </w:tc>
      </w:tr>
      <w:tr w:rsidR="00404559" w:rsidRPr="00207DC2" w14:paraId="4F6D8C2F"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701795E"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9</w:t>
            </w:r>
          </w:p>
        </w:tc>
        <w:tc>
          <w:tcPr>
            <w:tcW w:w="1702" w:type="dxa"/>
            <w:tcBorders>
              <w:top w:val="nil"/>
              <w:bottom w:val="nil"/>
            </w:tcBorders>
          </w:tcPr>
          <w:p w14:paraId="0E99FEC4"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9</w:t>
            </w:r>
            <w:r w:rsidR="00404559" w:rsidRPr="00207DC2">
              <w:rPr>
                <w:lang w:val="en-AU"/>
              </w:rPr>
              <w:t>**</w:t>
            </w:r>
          </w:p>
        </w:tc>
        <w:tc>
          <w:tcPr>
            <w:tcW w:w="1412" w:type="dxa"/>
            <w:tcBorders>
              <w:top w:val="nil"/>
              <w:bottom w:val="nil"/>
            </w:tcBorders>
          </w:tcPr>
          <w:p w14:paraId="44CF632B" w14:textId="77777777" w:rsidR="00404559" w:rsidRPr="00207DC2" w:rsidRDefault="00404559"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383F4E" w:rsidRPr="00207DC2">
              <w:rPr>
                <w:lang w:val="en-AU"/>
              </w:rPr>
              <w:t>.</w:t>
            </w:r>
            <w:r w:rsidRPr="00207DC2">
              <w:rPr>
                <w:lang w:val="en-AU"/>
              </w:rPr>
              <w:t>1*</w:t>
            </w:r>
          </w:p>
        </w:tc>
        <w:tc>
          <w:tcPr>
            <w:tcW w:w="1547" w:type="dxa"/>
            <w:tcBorders>
              <w:top w:val="nil"/>
              <w:bottom w:val="nil"/>
            </w:tcBorders>
          </w:tcPr>
          <w:p w14:paraId="631C4AC6"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5</w:t>
            </w:r>
          </w:p>
        </w:tc>
      </w:tr>
      <w:tr w:rsidR="00404559" w:rsidRPr="00207DC2" w14:paraId="3CE2B6EA"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38A7C363"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missing</w:t>
            </w:r>
          </w:p>
        </w:tc>
        <w:tc>
          <w:tcPr>
            <w:tcW w:w="1702" w:type="dxa"/>
            <w:tcBorders>
              <w:top w:val="nil"/>
              <w:bottom w:val="dashSmallGap" w:sz="4" w:space="0" w:color="auto"/>
            </w:tcBorders>
          </w:tcPr>
          <w:p w14:paraId="16FF7E6A"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-8</w:t>
            </w:r>
            <w:r w:rsidR="00383F4E" w:rsidRPr="00207DC2">
              <w:rPr>
                <w:lang w:val="en-AU"/>
              </w:rPr>
              <w:t>.</w:t>
            </w:r>
            <w:r w:rsidRPr="00207DC2">
              <w:rPr>
                <w:lang w:val="en-AU"/>
              </w:rPr>
              <w:t>3***</w:t>
            </w:r>
          </w:p>
        </w:tc>
        <w:tc>
          <w:tcPr>
            <w:tcW w:w="1412" w:type="dxa"/>
            <w:tcBorders>
              <w:top w:val="nil"/>
              <w:bottom w:val="dashSmallGap" w:sz="4" w:space="0" w:color="auto"/>
            </w:tcBorders>
          </w:tcPr>
          <w:p w14:paraId="62A16CFE" w14:textId="77777777" w:rsidR="00404559" w:rsidRPr="00207DC2" w:rsidRDefault="00404559" w:rsidP="00FB626D">
            <w:pPr>
              <w:pStyle w:val="TableText"/>
              <w:keepNext/>
              <w:keepLines/>
              <w:tabs>
                <w:tab w:val="decimal" w:pos="311"/>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383F4E" w:rsidRPr="00207DC2">
              <w:rPr>
                <w:lang w:val="en-AU"/>
              </w:rPr>
              <w:t>.</w:t>
            </w:r>
            <w:r w:rsidRPr="00207DC2">
              <w:rPr>
                <w:lang w:val="en-AU"/>
              </w:rPr>
              <w:t>5***</w:t>
            </w:r>
          </w:p>
        </w:tc>
        <w:tc>
          <w:tcPr>
            <w:tcW w:w="1547" w:type="dxa"/>
            <w:tcBorders>
              <w:top w:val="nil"/>
              <w:bottom w:val="dashSmallGap" w:sz="4" w:space="0" w:color="auto"/>
            </w:tcBorders>
          </w:tcPr>
          <w:p w14:paraId="65DF26DC" w14:textId="77777777" w:rsidR="00404559" w:rsidRPr="00207DC2" w:rsidRDefault="00404559" w:rsidP="00FB626D">
            <w:pPr>
              <w:pStyle w:val="TableText"/>
              <w:keepNext/>
              <w:keepLines/>
              <w:tabs>
                <w:tab w:val="decimal" w:pos="447"/>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383F4E" w:rsidRPr="00207DC2">
              <w:rPr>
                <w:lang w:val="en-AU"/>
              </w:rPr>
              <w:t>.</w:t>
            </w:r>
            <w:r w:rsidRPr="00207DC2">
              <w:rPr>
                <w:lang w:val="en-AU"/>
              </w:rPr>
              <w:t>3***</w:t>
            </w:r>
          </w:p>
        </w:tc>
      </w:tr>
      <w:tr w:rsidR="00404559" w:rsidRPr="00207DC2" w14:paraId="2575D2A0"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tcBorders>
          </w:tcPr>
          <w:p w14:paraId="6090058C"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Constant</w:t>
            </w:r>
          </w:p>
        </w:tc>
        <w:tc>
          <w:tcPr>
            <w:tcW w:w="1702" w:type="dxa"/>
            <w:tcBorders>
              <w:top w:val="dashSmallGap" w:sz="4" w:space="0" w:color="auto"/>
            </w:tcBorders>
          </w:tcPr>
          <w:p w14:paraId="1031C433" w14:textId="77777777" w:rsidR="00404559" w:rsidRPr="00207DC2" w:rsidRDefault="00664BB6"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383F4E" w:rsidRPr="00207DC2">
              <w:rPr>
                <w:lang w:val="en-AU"/>
              </w:rPr>
              <w:t>.</w:t>
            </w:r>
            <w:r w:rsidRPr="00207DC2">
              <w:rPr>
                <w:lang w:val="en-AU"/>
              </w:rPr>
              <w:t>1</w:t>
            </w:r>
            <w:r w:rsidR="00404559" w:rsidRPr="00207DC2">
              <w:rPr>
                <w:lang w:val="en-AU"/>
              </w:rPr>
              <w:t>***</w:t>
            </w:r>
          </w:p>
        </w:tc>
        <w:tc>
          <w:tcPr>
            <w:tcW w:w="1412" w:type="dxa"/>
            <w:tcBorders>
              <w:top w:val="dashSmallGap" w:sz="4" w:space="0" w:color="auto"/>
            </w:tcBorders>
          </w:tcPr>
          <w:p w14:paraId="60408110" w14:textId="77777777" w:rsidR="00404559" w:rsidRPr="00207DC2" w:rsidRDefault="00664BB6" w:rsidP="00FB626D">
            <w:pPr>
              <w:pStyle w:val="TableText"/>
              <w:keepNext/>
              <w:keepLines/>
              <w:tabs>
                <w:tab w:val="decimal" w:pos="311"/>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3</w:t>
            </w:r>
          </w:p>
        </w:tc>
        <w:tc>
          <w:tcPr>
            <w:tcW w:w="1547" w:type="dxa"/>
            <w:tcBorders>
              <w:top w:val="dashSmallGap" w:sz="4" w:space="0" w:color="auto"/>
            </w:tcBorders>
          </w:tcPr>
          <w:p w14:paraId="25A426EB" w14:textId="77777777" w:rsidR="00404559" w:rsidRPr="00207DC2" w:rsidRDefault="00404559" w:rsidP="00FB626D">
            <w:pPr>
              <w:pStyle w:val="TableText"/>
              <w:keepNext/>
              <w:keepLines/>
              <w:tabs>
                <w:tab w:val="decimal" w:pos="447"/>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383F4E" w:rsidRPr="00207DC2">
              <w:rPr>
                <w:lang w:val="en-AU"/>
              </w:rPr>
              <w:t>.</w:t>
            </w:r>
            <w:r w:rsidRPr="00207DC2">
              <w:rPr>
                <w:lang w:val="en-AU"/>
              </w:rPr>
              <w:t>5</w:t>
            </w:r>
          </w:p>
        </w:tc>
      </w:tr>
    </w:tbl>
    <w:p w14:paraId="341E0204" w14:textId="77777777" w:rsidR="005B236C" w:rsidRPr="00207DC2" w:rsidRDefault="00404559" w:rsidP="00FB626D">
      <w:pPr>
        <w:pStyle w:val="tablenotes"/>
      </w:pPr>
      <w:r w:rsidRPr="00207DC2">
        <w:rPr>
          <w:i/>
        </w:rPr>
        <w:t>Source:</w:t>
      </w:r>
      <w:r w:rsidRPr="00207DC2">
        <w:t xml:space="preserve"> </w:t>
      </w:r>
      <w:r w:rsidR="0057565A" w:rsidRPr="00207DC2">
        <w:t>PMC</w:t>
      </w:r>
      <w:r w:rsidR="00660C3D" w:rsidRPr="00207DC2">
        <w:t xml:space="preserve"> estimates based u</w:t>
      </w:r>
      <w:r w:rsidRPr="00207DC2">
        <w:t>npublished ESS operational</w:t>
      </w:r>
      <w:r w:rsidR="00660C3D" w:rsidRPr="00207DC2">
        <w:t xml:space="preserve"> data (extracted on </w:t>
      </w:r>
      <w:r w:rsidR="00BA709E" w:rsidRPr="00207DC2">
        <w:t>3 October</w:t>
      </w:r>
      <w:r w:rsidR="002317B0" w:rsidRPr="00207DC2">
        <w:t> </w:t>
      </w:r>
      <w:r w:rsidR="00BA709E" w:rsidRPr="00207DC2">
        <w:t>2017) and DHS operational data (extracted on 9 October 2017</w:t>
      </w:r>
      <w:r w:rsidR="009C6657" w:rsidRPr="00207DC2">
        <w:t>)</w:t>
      </w:r>
      <w:r w:rsidRPr="00207DC2">
        <w:t>.</w:t>
      </w:r>
      <w:r w:rsidR="002F170F" w:rsidRPr="00207DC2">
        <w:t xml:space="preserve"> </w:t>
      </w:r>
    </w:p>
    <w:p w14:paraId="7E402EA3" w14:textId="77777777" w:rsidR="00404559" w:rsidRPr="00207DC2" w:rsidRDefault="00B30AAA" w:rsidP="00FB626D">
      <w:pPr>
        <w:pStyle w:val="tablenotes"/>
      </w:pPr>
      <w:r w:rsidRPr="00207DC2">
        <w:rPr>
          <w:i/>
        </w:rPr>
        <w:t>Note</w:t>
      </w:r>
      <w:r w:rsidR="002F170F" w:rsidRPr="00207DC2">
        <w:rPr>
          <w:i/>
        </w:rPr>
        <w:t>s</w:t>
      </w:r>
      <w:r w:rsidRPr="00207DC2">
        <w:rPr>
          <w:i/>
        </w:rPr>
        <w:t>:</w:t>
      </w:r>
      <w:r w:rsidRPr="00207DC2">
        <w:t xml:space="preserve"> </w:t>
      </w:r>
      <w:r w:rsidR="00482C9D" w:rsidRPr="00207DC2">
        <w:t>(a)</w:t>
      </w:r>
      <w:r w:rsidRPr="00207DC2">
        <w:t xml:space="preserve"> Estimates marked as *** are statistically significant at the </w:t>
      </w:r>
      <w:r w:rsidR="001A41BE" w:rsidRPr="00207DC2">
        <w:t>0.</w:t>
      </w:r>
      <w:r w:rsidRPr="00207DC2">
        <w:t>1 per cent level, **are st</w:t>
      </w:r>
      <w:r w:rsidR="001A41BE" w:rsidRPr="00207DC2">
        <w:t xml:space="preserve">atistically significant at the </w:t>
      </w:r>
      <w:r w:rsidR="00B44AA3" w:rsidRPr="00207DC2">
        <w:t>one</w:t>
      </w:r>
      <w:r w:rsidRPr="00207DC2">
        <w:t> per cent level, and * are st</w:t>
      </w:r>
      <w:r w:rsidR="001A41BE" w:rsidRPr="00207DC2">
        <w:t xml:space="preserve">atistically significant at the </w:t>
      </w:r>
      <w:r w:rsidR="00B44AA3" w:rsidRPr="00207DC2">
        <w:t>five</w:t>
      </w:r>
      <w:r w:rsidRPr="00207DC2">
        <w:t> per cent level.</w:t>
      </w:r>
    </w:p>
    <w:p w14:paraId="7F4A2596" w14:textId="77777777" w:rsidR="00404559" w:rsidRPr="00207DC2" w:rsidRDefault="00404559" w:rsidP="00FB626D">
      <w:pPr>
        <w:pStyle w:val="Table"/>
        <w:numPr>
          <w:ilvl w:val="0"/>
          <w:numId w:val="0"/>
        </w:numPr>
        <w:outlineLvl w:val="9"/>
        <w:rPr>
          <w:vertAlign w:val="superscript"/>
        </w:rPr>
      </w:pPr>
      <w:r w:rsidRPr="00207DC2">
        <w:t xml:space="preserve">Table C.4 </w:t>
      </w:r>
      <w:r w:rsidR="00987F6C" w:rsidRPr="00207DC2">
        <w:t>Estimated c</w:t>
      </w:r>
      <w:r w:rsidRPr="00207DC2">
        <w:t xml:space="preserve">oefficients for the </w:t>
      </w:r>
      <w:r w:rsidR="00987F6C" w:rsidRPr="00207DC2">
        <w:t xml:space="preserve">before to after </w:t>
      </w:r>
      <w:r w:rsidRPr="00207DC2">
        <w:t>regressions</w:t>
      </w:r>
      <w:r w:rsidR="00987F6C" w:rsidRPr="00207DC2">
        <w:t>, the newly commenced sample</w:t>
      </w:r>
      <w:r w:rsidR="00482C9D" w:rsidRPr="00207DC2">
        <w:rPr>
          <w:vertAlign w:val="superscript"/>
        </w:rPr>
        <w:t>a</w:t>
      </w:r>
    </w:p>
    <w:tbl>
      <w:tblPr>
        <w:tblStyle w:val="PlainTable21"/>
        <w:tblW w:w="9021" w:type="dxa"/>
        <w:tblBorders>
          <w:top w:val="single" w:sz="4" w:space="0" w:color="262626" w:themeColor="background1"/>
          <w:bottom w:val="single" w:sz="4" w:space="0" w:color="262626" w:themeColor="background1"/>
          <w:insideH w:val="single" w:sz="4" w:space="0" w:color="262626" w:themeColor="background1"/>
        </w:tblBorders>
        <w:tblLook w:val="04A0" w:firstRow="1" w:lastRow="0" w:firstColumn="1" w:lastColumn="0" w:noHBand="0" w:noVBand="1"/>
        <w:tblCaption w:val="Estimated coefficients for the before to after regressions, the newly commenced sample"/>
        <w:tblDescription w:val="The table displays the estimated regression coefficients of the main before to after regression model for the new cohorts of participants."/>
      </w:tblPr>
      <w:tblGrid>
        <w:gridCol w:w="4199"/>
        <w:gridCol w:w="1722"/>
        <w:gridCol w:w="1553"/>
        <w:gridCol w:w="1547"/>
      </w:tblGrid>
      <w:tr w:rsidR="00404559" w:rsidRPr="00207DC2" w14:paraId="1B9D378E" w14:textId="77777777" w:rsidTr="000A39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9" w:type="dxa"/>
            <w:tcBorders>
              <w:bottom w:val="single" w:sz="4" w:space="0" w:color="262626" w:themeColor="background1"/>
            </w:tcBorders>
          </w:tcPr>
          <w:p w14:paraId="5A90EDCB" w14:textId="77777777" w:rsidR="00404559" w:rsidRPr="00207DC2" w:rsidRDefault="00404559" w:rsidP="00FB626D">
            <w:pPr>
              <w:pStyle w:val="TableText"/>
              <w:keepNext/>
              <w:keepLines/>
              <w:spacing w:after="0"/>
              <w:ind w:left="142" w:right="142"/>
              <w:rPr>
                <w:lang w:val="en-AU"/>
              </w:rPr>
            </w:pPr>
          </w:p>
        </w:tc>
        <w:tc>
          <w:tcPr>
            <w:tcW w:w="1702" w:type="dxa"/>
            <w:tcBorders>
              <w:bottom w:val="single" w:sz="4" w:space="0" w:color="262626" w:themeColor="background1"/>
            </w:tcBorders>
          </w:tcPr>
          <w:p w14:paraId="04FF59CB" w14:textId="77777777" w:rsidR="00404559" w:rsidRPr="00207DC2" w:rsidRDefault="00CA6DF9" w:rsidP="00FB626D">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P</w:t>
            </w:r>
            <w:r w:rsidR="00404559" w:rsidRPr="00207DC2">
              <w:rPr>
                <w:lang w:val="en-AU"/>
              </w:rPr>
              <w:t>lacements</w:t>
            </w:r>
          </w:p>
        </w:tc>
        <w:tc>
          <w:tcPr>
            <w:tcW w:w="1553" w:type="dxa"/>
            <w:tcBorders>
              <w:bottom w:val="single" w:sz="4" w:space="0" w:color="262626" w:themeColor="background1"/>
            </w:tcBorders>
          </w:tcPr>
          <w:p w14:paraId="53247A71" w14:textId="20F58A88" w:rsidR="00404559" w:rsidRPr="00207DC2" w:rsidRDefault="00404559"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13</w:t>
            </w:r>
            <w:r w:rsidR="00281CF6">
              <w:rPr>
                <w:lang w:val="en-AU"/>
              </w:rPr>
              <w:t xml:space="preserve"> </w:t>
            </w:r>
            <w:r w:rsidRPr="00207DC2">
              <w:rPr>
                <w:lang w:val="en-AU"/>
              </w:rPr>
              <w:t>week</w:t>
            </w:r>
          </w:p>
        </w:tc>
        <w:tc>
          <w:tcPr>
            <w:tcW w:w="1547" w:type="dxa"/>
            <w:tcBorders>
              <w:bottom w:val="single" w:sz="4" w:space="0" w:color="262626" w:themeColor="background1"/>
            </w:tcBorders>
          </w:tcPr>
          <w:p w14:paraId="397A15A5" w14:textId="4635F18E" w:rsidR="00404559" w:rsidRPr="00207DC2" w:rsidRDefault="00404559"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lang w:val="en-AU"/>
              </w:rPr>
            </w:pPr>
            <w:r w:rsidRPr="00207DC2">
              <w:rPr>
                <w:lang w:val="en-AU"/>
              </w:rPr>
              <w:t>26</w:t>
            </w:r>
            <w:r w:rsidR="00281CF6">
              <w:rPr>
                <w:lang w:val="en-AU"/>
              </w:rPr>
              <w:t xml:space="preserve"> </w:t>
            </w:r>
            <w:r w:rsidRPr="00207DC2">
              <w:rPr>
                <w:lang w:val="en-AU"/>
              </w:rPr>
              <w:t>week</w:t>
            </w:r>
          </w:p>
        </w:tc>
      </w:tr>
      <w:tr w:rsidR="00404559" w:rsidRPr="00207DC2" w14:paraId="5BED317B"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bottom w:val="nil"/>
            </w:tcBorders>
          </w:tcPr>
          <w:p w14:paraId="7969098A"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CDP participant</w:t>
            </w:r>
          </w:p>
        </w:tc>
        <w:tc>
          <w:tcPr>
            <w:tcW w:w="1702" w:type="dxa"/>
            <w:tcBorders>
              <w:bottom w:val="nil"/>
            </w:tcBorders>
          </w:tcPr>
          <w:p w14:paraId="4D9FF3DC"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8</w:t>
            </w:r>
          </w:p>
        </w:tc>
        <w:tc>
          <w:tcPr>
            <w:tcW w:w="1553" w:type="dxa"/>
            <w:tcBorders>
              <w:bottom w:val="nil"/>
            </w:tcBorders>
          </w:tcPr>
          <w:p w14:paraId="0C5B1B29"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3</w:t>
            </w:r>
            <w:r w:rsidR="00404559" w:rsidRPr="00207DC2">
              <w:rPr>
                <w:lang w:val="en-AU"/>
              </w:rPr>
              <w:t>***</w:t>
            </w:r>
          </w:p>
        </w:tc>
        <w:tc>
          <w:tcPr>
            <w:tcW w:w="1547" w:type="dxa"/>
            <w:tcBorders>
              <w:bottom w:val="nil"/>
            </w:tcBorders>
          </w:tcPr>
          <w:p w14:paraId="1E2DBE60"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1***</w:t>
            </w:r>
          </w:p>
        </w:tc>
      </w:tr>
      <w:tr w:rsidR="00404559" w:rsidRPr="00207DC2" w14:paraId="7888BFAE"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359015E6"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male</w:t>
            </w:r>
          </w:p>
        </w:tc>
        <w:tc>
          <w:tcPr>
            <w:tcW w:w="1702" w:type="dxa"/>
            <w:tcBorders>
              <w:top w:val="nil"/>
              <w:bottom w:val="nil"/>
            </w:tcBorders>
          </w:tcPr>
          <w:p w14:paraId="73A4E6B4"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2</w:t>
            </w:r>
          </w:p>
        </w:tc>
        <w:tc>
          <w:tcPr>
            <w:tcW w:w="1553" w:type="dxa"/>
            <w:tcBorders>
              <w:top w:val="nil"/>
              <w:bottom w:val="nil"/>
            </w:tcBorders>
          </w:tcPr>
          <w:p w14:paraId="1833728A"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7</w:t>
            </w:r>
          </w:p>
        </w:tc>
        <w:tc>
          <w:tcPr>
            <w:tcW w:w="1547" w:type="dxa"/>
            <w:tcBorders>
              <w:top w:val="nil"/>
              <w:bottom w:val="nil"/>
            </w:tcBorders>
          </w:tcPr>
          <w:p w14:paraId="08BDE862"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8</w:t>
            </w:r>
          </w:p>
        </w:tc>
      </w:tr>
      <w:tr w:rsidR="00404559" w:rsidRPr="00207DC2" w14:paraId="7643361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312E6C60"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Indigenous</w:t>
            </w:r>
          </w:p>
        </w:tc>
        <w:tc>
          <w:tcPr>
            <w:tcW w:w="1702" w:type="dxa"/>
            <w:tcBorders>
              <w:top w:val="nil"/>
              <w:bottom w:val="nil"/>
            </w:tcBorders>
          </w:tcPr>
          <w:p w14:paraId="5D006395"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w:t>
            </w:r>
            <w:r w:rsidR="005138C3" w:rsidRPr="00207DC2">
              <w:rPr>
                <w:lang w:val="en-AU"/>
              </w:rPr>
              <w:t>1</w:t>
            </w:r>
            <w:r w:rsidR="00B72A9C" w:rsidRPr="00207DC2">
              <w:rPr>
                <w:lang w:val="en-AU"/>
              </w:rPr>
              <w:t>.</w:t>
            </w:r>
            <w:r w:rsidR="005138C3" w:rsidRPr="00207DC2">
              <w:rPr>
                <w:lang w:val="en-AU"/>
              </w:rPr>
              <w:t>2</w:t>
            </w:r>
          </w:p>
        </w:tc>
        <w:tc>
          <w:tcPr>
            <w:tcW w:w="1553" w:type="dxa"/>
            <w:tcBorders>
              <w:top w:val="nil"/>
              <w:bottom w:val="nil"/>
            </w:tcBorders>
          </w:tcPr>
          <w:p w14:paraId="72F93A9F"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3</w:t>
            </w:r>
          </w:p>
        </w:tc>
        <w:tc>
          <w:tcPr>
            <w:tcW w:w="1547" w:type="dxa"/>
            <w:tcBorders>
              <w:top w:val="nil"/>
              <w:bottom w:val="nil"/>
            </w:tcBorders>
          </w:tcPr>
          <w:p w14:paraId="5E4ACA64"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3</w:t>
            </w:r>
          </w:p>
        </w:tc>
      </w:tr>
      <w:tr w:rsidR="00404559" w:rsidRPr="00207DC2" w14:paraId="6A79E356"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0B7E1EEB"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Indigenous provider</w:t>
            </w:r>
          </w:p>
        </w:tc>
        <w:tc>
          <w:tcPr>
            <w:tcW w:w="1702" w:type="dxa"/>
            <w:tcBorders>
              <w:top w:val="nil"/>
              <w:bottom w:val="dashSmallGap" w:sz="4" w:space="0" w:color="auto"/>
            </w:tcBorders>
          </w:tcPr>
          <w:p w14:paraId="0074D0DA"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1***</w:t>
            </w:r>
          </w:p>
        </w:tc>
        <w:tc>
          <w:tcPr>
            <w:tcW w:w="1553" w:type="dxa"/>
            <w:tcBorders>
              <w:top w:val="nil"/>
              <w:bottom w:val="dashSmallGap" w:sz="4" w:space="0" w:color="auto"/>
            </w:tcBorders>
          </w:tcPr>
          <w:p w14:paraId="1C7CE682"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w:t>
            </w:r>
            <w:r w:rsidR="005138C3" w:rsidRPr="00207DC2">
              <w:rPr>
                <w:lang w:val="en-AU"/>
              </w:rPr>
              <w:t>2</w:t>
            </w:r>
            <w:r w:rsidR="00B72A9C" w:rsidRPr="00207DC2">
              <w:rPr>
                <w:lang w:val="en-AU"/>
              </w:rPr>
              <w:t>.</w:t>
            </w:r>
            <w:r w:rsidR="005138C3" w:rsidRPr="00207DC2">
              <w:rPr>
                <w:lang w:val="en-AU"/>
              </w:rPr>
              <w:t>5</w:t>
            </w:r>
            <w:r w:rsidRPr="00207DC2">
              <w:rPr>
                <w:lang w:val="en-AU"/>
              </w:rPr>
              <w:t>***</w:t>
            </w:r>
          </w:p>
        </w:tc>
        <w:tc>
          <w:tcPr>
            <w:tcW w:w="1547" w:type="dxa"/>
            <w:tcBorders>
              <w:top w:val="nil"/>
              <w:bottom w:val="dashSmallGap" w:sz="4" w:space="0" w:color="auto"/>
            </w:tcBorders>
          </w:tcPr>
          <w:p w14:paraId="7EA3BC40"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1***</w:t>
            </w:r>
          </w:p>
        </w:tc>
      </w:tr>
      <w:tr w:rsidR="00404559" w:rsidRPr="00207DC2" w14:paraId="16CBBEB9"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bottom w:val="nil"/>
            </w:tcBorders>
          </w:tcPr>
          <w:p w14:paraId="61135B0B"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1</w:t>
            </w:r>
          </w:p>
        </w:tc>
        <w:tc>
          <w:tcPr>
            <w:tcW w:w="1702" w:type="dxa"/>
            <w:tcBorders>
              <w:top w:val="dashSmallGap" w:sz="4" w:space="0" w:color="auto"/>
              <w:bottom w:val="nil"/>
            </w:tcBorders>
          </w:tcPr>
          <w:p w14:paraId="3E98980D"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10</w:t>
            </w:r>
            <w:r w:rsidR="00B72A9C" w:rsidRPr="00207DC2">
              <w:rPr>
                <w:lang w:val="en-AU"/>
              </w:rPr>
              <w:t>.</w:t>
            </w:r>
            <w:r w:rsidRPr="00207DC2">
              <w:rPr>
                <w:lang w:val="en-AU"/>
              </w:rPr>
              <w:t>1</w:t>
            </w:r>
            <w:r w:rsidR="00404559" w:rsidRPr="00207DC2">
              <w:rPr>
                <w:lang w:val="en-AU"/>
              </w:rPr>
              <w:t>***</w:t>
            </w:r>
          </w:p>
        </w:tc>
        <w:tc>
          <w:tcPr>
            <w:tcW w:w="1553" w:type="dxa"/>
            <w:tcBorders>
              <w:top w:val="dashSmallGap" w:sz="4" w:space="0" w:color="auto"/>
              <w:bottom w:val="nil"/>
            </w:tcBorders>
          </w:tcPr>
          <w:p w14:paraId="7F0E0981"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9</w:t>
            </w:r>
            <w:r w:rsidR="00404559" w:rsidRPr="00207DC2">
              <w:rPr>
                <w:lang w:val="en-AU"/>
              </w:rPr>
              <w:t>***</w:t>
            </w:r>
          </w:p>
        </w:tc>
        <w:tc>
          <w:tcPr>
            <w:tcW w:w="1547" w:type="dxa"/>
            <w:tcBorders>
              <w:top w:val="dashSmallGap" w:sz="4" w:space="0" w:color="auto"/>
              <w:bottom w:val="nil"/>
            </w:tcBorders>
          </w:tcPr>
          <w:p w14:paraId="588F9173"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7***</w:t>
            </w:r>
          </w:p>
        </w:tc>
      </w:tr>
      <w:tr w:rsidR="00404559" w:rsidRPr="00207DC2" w14:paraId="4B899225"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1607FCC"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2</w:t>
            </w:r>
          </w:p>
        </w:tc>
        <w:tc>
          <w:tcPr>
            <w:tcW w:w="1702" w:type="dxa"/>
            <w:tcBorders>
              <w:top w:val="nil"/>
              <w:bottom w:val="nil"/>
            </w:tcBorders>
          </w:tcPr>
          <w:p w14:paraId="0E137E9E"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B72A9C" w:rsidRPr="00207DC2">
              <w:rPr>
                <w:lang w:val="en-AU"/>
              </w:rPr>
              <w:t>.</w:t>
            </w:r>
            <w:r w:rsidRPr="00207DC2">
              <w:rPr>
                <w:lang w:val="en-AU"/>
              </w:rPr>
              <w:t>9***</w:t>
            </w:r>
          </w:p>
        </w:tc>
        <w:tc>
          <w:tcPr>
            <w:tcW w:w="1553" w:type="dxa"/>
            <w:tcBorders>
              <w:top w:val="nil"/>
              <w:bottom w:val="nil"/>
            </w:tcBorders>
          </w:tcPr>
          <w:p w14:paraId="1CED2E25"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6***</w:t>
            </w:r>
          </w:p>
        </w:tc>
        <w:tc>
          <w:tcPr>
            <w:tcW w:w="1547" w:type="dxa"/>
            <w:tcBorders>
              <w:top w:val="nil"/>
              <w:bottom w:val="nil"/>
            </w:tcBorders>
          </w:tcPr>
          <w:p w14:paraId="52100480"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6***</w:t>
            </w:r>
          </w:p>
        </w:tc>
      </w:tr>
      <w:tr w:rsidR="00404559" w:rsidRPr="00207DC2" w14:paraId="2956E332"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77B861A4"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3</w:t>
            </w:r>
          </w:p>
        </w:tc>
        <w:tc>
          <w:tcPr>
            <w:tcW w:w="1702" w:type="dxa"/>
            <w:tcBorders>
              <w:top w:val="nil"/>
              <w:bottom w:val="nil"/>
            </w:tcBorders>
          </w:tcPr>
          <w:p w14:paraId="7786C65D"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9</w:t>
            </w:r>
            <w:r w:rsidR="00B72A9C" w:rsidRPr="00207DC2">
              <w:rPr>
                <w:lang w:val="en-AU"/>
              </w:rPr>
              <w:t>.</w:t>
            </w:r>
            <w:r w:rsidRPr="00207DC2">
              <w:rPr>
                <w:lang w:val="en-AU"/>
              </w:rPr>
              <w:t>1</w:t>
            </w:r>
            <w:r w:rsidR="00404559" w:rsidRPr="00207DC2">
              <w:rPr>
                <w:lang w:val="en-AU"/>
              </w:rPr>
              <w:t>***</w:t>
            </w:r>
          </w:p>
        </w:tc>
        <w:tc>
          <w:tcPr>
            <w:tcW w:w="1553" w:type="dxa"/>
            <w:tcBorders>
              <w:top w:val="nil"/>
              <w:bottom w:val="nil"/>
            </w:tcBorders>
          </w:tcPr>
          <w:p w14:paraId="0874CC4F"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1***</w:t>
            </w:r>
          </w:p>
        </w:tc>
        <w:tc>
          <w:tcPr>
            <w:tcW w:w="1547" w:type="dxa"/>
            <w:tcBorders>
              <w:top w:val="nil"/>
              <w:bottom w:val="nil"/>
            </w:tcBorders>
          </w:tcPr>
          <w:p w14:paraId="03CEA32F"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2</w:t>
            </w:r>
            <w:r w:rsidR="00404559" w:rsidRPr="00207DC2">
              <w:rPr>
                <w:lang w:val="en-AU"/>
              </w:rPr>
              <w:t>***</w:t>
            </w:r>
          </w:p>
        </w:tc>
      </w:tr>
      <w:tr w:rsidR="00404559" w:rsidRPr="00207DC2" w14:paraId="6828CC9C"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556B395"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4</w:t>
            </w:r>
          </w:p>
        </w:tc>
        <w:tc>
          <w:tcPr>
            <w:tcW w:w="1702" w:type="dxa"/>
            <w:tcBorders>
              <w:top w:val="nil"/>
              <w:bottom w:val="nil"/>
            </w:tcBorders>
          </w:tcPr>
          <w:p w14:paraId="6A341A5E"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8</w:t>
            </w:r>
            <w:r w:rsidR="00404559" w:rsidRPr="00207DC2">
              <w:rPr>
                <w:lang w:val="en-AU"/>
              </w:rPr>
              <w:t>*</w:t>
            </w:r>
          </w:p>
        </w:tc>
        <w:tc>
          <w:tcPr>
            <w:tcW w:w="1553" w:type="dxa"/>
            <w:tcBorders>
              <w:top w:val="nil"/>
              <w:bottom w:val="nil"/>
            </w:tcBorders>
          </w:tcPr>
          <w:p w14:paraId="6BE46DAD"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1</w:t>
            </w:r>
          </w:p>
        </w:tc>
        <w:tc>
          <w:tcPr>
            <w:tcW w:w="1547" w:type="dxa"/>
            <w:tcBorders>
              <w:top w:val="nil"/>
              <w:bottom w:val="nil"/>
            </w:tcBorders>
          </w:tcPr>
          <w:p w14:paraId="35506468"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3</w:t>
            </w:r>
          </w:p>
        </w:tc>
      </w:tr>
      <w:tr w:rsidR="00404559" w:rsidRPr="00207DC2" w14:paraId="01EB173A"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03E6CEB"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5</w:t>
            </w:r>
          </w:p>
        </w:tc>
        <w:tc>
          <w:tcPr>
            <w:tcW w:w="1702" w:type="dxa"/>
            <w:tcBorders>
              <w:top w:val="nil"/>
              <w:bottom w:val="nil"/>
            </w:tcBorders>
          </w:tcPr>
          <w:p w14:paraId="75E52A97"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8</w:t>
            </w:r>
            <w:r w:rsidR="00B72A9C" w:rsidRPr="00207DC2">
              <w:rPr>
                <w:lang w:val="en-AU"/>
              </w:rPr>
              <w:t>.</w:t>
            </w:r>
            <w:r w:rsidRPr="00207DC2">
              <w:rPr>
                <w:lang w:val="en-AU"/>
              </w:rPr>
              <w:t>9</w:t>
            </w:r>
            <w:r w:rsidR="00404559" w:rsidRPr="00207DC2">
              <w:rPr>
                <w:lang w:val="en-AU"/>
              </w:rPr>
              <w:t>***</w:t>
            </w:r>
          </w:p>
        </w:tc>
        <w:tc>
          <w:tcPr>
            <w:tcW w:w="1553" w:type="dxa"/>
            <w:tcBorders>
              <w:top w:val="nil"/>
              <w:bottom w:val="nil"/>
            </w:tcBorders>
          </w:tcPr>
          <w:p w14:paraId="739FDE09"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3***</w:t>
            </w:r>
          </w:p>
        </w:tc>
        <w:tc>
          <w:tcPr>
            <w:tcW w:w="1547" w:type="dxa"/>
            <w:tcBorders>
              <w:top w:val="nil"/>
              <w:bottom w:val="nil"/>
            </w:tcBorders>
          </w:tcPr>
          <w:p w14:paraId="5715FF2C"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6</w:t>
            </w:r>
            <w:r w:rsidR="00404559" w:rsidRPr="00207DC2">
              <w:rPr>
                <w:lang w:val="en-AU"/>
              </w:rPr>
              <w:t>***</w:t>
            </w:r>
          </w:p>
        </w:tc>
      </w:tr>
      <w:tr w:rsidR="00404559" w:rsidRPr="00207DC2" w14:paraId="4CEC89EF"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32E6B030"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6</w:t>
            </w:r>
          </w:p>
        </w:tc>
        <w:tc>
          <w:tcPr>
            <w:tcW w:w="1702" w:type="dxa"/>
            <w:tcBorders>
              <w:top w:val="nil"/>
              <w:bottom w:val="nil"/>
            </w:tcBorders>
          </w:tcPr>
          <w:p w14:paraId="5701EA0B"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8</w:t>
            </w:r>
            <w:r w:rsidR="00B72A9C" w:rsidRPr="00207DC2">
              <w:rPr>
                <w:lang w:val="en-AU"/>
              </w:rPr>
              <w:t>.</w:t>
            </w:r>
            <w:r w:rsidRPr="00207DC2">
              <w:rPr>
                <w:lang w:val="en-AU"/>
              </w:rPr>
              <w:t>7***</w:t>
            </w:r>
          </w:p>
        </w:tc>
        <w:tc>
          <w:tcPr>
            <w:tcW w:w="1553" w:type="dxa"/>
            <w:tcBorders>
              <w:top w:val="nil"/>
              <w:bottom w:val="nil"/>
            </w:tcBorders>
          </w:tcPr>
          <w:p w14:paraId="7F7C9936"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1***</w:t>
            </w:r>
          </w:p>
        </w:tc>
        <w:tc>
          <w:tcPr>
            <w:tcW w:w="1547" w:type="dxa"/>
            <w:tcBorders>
              <w:top w:val="nil"/>
              <w:bottom w:val="nil"/>
            </w:tcBorders>
          </w:tcPr>
          <w:p w14:paraId="6A0E9810"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4</w:t>
            </w:r>
            <w:r w:rsidR="00404559" w:rsidRPr="00207DC2">
              <w:rPr>
                <w:lang w:val="en-AU"/>
              </w:rPr>
              <w:t>***</w:t>
            </w:r>
          </w:p>
        </w:tc>
      </w:tr>
      <w:tr w:rsidR="00404559" w:rsidRPr="00207DC2" w14:paraId="781F23C7"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97473C9"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7</w:t>
            </w:r>
          </w:p>
        </w:tc>
        <w:tc>
          <w:tcPr>
            <w:tcW w:w="1702" w:type="dxa"/>
            <w:tcBorders>
              <w:top w:val="nil"/>
              <w:bottom w:val="nil"/>
            </w:tcBorders>
          </w:tcPr>
          <w:p w14:paraId="738AB750"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8</w:t>
            </w:r>
            <w:r w:rsidR="00404559" w:rsidRPr="00207DC2">
              <w:rPr>
                <w:lang w:val="en-AU"/>
              </w:rPr>
              <w:t>***</w:t>
            </w:r>
          </w:p>
        </w:tc>
        <w:tc>
          <w:tcPr>
            <w:tcW w:w="1553" w:type="dxa"/>
            <w:tcBorders>
              <w:top w:val="nil"/>
              <w:bottom w:val="nil"/>
            </w:tcBorders>
          </w:tcPr>
          <w:p w14:paraId="2BA77B57"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1**</w:t>
            </w:r>
          </w:p>
        </w:tc>
        <w:tc>
          <w:tcPr>
            <w:tcW w:w="1547" w:type="dxa"/>
            <w:tcBorders>
              <w:top w:val="nil"/>
              <w:bottom w:val="nil"/>
            </w:tcBorders>
          </w:tcPr>
          <w:p w14:paraId="53337512"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7**</w:t>
            </w:r>
          </w:p>
        </w:tc>
      </w:tr>
      <w:tr w:rsidR="00404559" w:rsidRPr="00207DC2" w14:paraId="2B990909"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DAC8D3D"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8</w:t>
            </w:r>
          </w:p>
        </w:tc>
        <w:tc>
          <w:tcPr>
            <w:tcW w:w="1702" w:type="dxa"/>
            <w:tcBorders>
              <w:top w:val="nil"/>
              <w:bottom w:val="nil"/>
            </w:tcBorders>
          </w:tcPr>
          <w:p w14:paraId="3FB3586B"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1</w:t>
            </w:r>
            <w:r w:rsidR="00404559" w:rsidRPr="00207DC2">
              <w:rPr>
                <w:lang w:val="en-AU"/>
              </w:rPr>
              <w:t>***</w:t>
            </w:r>
          </w:p>
        </w:tc>
        <w:tc>
          <w:tcPr>
            <w:tcW w:w="1553" w:type="dxa"/>
            <w:tcBorders>
              <w:top w:val="nil"/>
              <w:bottom w:val="nil"/>
            </w:tcBorders>
          </w:tcPr>
          <w:p w14:paraId="5E53D2FE"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4</w:t>
            </w:r>
            <w:r w:rsidR="00404559" w:rsidRPr="00207DC2">
              <w:rPr>
                <w:lang w:val="en-AU"/>
              </w:rPr>
              <w:t>*</w:t>
            </w:r>
          </w:p>
        </w:tc>
        <w:tc>
          <w:tcPr>
            <w:tcW w:w="1547" w:type="dxa"/>
            <w:tcBorders>
              <w:top w:val="nil"/>
              <w:bottom w:val="nil"/>
            </w:tcBorders>
          </w:tcPr>
          <w:p w14:paraId="50D2371C"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9</w:t>
            </w:r>
          </w:p>
        </w:tc>
      </w:tr>
      <w:tr w:rsidR="00404559" w:rsidRPr="00207DC2" w14:paraId="4503952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8FC6C46"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unemployed-region decile 9</w:t>
            </w:r>
          </w:p>
        </w:tc>
        <w:tc>
          <w:tcPr>
            <w:tcW w:w="1702" w:type="dxa"/>
            <w:tcBorders>
              <w:top w:val="nil"/>
              <w:bottom w:val="nil"/>
            </w:tcBorders>
          </w:tcPr>
          <w:p w14:paraId="76D27046"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7</w:t>
            </w:r>
            <w:r w:rsidR="00404559" w:rsidRPr="00207DC2">
              <w:rPr>
                <w:lang w:val="en-AU"/>
              </w:rPr>
              <w:t>***</w:t>
            </w:r>
          </w:p>
        </w:tc>
        <w:tc>
          <w:tcPr>
            <w:tcW w:w="1553" w:type="dxa"/>
            <w:tcBorders>
              <w:top w:val="nil"/>
              <w:bottom w:val="nil"/>
            </w:tcBorders>
          </w:tcPr>
          <w:p w14:paraId="022A2C23"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2</w:t>
            </w:r>
            <w:r w:rsidR="00404559" w:rsidRPr="00207DC2">
              <w:rPr>
                <w:lang w:val="en-AU"/>
              </w:rPr>
              <w:t>***</w:t>
            </w:r>
          </w:p>
        </w:tc>
        <w:tc>
          <w:tcPr>
            <w:tcW w:w="1547" w:type="dxa"/>
            <w:tcBorders>
              <w:top w:val="nil"/>
              <w:bottom w:val="nil"/>
            </w:tcBorders>
          </w:tcPr>
          <w:p w14:paraId="26EBF430"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5</w:t>
            </w:r>
            <w:r w:rsidR="00404559" w:rsidRPr="00207DC2">
              <w:rPr>
                <w:lang w:val="en-AU"/>
              </w:rPr>
              <w:t>***</w:t>
            </w:r>
          </w:p>
        </w:tc>
      </w:tr>
      <w:tr w:rsidR="00404559" w:rsidRPr="00207DC2" w14:paraId="5F386DAB"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357CEC9A" w14:textId="77777777" w:rsidR="00404559" w:rsidRPr="00207DC2" w:rsidRDefault="00404559" w:rsidP="00FB626D">
            <w:pPr>
              <w:pStyle w:val="TableText"/>
              <w:keepNext/>
              <w:keepLines/>
              <w:spacing w:after="0"/>
              <w:ind w:left="142" w:right="142"/>
              <w:rPr>
                <w:b w:val="0"/>
                <w:lang w:val="en-AU"/>
              </w:rPr>
            </w:pPr>
            <w:r w:rsidRPr="00207DC2">
              <w:rPr>
                <w:b w:val="0"/>
                <w:lang w:val="en-AU"/>
              </w:rPr>
              <w:t>unemployment data missing</w:t>
            </w:r>
          </w:p>
        </w:tc>
        <w:tc>
          <w:tcPr>
            <w:tcW w:w="1702" w:type="dxa"/>
            <w:tcBorders>
              <w:top w:val="nil"/>
              <w:bottom w:val="dashSmallGap" w:sz="4" w:space="0" w:color="auto"/>
            </w:tcBorders>
          </w:tcPr>
          <w:p w14:paraId="148DB314"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15</w:t>
            </w:r>
            <w:r w:rsidR="00B72A9C" w:rsidRPr="00207DC2">
              <w:rPr>
                <w:lang w:val="en-AU"/>
              </w:rPr>
              <w:t>.</w:t>
            </w:r>
            <w:r w:rsidRPr="00207DC2">
              <w:rPr>
                <w:lang w:val="en-AU"/>
              </w:rPr>
              <w:t>3***</w:t>
            </w:r>
          </w:p>
        </w:tc>
        <w:tc>
          <w:tcPr>
            <w:tcW w:w="1553" w:type="dxa"/>
            <w:tcBorders>
              <w:top w:val="nil"/>
              <w:bottom w:val="dashSmallGap" w:sz="4" w:space="0" w:color="auto"/>
            </w:tcBorders>
          </w:tcPr>
          <w:p w14:paraId="1B1BC5A8"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B72A9C" w:rsidRPr="00207DC2">
              <w:rPr>
                <w:lang w:val="en-AU"/>
              </w:rPr>
              <w:t>.</w:t>
            </w:r>
            <w:r w:rsidRPr="00207DC2">
              <w:rPr>
                <w:lang w:val="en-AU"/>
              </w:rPr>
              <w:t>2</w:t>
            </w:r>
            <w:r w:rsidR="00404559" w:rsidRPr="00207DC2">
              <w:rPr>
                <w:lang w:val="en-AU"/>
              </w:rPr>
              <w:t>**</w:t>
            </w:r>
          </w:p>
        </w:tc>
        <w:tc>
          <w:tcPr>
            <w:tcW w:w="1547" w:type="dxa"/>
            <w:tcBorders>
              <w:top w:val="nil"/>
              <w:bottom w:val="dashSmallGap" w:sz="4" w:space="0" w:color="auto"/>
            </w:tcBorders>
          </w:tcPr>
          <w:p w14:paraId="137A8B23"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1*</w:t>
            </w:r>
          </w:p>
        </w:tc>
      </w:tr>
      <w:tr w:rsidR="00404559" w:rsidRPr="00207DC2" w14:paraId="0D4752A4"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bottom w:val="nil"/>
            </w:tcBorders>
          </w:tcPr>
          <w:p w14:paraId="12D41C8E"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1</w:t>
            </w:r>
          </w:p>
        </w:tc>
        <w:tc>
          <w:tcPr>
            <w:tcW w:w="1702" w:type="dxa"/>
            <w:tcBorders>
              <w:top w:val="dashSmallGap" w:sz="4" w:space="0" w:color="auto"/>
              <w:bottom w:val="nil"/>
            </w:tcBorders>
          </w:tcPr>
          <w:p w14:paraId="6E58287C"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8</w:t>
            </w:r>
          </w:p>
        </w:tc>
        <w:tc>
          <w:tcPr>
            <w:tcW w:w="1553" w:type="dxa"/>
            <w:tcBorders>
              <w:top w:val="dashSmallGap" w:sz="4" w:space="0" w:color="auto"/>
              <w:bottom w:val="nil"/>
            </w:tcBorders>
          </w:tcPr>
          <w:p w14:paraId="47160007"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6</w:t>
            </w:r>
            <w:r w:rsidR="00404559" w:rsidRPr="00207DC2">
              <w:rPr>
                <w:lang w:val="en-AU"/>
              </w:rPr>
              <w:t>***</w:t>
            </w:r>
          </w:p>
        </w:tc>
        <w:tc>
          <w:tcPr>
            <w:tcW w:w="1547" w:type="dxa"/>
            <w:tcBorders>
              <w:top w:val="dashSmallGap" w:sz="4" w:space="0" w:color="auto"/>
              <w:bottom w:val="nil"/>
            </w:tcBorders>
          </w:tcPr>
          <w:p w14:paraId="320BE46F"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8</w:t>
            </w:r>
            <w:r w:rsidR="00404559" w:rsidRPr="00207DC2">
              <w:rPr>
                <w:lang w:val="en-AU"/>
              </w:rPr>
              <w:t>***</w:t>
            </w:r>
          </w:p>
        </w:tc>
      </w:tr>
      <w:tr w:rsidR="00404559" w:rsidRPr="00207DC2" w14:paraId="02FAA3CE"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43A08AA"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2</w:t>
            </w:r>
          </w:p>
        </w:tc>
        <w:tc>
          <w:tcPr>
            <w:tcW w:w="1702" w:type="dxa"/>
            <w:tcBorders>
              <w:top w:val="nil"/>
              <w:bottom w:val="nil"/>
            </w:tcBorders>
          </w:tcPr>
          <w:p w14:paraId="416B263E"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7*</w:t>
            </w:r>
          </w:p>
        </w:tc>
        <w:tc>
          <w:tcPr>
            <w:tcW w:w="1553" w:type="dxa"/>
            <w:tcBorders>
              <w:top w:val="nil"/>
              <w:bottom w:val="nil"/>
            </w:tcBorders>
          </w:tcPr>
          <w:p w14:paraId="46A6F31D"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2***</w:t>
            </w:r>
          </w:p>
        </w:tc>
        <w:tc>
          <w:tcPr>
            <w:tcW w:w="1547" w:type="dxa"/>
            <w:tcBorders>
              <w:top w:val="nil"/>
              <w:bottom w:val="nil"/>
            </w:tcBorders>
          </w:tcPr>
          <w:p w14:paraId="0DC96A2B"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1***</w:t>
            </w:r>
          </w:p>
        </w:tc>
      </w:tr>
      <w:tr w:rsidR="00404559" w:rsidRPr="00207DC2" w14:paraId="6AFD5F9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646AC171"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3</w:t>
            </w:r>
          </w:p>
        </w:tc>
        <w:tc>
          <w:tcPr>
            <w:tcW w:w="1702" w:type="dxa"/>
            <w:tcBorders>
              <w:top w:val="nil"/>
              <w:bottom w:val="nil"/>
            </w:tcBorders>
          </w:tcPr>
          <w:p w14:paraId="6E8C0150"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4***</w:t>
            </w:r>
          </w:p>
        </w:tc>
        <w:tc>
          <w:tcPr>
            <w:tcW w:w="1553" w:type="dxa"/>
            <w:tcBorders>
              <w:top w:val="nil"/>
              <w:bottom w:val="nil"/>
            </w:tcBorders>
          </w:tcPr>
          <w:p w14:paraId="0C1B552C"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7</w:t>
            </w:r>
            <w:r w:rsidR="00404559" w:rsidRPr="00207DC2">
              <w:rPr>
                <w:lang w:val="en-AU"/>
              </w:rPr>
              <w:t>***</w:t>
            </w:r>
          </w:p>
        </w:tc>
        <w:tc>
          <w:tcPr>
            <w:tcW w:w="1547" w:type="dxa"/>
            <w:tcBorders>
              <w:top w:val="nil"/>
              <w:bottom w:val="nil"/>
            </w:tcBorders>
          </w:tcPr>
          <w:p w14:paraId="0F9F3D3F"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2***</w:t>
            </w:r>
          </w:p>
        </w:tc>
      </w:tr>
      <w:tr w:rsidR="00404559" w:rsidRPr="00207DC2" w14:paraId="5D40B292"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5483B09"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4</w:t>
            </w:r>
          </w:p>
        </w:tc>
        <w:tc>
          <w:tcPr>
            <w:tcW w:w="1702" w:type="dxa"/>
            <w:tcBorders>
              <w:top w:val="nil"/>
              <w:bottom w:val="nil"/>
            </w:tcBorders>
          </w:tcPr>
          <w:p w14:paraId="0F0D7767"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9***</w:t>
            </w:r>
          </w:p>
        </w:tc>
        <w:tc>
          <w:tcPr>
            <w:tcW w:w="1553" w:type="dxa"/>
            <w:tcBorders>
              <w:top w:val="nil"/>
              <w:bottom w:val="nil"/>
            </w:tcBorders>
          </w:tcPr>
          <w:p w14:paraId="12AA6790"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6***</w:t>
            </w:r>
          </w:p>
        </w:tc>
        <w:tc>
          <w:tcPr>
            <w:tcW w:w="1547" w:type="dxa"/>
            <w:tcBorders>
              <w:top w:val="nil"/>
              <w:bottom w:val="nil"/>
            </w:tcBorders>
          </w:tcPr>
          <w:p w14:paraId="2E53BB2E"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7</w:t>
            </w:r>
            <w:r w:rsidR="00404559" w:rsidRPr="00207DC2">
              <w:rPr>
                <w:lang w:val="en-AU"/>
              </w:rPr>
              <w:t>***</w:t>
            </w:r>
          </w:p>
        </w:tc>
      </w:tr>
      <w:tr w:rsidR="00404559" w:rsidRPr="00207DC2" w14:paraId="6749AF45"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60F633C"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5</w:t>
            </w:r>
          </w:p>
        </w:tc>
        <w:tc>
          <w:tcPr>
            <w:tcW w:w="1702" w:type="dxa"/>
            <w:tcBorders>
              <w:top w:val="nil"/>
              <w:bottom w:val="nil"/>
            </w:tcBorders>
          </w:tcPr>
          <w:p w14:paraId="675EA041"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4***</w:t>
            </w:r>
          </w:p>
        </w:tc>
        <w:tc>
          <w:tcPr>
            <w:tcW w:w="1553" w:type="dxa"/>
            <w:tcBorders>
              <w:top w:val="nil"/>
              <w:bottom w:val="nil"/>
            </w:tcBorders>
          </w:tcPr>
          <w:p w14:paraId="3436C4F1"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6</w:t>
            </w:r>
            <w:r w:rsidR="00B72A9C" w:rsidRPr="00207DC2">
              <w:rPr>
                <w:lang w:val="en-AU"/>
              </w:rPr>
              <w:t>.</w:t>
            </w:r>
            <w:r w:rsidRPr="00207DC2">
              <w:rPr>
                <w:lang w:val="en-AU"/>
              </w:rPr>
              <w:t>5***</w:t>
            </w:r>
          </w:p>
        </w:tc>
        <w:tc>
          <w:tcPr>
            <w:tcW w:w="1547" w:type="dxa"/>
            <w:tcBorders>
              <w:top w:val="nil"/>
              <w:bottom w:val="nil"/>
            </w:tcBorders>
          </w:tcPr>
          <w:p w14:paraId="342E1789"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8***</w:t>
            </w:r>
          </w:p>
        </w:tc>
      </w:tr>
      <w:tr w:rsidR="00404559" w:rsidRPr="00207DC2" w14:paraId="1A155BE6"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0D5D55E"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6</w:t>
            </w:r>
          </w:p>
        </w:tc>
        <w:tc>
          <w:tcPr>
            <w:tcW w:w="1702" w:type="dxa"/>
            <w:tcBorders>
              <w:top w:val="nil"/>
              <w:bottom w:val="nil"/>
            </w:tcBorders>
          </w:tcPr>
          <w:p w14:paraId="76672ED1"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0**</w:t>
            </w:r>
          </w:p>
        </w:tc>
        <w:tc>
          <w:tcPr>
            <w:tcW w:w="1553" w:type="dxa"/>
            <w:tcBorders>
              <w:top w:val="nil"/>
              <w:bottom w:val="nil"/>
            </w:tcBorders>
          </w:tcPr>
          <w:p w14:paraId="6F7C068D"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9</w:t>
            </w:r>
            <w:r w:rsidR="00404559" w:rsidRPr="00207DC2">
              <w:rPr>
                <w:lang w:val="en-AU"/>
              </w:rPr>
              <w:t>***</w:t>
            </w:r>
          </w:p>
        </w:tc>
        <w:tc>
          <w:tcPr>
            <w:tcW w:w="1547" w:type="dxa"/>
            <w:tcBorders>
              <w:top w:val="nil"/>
              <w:bottom w:val="nil"/>
            </w:tcBorders>
          </w:tcPr>
          <w:p w14:paraId="04144E88"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8</w:t>
            </w:r>
            <w:r w:rsidR="00404559" w:rsidRPr="00207DC2">
              <w:rPr>
                <w:lang w:val="en-AU"/>
              </w:rPr>
              <w:t>***</w:t>
            </w:r>
          </w:p>
        </w:tc>
      </w:tr>
      <w:tr w:rsidR="00404559" w:rsidRPr="00207DC2" w14:paraId="35659AF2"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0734BA4"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7</w:t>
            </w:r>
          </w:p>
        </w:tc>
        <w:tc>
          <w:tcPr>
            <w:tcW w:w="1702" w:type="dxa"/>
            <w:tcBorders>
              <w:top w:val="nil"/>
              <w:bottom w:val="nil"/>
            </w:tcBorders>
          </w:tcPr>
          <w:p w14:paraId="22299830"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3***</w:t>
            </w:r>
          </w:p>
        </w:tc>
        <w:tc>
          <w:tcPr>
            <w:tcW w:w="1553" w:type="dxa"/>
            <w:tcBorders>
              <w:top w:val="nil"/>
              <w:bottom w:val="nil"/>
            </w:tcBorders>
          </w:tcPr>
          <w:p w14:paraId="30C03976"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9</w:t>
            </w:r>
            <w:r w:rsidR="00404559" w:rsidRPr="00207DC2">
              <w:rPr>
                <w:lang w:val="en-AU"/>
              </w:rPr>
              <w:t>***</w:t>
            </w:r>
          </w:p>
        </w:tc>
        <w:tc>
          <w:tcPr>
            <w:tcW w:w="1547" w:type="dxa"/>
            <w:tcBorders>
              <w:top w:val="nil"/>
              <w:bottom w:val="nil"/>
            </w:tcBorders>
          </w:tcPr>
          <w:p w14:paraId="59693D68"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8***</w:t>
            </w:r>
          </w:p>
        </w:tc>
      </w:tr>
      <w:tr w:rsidR="00404559" w:rsidRPr="00207DC2" w14:paraId="47F31E4E"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5F5F96D"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8</w:t>
            </w:r>
          </w:p>
        </w:tc>
        <w:tc>
          <w:tcPr>
            <w:tcW w:w="1702" w:type="dxa"/>
            <w:tcBorders>
              <w:top w:val="nil"/>
              <w:bottom w:val="nil"/>
            </w:tcBorders>
          </w:tcPr>
          <w:p w14:paraId="186E9754"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6</w:t>
            </w:r>
            <w:r w:rsidR="00404559" w:rsidRPr="00207DC2">
              <w:rPr>
                <w:lang w:val="en-AU"/>
              </w:rPr>
              <w:t>***</w:t>
            </w:r>
          </w:p>
        </w:tc>
        <w:tc>
          <w:tcPr>
            <w:tcW w:w="1553" w:type="dxa"/>
            <w:tcBorders>
              <w:top w:val="nil"/>
              <w:bottom w:val="nil"/>
            </w:tcBorders>
          </w:tcPr>
          <w:p w14:paraId="65B024FD"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1</w:t>
            </w:r>
            <w:r w:rsidR="00404559" w:rsidRPr="00207DC2">
              <w:rPr>
                <w:lang w:val="en-AU"/>
              </w:rPr>
              <w:t>**</w:t>
            </w:r>
          </w:p>
        </w:tc>
        <w:tc>
          <w:tcPr>
            <w:tcW w:w="1547" w:type="dxa"/>
            <w:tcBorders>
              <w:top w:val="nil"/>
              <w:bottom w:val="nil"/>
            </w:tcBorders>
          </w:tcPr>
          <w:p w14:paraId="3187F5F2"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2</w:t>
            </w:r>
            <w:r w:rsidR="00404559" w:rsidRPr="00207DC2">
              <w:rPr>
                <w:lang w:val="en-AU"/>
              </w:rPr>
              <w:t>***</w:t>
            </w:r>
          </w:p>
        </w:tc>
      </w:tr>
      <w:tr w:rsidR="00404559" w:rsidRPr="00207DC2" w14:paraId="39D3580F"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4DE648F"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income-support duration decile 9</w:t>
            </w:r>
          </w:p>
        </w:tc>
        <w:tc>
          <w:tcPr>
            <w:tcW w:w="1702" w:type="dxa"/>
            <w:tcBorders>
              <w:top w:val="nil"/>
              <w:bottom w:val="nil"/>
            </w:tcBorders>
          </w:tcPr>
          <w:p w14:paraId="72C4B410"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00404559" w:rsidRPr="00207DC2">
              <w:rPr>
                <w:lang w:val="en-AU"/>
              </w:rPr>
              <w:t>9</w:t>
            </w:r>
          </w:p>
        </w:tc>
        <w:tc>
          <w:tcPr>
            <w:tcW w:w="1553" w:type="dxa"/>
            <w:tcBorders>
              <w:top w:val="nil"/>
              <w:bottom w:val="nil"/>
            </w:tcBorders>
          </w:tcPr>
          <w:p w14:paraId="7F3CBC26"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1</w:t>
            </w:r>
          </w:p>
        </w:tc>
        <w:tc>
          <w:tcPr>
            <w:tcW w:w="1547" w:type="dxa"/>
            <w:tcBorders>
              <w:top w:val="nil"/>
              <w:bottom w:val="nil"/>
            </w:tcBorders>
          </w:tcPr>
          <w:p w14:paraId="580B0533"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5</w:t>
            </w:r>
          </w:p>
        </w:tc>
      </w:tr>
      <w:tr w:rsidR="00404559" w:rsidRPr="00207DC2" w14:paraId="20C63211"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bottom w:val="nil"/>
            </w:tcBorders>
          </w:tcPr>
          <w:p w14:paraId="7BE60BD1"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1</w:t>
            </w:r>
          </w:p>
        </w:tc>
        <w:tc>
          <w:tcPr>
            <w:tcW w:w="1702" w:type="dxa"/>
            <w:tcBorders>
              <w:top w:val="dashSmallGap" w:sz="4" w:space="0" w:color="auto"/>
              <w:bottom w:val="nil"/>
            </w:tcBorders>
          </w:tcPr>
          <w:p w14:paraId="43603EFF"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12</w:t>
            </w:r>
            <w:r w:rsidR="00B72A9C" w:rsidRPr="00207DC2">
              <w:rPr>
                <w:lang w:val="en-AU"/>
              </w:rPr>
              <w:t>.</w:t>
            </w:r>
            <w:r w:rsidRPr="00207DC2">
              <w:rPr>
                <w:lang w:val="en-AU"/>
              </w:rPr>
              <w:t>6</w:t>
            </w:r>
            <w:r w:rsidR="00404559" w:rsidRPr="00207DC2">
              <w:rPr>
                <w:lang w:val="en-AU"/>
              </w:rPr>
              <w:t>***</w:t>
            </w:r>
          </w:p>
        </w:tc>
        <w:tc>
          <w:tcPr>
            <w:tcW w:w="1553" w:type="dxa"/>
            <w:tcBorders>
              <w:top w:val="dashSmallGap" w:sz="4" w:space="0" w:color="auto"/>
              <w:bottom w:val="nil"/>
            </w:tcBorders>
          </w:tcPr>
          <w:p w14:paraId="5E5D9008"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w:t>
            </w:r>
            <w:r w:rsidR="00B72A9C" w:rsidRPr="00207DC2">
              <w:rPr>
                <w:lang w:val="en-AU"/>
              </w:rPr>
              <w:t>.</w:t>
            </w:r>
            <w:r w:rsidRPr="00207DC2">
              <w:rPr>
                <w:lang w:val="en-AU"/>
              </w:rPr>
              <w:t>3***</w:t>
            </w:r>
          </w:p>
        </w:tc>
        <w:tc>
          <w:tcPr>
            <w:tcW w:w="1547" w:type="dxa"/>
            <w:tcBorders>
              <w:top w:val="dashSmallGap" w:sz="4" w:space="0" w:color="auto"/>
              <w:bottom w:val="nil"/>
            </w:tcBorders>
          </w:tcPr>
          <w:p w14:paraId="466B631D"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B72A9C" w:rsidRPr="00207DC2">
              <w:rPr>
                <w:lang w:val="en-AU"/>
              </w:rPr>
              <w:t>.</w:t>
            </w:r>
            <w:r w:rsidRPr="00207DC2">
              <w:rPr>
                <w:lang w:val="en-AU"/>
              </w:rPr>
              <w:t>7***</w:t>
            </w:r>
          </w:p>
        </w:tc>
      </w:tr>
      <w:tr w:rsidR="00404559" w:rsidRPr="00207DC2" w14:paraId="770F7DEA"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6E7B8A8B"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2</w:t>
            </w:r>
          </w:p>
        </w:tc>
        <w:tc>
          <w:tcPr>
            <w:tcW w:w="1702" w:type="dxa"/>
            <w:tcBorders>
              <w:top w:val="nil"/>
              <w:bottom w:val="nil"/>
            </w:tcBorders>
          </w:tcPr>
          <w:p w14:paraId="147EE492"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12</w:t>
            </w:r>
            <w:r w:rsidR="00B72A9C" w:rsidRPr="00207DC2">
              <w:rPr>
                <w:lang w:val="en-AU"/>
              </w:rPr>
              <w:t>.</w:t>
            </w:r>
            <w:r w:rsidRPr="00207DC2">
              <w:rPr>
                <w:lang w:val="en-AU"/>
              </w:rPr>
              <w:t>2***</w:t>
            </w:r>
          </w:p>
        </w:tc>
        <w:tc>
          <w:tcPr>
            <w:tcW w:w="1553" w:type="dxa"/>
            <w:tcBorders>
              <w:top w:val="nil"/>
              <w:bottom w:val="nil"/>
            </w:tcBorders>
          </w:tcPr>
          <w:p w14:paraId="63136212"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9</w:t>
            </w:r>
            <w:r w:rsidR="00B72A9C" w:rsidRPr="00207DC2">
              <w:rPr>
                <w:lang w:val="en-AU"/>
              </w:rPr>
              <w:t>.</w:t>
            </w:r>
            <w:r w:rsidRPr="00207DC2">
              <w:rPr>
                <w:lang w:val="en-AU"/>
              </w:rPr>
              <w:t>4</w:t>
            </w:r>
            <w:r w:rsidR="00404559" w:rsidRPr="00207DC2">
              <w:rPr>
                <w:lang w:val="en-AU"/>
              </w:rPr>
              <w:t>***</w:t>
            </w:r>
          </w:p>
        </w:tc>
        <w:tc>
          <w:tcPr>
            <w:tcW w:w="1547" w:type="dxa"/>
            <w:tcBorders>
              <w:top w:val="nil"/>
              <w:bottom w:val="nil"/>
            </w:tcBorders>
          </w:tcPr>
          <w:p w14:paraId="79A62CBE"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8</w:t>
            </w:r>
            <w:r w:rsidR="00B72A9C" w:rsidRPr="00207DC2">
              <w:rPr>
                <w:lang w:val="en-AU"/>
              </w:rPr>
              <w:t>.</w:t>
            </w:r>
            <w:r w:rsidRPr="00207DC2">
              <w:rPr>
                <w:lang w:val="en-AU"/>
              </w:rPr>
              <w:t>1***</w:t>
            </w:r>
          </w:p>
        </w:tc>
      </w:tr>
      <w:tr w:rsidR="00404559" w:rsidRPr="00207DC2" w14:paraId="30718C6C"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85E74D1"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3</w:t>
            </w:r>
          </w:p>
        </w:tc>
        <w:tc>
          <w:tcPr>
            <w:tcW w:w="1702" w:type="dxa"/>
            <w:tcBorders>
              <w:top w:val="nil"/>
              <w:bottom w:val="nil"/>
            </w:tcBorders>
          </w:tcPr>
          <w:p w14:paraId="4AB444AD"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w:t>
            </w:r>
            <w:r w:rsidR="00B72A9C" w:rsidRPr="00207DC2">
              <w:rPr>
                <w:lang w:val="en-AU"/>
              </w:rPr>
              <w:t>.</w:t>
            </w:r>
            <w:r w:rsidRPr="00207DC2">
              <w:rPr>
                <w:lang w:val="en-AU"/>
              </w:rPr>
              <w:t>7</w:t>
            </w:r>
            <w:r w:rsidR="00404559" w:rsidRPr="00207DC2">
              <w:rPr>
                <w:lang w:val="en-AU"/>
              </w:rPr>
              <w:t>***</w:t>
            </w:r>
          </w:p>
        </w:tc>
        <w:tc>
          <w:tcPr>
            <w:tcW w:w="1553" w:type="dxa"/>
            <w:tcBorders>
              <w:top w:val="nil"/>
              <w:bottom w:val="nil"/>
            </w:tcBorders>
          </w:tcPr>
          <w:p w14:paraId="00BB7705"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7</w:t>
            </w:r>
            <w:r w:rsidR="00B72A9C" w:rsidRPr="00207DC2">
              <w:rPr>
                <w:lang w:val="en-AU"/>
              </w:rPr>
              <w:t>.</w:t>
            </w:r>
            <w:r w:rsidRPr="00207DC2">
              <w:rPr>
                <w:lang w:val="en-AU"/>
              </w:rPr>
              <w:t>4</w:t>
            </w:r>
            <w:r w:rsidR="00404559" w:rsidRPr="00207DC2">
              <w:rPr>
                <w:lang w:val="en-AU"/>
              </w:rPr>
              <w:t>***</w:t>
            </w:r>
          </w:p>
        </w:tc>
        <w:tc>
          <w:tcPr>
            <w:tcW w:w="1547" w:type="dxa"/>
            <w:tcBorders>
              <w:top w:val="nil"/>
              <w:bottom w:val="nil"/>
            </w:tcBorders>
          </w:tcPr>
          <w:p w14:paraId="32D1A9F3"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6</w:t>
            </w:r>
            <w:r w:rsidR="00404559" w:rsidRPr="00207DC2">
              <w:rPr>
                <w:lang w:val="en-AU"/>
              </w:rPr>
              <w:t>***</w:t>
            </w:r>
          </w:p>
        </w:tc>
      </w:tr>
      <w:tr w:rsidR="00404559" w:rsidRPr="00207DC2" w14:paraId="679E97C0"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F24D29B"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4</w:t>
            </w:r>
          </w:p>
        </w:tc>
        <w:tc>
          <w:tcPr>
            <w:tcW w:w="1702" w:type="dxa"/>
            <w:tcBorders>
              <w:top w:val="nil"/>
              <w:bottom w:val="nil"/>
            </w:tcBorders>
          </w:tcPr>
          <w:p w14:paraId="12B04B75" w14:textId="77777777" w:rsidR="00404559" w:rsidRPr="00207DC2" w:rsidRDefault="005138C3"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7</w:t>
            </w:r>
            <w:r w:rsidR="00B72A9C" w:rsidRPr="00207DC2">
              <w:rPr>
                <w:lang w:val="en-AU"/>
              </w:rPr>
              <w:t>.</w:t>
            </w:r>
            <w:r w:rsidRPr="00207DC2">
              <w:rPr>
                <w:lang w:val="en-AU"/>
              </w:rPr>
              <w:t>5</w:t>
            </w:r>
            <w:r w:rsidR="00404559" w:rsidRPr="00207DC2">
              <w:rPr>
                <w:lang w:val="en-AU"/>
              </w:rPr>
              <w:t>***</w:t>
            </w:r>
          </w:p>
        </w:tc>
        <w:tc>
          <w:tcPr>
            <w:tcW w:w="1553" w:type="dxa"/>
            <w:tcBorders>
              <w:top w:val="nil"/>
              <w:bottom w:val="nil"/>
            </w:tcBorders>
          </w:tcPr>
          <w:p w14:paraId="104B79BF"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1***</w:t>
            </w:r>
          </w:p>
        </w:tc>
        <w:tc>
          <w:tcPr>
            <w:tcW w:w="1547" w:type="dxa"/>
            <w:tcBorders>
              <w:top w:val="nil"/>
              <w:bottom w:val="nil"/>
            </w:tcBorders>
          </w:tcPr>
          <w:p w14:paraId="3A8A52FD"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4</w:t>
            </w:r>
            <w:r w:rsidR="00B72A9C" w:rsidRPr="00207DC2">
              <w:rPr>
                <w:lang w:val="en-AU"/>
              </w:rPr>
              <w:t>.</w:t>
            </w:r>
            <w:r w:rsidRPr="00207DC2">
              <w:rPr>
                <w:lang w:val="en-AU"/>
              </w:rPr>
              <w:t>0</w:t>
            </w:r>
            <w:r w:rsidR="00404559" w:rsidRPr="00207DC2">
              <w:rPr>
                <w:lang w:val="en-AU"/>
              </w:rPr>
              <w:t>***</w:t>
            </w:r>
          </w:p>
        </w:tc>
      </w:tr>
      <w:tr w:rsidR="00404559" w:rsidRPr="00207DC2" w14:paraId="18627F74"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4A308F32"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5</w:t>
            </w:r>
          </w:p>
        </w:tc>
        <w:tc>
          <w:tcPr>
            <w:tcW w:w="1702" w:type="dxa"/>
            <w:tcBorders>
              <w:top w:val="nil"/>
              <w:bottom w:val="nil"/>
            </w:tcBorders>
          </w:tcPr>
          <w:p w14:paraId="43F240F6" w14:textId="77777777" w:rsidR="00404559" w:rsidRPr="00207DC2" w:rsidRDefault="005138C3"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6</w:t>
            </w:r>
            <w:r w:rsidR="00404559" w:rsidRPr="00207DC2">
              <w:rPr>
                <w:lang w:val="en-AU"/>
              </w:rPr>
              <w:t>***</w:t>
            </w:r>
          </w:p>
        </w:tc>
        <w:tc>
          <w:tcPr>
            <w:tcW w:w="1553" w:type="dxa"/>
            <w:tcBorders>
              <w:top w:val="nil"/>
              <w:bottom w:val="nil"/>
            </w:tcBorders>
          </w:tcPr>
          <w:p w14:paraId="3FB3085D" w14:textId="77777777" w:rsidR="00404559" w:rsidRPr="00207DC2" w:rsidRDefault="005138C3"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9</w:t>
            </w:r>
            <w:r w:rsidR="00404559" w:rsidRPr="00207DC2">
              <w:rPr>
                <w:lang w:val="en-AU"/>
              </w:rPr>
              <w:t>***</w:t>
            </w:r>
          </w:p>
        </w:tc>
        <w:tc>
          <w:tcPr>
            <w:tcW w:w="1547" w:type="dxa"/>
            <w:tcBorders>
              <w:top w:val="nil"/>
              <w:bottom w:val="nil"/>
            </w:tcBorders>
          </w:tcPr>
          <w:p w14:paraId="5254C04F"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5*</w:t>
            </w:r>
          </w:p>
        </w:tc>
      </w:tr>
      <w:tr w:rsidR="00404559" w:rsidRPr="00207DC2" w14:paraId="0A6D7F26"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15C03612"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6</w:t>
            </w:r>
          </w:p>
        </w:tc>
        <w:tc>
          <w:tcPr>
            <w:tcW w:w="1702" w:type="dxa"/>
            <w:tcBorders>
              <w:top w:val="nil"/>
              <w:bottom w:val="nil"/>
            </w:tcBorders>
          </w:tcPr>
          <w:p w14:paraId="09E71B79"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4***</w:t>
            </w:r>
          </w:p>
        </w:tc>
        <w:tc>
          <w:tcPr>
            <w:tcW w:w="1553" w:type="dxa"/>
            <w:tcBorders>
              <w:top w:val="nil"/>
              <w:bottom w:val="nil"/>
            </w:tcBorders>
          </w:tcPr>
          <w:p w14:paraId="021596A6"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6</w:t>
            </w:r>
            <w:r w:rsidR="00404559" w:rsidRPr="00207DC2">
              <w:rPr>
                <w:lang w:val="en-AU"/>
              </w:rPr>
              <w:t>**</w:t>
            </w:r>
          </w:p>
        </w:tc>
        <w:tc>
          <w:tcPr>
            <w:tcW w:w="1547" w:type="dxa"/>
            <w:tcBorders>
              <w:top w:val="nil"/>
              <w:bottom w:val="nil"/>
            </w:tcBorders>
          </w:tcPr>
          <w:p w14:paraId="11411FCC"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0</w:t>
            </w:r>
            <w:r w:rsidR="00404559" w:rsidRPr="00207DC2">
              <w:rPr>
                <w:lang w:val="en-AU"/>
              </w:rPr>
              <w:t>**</w:t>
            </w:r>
          </w:p>
        </w:tc>
      </w:tr>
      <w:tr w:rsidR="00404559" w:rsidRPr="00207DC2" w14:paraId="3195C7D0"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25B39B77"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7</w:t>
            </w:r>
          </w:p>
        </w:tc>
        <w:tc>
          <w:tcPr>
            <w:tcW w:w="1702" w:type="dxa"/>
            <w:tcBorders>
              <w:top w:val="nil"/>
              <w:bottom w:val="nil"/>
            </w:tcBorders>
          </w:tcPr>
          <w:p w14:paraId="765FE2B8"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5</w:t>
            </w:r>
            <w:r w:rsidR="00B72A9C" w:rsidRPr="00207DC2">
              <w:rPr>
                <w:lang w:val="en-AU"/>
              </w:rPr>
              <w:t>.</w:t>
            </w:r>
            <w:r w:rsidRPr="00207DC2">
              <w:rPr>
                <w:lang w:val="en-AU"/>
              </w:rPr>
              <w:t>2***</w:t>
            </w:r>
          </w:p>
        </w:tc>
        <w:tc>
          <w:tcPr>
            <w:tcW w:w="1553" w:type="dxa"/>
            <w:tcBorders>
              <w:top w:val="nil"/>
              <w:bottom w:val="nil"/>
            </w:tcBorders>
          </w:tcPr>
          <w:p w14:paraId="5789996A"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6***</w:t>
            </w:r>
          </w:p>
        </w:tc>
        <w:tc>
          <w:tcPr>
            <w:tcW w:w="1547" w:type="dxa"/>
            <w:tcBorders>
              <w:top w:val="nil"/>
              <w:bottom w:val="nil"/>
            </w:tcBorders>
          </w:tcPr>
          <w:p w14:paraId="54CF58FD"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9</w:t>
            </w:r>
            <w:r w:rsidR="00404559" w:rsidRPr="00207DC2">
              <w:rPr>
                <w:lang w:val="en-AU"/>
              </w:rPr>
              <w:t>**</w:t>
            </w:r>
          </w:p>
        </w:tc>
      </w:tr>
      <w:tr w:rsidR="00404559" w:rsidRPr="00207DC2" w14:paraId="1FAEB991"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5A1F5199" w14:textId="77777777" w:rsidR="00404559" w:rsidRPr="00207DC2" w:rsidRDefault="00404559" w:rsidP="00FB626D">
            <w:pPr>
              <w:pStyle w:val="TableText"/>
              <w:keepNext/>
              <w:keepLines/>
              <w:spacing w:after="0"/>
              <w:ind w:left="142" w:right="142"/>
              <w:rPr>
                <w:b w:val="0"/>
                <w:lang w:val="en-AU"/>
              </w:rPr>
            </w:pPr>
            <w:r w:rsidRPr="00207DC2">
              <w:rPr>
                <w:b w:val="0"/>
                <w:lang w:val="en-AU" w:eastAsia="en-AU"/>
              </w:rPr>
              <w:t>JSCI score decile 8</w:t>
            </w:r>
          </w:p>
        </w:tc>
        <w:tc>
          <w:tcPr>
            <w:tcW w:w="1702" w:type="dxa"/>
            <w:tcBorders>
              <w:top w:val="nil"/>
              <w:bottom w:val="nil"/>
            </w:tcBorders>
          </w:tcPr>
          <w:p w14:paraId="7E8A4F04"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3</w:t>
            </w:r>
            <w:r w:rsidR="00B72A9C" w:rsidRPr="00207DC2">
              <w:rPr>
                <w:lang w:val="en-AU"/>
              </w:rPr>
              <w:t>.</w:t>
            </w:r>
            <w:r w:rsidRPr="00207DC2">
              <w:rPr>
                <w:lang w:val="en-AU"/>
              </w:rPr>
              <w:t>4*</w:t>
            </w:r>
          </w:p>
        </w:tc>
        <w:tc>
          <w:tcPr>
            <w:tcW w:w="1553" w:type="dxa"/>
            <w:tcBorders>
              <w:top w:val="nil"/>
              <w:bottom w:val="nil"/>
            </w:tcBorders>
          </w:tcPr>
          <w:p w14:paraId="1B065700" w14:textId="77777777" w:rsidR="00404559" w:rsidRPr="00207DC2" w:rsidRDefault="005138C3"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6</w:t>
            </w:r>
            <w:r w:rsidR="00404559" w:rsidRPr="00207DC2">
              <w:rPr>
                <w:lang w:val="en-AU"/>
              </w:rPr>
              <w:t>*</w:t>
            </w:r>
          </w:p>
        </w:tc>
        <w:tc>
          <w:tcPr>
            <w:tcW w:w="1547" w:type="dxa"/>
            <w:tcBorders>
              <w:top w:val="nil"/>
              <w:bottom w:val="nil"/>
            </w:tcBorders>
          </w:tcPr>
          <w:p w14:paraId="5D4448EE" w14:textId="77777777" w:rsidR="00404559" w:rsidRPr="00207DC2" w:rsidRDefault="005138C3"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3</w:t>
            </w:r>
            <w:r w:rsidR="00404559" w:rsidRPr="00207DC2">
              <w:rPr>
                <w:lang w:val="en-AU"/>
              </w:rPr>
              <w:t>*</w:t>
            </w:r>
          </w:p>
        </w:tc>
      </w:tr>
      <w:tr w:rsidR="00404559" w:rsidRPr="00207DC2" w14:paraId="30A7269A"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nil"/>
              <w:bottom w:val="nil"/>
            </w:tcBorders>
          </w:tcPr>
          <w:p w14:paraId="0D11A0C2"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JSCI score decile 9</w:t>
            </w:r>
          </w:p>
        </w:tc>
        <w:tc>
          <w:tcPr>
            <w:tcW w:w="1702" w:type="dxa"/>
            <w:tcBorders>
              <w:top w:val="nil"/>
              <w:bottom w:val="nil"/>
            </w:tcBorders>
          </w:tcPr>
          <w:p w14:paraId="7850E4FA"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7</w:t>
            </w:r>
          </w:p>
        </w:tc>
        <w:tc>
          <w:tcPr>
            <w:tcW w:w="1553" w:type="dxa"/>
            <w:tcBorders>
              <w:top w:val="nil"/>
              <w:bottom w:val="nil"/>
            </w:tcBorders>
          </w:tcPr>
          <w:p w14:paraId="526D34FE" w14:textId="77777777" w:rsidR="00404559" w:rsidRPr="00207DC2" w:rsidRDefault="00B72A9C"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 xml:space="preserve"> </w:t>
            </w:r>
            <w:r w:rsidR="005138C3" w:rsidRPr="00207DC2">
              <w:rPr>
                <w:lang w:val="en-AU"/>
              </w:rPr>
              <w:t>2</w:t>
            </w:r>
            <w:r w:rsidRPr="00207DC2">
              <w:rPr>
                <w:lang w:val="en-AU"/>
              </w:rPr>
              <w:t>.</w:t>
            </w:r>
            <w:r w:rsidR="005138C3" w:rsidRPr="00207DC2">
              <w:rPr>
                <w:lang w:val="en-AU"/>
              </w:rPr>
              <w:t>2</w:t>
            </w:r>
          </w:p>
        </w:tc>
        <w:tc>
          <w:tcPr>
            <w:tcW w:w="1547" w:type="dxa"/>
            <w:tcBorders>
              <w:top w:val="nil"/>
              <w:bottom w:val="nil"/>
            </w:tcBorders>
          </w:tcPr>
          <w:p w14:paraId="4296DCF3" w14:textId="77777777" w:rsidR="00404559" w:rsidRPr="00207DC2" w:rsidRDefault="005138C3"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2</w:t>
            </w:r>
            <w:r w:rsidR="00B72A9C" w:rsidRPr="00207DC2">
              <w:rPr>
                <w:lang w:val="en-AU"/>
              </w:rPr>
              <w:t>.</w:t>
            </w:r>
            <w:r w:rsidRPr="00207DC2">
              <w:rPr>
                <w:lang w:val="en-AU"/>
              </w:rPr>
              <w:t>1</w:t>
            </w:r>
            <w:r w:rsidR="00404559" w:rsidRPr="00207DC2">
              <w:rPr>
                <w:lang w:val="en-AU"/>
              </w:rPr>
              <w:t>*</w:t>
            </w:r>
          </w:p>
        </w:tc>
      </w:tr>
      <w:tr w:rsidR="00404559" w:rsidRPr="00207DC2" w14:paraId="172257AA" w14:textId="77777777" w:rsidTr="003E33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nil"/>
              <w:bottom w:val="dashSmallGap" w:sz="4" w:space="0" w:color="auto"/>
            </w:tcBorders>
          </w:tcPr>
          <w:p w14:paraId="1780B0FF"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JSCI score missing</w:t>
            </w:r>
          </w:p>
        </w:tc>
        <w:tc>
          <w:tcPr>
            <w:tcW w:w="1702" w:type="dxa"/>
            <w:tcBorders>
              <w:top w:val="nil"/>
              <w:bottom w:val="dashSmallGap" w:sz="4" w:space="0" w:color="auto"/>
            </w:tcBorders>
          </w:tcPr>
          <w:p w14:paraId="3F12F251" w14:textId="77777777" w:rsidR="00404559" w:rsidRPr="00207DC2" w:rsidRDefault="00404559"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3</w:t>
            </w:r>
          </w:p>
        </w:tc>
        <w:tc>
          <w:tcPr>
            <w:tcW w:w="1553" w:type="dxa"/>
            <w:tcBorders>
              <w:top w:val="nil"/>
              <w:bottom w:val="dashSmallGap" w:sz="4" w:space="0" w:color="auto"/>
            </w:tcBorders>
          </w:tcPr>
          <w:p w14:paraId="54E6D26F" w14:textId="77777777" w:rsidR="00404559" w:rsidRPr="00207DC2" w:rsidRDefault="00404559" w:rsidP="00FB626D">
            <w:pPr>
              <w:pStyle w:val="TableText"/>
              <w:keepNext/>
              <w:keepLines/>
              <w:tabs>
                <w:tab w:val="decimal" w:pos="453"/>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7</w:t>
            </w:r>
          </w:p>
        </w:tc>
        <w:tc>
          <w:tcPr>
            <w:tcW w:w="1547" w:type="dxa"/>
            <w:tcBorders>
              <w:top w:val="nil"/>
              <w:bottom w:val="dashSmallGap" w:sz="4" w:space="0" w:color="auto"/>
            </w:tcBorders>
          </w:tcPr>
          <w:p w14:paraId="3623D154" w14:textId="77777777" w:rsidR="00404559" w:rsidRPr="00207DC2" w:rsidRDefault="00404559" w:rsidP="00FB626D">
            <w:pPr>
              <w:pStyle w:val="TableText"/>
              <w:keepNext/>
              <w:keepLines/>
              <w:tabs>
                <w:tab w:val="decimal" w:pos="434"/>
              </w:tabs>
              <w:spacing w:after="0"/>
              <w:ind w:left="142" w:right="142"/>
              <w:cnfStyle w:val="000000100000" w:firstRow="0" w:lastRow="0" w:firstColumn="0" w:lastColumn="0" w:oddVBand="0" w:evenVBand="0" w:oddHBand="1"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5</w:t>
            </w:r>
          </w:p>
        </w:tc>
      </w:tr>
      <w:tr w:rsidR="00404559" w:rsidRPr="00207DC2" w14:paraId="1539595D" w14:textId="77777777" w:rsidTr="003E3336">
        <w:tc>
          <w:tcPr>
            <w:cnfStyle w:val="001000000000" w:firstRow="0" w:lastRow="0" w:firstColumn="1" w:lastColumn="0" w:oddVBand="0" w:evenVBand="0" w:oddHBand="0" w:evenHBand="0" w:firstRowFirstColumn="0" w:firstRowLastColumn="0" w:lastRowFirstColumn="0" w:lastRowLastColumn="0"/>
            <w:tcW w:w="4219" w:type="dxa"/>
            <w:tcBorders>
              <w:top w:val="dashSmallGap" w:sz="4" w:space="0" w:color="auto"/>
            </w:tcBorders>
          </w:tcPr>
          <w:p w14:paraId="1B89C790" w14:textId="77777777" w:rsidR="00404559" w:rsidRPr="00207DC2" w:rsidRDefault="00404559" w:rsidP="00FB626D">
            <w:pPr>
              <w:pStyle w:val="TableText"/>
              <w:keepNext/>
              <w:keepLines/>
              <w:spacing w:after="0"/>
              <w:ind w:left="142" w:right="142"/>
              <w:rPr>
                <w:b w:val="0"/>
                <w:lang w:val="en-AU" w:eastAsia="en-AU"/>
              </w:rPr>
            </w:pPr>
            <w:r w:rsidRPr="00207DC2">
              <w:rPr>
                <w:b w:val="0"/>
                <w:lang w:val="en-AU" w:eastAsia="en-AU"/>
              </w:rPr>
              <w:t>Constant</w:t>
            </w:r>
          </w:p>
        </w:tc>
        <w:tc>
          <w:tcPr>
            <w:tcW w:w="1702" w:type="dxa"/>
            <w:tcBorders>
              <w:top w:val="dashSmallGap" w:sz="4" w:space="0" w:color="auto"/>
            </w:tcBorders>
          </w:tcPr>
          <w:p w14:paraId="0FB998A3" w14:textId="77777777" w:rsidR="00404559" w:rsidRPr="00207DC2" w:rsidRDefault="00404559"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9</w:t>
            </w:r>
            <w:r w:rsidR="00B72A9C" w:rsidRPr="00207DC2">
              <w:rPr>
                <w:lang w:val="en-AU"/>
              </w:rPr>
              <w:t>.</w:t>
            </w:r>
            <w:r w:rsidRPr="00207DC2">
              <w:rPr>
                <w:lang w:val="en-AU"/>
              </w:rPr>
              <w:t>9***</w:t>
            </w:r>
          </w:p>
        </w:tc>
        <w:tc>
          <w:tcPr>
            <w:tcW w:w="1553" w:type="dxa"/>
            <w:tcBorders>
              <w:top w:val="dashSmallGap" w:sz="4" w:space="0" w:color="auto"/>
            </w:tcBorders>
          </w:tcPr>
          <w:p w14:paraId="5E2156F7" w14:textId="77777777" w:rsidR="00404559" w:rsidRPr="00207DC2" w:rsidRDefault="00404559" w:rsidP="00FB626D">
            <w:pPr>
              <w:pStyle w:val="TableText"/>
              <w:keepNext/>
              <w:keepLines/>
              <w:tabs>
                <w:tab w:val="decimal" w:pos="453"/>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1</w:t>
            </w:r>
            <w:r w:rsidR="00B72A9C" w:rsidRPr="00207DC2">
              <w:rPr>
                <w:lang w:val="en-AU"/>
              </w:rPr>
              <w:t>.</w:t>
            </w:r>
            <w:r w:rsidRPr="00207DC2">
              <w:rPr>
                <w:lang w:val="en-AU"/>
              </w:rPr>
              <w:t>4</w:t>
            </w:r>
          </w:p>
        </w:tc>
        <w:tc>
          <w:tcPr>
            <w:tcW w:w="1547" w:type="dxa"/>
            <w:tcBorders>
              <w:top w:val="dashSmallGap" w:sz="4" w:space="0" w:color="auto"/>
            </w:tcBorders>
          </w:tcPr>
          <w:p w14:paraId="401232F3" w14:textId="77777777" w:rsidR="00404559" w:rsidRPr="00207DC2" w:rsidRDefault="00404559" w:rsidP="00FB626D">
            <w:pPr>
              <w:pStyle w:val="TableText"/>
              <w:keepNext/>
              <w:keepLines/>
              <w:tabs>
                <w:tab w:val="decimal" w:pos="434"/>
              </w:tabs>
              <w:spacing w:after="0"/>
              <w:ind w:left="142" w:right="142"/>
              <w:cnfStyle w:val="000000000000" w:firstRow="0" w:lastRow="0" w:firstColumn="0" w:lastColumn="0" w:oddVBand="0" w:evenVBand="0" w:oddHBand="0" w:evenHBand="0" w:firstRowFirstColumn="0" w:firstRowLastColumn="0" w:lastRowFirstColumn="0" w:lastRowLastColumn="0"/>
              <w:rPr>
                <w:lang w:val="en-AU"/>
              </w:rPr>
            </w:pPr>
            <w:r w:rsidRPr="00207DC2">
              <w:rPr>
                <w:lang w:val="en-AU"/>
              </w:rPr>
              <w:t>-0</w:t>
            </w:r>
            <w:r w:rsidR="00B72A9C" w:rsidRPr="00207DC2">
              <w:rPr>
                <w:lang w:val="en-AU"/>
              </w:rPr>
              <w:t>.</w:t>
            </w:r>
            <w:r w:rsidRPr="00207DC2">
              <w:rPr>
                <w:lang w:val="en-AU"/>
              </w:rPr>
              <w:t>4</w:t>
            </w:r>
          </w:p>
        </w:tc>
      </w:tr>
    </w:tbl>
    <w:p w14:paraId="54260A65" w14:textId="77777777" w:rsidR="005B236C" w:rsidRPr="00207DC2" w:rsidRDefault="00404559" w:rsidP="00FB626D">
      <w:pPr>
        <w:pStyle w:val="tablenotes"/>
      </w:pPr>
      <w:r w:rsidRPr="00207DC2">
        <w:rPr>
          <w:i/>
        </w:rPr>
        <w:t>Source:</w:t>
      </w:r>
      <w:r w:rsidRPr="00207DC2">
        <w:t xml:space="preserve"> </w:t>
      </w:r>
      <w:r w:rsidR="0057565A" w:rsidRPr="00207DC2">
        <w:t>PMC</w:t>
      </w:r>
      <w:r w:rsidR="00660C3D" w:rsidRPr="00207DC2">
        <w:t xml:space="preserve"> estimates based u</w:t>
      </w:r>
      <w:r w:rsidRPr="00207DC2">
        <w:t>npublished ESS operational</w:t>
      </w:r>
      <w:r w:rsidR="00660C3D" w:rsidRPr="00207DC2">
        <w:t xml:space="preserve"> data (extracted on </w:t>
      </w:r>
      <w:r w:rsidR="00BA709E" w:rsidRPr="00207DC2">
        <w:t>3 October</w:t>
      </w:r>
      <w:r w:rsidR="002317B0" w:rsidRPr="00207DC2">
        <w:t> </w:t>
      </w:r>
      <w:r w:rsidR="00BA709E" w:rsidRPr="00207DC2">
        <w:t>2017) and DHS operational data (extracted on 9 October 2017</w:t>
      </w:r>
      <w:r w:rsidR="005D2BCB" w:rsidRPr="00207DC2">
        <w:t>).</w:t>
      </w:r>
      <w:r w:rsidR="002F170F" w:rsidRPr="00207DC2">
        <w:t xml:space="preserve"> </w:t>
      </w:r>
    </w:p>
    <w:p w14:paraId="526994B7" w14:textId="77777777" w:rsidR="00404559" w:rsidRPr="00207DC2" w:rsidRDefault="00B30AAA" w:rsidP="00FB626D">
      <w:pPr>
        <w:pStyle w:val="tablenotes"/>
      </w:pPr>
      <w:r w:rsidRPr="00207DC2">
        <w:rPr>
          <w:i/>
        </w:rPr>
        <w:t>Note</w:t>
      </w:r>
      <w:r w:rsidR="002F170F" w:rsidRPr="00207DC2">
        <w:rPr>
          <w:i/>
        </w:rPr>
        <w:t>s</w:t>
      </w:r>
      <w:r w:rsidRPr="00207DC2">
        <w:rPr>
          <w:i/>
        </w:rPr>
        <w:t>:</w:t>
      </w:r>
      <w:r w:rsidRPr="00207DC2">
        <w:t xml:space="preserve"> </w:t>
      </w:r>
      <w:r w:rsidR="00482C9D" w:rsidRPr="00207DC2">
        <w:t>(a)</w:t>
      </w:r>
      <w:r w:rsidRPr="00207DC2">
        <w:t xml:space="preserve"> Estimates marked as *** are statistically significant at the </w:t>
      </w:r>
      <w:r w:rsidR="001A41BE" w:rsidRPr="00207DC2">
        <w:t>0.</w:t>
      </w:r>
      <w:r w:rsidRPr="00207DC2">
        <w:t>1 per cent level, **are st</w:t>
      </w:r>
      <w:r w:rsidR="001A41BE" w:rsidRPr="00207DC2">
        <w:t xml:space="preserve">atistically significant at the </w:t>
      </w:r>
      <w:r w:rsidR="00805D3A" w:rsidRPr="00207DC2">
        <w:t>one</w:t>
      </w:r>
      <w:r w:rsidRPr="00207DC2">
        <w:t> per cent level, and * are sta</w:t>
      </w:r>
      <w:r w:rsidR="001A41BE" w:rsidRPr="00207DC2">
        <w:t xml:space="preserve">tistically significant at the </w:t>
      </w:r>
      <w:r w:rsidR="00805D3A" w:rsidRPr="00207DC2">
        <w:t>five</w:t>
      </w:r>
      <w:r w:rsidRPr="00207DC2">
        <w:t xml:space="preserve"> per cent level. </w:t>
      </w:r>
    </w:p>
    <w:p w14:paraId="377B0A05" w14:textId="77777777" w:rsidR="00404559" w:rsidRPr="008050A9" w:rsidRDefault="00404559" w:rsidP="008406DD">
      <w:pPr>
        <w:pStyle w:val="ZED5"/>
      </w:pPr>
      <w:bookmarkStart w:id="822" w:name="_Toc509587058"/>
      <w:bookmarkStart w:id="823" w:name="_Toc509588084"/>
      <w:bookmarkStart w:id="824" w:name="_Toc509588347"/>
      <w:bookmarkStart w:id="825" w:name="_Toc509589495"/>
      <w:bookmarkStart w:id="826" w:name="_Toc509926913"/>
      <w:bookmarkStart w:id="827" w:name="_Toc511661264"/>
      <w:bookmarkStart w:id="828" w:name="_Toc511826321"/>
      <w:bookmarkStart w:id="829" w:name="_Toc511940637"/>
      <w:bookmarkStart w:id="830" w:name="_Toc515185489"/>
      <w:bookmarkStart w:id="831" w:name="_Toc516219862"/>
      <w:bookmarkStart w:id="832" w:name="_Toc516220503"/>
      <w:bookmarkStart w:id="833" w:name="_Toc516223323"/>
      <w:bookmarkStart w:id="834" w:name="_Toc516225231"/>
      <w:bookmarkStart w:id="835" w:name="_Toc516229007"/>
      <w:bookmarkStart w:id="836" w:name="_Toc533064496"/>
      <w:bookmarkStart w:id="837" w:name="_Toc534965184"/>
      <w:bookmarkStart w:id="838" w:name="_Toc535935081"/>
      <w:r w:rsidRPr="008050A9">
        <w:t xml:space="preserve">CDP compared to </w:t>
      </w:r>
      <w:r w:rsidR="0086336C" w:rsidRPr="008050A9">
        <w:t>neighbouring</w:t>
      </w:r>
      <w:r w:rsidR="00987F6C" w:rsidRPr="008050A9">
        <w:t xml:space="preserve"> mainstream regions</w:t>
      </w:r>
      <w:r w:rsidRPr="008050A9">
        <w:t xml:space="preserve"> (Difference-in-Difference)</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063C3DFB" w14:textId="0C897CB8" w:rsidR="001A2716" w:rsidRPr="00207DC2" w:rsidRDefault="00B10BB7" w:rsidP="00B10BB7">
      <w:pPr>
        <w:jc w:val="both"/>
        <w:rPr>
          <w:lang w:val="en-AU"/>
        </w:rPr>
      </w:pPr>
      <w:r w:rsidRPr="00207DC2">
        <w:rPr>
          <w:lang w:val="en-AU"/>
        </w:rPr>
        <w:t xml:space="preserve">The RJCP to CDP modelling presented above uses </w:t>
      </w:r>
      <w:r w:rsidR="00624397" w:rsidRPr="00207DC2">
        <w:rPr>
          <w:lang w:val="en-AU"/>
        </w:rPr>
        <w:t>SALM</w:t>
      </w:r>
      <w:r w:rsidRPr="00207DC2">
        <w:rPr>
          <w:lang w:val="en-AU"/>
        </w:rPr>
        <w:t xml:space="preserve"> data to control for background changes in labour market conditions. The SALM data however </w:t>
      </w:r>
      <w:r w:rsidR="00DC0274" w:rsidRPr="00207DC2">
        <w:rPr>
          <w:lang w:val="en-AU"/>
        </w:rPr>
        <w:t>are</w:t>
      </w:r>
      <w:r w:rsidRPr="00207DC2">
        <w:rPr>
          <w:lang w:val="en-AU"/>
        </w:rPr>
        <w:t xml:space="preserve"> based on small sample sizes and, as a result, </w:t>
      </w:r>
      <w:r w:rsidR="00DC0274" w:rsidRPr="00207DC2">
        <w:rPr>
          <w:lang w:val="en-AU"/>
        </w:rPr>
        <w:t xml:space="preserve">have </w:t>
      </w:r>
      <w:r w:rsidRPr="00207DC2">
        <w:rPr>
          <w:lang w:val="en-AU"/>
        </w:rPr>
        <w:t xml:space="preserve">potentially large standard errors. </w:t>
      </w:r>
      <w:r w:rsidR="001A2716" w:rsidRPr="00207DC2">
        <w:rPr>
          <w:lang w:val="en-AU"/>
        </w:rPr>
        <w:t>In the absence of reliable data on employment conditions, the RJCP to CDP models may not capture background changes in labour market conditions.</w:t>
      </w:r>
      <w:r w:rsidRPr="00207DC2">
        <w:rPr>
          <w:lang w:val="en-AU"/>
        </w:rPr>
        <w:t xml:space="preserve"> </w:t>
      </w:r>
    </w:p>
    <w:p w14:paraId="502289B1" w14:textId="3BB7D4FD" w:rsidR="00404559" w:rsidRPr="00207DC2" w:rsidRDefault="00404559" w:rsidP="00404559">
      <w:pPr>
        <w:jc w:val="both"/>
        <w:rPr>
          <w:lang w:val="en-AU"/>
        </w:rPr>
      </w:pPr>
      <w:r w:rsidRPr="00207DC2">
        <w:rPr>
          <w:lang w:val="en-AU"/>
        </w:rPr>
        <w:t xml:space="preserve">By using the </w:t>
      </w:r>
      <w:r w:rsidR="0086336C" w:rsidRPr="00207DC2">
        <w:rPr>
          <w:lang w:val="en-AU"/>
        </w:rPr>
        <w:t>neighbouring mainstream</w:t>
      </w:r>
      <w:r w:rsidRPr="00207DC2">
        <w:rPr>
          <w:lang w:val="en-AU"/>
        </w:rPr>
        <w:t xml:space="preserve"> data as a baseline, difference-in-difference </w:t>
      </w:r>
      <w:r w:rsidR="009C6657" w:rsidRPr="00207DC2">
        <w:rPr>
          <w:lang w:val="en-AU"/>
        </w:rPr>
        <w:t>(Di</w:t>
      </w:r>
      <w:r w:rsidR="00B6792F" w:rsidRPr="00207DC2">
        <w:rPr>
          <w:lang w:val="en-AU"/>
        </w:rPr>
        <w:t>D</w:t>
      </w:r>
      <w:r w:rsidR="009C6657" w:rsidRPr="00207DC2">
        <w:rPr>
          <w:lang w:val="en-AU"/>
        </w:rPr>
        <w:t xml:space="preserve">) </w:t>
      </w:r>
      <w:r w:rsidRPr="00207DC2">
        <w:rPr>
          <w:lang w:val="en-AU"/>
        </w:rPr>
        <w:t>method</w:t>
      </w:r>
      <w:r w:rsidR="009C6657" w:rsidRPr="00207DC2">
        <w:rPr>
          <w:lang w:val="en-AU"/>
        </w:rPr>
        <w:t>s</w:t>
      </w:r>
      <w:r w:rsidRPr="00207DC2">
        <w:rPr>
          <w:lang w:val="en-AU"/>
        </w:rPr>
        <w:t xml:space="preserve"> can be used to look at the RJCP-CDP transition </w:t>
      </w:r>
      <w:r w:rsidR="00624397" w:rsidRPr="00207DC2">
        <w:rPr>
          <w:lang w:val="en-AU"/>
        </w:rPr>
        <w:t>against the backdrop of this mainstream baseline</w:t>
      </w:r>
      <w:r w:rsidRPr="00207DC2">
        <w:rPr>
          <w:lang w:val="en-AU"/>
        </w:rPr>
        <w:t xml:space="preserve">. This analysis assumes that changes in employment outcomes for mainstream programs across the </w:t>
      </w:r>
      <w:r w:rsidR="00B6792F" w:rsidRPr="00207DC2">
        <w:rPr>
          <w:lang w:val="en-AU"/>
        </w:rPr>
        <w:t>three</w:t>
      </w:r>
      <w:r w:rsidR="007778F4" w:rsidRPr="00207DC2">
        <w:rPr>
          <w:lang w:val="en-AU"/>
        </w:rPr>
        <w:t>-</w:t>
      </w:r>
      <w:r w:rsidRPr="00207DC2">
        <w:rPr>
          <w:lang w:val="en-AU"/>
        </w:rPr>
        <w:t xml:space="preserve">year period reflect only changes in labour market conditions (and not changes in the mainstream employment policy). That is, DiD compares the difference between 2014 employment outcomes in </w:t>
      </w:r>
      <w:r w:rsidR="00624397" w:rsidRPr="00207DC2">
        <w:rPr>
          <w:lang w:val="en-AU"/>
        </w:rPr>
        <w:t>Job Services Australia</w:t>
      </w:r>
      <w:r w:rsidR="00624397" w:rsidRPr="00207DC2" w:rsidDel="00624397">
        <w:rPr>
          <w:lang w:val="en-AU"/>
        </w:rPr>
        <w:t xml:space="preserve"> </w:t>
      </w:r>
      <w:r w:rsidR="00A75F58" w:rsidRPr="00207DC2">
        <w:rPr>
          <w:lang w:val="en-AU"/>
        </w:rPr>
        <w:t>(</w:t>
      </w:r>
      <w:r w:rsidR="00624397" w:rsidRPr="00207DC2">
        <w:rPr>
          <w:lang w:val="en-AU"/>
        </w:rPr>
        <w:t>JSA</w:t>
      </w:r>
      <w:r w:rsidR="00A75F58" w:rsidRPr="00207DC2">
        <w:rPr>
          <w:lang w:val="en-AU"/>
        </w:rPr>
        <w:t xml:space="preserve">) </w:t>
      </w:r>
      <w:r w:rsidRPr="00207DC2">
        <w:rPr>
          <w:lang w:val="en-AU"/>
        </w:rPr>
        <w:t>and</w:t>
      </w:r>
      <w:r w:rsidR="00610752" w:rsidRPr="00207DC2">
        <w:rPr>
          <w:lang w:val="en-AU"/>
        </w:rPr>
        <w:t xml:space="preserve"> the</w:t>
      </w:r>
      <w:r w:rsidRPr="00207DC2">
        <w:rPr>
          <w:lang w:val="en-AU"/>
        </w:rPr>
        <w:t xml:space="preserve"> RJCP with the difference between 2016 employment outcomes in jobactive and </w:t>
      </w:r>
      <w:r w:rsidR="00610752" w:rsidRPr="00207DC2">
        <w:rPr>
          <w:lang w:val="en-AU"/>
        </w:rPr>
        <w:t xml:space="preserve">the </w:t>
      </w:r>
      <w:r w:rsidRPr="00207DC2">
        <w:rPr>
          <w:lang w:val="en-AU"/>
        </w:rPr>
        <w:t xml:space="preserve">CDP. Then, even if the </w:t>
      </w:r>
      <w:r w:rsidR="00856939">
        <w:rPr>
          <w:lang w:val="en-AU"/>
        </w:rPr>
        <w:t>labour market conditions</w:t>
      </w:r>
      <w:r w:rsidRPr="00207DC2">
        <w:rPr>
          <w:lang w:val="en-AU"/>
        </w:rPr>
        <w:t xml:space="preserve"> change, </w:t>
      </w:r>
      <w:r w:rsidR="008C7947">
        <w:rPr>
          <w:lang w:val="en-AU"/>
        </w:rPr>
        <w:t xml:space="preserve">using </w:t>
      </w:r>
      <w:r w:rsidRPr="00207DC2">
        <w:rPr>
          <w:lang w:val="en-AU"/>
        </w:rPr>
        <w:t xml:space="preserve">the </w:t>
      </w:r>
      <w:r w:rsidR="00B335C9" w:rsidRPr="00207DC2">
        <w:rPr>
          <w:lang w:val="en-AU"/>
        </w:rPr>
        <w:t>mainstream</w:t>
      </w:r>
      <w:r w:rsidRPr="00207DC2">
        <w:rPr>
          <w:lang w:val="en-AU"/>
        </w:rPr>
        <w:t xml:space="preserve"> baseline </w:t>
      </w:r>
      <w:r w:rsidR="008C7947">
        <w:rPr>
          <w:lang w:val="en-AU"/>
        </w:rPr>
        <w:t>should</w:t>
      </w:r>
      <w:r w:rsidRPr="00207DC2">
        <w:rPr>
          <w:lang w:val="en-AU"/>
        </w:rPr>
        <w:t xml:space="preserve"> reveal</w:t>
      </w:r>
      <w:r w:rsidR="00856939">
        <w:rPr>
          <w:lang w:val="en-AU"/>
        </w:rPr>
        <w:t xml:space="preserve"> the</w:t>
      </w:r>
      <w:r w:rsidRPr="00207DC2">
        <w:rPr>
          <w:lang w:val="en-AU"/>
        </w:rPr>
        <w:t xml:space="preserve"> </w:t>
      </w:r>
      <w:r w:rsidR="00ED628C" w:rsidRPr="00207DC2">
        <w:rPr>
          <w:lang w:val="en-AU"/>
        </w:rPr>
        <w:t>‘</w:t>
      </w:r>
      <w:r w:rsidRPr="00207DC2" w:rsidDel="003B7CF5">
        <w:rPr>
          <w:lang w:val="en-AU"/>
        </w:rPr>
        <w:t>true</w:t>
      </w:r>
      <w:r w:rsidR="00ED628C" w:rsidRPr="00207DC2">
        <w:rPr>
          <w:lang w:val="en-AU"/>
        </w:rPr>
        <w:t>’</w:t>
      </w:r>
      <w:r w:rsidR="00624397" w:rsidRPr="00207DC2" w:rsidDel="003B7CF5">
        <w:rPr>
          <w:lang w:val="en-AU"/>
        </w:rPr>
        <w:t xml:space="preserve"> </w:t>
      </w:r>
      <w:r w:rsidR="00856939">
        <w:rPr>
          <w:lang w:val="en-AU"/>
        </w:rPr>
        <w:t xml:space="preserve">effect of </w:t>
      </w:r>
      <w:r w:rsidR="00610752" w:rsidRPr="00207DC2">
        <w:rPr>
          <w:lang w:val="en-AU"/>
        </w:rPr>
        <w:t xml:space="preserve">the </w:t>
      </w:r>
      <w:r w:rsidRPr="00207DC2">
        <w:rPr>
          <w:lang w:val="en-AU"/>
        </w:rPr>
        <w:t>CDP</w:t>
      </w:r>
      <w:r w:rsidR="00856939">
        <w:rPr>
          <w:lang w:val="en-AU"/>
        </w:rPr>
        <w:t xml:space="preserve"> on employment outcomes</w:t>
      </w:r>
      <w:r w:rsidRPr="00207DC2">
        <w:rPr>
          <w:lang w:val="en-AU"/>
        </w:rPr>
        <w:t xml:space="preserve">. </w:t>
      </w:r>
      <w:r w:rsidR="00F71858" w:rsidRPr="00207DC2">
        <w:rPr>
          <w:lang w:val="en-AU"/>
        </w:rPr>
        <w:t xml:space="preserve">A </w:t>
      </w:r>
      <w:r w:rsidR="005B78E4" w:rsidRPr="00207DC2">
        <w:rPr>
          <w:lang w:val="en-AU"/>
        </w:rPr>
        <w:t>limitation</w:t>
      </w:r>
      <w:r w:rsidR="00060767" w:rsidRPr="00207DC2">
        <w:rPr>
          <w:lang w:val="en-AU"/>
        </w:rPr>
        <w:t xml:space="preserve"> of</w:t>
      </w:r>
      <w:r w:rsidR="00F71858" w:rsidRPr="00207DC2">
        <w:rPr>
          <w:lang w:val="en-AU"/>
        </w:rPr>
        <w:t xml:space="preserve"> this approach is the fact that mainstream policy did change across that time in the form of JSA to jobactive. </w:t>
      </w:r>
    </w:p>
    <w:p w14:paraId="58093E64" w14:textId="77777777" w:rsidR="00404559" w:rsidRPr="00207DC2" w:rsidRDefault="00B225BF" w:rsidP="00404559">
      <w:pPr>
        <w:spacing w:before="200" w:after="200" w:line="276" w:lineRule="auto"/>
        <w:jc w:val="both"/>
        <w:rPr>
          <w:color w:val="auto"/>
          <w:lang w:val="en-AU"/>
        </w:rPr>
      </w:pPr>
      <m:oMathPara>
        <m:oMath>
          <m:d>
            <m:dPr>
              <m:ctrlPr>
                <w:rPr>
                  <w:rFonts w:ascii="Cambria Math" w:hAnsi="Cambria Math"/>
                  <w:i/>
                  <w:color w:val="auto"/>
                  <w:lang w:val="en-AU"/>
                </w:rPr>
              </m:ctrlPr>
            </m:dPr>
            <m:e>
              <m:sSub>
                <m:sSubPr>
                  <m:ctrlPr>
                    <w:rPr>
                      <w:rFonts w:ascii="Cambria Math" w:hAnsi="Cambria Math"/>
                      <w:i/>
                      <w:color w:val="auto"/>
                      <w:lang w:val="en-AU"/>
                    </w:rPr>
                  </m:ctrlPr>
                </m:sSubPr>
                <m:e>
                  <m:r>
                    <w:rPr>
                      <w:rFonts w:ascii="Cambria Math" w:hAnsi="Cambria Math"/>
                      <w:color w:val="auto"/>
                      <w:lang w:val="en-AU"/>
                    </w:rPr>
                    <m:t>CDP</m:t>
                  </m:r>
                </m:e>
                <m:sub>
                  <m:r>
                    <w:rPr>
                      <w:rFonts w:ascii="Cambria Math" w:hAnsi="Cambria Math"/>
                      <w:color w:val="auto"/>
                      <w:lang w:val="en-AU"/>
                    </w:rPr>
                    <m:t>2016</m:t>
                  </m:r>
                </m:sub>
              </m:sSub>
              <m:r>
                <w:rPr>
                  <w:rFonts w:ascii="Cambria Math" w:hAnsi="Cambria Math"/>
                  <w:color w:val="auto"/>
                  <w:lang w:val="en-AU"/>
                </w:rPr>
                <m:t>-</m:t>
              </m:r>
              <m:sSub>
                <m:sSubPr>
                  <m:ctrlPr>
                    <w:rPr>
                      <w:rFonts w:ascii="Cambria Math" w:hAnsi="Cambria Math"/>
                      <w:i/>
                      <w:color w:val="auto"/>
                      <w:lang w:val="en-AU"/>
                    </w:rPr>
                  </m:ctrlPr>
                </m:sSubPr>
                <m:e>
                  <m:r>
                    <w:rPr>
                      <w:rFonts w:ascii="Cambria Math" w:hAnsi="Cambria Math"/>
                      <w:color w:val="auto"/>
                      <w:lang w:val="en-AU"/>
                    </w:rPr>
                    <m:t>jobactive</m:t>
                  </m:r>
                </m:e>
                <m:sub>
                  <m:r>
                    <w:rPr>
                      <w:rFonts w:ascii="Cambria Math" w:hAnsi="Cambria Math"/>
                      <w:color w:val="auto"/>
                      <w:lang w:val="en-AU"/>
                    </w:rPr>
                    <m:t>2016</m:t>
                  </m:r>
                </m:sub>
              </m:sSub>
            </m:e>
          </m:d>
          <m:r>
            <w:rPr>
              <w:rFonts w:ascii="Cambria Math" w:hAnsi="Cambria Math"/>
              <w:color w:val="auto"/>
              <w:lang w:val="en-AU"/>
            </w:rPr>
            <m:t>-</m:t>
          </m:r>
          <m:d>
            <m:dPr>
              <m:ctrlPr>
                <w:rPr>
                  <w:rFonts w:ascii="Cambria Math" w:hAnsi="Cambria Math"/>
                  <w:i/>
                  <w:color w:val="auto"/>
                  <w:lang w:val="en-AU"/>
                </w:rPr>
              </m:ctrlPr>
            </m:dPr>
            <m:e>
              <m:sSub>
                <m:sSubPr>
                  <m:ctrlPr>
                    <w:rPr>
                      <w:rFonts w:ascii="Cambria Math" w:hAnsi="Cambria Math"/>
                      <w:i/>
                      <w:color w:val="auto"/>
                      <w:lang w:val="en-AU"/>
                    </w:rPr>
                  </m:ctrlPr>
                </m:sSubPr>
                <m:e>
                  <m:r>
                    <w:rPr>
                      <w:rFonts w:ascii="Cambria Math" w:hAnsi="Cambria Math"/>
                      <w:color w:val="auto"/>
                      <w:lang w:val="en-AU"/>
                    </w:rPr>
                    <m:t>RJCP</m:t>
                  </m:r>
                </m:e>
                <m:sub>
                  <m:r>
                    <w:rPr>
                      <w:rFonts w:ascii="Cambria Math" w:hAnsi="Cambria Math"/>
                      <w:color w:val="auto"/>
                      <w:lang w:val="en-AU"/>
                    </w:rPr>
                    <m:t>2014</m:t>
                  </m:r>
                </m:sub>
              </m:sSub>
              <m:r>
                <w:rPr>
                  <w:rFonts w:ascii="Cambria Math" w:hAnsi="Cambria Math"/>
                  <w:color w:val="auto"/>
                  <w:lang w:val="en-AU"/>
                </w:rPr>
                <m:t>-</m:t>
              </m:r>
              <m:sSub>
                <m:sSubPr>
                  <m:ctrlPr>
                    <w:rPr>
                      <w:rFonts w:ascii="Cambria Math" w:hAnsi="Cambria Math"/>
                      <w:i/>
                      <w:color w:val="auto"/>
                      <w:lang w:val="en-AU"/>
                    </w:rPr>
                  </m:ctrlPr>
                </m:sSubPr>
                <m:e>
                  <m:r>
                    <w:rPr>
                      <w:rFonts w:ascii="Cambria Math" w:hAnsi="Cambria Math"/>
                      <w:color w:val="auto"/>
                      <w:lang w:val="en-AU"/>
                    </w:rPr>
                    <m:t>JSA</m:t>
                  </m:r>
                </m:e>
                <m:sub>
                  <m:r>
                    <w:rPr>
                      <w:rFonts w:ascii="Cambria Math" w:hAnsi="Cambria Math"/>
                      <w:color w:val="auto"/>
                      <w:lang w:val="en-AU"/>
                    </w:rPr>
                    <m:t>2014</m:t>
                  </m:r>
                </m:sub>
              </m:sSub>
            </m:e>
          </m:d>
        </m:oMath>
      </m:oMathPara>
    </w:p>
    <w:p w14:paraId="75AB5C2A" w14:textId="108CD70D" w:rsidR="00404559" w:rsidRPr="00207DC2" w:rsidRDefault="00404559" w:rsidP="00404559">
      <w:pPr>
        <w:jc w:val="both"/>
        <w:rPr>
          <w:lang w:val="en-AU"/>
        </w:rPr>
      </w:pPr>
      <w:r w:rsidRPr="00207DC2">
        <w:rPr>
          <w:lang w:val="en-AU"/>
        </w:rPr>
        <w:t xml:space="preserve">The independent variables </w:t>
      </w:r>
      <w:r w:rsidR="00B6792F" w:rsidRPr="00207DC2">
        <w:rPr>
          <w:lang w:val="en-AU"/>
        </w:rPr>
        <w:t xml:space="preserve">included </w:t>
      </w:r>
      <w:r w:rsidRPr="00207DC2">
        <w:rPr>
          <w:lang w:val="en-AU"/>
        </w:rPr>
        <w:t xml:space="preserve">are the same for this analysis as for the before </w:t>
      </w:r>
      <w:r w:rsidR="00B47805" w:rsidRPr="00207DC2">
        <w:rPr>
          <w:lang w:val="en-AU"/>
        </w:rPr>
        <w:t>to</w:t>
      </w:r>
      <w:r w:rsidRPr="00207DC2">
        <w:rPr>
          <w:lang w:val="en-AU"/>
        </w:rPr>
        <w:t xml:space="preserve"> after analysis above, with the exception of the Indigenous provider </w:t>
      </w:r>
      <w:r w:rsidR="00624397" w:rsidRPr="00207DC2">
        <w:rPr>
          <w:lang w:val="en-AU"/>
        </w:rPr>
        <w:t xml:space="preserve">variable </w:t>
      </w:r>
      <w:r w:rsidRPr="00207DC2">
        <w:rPr>
          <w:lang w:val="en-AU"/>
        </w:rPr>
        <w:t xml:space="preserve">– this was only relevant to </w:t>
      </w:r>
      <w:r w:rsidR="00610752" w:rsidRPr="00207DC2">
        <w:rPr>
          <w:lang w:val="en-AU"/>
        </w:rPr>
        <w:t xml:space="preserve">the </w:t>
      </w:r>
      <w:r w:rsidRPr="00207DC2">
        <w:rPr>
          <w:lang w:val="en-AU"/>
        </w:rPr>
        <w:t xml:space="preserve">RJCP/CDP programs. Again, </w:t>
      </w:r>
      <w:r w:rsidR="00F71858" w:rsidRPr="00207DC2">
        <w:rPr>
          <w:lang w:val="en-AU"/>
        </w:rPr>
        <w:t xml:space="preserve">models </w:t>
      </w:r>
      <w:r w:rsidRPr="00207DC2">
        <w:rPr>
          <w:lang w:val="en-AU"/>
        </w:rPr>
        <w:t xml:space="preserve">used </w:t>
      </w:r>
      <w:r w:rsidR="00F71858" w:rsidRPr="00207DC2">
        <w:rPr>
          <w:lang w:val="en-AU"/>
        </w:rPr>
        <w:t xml:space="preserve">both </w:t>
      </w:r>
      <w:r w:rsidRPr="00207DC2">
        <w:rPr>
          <w:lang w:val="en-AU"/>
        </w:rPr>
        <w:t xml:space="preserve">the PIT and NEW samples. </w:t>
      </w:r>
    </w:p>
    <w:p w14:paraId="1255F245" w14:textId="2C5D12D9" w:rsidR="00AA046F" w:rsidRPr="00207DC2" w:rsidRDefault="001A2716" w:rsidP="00AA046F">
      <w:pPr>
        <w:jc w:val="both"/>
        <w:rPr>
          <w:lang w:val="en-AU"/>
        </w:rPr>
      </w:pPr>
      <w:r w:rsidRPr="00207DC2">
        <w:rPr>
          <w:lang w:val="en-AU"/>
        </w:rPr>
        <w:t>Only mainstream region</w:t>
      </w:r>
      <w:r w:rsidR="00AA046F" w:rsidRPr="00207DC2">
        <w:rPr>
          <w:lang w:val="en-AU"/>
        </w:rPr>
        <w:t>s</w:t>
      </w:r>
      <w:r w:rsidRPr="00207DC2">
        <w:rPr>
          <w:lang w:val="en-AU"/>
        </w:rPr>
        <w:t xml:space="preserve"> that immediately border</w:t>
      </w:r>
      <w:r w:rsidRPr="00207DC2" w:rsidDel="00AA046F">
        <w:rPr>
          <w:lang w:val="en-AU"/>
        </w:rPr>
        <w:t xml:space="preserve"> </w:t>
      </w:r>
      <w:r w:rsidRPr="00207DC2">
        <w:rPr>
          <w:lang w:val="en-AU"/>
        </w:rPr>
        <w:t xml:space="preserve">the CDP boundary were selected as </w:t>
      </w:r>
      <w:r w:rsidR="003B7CF5" w:rsidRPr="00207DC2">
        <w:rPr>
          <w:lang w:val="en-AU"/>
        </w:rPr>
        <w:t>comparison</w:t>
      </w:r>
      <w:r w:rsidRPr="00207DC2">
        <w:rPr>
          <w:lang w:val="en-AU"/>
        </w:rPr>
        <w:t xml:space="preserve"> labour markets for the difference-in-difference analysis. This selection used Statistical Area 2 (SA2) regions that crossed the CDP boundary. Participants were assigned to either the remote or mainstream employment pr</w:t>
      </w:r>
      <w:r w:rsidR="003A4754" w:rsidRPr="00207DC2">
        <w:rPr>
          <w:lang w:val="en-AU"/>
        </w:rPr>
        <w:t>o</w:t>
      </w:r>
      <w:r w:rsidRPr="00207DC2">
        <w:rPr>
          <w:lang w:val="en-AU"/>
        </w:rPr>
        <w:t>gr</w:t>
      </w:r>
      <w:r w:rsidR="003A4754" w:rsidRPr="00207DC2">
        <w:rPr>
          <w:lang w:val="en-AU"/>
        </w:rPr>
        <w:t>a</w:t>
      </w:r>
      <w:r w:rsidRPr="00207DC2">
        <w:rPr>
          <w:lang w:val="en-AU"/>
        </w:rPr>
        <w:t>m based on their home address in the system – that is, those that live at the border of the CDP region are assigned to either mainstream or remote employment programs depending on the location of their home address.</w:t>
      </w:r>
    </w:p>
    <w:p w14:paraId="5780A9C9" w14:textId="1C46E227" w:rsidR="00624397" w:rsidRPr="00207DC2" w:rsidRDefault="00C064EF" w:rsidP="00DE6774">
      <w:pPr>
        <w:spacing w:after="120"/>
        <w:jc w:val="both"/>
        <w:rPr>
          <w:lang w:val="en-AU"/>
        </w:rPr>
      </w:pPr>
      <w:r w:rsidRPr="00207DC2">
        <w:rPr>
          <w:lang w:val="en-AU"/>
        </w:rPr>
        <w:t xml:space="preserve">A number of </w:t>
      </w:r>
      <w:r w:rsidR="003B7CF5" w:rsidRPr="00207DC2">
        <w:rPr>
          <w:lang w:val="en-AU"/>
        </w:rPr>
        <w:t>sensitivity</w:t>
      </w:r>
      <w:r w:rsidR="00DE6774" w:rsidRPr="00207DC2">
        <w:rPr>
          <w:lang w:val="en-AU"/>
        </w:rPr>
        <w:t xml:space="preserve"> tests</w:t>
      </w:r>
      <w:r w:rsidRPr="00207DC2">
        <w:rPr>
          <w:lang w:val="en-AU"/>
        </w:rPr>
        <w:t xml:space="preserve"> were used to </w:t>
      </w:r>
      <w:r w:rsidR="00DD60F2" w:rsidRPr="00207DC2">
        <w:rPr>
          <w:lang w:val="en-AU"/>
        </w:rPr>
        <w:t xml:space="preserve">examine </w:t>
      </w:r>
      <w:r w:rsidRPr="00207DC2">
        <w:rPr>
          <w:lang w:val="en-AU"/>
        </w:rPr>
        <w:t xml:space="preserve">the robustness of the results. </w:t>
      </w:r>
      <w:r w:rsidR="005B78E4" w:rsidRPr="00207DC2">
        <w:rPr>
          <w:lang w:val="en-AU"/>
        </w:rPr>
        <w:t>T</w:t>
      </w:r>
      <w:r w:rsidRPr="00207DC2">
        <w:rPr>
          <w:lang w:val="en-AU"/>
        </w:rPr>
        <w:t xml:space="preserve">he analysis </w:t>
      </w:r>
      <w:r w:rsidR="005B78E4" w:rsidRPr="00207DC2">
        <w:rPr>
          <w:lang w:val="en-AU"/>
        </w:rPr>
        <w:t>was replicated</w:t>
      </w:r>
      <w:r w:rsidRPr="00207DC2">
        <w:rPr>
          <w:lang w:val="en-AU"/>
        </w:rPr>
        <w:t xml:space="preserve"> limiting the CDP regions to just those adjacent to the boundary </w:t>
      </w:r>
      <w:r w:rsidR="00624397" w:rsidRPr="00207DC2">
        <w:rPr>
          <w:lang w:val="en-AU"/>
        </w:rPr>
        <w:t xml:space="preserve">of the </w:t>
      </w:r>
      <w:r w:rsidRPr="00207DC2">
        <w:rPr>
          <w:lang w:val="en-AU"/>
        </w:rPr>
        <w:t>mainstream regions</w:t>
      </w:r>
      <w:r w:rsidR="00060767" w:rsidRPr="00207DC2">
        <w:rPr>
          <w:lang w:val="en-AU"/>
        </w:rPr>
        <w:t xml:space="preserve"> (that is,</w:t>
      </w:r>
      <w:r w:rsidR="00F71858" w:rsidRPr="00207DC2">
        <w:rPr>
          <w:lang w:val="en-AU"/>
        </w:rPr>
        <w:t xml:space="preserve"> those individuals living in the cross-border SA2s on the inside of the CDP boundary)</w:t>
      </w:r>
      <w:r w:rsidR="00396552" w:rsidRPr="00207DC2">
        <w:rPr>
          <w:lang w:val="en-AU"/>
        </w:rPr>
        <w:t xml:space="preserve"> – </w:t>
      </w:r>
      <w:r w:rsidRPr="00207DC2">
        <w:rPr>
          <w:lang w:val="en-AU"/>
        </w:rPr>
        <w:t>where arguably the labour market conditions are most similar (Figure 4.1)</w:t>
      </w:r>
      <w:r w:rsidR="005B78E4" w:rsidRPr="00207DC2">
        <w:rPr>
          <w:lang w:val="en-AU"/>
        </w:rPr>
        <w:t>.</w:t>
      </w:r>
      <w:r w:rsidRPr="00207DC2">
        <w:rPr>
          <w:lang w:val="en-AU"/>
        </w:rPr>
        <w:t xml:space="preserve"> </w:t>
      </w:r>
      <w:r w:rsidR="005B78E4" w:rsidRPr="00207DC2">
        <w:rPr>
          <w:lang w:val="en-AU"/>
        </w:rPr>
        <w:t>This</w:t>
      </w:r>
      <w:r w:rsidRPr="00207DC2">
        <w:rPr>
          <w:lang w:val="en-AU"/>
        </w:rPr>
        <w:t xml:space="preserve"> found similar pattern of results: </w:t>
      </w:r>
    </w:p>
    <w:p w14:paraId="7DFE602E" w14:textId="77777777" w:rsidR="00624397" w:rsidRPr="00207DC2" w:rsidRDefault="00C064EF" w:rsidP="00F90446">
      <w:pPr>
        <w:pStyle w:val="ListParagraph"/>
        <w:numPr>
          <w:ilvl w:val="0"/>
          <w:numId w:val="27"/>
        </w:numPr>
        <w:jc w:val="both"/>
        <w:rPr>
          <w:lang w:val="en-AU"/>
        </w:rPr>
      </w:pPr>
      <w:r w:rsidRPr="00207DC2">
        <w:rPr>
          <w:lang w:val="en-AU"/>
        </w:rPr>
        <w:t xml:space="preserve">job placements were estimated to decline by 2.3 </w:t>
      </w:r>
      <w:r w:rsidR="00805D3A" w:rsidRPr="00207DC2">
        <w:rPr>
          <w:lang w:val="en-AU"/>
        </w:rPr>
        <w:t>per</w:t>
      </w:r>
      <w:r w:rsidRPr="00207DC2">
        <w:rPr>
          <w:lang w:val="en-AU"/>
        </w:rPr>
        <w:t>cent</w:t>
      </w:r>
      <w:r w:rsidR="00805D3A" w:rsidRPr="00207DC2">
        <w:rPr>
          <w:lang w:val="en-AU"/>
        </w:rPr>
        <w:t>age points</w:t>
      </w:r>
      <w:r w:rsidRPr="00207DC2">
        <w:rPr>
          <w:lang w:val="en-AU"/>
        </w:rPr>
        <w:t xml:space="preserve"> (significant at the </w:t>
      </w:r>
      <w:r w:rsidR="00805D3A" w:rsidRPr="00207DC2">
        <w:rPr>
          <w:lang w:val="en-AU"/>
        </w:rPr>
        <w:t>five</w:t>
      </w:r>
      <w:r w:rsidRPr="00207DC2">
        <w:rPr>
          <w:lang w:val="en-AU"/>
        </w:rPr>
        <w:t xml:space="preserve"> per cent level), </w:t>
      </w:r>
    </w:p>
    <w:p w14:paraId="22BCAE96" w14:textId="77777777" w:rsidR="00624397" w:rsidRPr="00207DC2" w:rsidRDefault="00C064EF" w:rsidP="00F90446">
      <w:pPr>
        <w:pStyle w:val="ListParagraph"/>
        <w:numPr>
          <w:ilvl w:val="0"/>
          <w:numId w:val="27"/>
        </w:numPr>
        <w:jc w:val="both"/>
        <w:rPr>
          <w:lang w:val="en-AU"/>
        </w:rPr>
      </w:pPr>
      <w:r w:rsidRPr="00207DC2">
        <w:rPr>
          <w:lang w:val="en-AU"/>
        </w:rPr>
        <w:t>13</w:t>
      </w:r>
      <w:r w:rsidR="00DE6518" w:rsidRPr="00207DC2">
        <w:rPr>
          <w:lang w:val="en-AU"/>
        </w:rPr>
        <w:noBreakHyphen/>
      </w:r>
      <w:r w:rsidRPr="00207DC2">
        <w:rPr>
          <w:lang w:val="en-AU"/>
        </w:rPr>
        <w:t>week outcomes were estimated to decline by 2.0 </w:t>
      </w:r>
      <w:r w:rsidR="00805D3A" w:rsidRPr="00207DC2">
        <w:rPr>
          <w:lang w:val="en-AU"/>
        </w:rPr>
        <w:t>per</w:t>
      </w:r>
      <w:r w:rsidRPr="00207DC2">
        <w:rPr>
          <w:lang w:val="en-AU"/>
        </w:rPr>
        <w:t>cent</w:t>
      </w:r>
      <w:r w:rsidR="00805D3A" w:rsidRPr="00207DC2">
        <w:rPr>
          <w:lang w:val="en-AU"/>
        </w:rPr>
        <w:t>age points</w:t>
      </w:r>
      <w:r w:rsidRPr="00207DC2">
        <w:rPr>
          <w:lang w:val="en-AU"/>
        </w:rPr>
        <w:t xml:space="preserve"> (significant at the </w:t>
      </w:r>
      <w:r w:rsidR="00805D3A" w:rsidRPr="00207DC2">
        <w:rPr>
          <w:lang w:val="en-AU"/>
        </w:rPr>
        <w:t>five</w:t>
      </w:r>
      <w:r w:rsidRPr="00207DC2">
        <w:rPr>
          <w:lang w:val="en-AU"/>
        </w:rPr>
        <w:t xml:space="preserve"> per cent level) and </w:t>
      </w:r>
    </w:p>
    <w:p w14:paraId="3B827D4B" w14:textId="77777777" w:rsidR="00C064EF" w:rsidRPr="00207DC2" w:rsidRDefault="00C064EF" w:rsidP="00F90446">
      <w:pPr>
        <w:pStyle w:val="ListParagraph"/>
        <w:numPr>
          <w:ilvl w:val="0"/>
          <w:numId w:val="27"/>
        </w:numPr>
        <w:jc w:val="both"/>
        <w:rPr>
          <w:lang w:val="en-AU"/>
        </w:rPr>
      </w:pPr>
      <w:r w:rsidRPr="00207DC2">
        <w:rPr>
          <w:lang w:val="en-AU"/>
        </w:rPr>
        <w:t>26-week outcomes increased up 1.8 </w:t>
      </w:r>
      <w:r w:rsidR="00805D3A" w:rsidRPr="00207DC2">
        <w:rPr>
          <w:lang w:val="en-AU"/>
        </w:rPr>
        <w:t>per</w:t>
      </w:r>
      <w:r w:rsidRPr="00207DC2">
        <w:rPr>
          <w:lang w:val="en-AU"/>
        </w:rPr>
        <w:t>cent</w:t>
      </w:r>
      <w:r w:rsidR="00805D3A" w:rsidRPr="00207DC2">
        <w:rPr>
          <w:lang w:val="en-AU"/>
        </w:rPr>
        <w:t>age points</w:t>
      </w:r>
      <w:r w:rsidRPr="00207DC2">
        <w:rPr>
          <w:lang w:val="en-AU"/>
        </w:rPr>
        <w:t xml:space="preserve"> (significant at the </w:t>
      </w:r>
      <w:r w:rsidR="00805D3A" w:rsidRPr="00207DC2">
        <w:rPr>
          <w:lang w:val="en-AU"/>
        </w:rPr>
        <w:t>one</w:t>
      </w:r>
      <w:r w:rsidRPr="00207DC2">
        <w:rPr>
          <w:lang w:val="en-AU"/>
        </w:rPr>
        <w:t> per cent level).</w:t>
      </w:r>
      <w:r w:rsidR="00672474" w:rsidRPr="00207DC2">
        <w:rPr>
          <w:lang w:val="en-AU"/>
        </w:rPr>
        <w:t xml:space="preserve"> </w:t>
      </w:r>
    </w:p>
    <w:p w14:paraId="180D870E" w14:textId="77777777" w:rsidR="00346D8D" w:rsidRPr="00207DC2" w:rsidRDefault="00346D8D" w:rsidP="00FB626D">
      <w:pPr>
        <w:pStyle w:val="Table"/>
        <w:outlineLvl w:val="9"/>
        <w:rPr>
          <w:vertAlign w:val="superscript"/>
        </w:rPr>
      </w:pPr>
      <w:r w:rsidRPr="00207DC2">
        <w:t>Table C.5 Estimated coefficients for the difference-in-difference regression analyses</w:t>
      </w:r>
      <w:r w:rsidR="00482C9D" w:rsidRPr="00207DC2">
        <w:rPr>
          <w:vertAlign w:val="superscript"/>
        </w:rPr>
        <w:t>a</w:t>
      </w:r>
    </w:p>
    <w:tbl>
      <w:tblPr>
        <w:tblStyle w:val="PlainTable21"/>
        <w:tblW w:w="9464" w:type="dxa"/>
        <w:tblBorders>
          <w:top w:val="single" w:sz="4" w:space="0" w:color="262626" w:themeColor="background1"/>
          <w:bottom w:val="single" w:sz="4" w:space="0" w:color="262626" w:themeColor="background1"/>
          <w:insideH w:val="single" w:sz="4" w:space="0" w:color="262626" w:themeColor="background1"/>
        </w:tblBorders>
        <w:tblLayout w:type="fixed"/>
        <w:tblLook w:val="04A0" w:firstRow="1" w:lastRow="0" w:firstColumn="1" w:lastColumn="0" w:noHBand="0" w:noVBand="1"/>
        <w:tblCaption w:val="Estimated coefficients for the difference-in-difference regression analyses"/>
        <w:tblDescription w:val="The table displays the estimated regression coefficients of the quasi-experimental difference in difference regression model."/>
      </w:tblPr>
      <w:tblGrid>
        <w:gridCol w:w="5211"/>
        <w:gridCol w:w="1417"/>
        <w:gridCol w:w="1418"/>
        <w:gridCol w:w="1418"/>
      </w:tblGrid>
      <w:tr w:rsidR="00346D8D" w:rsidRPr="00207DC2" w14:paraId="7E05FFAB" w14:textId="77777777" w:rsidTr="000F0E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11" w:type="dxa"/>
            <w:tcBorders>
              <w:bottom w:val="single" w:sz="4" w:space="0" w:color="262626" w:themeColor="background1"/>
            </w:tcBorders>
          </w:tcPr>
          <w:p w14:paraId="5A02F1A3" w14:textId="77777777" w:rsidR="00346D8D" w:rsidRPr="00207DC2" w:rsidRDefault="000F0E95" w:rsidP="00FB626D">
            <w:pPr>
              <w:pStyle w:val="TableText"/>
              <w:keepNext/>
              <w:keepLines/>
              <w:spacing w:after="0"/>
              <w:ind w:left="142" w:right="142"/>
              <w:rPr>
                <w:sz w:val="20"/>
                <w:lang w:val="en-AU"/>
              </w:rPr>
            </w:pPr>
            <w:r w:rsidRPr="00207DC2">
              <w:rPr>
                <w:sz w:val="20"/>
                <w:lang w:val="en-AU"/>
              </w:rPr>
              <w:t>Employment outcomes</w:t>
            </w:r>
          </w:p>
        </w:tc>
        <w:tc>
          <w:tcPr>
            <w:tcW w:w="1417" w:type="dxa"/>
            <w:tcBorders>
              <w:bottom w:val="single" w:sz="4" w:space="0" w:color="262626" w:themeColor="background1"/>
            </w:tcBorders>
          </w:tcPr>
          <w:p w14:paraId="3DFCD3FB" w14:textId="77777777" w:rsidR="00346D8D" w:rsidRPr="00207DC2" w:rsidRDefault="00346D8D" w:rsidP="00FB626D">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sz w:val="20"/>
                <w:lang w:val="en-AU"/>
              </w:rPr>
            </w:pPr>
            <w:r w:rsidRPr="00207DC2">
              <w:rPr>
                <w:sz w:val="20"/>
                <w:lang w:val="en-AU"/>
              </w:rPr>
              <w:t>Placed</w:t>
            </w:r>
          </w:p>
        </w:tc>
        <w:tc>
          <w:tcPr>
            <w:tcW w:w="1418" w:type="dxa"/>
            <w:tcBorders>
              <w:bottom w:val="single" w:sz="4" w:space="0" w:color="262626" w:themeColor="background1"/>
            </w:tcBorders>
          </w:tcPr>
          <w:p w14:paraId="275D0EE4" w14:textId="12CAA74A" w:rsidR="00346D8D" w:rsidRPr="00207DC2" w:rsidRDefault="00346D8D"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sz w:val="20"/>
                <w:lang w:val="en-AU"/>
              </w:rPr>
            </w:pPr>
            <w:r w:rsidRPr="00207DC2">
              <w:rPr>
                <w:sz w:val="20"/>
                <w:lang w:val="en-AU"/>
              </w:rPr>
              <w:t>13</w:t>
            </w:r>
            <w:r w:rsidR="00281CF6">
              <w:rPr>
                <w:sz w:val="20"/>
                <w:lang w:val="en-AU"/>
              </w:rPr>
              <w:t xml:space="preserve"> </w:t>
            </w:r>
            <w:r w:rsidRPr="00207DC2">
              <w:rPr>
                <w:sz w:val="20"/>
                <w:lang w:val="en-AU"/>
              </w:rPr>
              <w:t>week</w:t>
            </w:r>
          </w:p>
        </w:tc>
        <w:tc>
          <w:tcPr>
            <w:tcW w:w="1418" w:type="dxa"/>
            <w:tcBorders>
              <w:bottom w:val="single" w:sz="4" w:space="0" w:color="262626" w:themeColor="background1"/>
            </w:tcBorders>
          </w:tcPr>
          <w:p w14:paraId="3810F7FA" w14:textId="724F9FF6" w:rsidR="00346D8D" w:rsidRPr="00207DC2" w:rsidRDefault="00346D8D" w:rsidP="00281CF6">
            <w:pPr>
              <w:pStyle w:val="TableText"/>
              <w:keepNext/>
              <w:keepLines/>
              <w:spacing w:after="0"/>
              <w:ind w:left="142" w:right="142"/>
              <w:cnfStyle w:val="100000000000" w:firstRow="1" w:lastRow="0" w:firstColumn="0" w:lastColumn="0" w:oddVBand="0" w:evenVBand="0" w:oddHBand="0" w:evenHBand="0" w:firstRowFirstColumn="0" w:firstRowLastColumn="0" w:lastRowFirstColumn="0" w:lastRowLastColumn="0"/>
              <w:rPr>
                <w:sz w:val="20"/>
                <w:lang w:val="en-AU"/>
              </w:rPr>
            </w:pPr>
            <w:r w:rsidRPr="00207DC2">
              <w:rPr>
                <w:sz w:val="20"/>
                <w:lang w:val="en-AU"/>
              </w:rPr>
              <w:t>26</w:t>
            </w:r>
            <w:r w:rsidR="00281CF6">
              <w:rPr>
                <w:sz w:val="20"/>
                <w:lang w:val="en-AU"/>
              </w:rPr>
              <w:t xml:space="preserve"> </w:t>
            </w:r>
            <w:r w:rsidRPr="00207DC2">
              <w:rPr>
                <w:sz w:val="20"/>
                <w:lang w:val="en-AU"/>
              </w:rPr>
              <w:t xml:space="preserve">week </w:t>
            </w:r>
          </w:p>
        </w:tc>
      </w:tr>
      <w:tr w:rsidR="00346D8D" w:rsidRPr="00207DC2" w14:paraId="1611ABEA"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bottom w:val="nil"/>
            </w:tcBorders>
          </w:tcPr>
          <w:p w14:paraId="472E38C2" w14:textId="77777777" w:rsidR="00346D8D" w:rsidRPr="00207DC2" w:rsidRDefault="00346D8D" w:rsidP="00FB626D">
            <w:pPr>
              <w:pStyle w:val="TableText"/>
              <w:keepNext/>
              <w:keepLines/>
              <w:spacing w:after="0"/>
              <w:ind w:left="142" w:right="142"/>
              <w:rPr>
                <w:b w:val="0"/>
                <w:sz w:val="20"/>
                <w:lang w:val="en-AU" w:eastAsia="en-AU"/>
              </w:rPr>
            </w:pPr>
            <w:r w:rsidRPr="00207DC2">
              <w:rPr>
                <w:b w:val="0"/>
                <w:sz w:val="20"/>
                <w:lang w:val="en-AU" w:eastAsia="en-AU"/>
              </w:rPr>
              <w:t>2016 participant (time component)</w:t>
            </w:r>
          </w:p>
        </w:tc>
        <w:tc>
          <w:tcPr>
            <w:tcW w:w="1417" w:type="dxa"/>
            <w:tcBorders>
              <w:bottom w:val="nil"/>
            </w:tcBorders>
          </w:tcPr>
          <w:p w14:paraId="53444B3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3</w:t>
            </w:r>
          </w:p>
        </w:tc>
        <w:tc>
          <w:tcPr>
            <w:tcW w:w="1418" w:type="dxa"/>
            <w:tcBorders>
              <w:bottom w:val="nil"/>
            </w:tcBorders>
          </w:tcPr>
          <w:p w14:paraId="7E061D32"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5***</w:t>
            </w:r>
          </w:p>
        </w:tc>
        <w:tc>
          <w:tcPr>
            <w:tcW w:w="1418" w:type="dxa"/>
            <w:tcBorders>
              <w:bottom w:val="nil"/>
            </w:tcBorders>
          </w:tcPr>
          <w:p w14:paraId="4B9B0B6A"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0</w:t>
            </w:r>
          </w:p>
        </w:tc>
      </w:tr>
      <w:tr w:rsidR="00346D8D" w:rsidRPr="00207DC2" w14:paraId="7E8FEBAB"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3EFCF1A5" w14:textId="77777777" w:rsidR="00346D8D" w:rsidRPr="00207DC2" w:rsidRDefault="00346D8D" w:rsidP="00FB626D">
            <w:pPr>
              <w:pStyle w:val="TableText"/>
              <w:keepNext/>
              <w:keepLines/>
              <w:spacing w:after="0"/>
              <w:ind w:left="142" w:right="-108"/>
              <w:rPr>
                <w:b w:val="0"/>
                <w:sz w:val="20"/>
                <w:lang w:val="en-AU" w:eastAsia="en-AU"/>
              </w:rPr>
            </w:pPr>
            <w:r w:rsidRPr="00207DC2">
              <w:rPr>
                <w:b w:val="0"/>
                <w:sz w:val="20"/>
                <w:lang w:val="en-AU" w:eastAsia="en-AU"/>
              </w:rPr>
              <w:t>RJCP/CDP participant (treatment component)</w:t>
            </w:r>
          </w:p>
        </w:tc>
        <w:tc>
          <w:tcPr>
            <w:tcW w:w="1417" w:type="dxa"/>
            <w:tcBorders>
              <w:top w:val="nil"/>
              <w:bottom w:val="nil"/>
            </w:tcBorders>
          </w:tcPr>
          <w:p w14:paraId="08CF2548"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-9</w:t>
            </w:r>
            <w:r w:rsidR="00D761B6" w:rsidRPr="00207DC2">
              <w:rPr>
                <w:color w:val="000000"/>
                <w:sz w:val="20"/>
                <w:szCs w:val="22"/>
                <w:lang w:val="en-AU"/>
              </w:rPr>
              <w:t>.</w:t>
            </w:r>
            <w:r w:rsidRPr="00207DC2">
              <w:rPr>
                <w:color w:val="000000"/>
                <w:sz w:val="20"/>
                <w:szCs w:val="22"/>
                <w:lang w:val="en-AU"/>
              </w:rPr>
              <w:t>7***</w:t>
            </w:r>
          </w:p>
        </w:tc>
        <w:tc>
          <w:tcPr>
            <w:tcW w:w="1418" w:type="dxa"/>
            <w:tcBorders>
              <w:top w:val="nil"/>
              <w:bottom w:val="nil"/>
            </w:tcBorders>
          </w:tcPr>
          <w:p w14:paraId="0DD5E292"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6161C358"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3</w:t>
            </w:r>
          </w:p>
        </w:tc>
      </w:tr>
      <w:tr w:rsidR="00346D8D" w:rsidRPr="00207DC2" w14:paraId="00D7B82C"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251041E" w14:textId="77777777" w:rsidR="00346D8D" w:rsidRPr="00207DC2" w:rsidRDefault="00346D8D" w:rsidP="00FB626D">
            <w:pPr>
              <w:pStyle w:val="TableText"/>
              <w:keepNext/>
              <w:keepLines/>
              <w:spacing w:after="0"/>
              <w:ind w:left="142" w:right="142"/>
              <w:rPr>
                <w:b w:val="0"/>
                <w:sz w:val="20"/>
                <w:lang w:val="en-AU" w:eastAsia="en-AU"/>
              </w:rPr>
            </w:pPr>
            <w:r w:rsidRPr="00207DC2">
              <w:rPr>
                <w:b w:val="0"/>
                <w:sz w:val="20"/>
                <w:lang w:val="en-AU" w:eastAsia="en-AU"/>
              </w:rPr>
              <w:t>CDP participant (DiD estimate)</w:t>
            </w:r>
          </w:p>
        </w:tc>
        <w:tc>
          <w:tcPr>
            <w:tcW w:w="1417" w:type="dxa"/>
            <w:tcBorders>
              <w:top w:val="nil"/>
              <w:bottom w:val="nil"/>
            </w:tcBorders>
          </w:tcPr>
          <w:p w14:paraId="2917DCA0"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1377A4FE"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5***</w:t>
            </w:r>
          </w:p>
        </w:tc>
        <w:tc>
          <w:tcPr>
            <w:tcW w:w="1418" w:type="dxa"/>
            <w:tcBorders>
              <w:top w:val="nil"/>
              <w:bottom w:val="nil"/>
            </w:tcBorders>
          </w:tcPr>
          <w:p w14:paraId="700166F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2***</w:t>
            </w:r>
          </w:p>
        </w:tc>
      </w:tr>
      <w:tr w:rsidR="00346D8D" w:rsidRPr="00207DC2" w14:paraId="407183E2"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6EC12A80" w14:textId="77777777" w:rsidR="00346D8D" w:rsidRPr="00207DC2" w:rsidRDefault="00346D8D" w:rsidP="00FB626D">
            <w:pPr>
              <w:pStyle w:val="TableText"/>
              <w:keepNext/>
              <w:keepLines/>
              <w:spacing w:after="0"/>
              <w:ind w:left="142" w:right="142"/>
              <w:rPr>
                <w:b w:val="0"/>
                <w:sz w:val="20"/>
                <w:lang w:val="en-AU" w:eastAsia="en-AU"/>
              </w:rPr>
            </w:pPr>
            <w:r w:rsidRPr="00207DC2">
              <w:rPr>
                <w:b w:val="0"/>
                <w:sz w:val="20"/>
                <w:lang w:val="en-AU" w:eastAsia="en-AU"/>
              </w:rPr>
              <w:t>male</w:t>
            </w:r>
          </w:p>
        </w:tc>
        <w:tc>
          <w:tcPr>
            <w:tcW w:w="1417" w:type="dxa"/>
            <w:tcBorders>
              <w:top w:val="nil"/>
              <w:bottom w:val="nil"/>
            </w:tcBorders>
          </w:tcPr>
          <w:p w14:paraId="03886B63"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nil"/>
            </w:tcBorders>
          </w:tcPr>
          <w:p w14:paraId="238C6FC9"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nil"/>
            </w:tcBorders>
          </w:tcPr>
          <w:p w14:paraId="5DA93C0C"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3*</w:t>
            </w:r>
          </w:p>
        </w:tc>
      </w:tr>
      <w:tr w:rsidR="00346D8D" w:rsidRPr="00207DC2" w14:paraId="262FD024"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dashSmallGap" w:sz="4" w:space="0" w:color="auto"/>
            </w:tcBorders>
          </w:tcPr>
          <w:p w14:paraId="5DDD41AD" w14:textId="77777777" w:rsidR="00346D8D" w:rsidRPr="00207DC2" w:rsidRDefault="00DB7280" w:rsidP="00FB626D">
            <w:pPr>
              <w:pStyle w:val="TableText"/>
              <w:keepNext/>
              <w:keepLines/>
              <w:spacing w:after="0"/>
              <w:ind w:left="142" w:right="142"/>
              <w:rPr>
                <w:b w:val="0"/>
                <w:sz w:val="20"/>
                <w:lang w:val="en-AU" w:eastAsia="en-AU"/>
              </w:rPr>
            </w:pPr>
            <w:r w:rsidRPr="00207DC2">
              <w:rPr>
                <w:b w:val="0"/>
                <w:sz w:val="20"/>
                <w:lang w:val="en-AU" w:eastAsia="en-AU"/>
              </w:rPr>
              <w:t>Identified a</w:t>
            </w:r>
            <w:r w:rsidR="00346D8D" w:rsidRPr="00207DC2">
              <w:rPr>
                <w:b w:val="0"/>
                <w:sz w:val="20"/>
                <w:lang w:val="en-AU" w:eastAsia="en-AU"/>
              </w:rPr>
              <w:t>s Indigenous</w:t>
            </w:r>
          </w:p>
        </w:tc>
        <w:tc>
          <w:tcPr>
            <w:tcW w:w="1417" w:type="dxa"/>
            <w:tcBorders>
              <w:top w:val="nil"/>
              <w:bottom w:val="dashSmallGap" w:sz="4" w:space="0" w:color="auto"/>
            </w:tcBorders>
          </w:tcPr>
          <w:p w14:paraId="0C2D7C1E"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dashSmallGap" w:sz="4" w:space="0" w:color="auto"/>
            </w:tcBorders>
          </w:tcPr>
          <w:p w14:paraId="47FF3E73"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dashSmallGap" w:sz="4" w:space="0" w:color="auto"/>
            </w:tcBorders>
          </w:tcPr>
          <w:p w14:paraId="260B9A6B"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0</w:t>
            </w:r>
          </w:p>
        </w:tc>
      </w:tr>
      <w:tr w:rsidR="00346D8D" w:rsidRPr="00207DC2" w14:paraId="612F9834"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dashSmallGap" w:sz="4" w:space="0" w:color="auto"/>
              <w:bottom w:val="nil"/>
            </w:tcBorders>
          </w:tcPr>
          <w:p w14:paraId="1350C3AE"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1</w:t>
            </w:r>
          </w:p>
        </w:tc>
        <w:tc>
          <w:tcPr>
            <w:tcW w:w="1417" w:type="dxa"/>
            <w:tcBorders>
              <w:top w:val="dashSmallGap" w:sz="4" w:space="0" w:color="auto"/>
              <w:bottom w:val="nil"/>
            </w:tcBorders>
          </w:tcPr>
          <w:p w14:paraId="1C6FB272"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4*</w:t>
            </w:r>
          </w:p>
        </w:tc>
        <w:tc>
          <w:tcPr>
            <w:tcW w:w="1418" w:type="dxa"/>
            <w:tcBorders>
              <w:top w:val="dashSmallGap" w:sz="4" w:space="0" w:color="auto"/>
              <w:bottom w:val="nil"/>
            </w:tcBorders>
          </w:tcPr>
          <w:p w14:paraId="041D76CA"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7***</w:t>
            </w:r>
          </w:p>
        </w:tc>
        <w:tc>
          <w:tcPr>
            <w:tcW w:w="1418" w:type="dxa"/>
            <w:tcBorders>
              <w:top w:val="dashSmallGap" w:sz="4" w:space="0" w:color="auto"/>
              <w:bottom w:val="nil"/>
            </w:tcBorders>
          </w:tcPr>
          <w:p w14:paraId="7962DFC6"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6***</w:t>
            </w:r>
          </w:p>
        </w:tc>
      </w:tr>
      <w:tr w:rsidR="00346D8D" w:rsidRPr="00207DC2" w14:paraId="029EEDA2"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9EEE4AB"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2</w:t>
            </w:r>
          </w:p>
        </w:tc>
        <w:tc>
          <w:tcPr>
            <w:tcW w:w="1417" w:type="dxa"/>
            <w:tcBorders>
              <w:top w:val="nil"/>
              <w:bottom w:val="nil"/>
            </w:tcBorders>
          </w:tcPr>
          <w:p w14:paraId="5CC775E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nil"/>
            </w:tcBorders>
          </w:tcPr>
          <w:p w14:paraId="6B02C31B"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nil"/>
            </w:tcBorders>
          </w:tcPr>
          <w:p w14:paraId="6403D8BE"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9***</w:t>
            </w:r>
          </w:p>
        </w:tc>
      </w:tr>
      <w:tr w:rsidR="00346D8D" w:rsidRPr="00207DC2" w14:paraId="5E5850C6"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260F15F4"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3</w:t>
            </w:r>
          </w:p>
        </w:tc>
        <w:tc>
          <w:tcPr>
            <w:tcW w:w="1417" w:type="dxa"/>
            <w:tcBorders>
              <w:top w:val="nil"/>
              <w:bottom w:val="nil"/>
            </w:tcBorders>
          </w:tcPr>
          <w:p w14:paraId="2BC9EAAA"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7C3C4F00"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30AFABA3"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7***</w:t>
            </w:r>
          </w:p>
        </w:tc>
      </w:tr>
      <w:tr w:rsidR="00346D8D" w:rsidRPr="00207DC2" w14:paraId="287CE86E"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D1F9D7C"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4</w:t>
            </w:r>
          </w:p>
        </w:tc>
        <w:tc>
          <w:tcPr>
            <w:tcW w:w="1417" w:type="dxa"/>
            <w:tcBorders>
              <w:top w:val="nil"/>
              <w:bottom w:val="nil"/>
            </w:tcBorders>
          </w:tcPr>
          <w:p w14:paraId="40E98AEB"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3***</w:t>
            </w:r>
          </w:p>
        </w:tc>
        <w:tc>
          <w:tcPr>
            <w:tcW w:w="1418" w:type="dxa"/>
            <w:tcBorders>
              <w:top w:val="nil"/>
              <w:bottom w:val="nil"/>
            </w:tcBorders>
          </w:tcPr>
          <w:p w14:paraId="5A83305D"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75E33533"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4***</w:t>
            </w:r>
          </w:p>
        </w:tc>
      </w:tr>
      <w:tr w:rsidR="00346D8D" w:rsidRPr="00207DC2" w14:paraId="66CE3720"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AED8406"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5</w:t>
            </w:r>
          </w:p>
        </w:tc>
        <w:tc>
          <w:tcPr>
            <w:tcW w:w="1417" w:type="dxa"/>
            <w:tcBorders>
              <w:top w:val="nil"/>
              <w:bottom w:val="nil"/>
            </w:tcBorders>
          </w:tcPr>
          <w:p w14:paraId="64EEBFA1"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4***</w:t>
            </w:r>
          </w:p>
        </w:tc>
        <w:tc>
          <w:tcPr>
            <w:tcW w:w="1418" w:type="dxa"/>
            <w:tcBorders>
              <w:top w:val="nil"/>
              <w:bottom w:val="nil"/>
            </w:tcBorders>
          </w:tcPr>
          <w:p w14:paraId="363A8172"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7D84B2D9"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8***</w:t>
            </w:r>
          </w:p>
        </w:tc>
      </w:tr>
      <w:tr w:rsidR="00346D8D" w:rsidRPr="00207DC2" w14:paraId="47AB2D9A"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1025B00D"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6</w:t>
            </w:r>
          </w:p>
        </w:tc>
        <w:tc>
          <w:tcPr>
            <w:tcW w:w="1417" w:type="dxa"/>
            <w:tcBorders>
              <w:top w:val="nil"/>
              <w:bottom w:val="nil"/>
            </w:tcBorders>
          </w:tcPr>
          <w:p w14:paraId="10DFAC01"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7</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6FD66E90"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105C801A"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3***</w:t>
            </w:r>
          </w:p>
        </w:tc>
      </w:tr>
      <w:tr w:rsidR="00346D8D" w:rsidRPr="00207DC2" w14:paraId="47B779AB"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0D0143B7"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7</w:t>
            </w:r>
          </w:p>
        </w:tc>
        <w:tc>
          <w:tcPr>
            <w:tcW w:w="1417" w:type="dxa"/>
            <w:tcBorders>
              <w:top w:val="nil"/>
              <w:bottom w:val="nil"/>
            </w:tcBorders>
          </w:tcPr>
          <w:p w14:paraId="048F83FF"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10C7902D"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7***</w:t>
            </w:r>
          </w:p>
        </w:tc>
        <w:tc>
          <w:tcPr>
            <w:tcW w:w="1418" w:type="dxa"/>
            <w:tcBorders>
              <w:top w:val="nil"/>
              <w:bottom w:val="nil"/>
            </w:tcBorders>
          </w:tcPr>
          <w:p w14:paraId="52F2CD36"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0***</w:t>
            </w:r>
          </w:p>
        </w:tc>
      </w:tr>
      <w:tr w:rsidR="00346D8D" w:rsidRPr="00207DC2" w14:paraId="6DF47D53"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64C361EC"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8</w:t>
            </w:r>
          </w:p>
        </w:tc>
        <w:tc>
          <w:tcPr>
            <w:tcW w:w="1417" w:type="dxa"/>
            <w:tcBorders>
              <w:top w:val="nil"/>
              <w:bottom w:val="nil"/>
            </w:tcBorders>
          </w:tcPr>
          <w:p w14:paraId="36907B8B"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5FE0510C"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2***</w:t>
            </w:r>
          </w:p>
        </w:tc>
        <w:tc>
          <w:tcPr>
            <w:tcW w:w="1418" w:type="dxa"/>
            <w:tcBorders>
              <w:top w:val="nil"/>
              <w:bottom w:val="nil"/>
            </w:tcBorders>
          </w:tcPr>
          <w:p w14:paraId="3B921320"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8***</w:t>
            </w:r>
          </w:p>
        </w:tc>
      </w:tr>
      <w:tr w:rsidR="00346D8D" w:rsidRPr="00207DC2" w14:paraId="4F1A9812"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778DD06"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unemployed-region decile 9</w:t>
            </w:r>
          </w:p>
        </w:tc>
        <w:tc>
          <w:tcPr>
            <w:tcW w:w="1417" w:type="dxa"/>
            <w:tcBorders>
              <w:top w:val="nil"/>
              <w:bottom w:val="nil"/>
            </w:tcBorders>
          </w:tcPr>
          <w:p w14:paraId="52C42365"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nil"/>
            </w:tcBorders>
          </w:tcPr>
          <w:p w14:paraId="498EA8F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00F4EC51"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1**</w:t>
            </w:r>
          </w:p>
        </w:tc>
      </w:tr>
      <w:tr w:rsidR="00346D8D" w:rsidRPr="00207DC2" w14:paraId="19059081"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dashSmallGap" w:sz="4" w:space="0" w:color="auto"/>
            </w:tcBorders>
          </w:tcPr>
          <w:p w14:paraId="4A48D0AB"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rPr>
              <w:t>unemployment data missing</w:t>
            </w:r>
          </w:p>
        </w:tc>
        <w:tc>
          <w:tcPr>
            <w:tcW w:w="1417" w:type="dxa"/>
            <w:tcBorders>
              <w:top w:val="nil"/>
              <w:bottom w:val="dashSmallGap" w:sz="4" w:space="0" w:color="auto"/>
            </w:tcBorders>
          </w:tcPr>
          <w:p w14:paraId="667A052A"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6</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dashSmallGap" w:sz="4" w:space="0" w:color="auto"/>
            </w:tcBorders>
          </w:tcPr>
          <w:p w14:paraId="7224FC50"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2***</w:t>
            </w:r>
          </w:p>
        </w:tc>
        <w:tc>
          <w:tcPr>
            <w:tcW w:w="1418" w:type="dxa"/>
            <w:tcBorders>
              <w:top w:val="nil"/>
              <w:bottom w:val="dashSmallGap" w:sz="4" w:space="0" w:color="auto"/>
            </w:tcBorders>
          </w:tcPr>
          <w:p w14:paraId="0FF08406"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6**</w:t>
            </w:r>
          </w:p>
        </w:tc>
      </w:tr>
      <w:tr w:rsidR="00346D8D" w:rsidRPr="00207DC2" w14:paraId="4AEB27B9"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dashSmallGap" w:sz="4" w:space="0" w:color="auto"/>
              <w:bottom w:val="nil"/>
            </w:tcBorders>
          </w:tcPr>
          <w:p w14:paraId="058572CB"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1</w:t>
            </w:r>
          </w:p>
        </w:tc>
        <w:tc>
          <w:tcPr>
            <w:tcW w:w="1417" w:type="dxa"/>
            <w:tcBorders>
              <w:top w:val="dashSmallGap" w:sz="4" w:space="0" w:color="auto"/>
              <w:bottom w:val="nil"/>
            </w:tcBorders>
          </w:tcPr>
          <w:p w14:paraId="6B91859F"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6**</w:t>
            </w:r>
          </w:p>
        </w:tc>
        <w:tc>
          <w:tcPr>
            <w:tcW w:w="1418" w:type="dxa"/>
            <w:tcBorders>
              <w:top w:val="dashSmallGap" w:sz="4" w:space="0" w:color="auto"/>
              <w:bottom w:val="nil"/>
            </w:tcBorders>
          </w:tcPr>
          <w:p w14:paraId="48C02796"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0***</w:t>
            </w:r>
          </w:p>
        </w:tc>
        <w:tc>
          <w:tcPr>
            <w:tcW w:w="1418" w:type="dxa"/>
            <w:tcBorders>
              <w:top w:val="dashSmallGap" w:sz="4" w:space="0" w:color="auto"/>
              <w:bottom w:val="nil"/>
            </w:tcBorders>
          </w:tcPr>
          <w:p w14:paraId="0EBB850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6***</w:t>
            </w:r>
          </w:p>
        </w:tc>
      </w:tr>
      <w:tr w:rsidR="00346D8D" w:rsidRPr="00207DC2" w14:paraId="60E99349"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3A5FB74E"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2</w:t>
            </w:r>
          </w:p>
        </w:tc>
        <w:tc>
          <w:tcPr>
            <w:tcW w:w="1417" w:type="dxa"/>
            <w:tcBorders>
              <w:top w:val="nil"/>
              <w:bottom w:val="nil"/>
            </w:tcBorders>
          </w:tcPr>
          <w:p w14:paraId="0507EFAD"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1C826623"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51951F96"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4***</w:t>
            </w:r>
          </w:p>
        </w:tc>
      </w:tr>
      <w:tr w:rsidR="00346D8D" w:rsidRPr="00207DC2" w14:paraId="3A39C7A4"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BC43088"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3</w:t>
            </w:r>
          </w:p>
        </w:tc>
        <w:tc>
          <w:tcPr>
            <w:tcW w:w="1417" w:type="dxa"/>
            <w:tcBorders>
              <w:top w:val="nil"/>
              <w:bottom w:val="nil"/>
            </w:tcBorders>
          </w:tcPr>
          <w:p w14:paraId="3086C984"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3DEDAD63"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3***</w:t>
            </w:r>
          </w:p>
        </w:tc>
        <w:tc>
          <w:tcPr>
            <w:tcW w:w="1418" w:type="dxa"/>
            <w:tcBorders>
              <w:top w:val="nil"/>
              <w:bottom w:val="nil"/>
            </w:tcBorders>
          </w:tcPr>
          <w:p w14:paraId="62218009"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2***</w:t>
            </w:r>
          </w:p>
        </w:tc>
      </w:tr>
      <w:tr w:rsidR="00346D8D" w:rsidRPr="00207DC2" w14:paraId="7ACAF24A"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5ACA768"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4</w:t>
            </w:r>
          </w:p>
        </w:tc>
        <w:tc>
          <w:tcPr>
            <w:tcW w:w="1417" w:type="dxa"/>
            <w:tcBorders>
              <w:top w:val="nil"/>
              <w:bottom w:val="nil"/>
            </w:tcBorders>
          </w:tcPr>
          <w:p w14:paraId="5B9F2FE6"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5</w:t>
            </w:r>
          </w:p>
        </w:tc>
        <w:tc>
          <w:tcPr>
            <w:tcW w:w="1418" w:type="dxa"/>
            <w:tcBorders>
              <w:top w:val="nil"/>
              <w:bottom w:val="nil"/>
            </w:tcBorders>
          </w:tcPr>
          <w:p w14:paraId="04FD72B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0A264FAA"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3***</w:t>
            </w:r>
          </w:p>
        </w:tc>
      </w:tr>
      <w:tr w:rsidR="00346D8D" w:rsidRPr="00207DC2" w14:paraId="5832E948"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6BDF04D"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5</w:t>
            </w:r>
          </w:p>
        </w:tc>
        <w:tc>
          <w:tcPr>
            <w:tcW w:w="1417" w:type="dxa"/>
            <w:tcBorders>
              <w:top w:val="nil"/>
              <w:bottom w:val="nil"/>
            </w:tcBorders>
          </w:tcPr>
          <w:p w14:paraId="4FB897B5"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2</w:t>
            </w:r>
          </w:p>
        </w:tc>
        <w:tc>
          <w:tcPr>
            <w:tcW w:w="1418" w:type="dxa"/>
            <w:tcBorders>
              <w:top w:val="nil"/>
              <w:bottom w:val="nil"/>
            </w:tcBorders>
          </w:tcPr>
          <w:p w14:paraId="77A0DD82"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2***</w:t>
            </w:r>
          </w:p>
        </w:tc>
        <w:tc>
          <w:tcPr>
            <w:tcW w:w="1418" w:type="dxa"/>
            <w:tcBorders>
              <w:top w:val="nil"/>
              <w:bottom w:val="nil"/>
            </w:tcBorders>
          </w:tcPr>
          <w:p w14:paraId="715EAD80"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0**</w:t>
            </w:r>
          </w:p>
        </w:tc>
      </w:tr>
      <w:tr w:rsidR="00346D8D" w:rsidRPr="00207DC2" w14:paraId="230D0200"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342C4AA5"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6</w:t>
            </w:r>
          </w:p>
        </w:tc>
        <w:tc>
          <w:tcPr>
            <w:tcW w:w="1417" w:type="dxa"/>
            <w:tcBorders>
              <w:top w:val="nil"/>
              <w:bottom w:val="nil"/>
            </w:tcBorders>
          </w:tcPr>
          <w:p w14:paraId="22386D77"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4</w:t>
            </w:r>
          </w:p>
        </w:tc>
        <w:tc>
          <w:tcPr>
            <w:tcW w:w="1418" w:type="dxa"/>
            <w:tcBorders>
              <w:top w:val="nil"/>
              <w:bottom w:val="nil"/>
            </w:tcBorders>
          </w:tcPr>
          <w:p w14:paraId="69CC39AE"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5ACDC50A"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1**</w:t>
            </w:r>
          </w:p>
        </w:tc>
      </w:tr>
      <w:tr w:rsidR="00346D8D" w:rsidRPr="00207DC2" w14:paraId="3133B364"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45128D05"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7</w:t>
            </w:r>
          </w:p>
        </w:tc>
        <w:tc>
          <w:tcPr>
            <w:tcW w:w="1417" w:type="dxa"/>
            <w:tcBorders>
              <w:top w:val="nil"/>
              <w:bottom w:val="nil"/>
            </w:tcBorders>
          </w:tcPr>
          <w:p w14:paraId="73B8DC8B"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15F1B7A3"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4**</w:t>
            </w:r>
          </w:p>
        </w:tc>
        <w:tc>
          <w:tcPr>
            <w:tcW w:w="1418" w:type="dxa"/>
            <w:tcBorders>
              <w:top w:val="nil"/>
              <w:bottom w:val="nil"/>
            </w:tcBorders>
          </w:tcPr>
          <w:p w14:paraId="751E947F"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2**</w:t>
            </w:r>
          </w:p>
        </w:tc>
      </w:tr>
      <w:tr w:rsidR="00346D8D" w:rsidRPr="00207DC2" w14:paraId="4EC18C50"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2775C27F"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8</w:t>
            </w:r>
          </w:p>
        </w:tc>
        <w:tc>
          <w:tcPr>
            <w:tcW w:w="1417" w:type="dxa"/>
            <w:tcBorders>
              <w:top w:val="nil"/>
              <w:bottom w:val="nil"/>
            </w:tcBorders>
          </w:tcPr>
          <w:p w14:paraId="6BB33A5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55D1B18F"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68959D54"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8*</w:t>
            </w:r>
          </w:p>
        </w:tc>
      </w:tr>
      <w:tr w:rsidR="00346D8D" w:rsidRPr="00207DC2" w14:paraId="5C0F155C"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230A902"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income-support duration decile 9</w:t>
            </w:r>
          </w:p>
        </w:tc>
        <w:tc>
          <w:tcPr>
            <w:tcW w:w="1417" w:type="dxa"/>
            <w:tcBorders>
              <w:top w:val="nil"/>
              <w:bottom w:val="nil"/>
            </w:tcBorders>
          </w:tcPr>
          <w:p w14:paraId="4FD0AAA9"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9</w:t>
            </w:r>
          </w:p>
        </w:tc>
        <w:tc>
          <w:tcPr>
            <w:tcW w:w="1418" w:type="dxa"/>
            <w:tcBorders>
              <w:top w:val="nil"/>
              <w:bottom w:val="nil"/>
            </w:tcBorders>
          </w:tcPr>
          <w:p w14:paraId="132FF5D5"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31F6971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5</w:t>
            </w:r>
          </w:p>
        </w:tc>
      </w:tr>
      <w:tr w:rsidR="00346D8D" w:rsidRPr="00207DC2" w14:paraId="3F15CE10"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dashSmallGap" w:sz="4" w:space="0" w:color="auto"/>
              <w:bottom w:val="nil"/>
            </w:tcBorders>
          </w:tcPr>
          <w:p w14:paraId="49B3599D"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1</w:t>
            </w:r>
          </w:p>
        </w:tc>
        <w:tc>
          <w:tcPr>
            <w:tcW w:w="1417" w:type="dxa"/>
            <w:tcBorders>
              <w:top w:val="dashSmallGap" w:sz="4" w:space="0" w:color="auto"/>
              <w:bottom w:val="nil"/>
            </w:tcBorders>
          </w:tcPr>
          <w:p w14:paraId="0081CB28"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16</w:t>
            </w:r>
            <w:r w:rsidR="00D761B6" w:rsidRPr="00207DC2">
              <w:rPr>
                <w:color w:val="000000"/>
                <w:sz w:val="20"/>
                <w:szCs w:val="22"/>
                <w:lang w:val="en-AU"/>
              </w:rPr>
              <w:t>.</w:t>
            </w:r>
            <w:r w:rsidRPr="00207DC2">
              <w:rPr>
                <w:color w:val="000000"/>
                <w:sz w:val="20"/>
                <w:szCs w:val="22"/>
                <w:lang w:val="en-AU"/>
              </w:rPr>
              <w:t>9***</w:t>
            </w:r>
          </w:p>
        </w:tc>
        <w:tc>
          <w:tcPr>
            <w:tcW w:w="1418" w:type="dxa"/>
            <w:tcBorders>
              <w:top w:val="dashSmallGap" w:sz="4" w:space="0" w:color="auto"/>
              <w:bottom w:val="nil"/>
            </w:tcBorders>
          </w:tcPr>
          <w:p w14:paraId="0E5B7F52"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8</w:t>
            </w:r>
            <w:r w:rsidR="00D761B6" w:rsidRPr="00207DC2">
              <w:rPr>
                <w:color w:val="000000"/>
                <w:sz w:val="20"/>
                <w:szCs w:val="22"/>
                <w:lang w:val="en-AU"/>
              </w:rPr>
              <w:t>.</w:t>
            </w:r>
            <w:r w:rsidRPr="00207DC2">
              <w:rPr>
                <w:color w:val="000000"/>
                <w:sz w:val="20"/>
                <w:szCs w:val="22"/>
                <w:lang w:val="en-AU"/>
              </w:rPr>
              <w:t>7***</w:t>
            </w:r>
          </w:p>
        </w:tc>
        <w:tc>
          <w:tcPr>
            <w:tcW w:w="1418" w:type="dxa"/>
            <w:tcBorders>
              <w:top w:val="dashSmallGap" w:sz="4" w:space="0" w:color="auto"/>
              <w:bottom w:val="nil"/>
            </w:tcBorders>
          </w:tcPr>
          <w:p w14:paraId="673032B2"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5</w:t>
            </w:r>
            <w:r w:rsidR="00D761B6" w:rsidRPr="00207DC2">
              <w:rPr>
                <w:color w:val="000000"/>
                <w:sz w:val="20"/>
                <w:szCs w:val="22"/>
                <w:lang w:val="en-AU"/>
              </w:rPr>
              <w:t>.</w:t>
            </w:r>
            <w:r w:rsidRPr="00207DC2">
              <w:rPr>
                <w:color w:val="000000"/>
                <w:sz w:val="20"/>
                <w:szCs w:val="22"/>
                <w:lang w:val="en-AU"/>
              </w:rPr>
              <w:t>8***</w:t>
            </w:r>
          </w:p>
        </w:tc>
      </w:tr>
      <w:tr w:rsidR="00346D8D" w:rsidRPr="00207DC2" w14:paraId="7902C755"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428F137B"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2</w:t>
            </w:r>
          </w:p>
        </w:tc>
        <w:tc>
          <w:tcPr>
            <w:tcW w:w="1417" w:type="dxa"/>
            <w:tcBorders>
              <w:top w:val="nil"/>
              <w:bottom w:val="nil"/>
            </w:tcBorders>
          </w:tcPr>
          <w:p w14:paraId="05EB1D18"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14</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27C7D92B"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8</w:t>
            </w:r>
            <w:r w:rsidR="00D761B6" w:rsidRPr="00207DC2">
              <w:rPr>
                <w:color w:val="000000"/>
                <w:sz w:val="20"/>
                <w:szCs w:val="22"/>
                <w:lang w:val="en-AU"/>
              </w:rPr>
              <w:t>.</w:t>
            </w:r>
            <w:r w:rsidRPr="00207DC2">
              <w:rPr>
                <w:color w:val="000000"/>
                <w:sz w:val="20"/>
                <w:szCs w:val="22"/>
                <w:lang w:val="en-AU"/>
              </w:rPr>
              <w:t>5***</w:t>
            </w:r>
          </w:p>
        </w:tc>
        <w:tc>
          <w:tcPr>
            <w:tcW w:w="1418" w:type="dxa"/>
            <w:tcBorders>
              <w:top w:val="nil"/>
              <w:bottom w:val="nil"/>
            </w:tcBorders>
          </w:tcPr>
          <w:p w14:paraId="38E309FB"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5</w:t>
            </w:r>
            <w:r w:rsidR="00D761B6" w:rsidRPr="00207DC2">
              <w:rPr>
                <w:color w:val="000000"/>
                <w:sz w:val="20"/>
                <w:szCs w:val="22"/>
                <w:lang w:val="en-AU"/>
              </w:rPr>
              <w:t>.</w:t>
            </w:r>
            <w:r w:rsidRPr="00207DC2">
              <w:rPr>
                <w:color w:val="000000"/>
                <w:sz w:val="20"/>
                <w:szCs w:val="22"/>
                <w:lang w:val="en-AU"/>
              </w:rPr>
              <w:t>8***</w:t>
            </w:r>
          </w:p>
        </w:tc>
      </w:tr>
      <w:tr w:rsidR="00346D8D" w:rsidRPr="00207DC2" w14:paraId="5EF09F86"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AA61052"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3</w:t>
            </w:r>
          </w:p>
        </w:tc>
        <w:tc>
          <w:tcPr>
            <w:tcW w:w="1417" w:type="dxa"/>
            <w:tcBorders>
              <w:top w:val="nil"/>
              <w:bottom w:val="nil"/>
            </w:tcBorders>
          </w:tcPr>
          <w:p w14:paraId="4FCD1126"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12</w:t>
            </w:r>
            <w:r w:rsidR="00D761B6" w:rsidRPr="00207DC2">
              <w:rPr>
                <w:color w:val="000000"/>
                <w:sz w:val="20"/>
                <w:szCs w:val="22"/>
                <w:lang w:val="en-AU"/>
              </w:rPr>
              <w:t>.</w:t>
            </w:r>
            <w:r w:rsidRPr="00207DC2">
              <w:rPr>
                <w:color w:val="000000"/>
                <w:sz w:val="20"/>
                <w:szCs w:val="22"/>
                <w:lang w:val="en-AU"/>
              </w:rPr>
              <w:t>2***</w:t>
            </w:r>
          </w:p>
        </w:tc>
        <w:tc>
          <w:tcPr>
            <w:tcW w:w="1418" w:type="dxa"/>
            <w:tcBorders>
              <w:top w:val="nil"/>
              <w:bottom w:val="nil"/>
            </w:tcBorders>
          </w:tcPr>
          <w:p w14:paraId="0917C649"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7</w:t>
            </w:r>
            <w:r w:rsidR="00D761B6" w:rsidRPr="00207DC2">
              <w:rPr>
                <w:color w:val="000000"/>
                <w:sz w:val="20"/>
                <w:szCs w:val="22"/>
                <w:lang w:val="en-AU"/>
              </w:rPr>
              <w:t>.</w:t>
            </w:r>
            <w:r w:rsidRPr="00207DC2">
              <w:rPr>
                <w:color w:val="000000"/>
                <w:sz w:val="20"/>
                <w:szCs w:val="22"/>
                <w:lang w:val="en-AU"/>
              </w:rPr>
              <w:t>4***</w:t>
            </w:r>
          </w:p>
        </w:tc>
        <w:tc>
          <w:tcPr>
            <w:tcW w:w="1418" w:type="dxa"/>
            <w:tcBorders>
              <w:top w:val="nil"/>
              <w:bottom w:val="nil"/>
            </w:tcBorders>
          </w:tcPr>
          <w:p w14:paraId="701E8C13"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8***</w:t>
            </w:r>
          </w:p>
        </w:tc>
      </w:tr>
      <w:tr w:rsidR="00346D8D" w:rsidRPr="00207DC2" w14:paraId="0E230552"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024C3CD"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4</w:t>
            </w:r>
          </w:p>
        </w:tc>
        <w:tc>
          <w:tcPr>
            <w:tcW w:w="1417" w:type="dxa"/>
            <w:tcBorders>
              <w:top w:val="nil"/>
              <w:bottom w:val="nil"/>
            </w:tcBorders>
          </w:tcPr>
          <w:p w14:paraId="2D786D6F"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9</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nil"/>
            </w:tcBorders>
          </w:tcPr>
          <w:p w14:paraId="000B0CA0"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5</w:t>
            </w:r>
            <w:r w:rsidR="00D761B6" w:rsidRPr="00207DC2">
              <w:rPr>
                <w:color w:val="000000"/>
                <w:sz w:val="20"/>
                <w:szCs w:val="22"/>
                <w:lang w:val="en-AU"/>
              </w:rPr>
              <w:t>.</w:t>
            </w:r>
            <w:r w:rsidRPr="00207DC2">
              <w:rPr>
                <w:color w:val="000000"/>
                <w:sz w:val="20"/>
                <w:szCs w:val="22"/>
                <w:lang w:val="en-AU"/>
              </w:rPr>
              <w:t>8***</w:t>
            </w:r>
          </w:p>
        </w:tc>
        <w:tc>
          <w:tcPr>
            <w:tcW w:w="1418" w:type="dxa"/>
            <w:tcBorders>
              <w:top w:val="nil"/>
              <w:bottom w:val="nil"/>
            </w:tcBorders>
          </w:tcPr>
          <w:p w14:paraId="42F00CAC"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4***</w:t>
            </w:r>
          </w:p>
        </w:tc>
      </w:tr>
      <w:tr w:rsidR="00346D8D" w:rsidRPr="00207DC2" w14:paraId="4D0565AA"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708FCBF0"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5</w:t>
            </w:r>
          </w:p>
        </w:tc>
        <w:tc>
          <w:tcPr>
            <w:tcW w:w="1417" w:type="dxa"/>
            <w:tcBorders>
              <w:top w:val="nil"/>
              <w:bottom w:val="nil"/>
            </w:tcBorders>
          </w:tcPr>
          <w:p w14:paraId="578FBC62"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7</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403AE1BB"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2DF28C84"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4***</w:t>
            </w:r>
          </w:p>
        </w:tc>
      </w:tr>
      <w:tr w:rsidR="00346D8D" w:rsidRPr="00207DC2" w14:paraId="2E3215CF"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631A100F"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6</w:t>
            </w:r>
          </w:p>
        </w:tc>
        <w:tc>
          <w:tcPr>
            <w:tcW w:w="1417" w:type="dxa"/>
            <w:tcBorders>
              <w:top w:val="nil"/>
              <w:bottom w:val="nil"/>
            </w:tcBorders>
          </w:tcPr>
          <w:p w14:paraId="79E6FF7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6</w:t>
            </w:r>
            <w:r w:rsidR="00D761B6" w:rsidRPr="00207DC2">
              <w:rPr>
                <w:color w:val="000000"/>
                <w:sz w:val="20"/>
                <w:szCs w:val="22"/>
                <w:lang w:val="en-AU"/>
              </w:rPr>
              <w:t>.</w:t>
            </w:r>
            <w:r w:rsidRPr="00207DC2">
              <w:rPr>
                <w:color w:val="000000"/>
                <w:sz w:val="20"/>
                <w:szCs w:val="22"/>
                <w:lang w:val="en-AU"/>
              </w:rPr>
              <w:t>9***</w:t>
            </w:r>
          </w:p>
        </w:tc>
        <w:tc>
          <w:tcPr>
            <w:tcW w:w="1418" w:type="dxa"/>
            <w:tcBorders>
              <w:top w:val="nil"/>
              <w:bottom w:val="nil"/>
            </w:tcBorders>
          </w:tcPr>
          <w:p w14:paraId="2DE3674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nil"/>
            </w:tcBorders>
          </w:tcPr>
          <w:p w14:paraId="07FDC9C4"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4***</w:t>
            </w:r>
          </w:p>
        </w:tc>
      </w:tr>
      <w:tr w:rsidR="00346D8D" w:rsidRPr="00207DC2" w14:paraId="1F67206F"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27B631D"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7</w:t>
            </w:r>
          </w:p>
        </w:tc>
        <w:tc>
          <w:tcPr>
            <w:tcW w:w="1417" w:type="dxa"/>
            <w:tcBorders>
              <w:top w:val="nil"/>
              <w:bottom w:val="nil"/>
            </w:tcBorders>
          </w:tcPr>
          <w:p w14:paraId="62964339"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6</w:t>
            </w:r>
            <w:r w:rsidR="00D761B6" w:rsidRPr="00207DC2">
              <w:rPr>
                <w:color w:val="000000"/>
                <w:sz w:val="20"/>
                <w:szCs w:val="22"/>
                <w:lang w:val="en-AU"/>
              </w:rPr>
              <w:t>.</w:t>
            </w:r>
            <w:r w:rsidRPr="00207DC2">
              <w:rPr>
                <w:color w:val="000000"/>
                <w:sz w:val="20"/>
                <w:szCs w:val="22"/>
                <w:lang w:val="en-AU"/>
              </w:rPr>
              <w:t>1***</w:t>
            </w:r>
          </w:p>
        </w:tc>
        <w:tc>
          <w:tcPr>
            <w:tcW w:w="1418" w:type="dxa"/>
            <w:tcBorders>
              <w:top w:val="nil"/>
              <w:bottom w:val="nil"/>
            </w:tcBorders>
          </w:tcPr>
          <w:p w14:paraId="399DCCEE"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7***</w:t>
            </w:r>
          </w:p>
        </w:tc>
        <w:tc>
          <w:tcPr>
            <w:tcW w:w="1418" w:type="dxa"/>
            <w:tcBorders>
              <w:top w:val="nil"/>
              <w:bottom w:val="nil"/>
            </w:tcBorders>
          </w:tcPr>
          <w:p w14:paraId="75CB9D86"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7***</w:t>
            </w:r>
          </w:p>
        </w:tc>
      </w:tr>
      <w:tr w:rsidR="00346D8D" w:rsidRPr="00207DC2" w14:paraId="7F993149"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5253F473"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8</w:t>
            </w:r>
          </w:p>
        </w:tc>
        <w:tc>
          <w:tcPr>
            <w:tcW w:w="1417" w:type="dxa"/>
            <w:tcBorders>
              <w:top w:val="nil"/>
              <w:bottom w:val="nil"/>
            </w:tcBorders>
          </w:tcPr>
          <w:p w14:paraId="79D5CD78"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5</w:t>
            </w:r>
            <w:r w:rsidR="00D761B6" w:rsidRPr="00207DC2">
              <w:rPr>
                <w:color w:val="000000"/>
                <w:sz w:val="20"/>
                <w:szCs w:val="22"/>
                <w:lang w:val="en-AU"/>
              </w:rPr>
              <w:t>.</w:t>
            </w:r>
            <w:r w:rsidRPr="00207DC2">
              <w:rPr>
                <w:color w:val="000000"/>
                <w:sz w:val="20"/>
                <w:szCs w:val="22"/>
                <w:lang w:val="en-AU"/>
              </w:rPr>
              <w:t>0***</w:t>
            </w:r>
          </w:p>
        </w:tc>
        <w:tc>
          <w:tcPr>
            <w:tcW w:w="1418" w:type="dxa"/>
            <w:tcBorders>
              <w:top w:val="nil"/>
              <w:bottom w:val="nil"/>
            </w:tcBorders>
          </w:tcPr>
          <w:p w14:paraId="1A3871CD"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nil"/>
            </w:tcBorders>
          </w:tcPr>
          <w:p w14:paraId="02728D09"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7***</w:t>
            </w:r>
          </w:p>
        </w:tc>
      </w:tr>
      <w:tr w:rsidR="00346D8D" w:rsidRPr="00207DC2" w14:paraId="33C29FA0"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nil"/>
              <w:bottom w:val="nil"/>
            </w:tcBorders>
          </w:tcPr>
          <w:p w14:paraId="3304C55E" w14:textId="77777777" w:rsidR="00346D8D" w:rsidRPr="00207DC2" w:rsidRDefault="00346D8D" w:rsidP="00FB626D">
            <w:pPr>
              <w:pStyle w:val="TableText"/>
              <w:keepNext/>
              <w:keepLines/>
              <w:spacing w:after="0"/>
              <w:ind w:left="142" w:right="142"/>
              <w:rPr>
                <w:b w:val="0"/>
                <w:sz w:val="20"/>
                <w:lang w:val="en-AU"/>
              </w:rPr>
            </w:pPr>
            <w:r w:rsidRPr="00207DC2">
              <w:rPr>
                <w:b w:val="0"/>
                <w:sz w:val="20"/>
                <w:lang w:val="en-AU" w:eastAsia="en-AU"/>
              </w:rPr>
              <w:t>JSCI score decile 9</w:t>
            </w:r>
          </w:p>
        </w:tc>
        <w:tc>
          <w:tcPr>
            <w:tcW w:w="1417" w:type="dxa"/>
            <w:tcBorders>
              <w:top w:val="nil"/>
              <w:bottom w:val="nil"/>
            </w:tcBorders>
          </w:tcPr>
          <w:p w14:paraId="59147DB0"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7***</w:t>
            </w:r>
          </w:p>
        </w:tc>
        <w:tc>
          <w:tcPr>
            <w:tcW w:w="1418" w:type="dxa"/>
            <w:tcBorders>
              <w:top w:val="nil"/>
              <w:bottom w:val="nil"/>
            </w:tcBorders>
          </w:tcPr>
          <w:p w14:paraId="0226C147"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1</w:t>
            </w:r>
            <w:r w:rsidR="00D761B6" w:rsidRPr="00207DC2">
              <w:rPr>
                <w:color w:val="000000"/>
                <w:sz w:val="20"/>
                <w:szCs w:val="22"/>
                <w:lang w:val="en-AU"/>
              </w:rPr>
              <w:t>.</w:t>
            </w:r>
            <w:r w:rsidRPr="00207DC2">
              <w:rPr>
                <w:color w:val="000000"/>
                <w:sz w:val="20"/>
                <w:szCs w:val="22"/>
                <w:lang w:val="en-AU"/>
              </w:rPr>
              <w:t>5**</w:t>
            </w:r>
          </w:p>
        </w:tc>
        <w:tc>
          <w:tcPr>
            <w:tcW w:w="1418" w:type="dxa"/>
            <w:tcBorders>
              <w:top w:val="nil"/>
              <w:bottom w:val="nil"/>
            </w:tcBorders>
          </w:tcPr>
          <w:p w14:paraId="23D1695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8*</w:t>
            </w:r>
          </w:p>
        </w:tc>
      </w:tr>
      <w:tr w:rsidR="00346D8D" w:rsidRPr="00207DC2" w14:paraId="7EA522B6" w14:textId="77777777" w:rsidTr="000F0E95">
        <w:tc>
          <w:tcPr>
            <w:cnfStyle w:val="001000000000" w:firstRow="0" w:lastRow="0" w:firstColumn="1" w:lastColumn="0" w:oddVBand="0" w:evenVBand="0" w:oddHBand="0" w:evenHBand="0" w:firstRowFirstColumn="0" w:firstRowLastColumn="0" w:lastRowFirstColumn="0" w:lastRowLastColumn="0"/>
            <w:tcW w:w="5211" w:type="dxa"/>
            <w:tcBorders>
              <w:top w:val="nil"/>
              <w:bottom w:val="dashSmallGap" w:sz="4" w:space="0" w:color="auto"/>
            </w:tcBorders>
          </w:tcPr>
          <w:p w14:paraId="4C727B04" w14:textId="77777777" w:rsidR="00346D8D" w:rsidRPr="00207DC2" w:rsidRDefault="00346D8D" w:rsidP="00FB626D">
            <w:pPr>
              <w:pStyle w:val="TableText"/>
              <w:keepNext/>
              <w:keepLines/>
              <w:spacing w:after="0"/>
              <w:ind w:left="142" w:right="142"/>
              <w:rPr>
                <w:b w:val="0"/>
                <w:sz w:val="20"/>
                <w:lang w:val="en-AU" w:eastAsia="en-AU"/>
              </w:rPr>
            </w:pPr>
            <w:r w:rsidRPr="00207DC2">
              <w:rPr>
                <w:b w:val="0"/>
                <w:sz w:val="20"/>
                <w:lang w:val="en-AU" w:eastAsia="en-AU"/>
              </w:rPr>
              <w:t>JSCI score missing</w:t>
            </w:r>
          </w:p>
        </w:tc>
        <w:tc>
          <w:tcPr>
            <w:tcW w:w="1417" w:type="dxa"/>
            <w:tcBorders>
              <w:top w:val="nil"/>
              <w:bottom w:val="dashSmallGap" w:sz="4" w:space="0" w:color="auto"/>
            </w:tcBorders>
          </w:tcPr>
          <w:p w14:paraId="5EE623A4"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-4</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dashSmallGap" w:sz="4" w:space="0" w:color="auto"/>
            </w:tcBorders>
          </w:tcPr>
          <w:p w14:paraId="3DF22697"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color w:val="000000"/>
                <w:sz w:val="20"/>
                <w:szCs w:val="22"/>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6***</w:t>
            </w:r>
          </w:p>
        </w:tc>
        <w:tc>
          <w:tcPr>
            <w:tcW w:w="1418" w:type="dxa"/>
            <w:tcBorders>
              <w:top w:val="nil"/>
              <w:bottom w:val="dashSmallGap" w:sz="4" w:space="0" w:color="auto"/>
            </w:tcBorders>
          </w:tcPr>
          <w:p w14:paraId="0DBF4ACC" w14:textId="77777777" w:rsidR="00346D8D" w:rsidRPr="00207DC2" w:rsidRDefault="00346D8D" w:rsidP="00FB626D">
            <w:pPr>
              <w:pStyle w:val="TableText"/>
              <w:keepNext/>
              <w:keepLines/>
              <w:tabs>
                <w:tab w:val="decimal" w:pos="459"/>
              </w:tabs>
              <w:spacing w:after="0"/>
              <w:ind w:left="142" w:right="142"/>
              <w:cnfStyle w:val="000000000000" w:firstRow="0" w:lastRow="0" w:firstColumn="0" w:lastColumn="0" w:oddVBand="0" w:evenVBand="0" w:oddHBand="0" w:evenHBand="0" w:firstRowFirstColumn="0" w:firstRowLastColumn="0" w:lastRowFirstColumn="0" w:lastRowLastColumn="0"/>
              <w:rPr>
                <w:sz w:val="20"/>
                <w:lang w:val="en-AU"/>
              </w:rPr>
            </w:pPr>
            <w:r w:rsidRPr="00207DC2">
              <w:rPr>
                <w:color w:val="000000"/>
                <w:sz w:val="20"/>
                <w:szCs w:val="22"/>
                <w:lang w:val="en-AU"/>
              </w:rPr>
              <w:t>-2</w:t>
            </w:r>
            <w:r w:rsidR="00D761B6" w:rsidRPr="00207DC2">
              <w:rPr>
                <w:color w:val="000000"/>
                <w:sz w:val="20"/>
                <w:szCs w:val="22"/>
                <w:lang w:val="en-AU"/>
              </w:rPr>
              <w:t>.</w:t>
            </w:r>
            <w:r w:rsidRPr="00207DC2">
              <w:rPr>
                <w:color w:val="000000"/>
                <w:sz w:val="20"/>
                <w:szCs w:val="22"/>
                <w:lang w:val="en-AU"/>
              </w:rPr>
              <w:t>3***</w:t>
            </w:r>
          </w:p>
        </w:tc>
      </w:tr>
      <w:tr w:rsidR="00346D8D" w:rsidRPr="00207DC2" w14:paraId="049D1629" w14:textId="77777777" w:rsidTr="000F0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Borders>
              <w:top w:val="dashSmallGap" w:sz="4" w:space="0" w:color="auto"/>
              <w:bottom w:val="single" w:sz="4" w:space="0" w:color="auto"/>
            </w:tcBorders>
          </w:tcPr>
          <w:p w14:paraId="20319F93" w14:textId="77777777" w:rsidR="00346D8D" w:rsidRPr="00207DC2" w:rsidRDefault="00346D8D" w:rsidP="00FB626D">
            <w:pPr>
              <w:pStyle w:val="TableText"/>
              <w:keepNext/>
              <w:keepLines/>
              <w:spacing w:after="0"/>
              <w:ind w:left="142" w:right="142"/>
              <w:rPr>
                <w:b w:val="0"/>
                <w:sz w:val="20"/>
                <w:lang w:val="en-AU" w:eastAsia="en-AU"/>
              </w:rPr>
            </w:pPr>
            <w:r w:rsidRPr="00207DC2">
              <w:rPr>
                <w:b w:val="0"/>
                <w:sz w:val="20"/>
                <w:lang w:val="en-AU" w:eastAsia="en-AU"/>
              </w:rPr>
              <w:t>Constant</w:t>
            </w:r>
          </w:p>
        </w:tc>
        <w:tc>
          <w:tcPr>
            <w:tcW w:w="1417" w:type="dxa"/>
            <w:tcBorders>
              <w:top w:val="dashSmallGap" w:sz="4" w:space="0" w:color="auto"/>
              <w:bottom w:val="single" w:sz="4" w:space="0" w:color="auto"/>
            </w:tcBorders>
          </w:tcPr>
          <w:p w14:paraId="2AC37CD5"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14</w:t>
            </w:r>
            <w:r w:rsidR="00D761B6" w:rsidRPr="00207DC2">
              <w:rPr>
                <w:color w:val="000000"/>
                <w:sz w:val="20"/>
                <w:szCs w:val="22"/>
                <w:lang w:val="en-AU"/>
              </w:rPr>
              <w:t>.</w:t>
            </w:r>
            <w:r w:rsidRPr="00207DC2">
              <w:rPr>
                <w:color w:val="000000"/>
                <w:sz w:val="20"/>
                <w:szCs w:val="22"/>
                <w:lang w:val="en-AU"/>
              </w:rPr>
              <w:t>6***</w:t>
            </w:r>
          </w:p>
        </w:tc>
        <w:tc>
          <w:tcPr>
            <w:tcW w:w="1418" w:type="dxa"/>
            <w:tcBorders>
              <w:top w:val="dashSmallGap" w:sz="4" w:space="0" w:color="auto"/>
              <w:bottom w:val="single" w:sz="4" w:space="0" w:color="auto"/>
            </w:tcBorders>
          </w:tcPr>
          <w:p w14:paraId="2898B439"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color w:val="000000"/>
                <w:sz w:val="20"/>
                <w:szCs w:val="22"/>
                <w:lang w:val="en-AU"/>
              </w:rPr>
            </w:pPr>
            <w:r w:rsidRPr="00207DC2">
              <w:rPr>
                <w:color w:val="000000"/>
                <w:sz w:val="20"/>
                <w:szCs w:val="22"/>
                <w:lang w:val="en-AU"/>
              </w:rPr>
              <w:t>3</w:t>
            </w:r>
            <w:r w:rsidR="00D761B6" w:rsidRPr="00207DC2">
              <w:rPr>
                <w:color w:val="000000"/>
                <w:sz w:val="20"/>
                <w:szCs w:val="22"/>
                <w:lang w:val="en-AU"/>
              </w:rPr>
              <w:t>.</w:t>
            </w:r>
            <w:r w:rsidRPr="00207DC2">
              <w:rPr>
                <w:color w:val="000000"/>
                <w:sz w:val="20"/>
                <w:szCs w:val="22"/>
                <w:lang w:val="en-AU"/>
              </w:rPr>
              <w:t>0</w:t>
            </w:r>
          </w:p>
        </w:tc>
        <w:tc>
          <w:tcPr>
            <w:tcW w:w="1418" w:type="dxa"/>
            <w:tcBorders>
              <w:top w:val="dashSmallGap" w:sz="4" w:space="0" w:color="auto"/>
              <w:bottom w:val="single" w:sz="4" w:space="0" w:color="auto"/>
            </w:tcBorders>
          </w:tcPr>
          <w:p w14:paraId="0546B512" w14:textId="77777777" w:rsidR="00346D8D" w:rsidRPr="00207DC2" w:rsidRDefault="00346D8D" w:rsidP="00FB626D">
            <w:pPr>
              <w:pStyle w:val="TableText"/>
              <w:keepNext/>
              <w:keepLines/>
              <w:tabs>
                <w:tab w:val="decimal" w:pos="459"/>
              </w:tabs>
              <w:spacing w:after="0"/>
              <w:ind w:left="142" w:right="142"/>
              <w:cnfStyle w:val="000000100000" w:firstRow="0" w:lastRow="0" w:firstColumn="0" w:lastColumn="0" w:oddVBand="0" w:evenVBand="0" w:oddHBand="1" w:evenHBand="0" w:firstRowFirstColumn="0" w:firstRowLastColumn="0" w:lastRowFirstColumn="0" w:lastRowLastColumn="0"/>
              <w:rPr>
                <w:sz w:val="20"/>
                <w:lang w:val="en-AU"/>
              </w:rPr>
            </w:pPr>
            <w:r w:rsidRPr="00207DC2">
              <w:rPr>
                <w:color w:val="000000"/>
                <w:sz w:val="20"/>
                <w:szCs w:val="22"/>
                <w:lang w:val="en-AU"/>
              </w:rPr>
              <w:t>0</w:t>
            </w:r>
            <w:r w:rsidR="00D761B6" w:rsidRPr="00207DC2">
              <w:rPr>
                <w:color w:val="000000"/>
                <w:sz w:val="20"/>
                <w:szCs w:val="22"/>
                <w:lang w:val="en-AU"/>
              </w:rPr>
              <w:t>.</w:t>
            </w:r>
            <w:r w:rsidRPr="00207DC2">
              <w:rPr>
                <w:color w:val="000000"/>
                <w:sz w:val="20"/>
                <w:szCs w:val="22"/>
                <w:lang w:val="en-AU"/>
              </w:rPr>
              <w:t>4</w:t>
            </w:r>
          </w:p>
        </w:tc>
      </w:tr>
    </w:tbl>
    <w:p w14:paraId="1967D33A" w14:textId="77777777" w:rsidR="005B236C" w:rsidRPr="00207DC2" w:rsidRDefault="00346D8D" w:rsidP="00FB626D">
      <w:pPr>
        <w:pStyle w:val="tablenotes"/>
      </w:pPr>
      <w:r w:rsidRPr="00207DC2">
        <w:rPr>
          <w:i/>
        </w:rPr>
        <w:t>Source:</w:t>
      </w:r>
      <w:r w:rsidRPr="00207DC2">
        <w:t xml:space="preserve"> </w:t>
      </w:r>
      <w:r w:rsidR="0057565A" w:rsidRPr="00207DC2">
        <w:t>PMC</w:t>
      </w:r>
      <w:r w:rsidRPr="00207DC2">
        <w:t xml:space="preserve"> estimates based unpublished ESS operational data (</w:t>
      </w:r>
      <w:r w:rsidR="00BA709E" w:rsidRPr="00207DC2">
        <w:t>extracted on 3 October</w:t>
      </w:r>
      <w:r w:rsidR="002317B0" w:rsidRPr="00207DC2">
        <w:t> </w:t>
      </w:r>
      <w:r w:rsidR="00BA709E" w:rsidRPr="00207DC2">
        <w:t>2017) and DHS operational data (extracted on 9 October 2017</w:t>
      </w:r>
      <w:r w:rsidR="005D2BCB" w:rsidRPr="00207DC2">
        <w:t>)</w:t>
      </w:r>
      <w:r w:rsidRPr="00207DC2">
        <w:t>.</w:t>
      </w:r>
      <w:r w:rsidR="00F912A0" w:rsidRPr="00207DC2">
        <w:t xml:space="preserve"> </w:t>
      </w:r>
    </w:p>
    <w:p w14:paraId="3F1F119E" w14:textId="77777777" w:rsidR="00DB7280" w:rsidRPr="00207DC2" w:rsidRDefault="00346D8D" w:rsidP="00FB626D">
      <w:pPr>
        <w:pStyle w:val="tablenotes"/>
      </w:pPr>
      <w:r w:rsidRPr="00207DC2">
        <w:rPr>
          <w:i/>
        </w:rPr>
        <w:t>Note</w:t>
      </w:r>
      <w:r w:rsidR="00F912A0" w:rsidRPr="00207DC2">
        <w:rPr>
          <w:i/>
        </w:rPr>
        <w:t>s</w:t>
      </w:r>
      <w:r w:rsidRPr="00207DC2">
        <w:rPr>
          <w:i/>
        </w:rPr>
        <w:t>:</w:t>
      </w:r>
      <w:r w:rsidRPr="00207DC2">
        <w:t xml:space="preserve"> </w:t>
      </w:r>
      <w:r w:rsidR="00482C9D" w:rsidRPr="00207DC2">
        <w:t>(a)</w:t>
      </w:r>
      <w:r w:rsidRPr="00207DC2">
        <w:t xml:space="preserve"> Estimates marked as *** are statistically significant at the 0.1</w:t>
      </w:r>
      <w:r w:rsidR="002317B0" w:rsidRPr="00207DC2">
        <w:t> </w:t>
      </w:r>
      <w:r w:rsidRPr="00207DC2">
        <w:t xml:space="preserve">per cent level, **are statistically significant at the </w:t>
      </w:r>
      <w:r w:rsidR="00805D3A" w:rsidRPr="00207DC2">
        <w:t>one</w:t>
      </w:r>
      <w:r w:rsidRPr="00207DC2">
        <w:t xml:space="preserve"> per cent level, and * are statistically significant at the </w:t>
      </w:r>
      <w:r w:rsidR="00805D3A" w:rsidRPr="00207DC2">
        <w:t>five</w:t>
      </w:r>
      <w:r w:rsidRPr="00207DC2">
        <w:t> per cent level.</w:t>
      </w:r>
    </w:p>
    <w:p w14:paraId="3062F79F" w14:textId="617ABF50" w:rsidR="00856939" w:rsidRDefault="00856939" w:rsidP="00856939">
      <w:pPr>
        <w:keepNext/>
        <w:jc w:val="both"/>
        <w:rPr>
          <w:lang w:val="en-AU"/>
        </w:rPr>
      </w:pPr>
      <w:r>
        <w:rPr>
          <w:lang w:val="en-AU"/>
        </w:rPr>
        <w:br w:type="page"/>
      </w:r>
    </w:p>
    <w:p w14:paraId="0E767AF1" w14:textId="6C8473FF" w:rsidR="00C064EF" w:rsidRPr="00207DC2" w:rsidRDefault="00C064EF" w:rsidP="00856939">
      <w:pPr>
        <w:keepNext/>
        <w:jc w:val="both"/>
        <w:rPr>
          <w:lang w:val="en-AU"/>
        </w:rPr>
      </w:pPr>
      <w:r w:rsidRPr="00207DC2">
        <w:rPr>
          <w:lang w:val="en-AU"/>
        </w:rPr>
        <w:t xml:space="preserve">Alternative measures to the </w:t>
      </w:r>
      <w:r w:rsidR="00624397" w:rsidRPr="00207DC2">
        <w:rPr>
          <w:lang w:val="en-AU"/>
        </w:rPr>
        <w:t>SALM</w:t>
      </w:r>
      <w:r w:rsidRPr="00207DC2">
        <w:rPr>
          <w:lang w:val="en-AU"/>
        </w:rPr>
        <w:t xml:space="preserve"> unemployment rate of labour market conditions were also considered. In particular, the model was estimated with</w:t>
      </w:r>
      <w:r w:rsidR="001C154F" w:rsidRPr="00207DC2">
        <w:rPr>
          <w:lang w:val="en-AU"/>
        </w:rPr>
        <w:t xml:space="preserve"> the share of the population in a region (at the SA2 level) receiving government income support payments; and a detailed measure of remoteness based on the location of their home address</w:t>
      </w:r>
      <w:r w:rsidRPr="00207DC2">
        <w:rPr>
          <w:lang w:val="en-AU"/>
        </w:rPr>
        <w:t xml:space="preserve"> (using Markham</w:t>
      </w:r>
      <w:r w:rsidR="00DE6774" w:rsidRPr="00207DC2">
        <w:rPr>
          <w:lang w:val="en-AU"/>
        </w:rPr>
        <w:t xml:space="preserve"> (2016)</w:t>
      </w:r>
      <w:r w:rsidRPr="00207DC2">
        <w:rPr>
          <w:lang w:val="en-AU"/>
        </w:rPr>
        <w:t xml:space="preserve"> </w:t>
      </w:r>
      <w:r w:rsidRPr="00207DC2">
        <w:rPr>
          <w:i/>
          <w:lang w:val="en-AU"/>
        </w:rPr>
        <w:t>Open Accessibility and Remoteness Index</w:t>
      </w:r>
      <w:r w:rsidRPr="00207DC2">
        <w:rPr>
          <w:rStyle w:val="FootnoteReference"/>
          <w:lang w:val="en-AU"/>
        </w:rPr>
        <w:footnoteReference w:id="30"/>
      </w:r>
      <w:r w:rsidRPr="00207DC2">
        <w:rPr>
          <w:lang w:val="en-AU"/>
        </w:rPr>
        <w:t xml:space="preserve"> each participant was assigned a remoteness measure based on the location of their home address). Neither of the alternative specifications changed the estimated results substantially</w:t>
      </w:r>
      <w:r w:rsidR="007240B5" w:rsidRPr="00207DC2">
        <w:rPr>
          <w:lang w:val="en-AU"/>
        </w:rPr>
        <w:t xml:space="preserve"> (</w:t>
      </w:r>
      <w:r w:rsidR="00DB255E" w:rsidRPr="00207DC2">
        <w:rPr>
          <w:lang w:val="en-AU"/>
        </w:rPr>
        <w:t>T</w:t>
      </w:r>
      <w:r w:rsidR="007240B5" w:rsidRPr="00207DC2">
        <w:rPr>
          <w:lang w:val="en-AU"/>
        </w:rPr>
        <w:t>able C.6)</w:t>
      </w:r>
      <w:r w:rsidRPr="00207DC2">
        <w:rPr>
          <w:lang w:val="en-AU"/>
        </w:rPr>
        <w:t xml:space="preserve">. </w:t>
      </w:r>
    </w:p>
    <w:p w14:paraId="725735C1" w14:textId="77777777" w:rsidR="00346D8D" w:rsidRPr="00207DC2" w:rsidRDefault="00346D8D" w:rsidP="00FB626D">
      <w:pPr>
        <w:pStyle w:val="Table"/>
        <w:outlineLvl w:val="9"/>
      </w:pPr>
      <w:r w:rsidRPr="00207DC2">
        <w:t>Table C.6 Regression modelling using alternative indicators of labour market conditions</w:t>
      </w:r>
      <w:r w:rsidR="00363468" w:rsidRPr="00207DC2">
        <w:rPr>
          <w:b/>
          <w:vertAlign w:val="superscript"/>
        </w:rPr>
        <w:t>a,b</w:t>
      </w:r>
    </w:p>
    <w:tbl>
      <w:tblPr>
        <w:tblStyle w:val="PlainTable21"/>
        <w:tblW w:w="8897" w:type="dxa"/>
        <w:tblLook w:val="04A0" w:firstRow="1" w:lastRow="0" w:firstColumn="1" w:lastColumn="0" w:noHBand="0" w:noVBand="1"/>
        <w:tblCaption w:val="Regression modelling using alternative indicators of labour market conditions"/>
        <w:tblDescription w:val="The table displays the estimated regression coefficients of both the before to after and the difference in difference regression models using three alternative indicators of labour market conditions: SALM, ISP and Remote. "/>
      </w:tblPr>
      <w:tblGrid>
        <w:gridCol w:w="3085"/>
        <w:gridCol w:w="2268"/>
        <w:gridCol w:w="1157"/>
        <w:gridCol w:w="1190"/>
        <w:gridCol w:w="1197"/>
      </w:tblGrid>
      <w:tr w:rsidR="00876DF9" w:rsidRPr="00207DC2" w14:paraId="1BB1CA8C" w14:textId="77777777" w:rsidTr="000A395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1C1C1C" w:themeColor="background1" w:themeShade="BF"/>
              <w:bottom w:val="single" w:sz="4" w:space="0" w:color="1C1C1C" w:themeColor="background1" w:themeShade="BF"/>
            </w:tcBorders>
            <w:noWrap/>
            <w:hideMark/>
          </w:tcPr>
          <w:p w14:paraId="16B634E3" w14:textId="77777777" w:rsidR="00876DF9" w:rsidRPr="00207DC2" w:rsidRDefault="003345D1" w:rsidP="00FB626D">
            <w:pPr>
              <w:spacing w:after="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 xml:space="preserve">Employment outcome </w:t>
            </w:r>
          </w:p>
        </w:tc>
        <w:tc>
          <w:tcPr>
            <w:tcW w:w="2268" w:type="dxa"/>
            <w:tcBorders>
              <w:top w:val="single" w:sz="4" w:space="0" w:color="1C1C1C" w:themeColor="background1" w:themeShade="BF"/>
              <w:bottom w:val="single" w:sz="4" w:space="0" w:color="1C1C1C" w:themeColor="background1" w:themeShade="BF"/>
            </w:tcBorders>
            <w:noWrap/>
            <w:hideMark/>
          </w:tcPr>
          <w:p w14:paraId="6717A109" w14:textId="77777777" w:rsidR="00876DF9" w:rsidRPr="00207DC2" w:rsidRDefault="00876DF9" w:rsidP="00FB626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p>
        </w:tc>
        <w:tc>
          <w:tcPr>
            <w:tcW w:w="1157" w:type="dxa"/>
            <w:tcBorders>
              <w:top w:val="single" w:sz="4" w:space="0" w:color="1C1C1C" w:themeColor="background1" w:themeShade="BF"/>
              <w:bottom w:val="single" w:sz="4" w:space="0" w:color="1C1C1C" w:themeColor="background1" w:themeShade="BF"/>
            </w:tcBorders>
            <w:noWrap/>
            <w:hideMark/>
          </w:tcPr>
          <w:p w14:paraId="1089B56F" w14:textId="77777777" w:rsidR="00876DF9" w:rsidRPr="00207DC2" w:rsidRDefault="00876DF9" w:rsidP="00FB626D">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lang w:val="en-AU"/>
              </w:rPr>
              <w:t>Placed</w:t>
            </w:r>
          </w:p>
        </w:tc>
        <w:tc>
          <w:tcPr>
            <w:tcW w:w="1190" w:type="dxa"/>
            <w:tcBorders>
              <w:top w:val="single" w:sz="4" w:space="0" w:color="1C1C1C" w:themeColor="background1" w:themeShade="BF"/>
              <w:bottom w:val="single" w:sz="4" w:space="0" w:color="1C1C1C" w:themeColor="background1" w:themeShade="BF"/>
            </w:tcBorders>
            <w:noWrap/>
            <w:hideMark/>
          </w:tcPr>
          <w:p w14:paraId="0E020AAA" w14:textId="4D418B0F" w:rsidR="00876DF9" w:rsidRPr="00207DC2" w:rsidRDefault="00876DF9" w:rsidP="00281CF6">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lang w:val="en-AU"/>
              </w:rPr>
              <w:t>13</w:t>
            </w:r>
            <w:r w:rsidR="00281CF6">
              <w:rPr>
                <w:lang w:val="en-AU"/>
              </w:rPr>
              <w:t xml:space="preserve"> </w:t>
            </w:r>
            <w:r w:rsidRPr="00207DC2">
              <w:rPr>
                <w:lang w:val="en-AU"/>
              </w:rPr>
              <w:t>week</w:t>
            </w:r>
          </w:p>
        </w:tc>
        <w:tc>
          <w:tcPr>
            <w:tcW w:w="1197" w:type="dxa"/>
            <w:tcBorders>
              <w:top w:val="single" w:sz="4" w:space="0" w:color="1C1C1C" w:themeColor="background1" w:themeShade="BF"/>
              <w:bottom w:val="single" w:sz="4" w:space="0" w:color="1C1C1C" w:themeColor="background1" w:themeShade="BF"/>
            </w:tcBorders>
            <w:noWrap/>
            <w:hideMark/>
          </w:tcPr>
          <w:p w14:paraId="7F5FDD17" w14:textId="6A377EAB" w:rsidR="00876DF9" w:rsidRPr="00207DC2" w:rsidRDefault="00876DF9" w:rsidP="00281CF6">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lang w:val="en-AU"/>
              </w:rPr>
              <w:t>26</w:t>
            </w:r>
            <w:r w:rsidR="00281CF6">
              <w:rPr>
                <w:lang w:val="en-AU"/>
              </w:rPr>
              <w:t xml:space="preserve"> </w:t>
            </w:r>
            <w:r w:rsidRPr="00207DC2">
              <w:rPr>
                <w:lang w:val="en-AU"/>
              </w:rPr>
              <w:t>week</w:t>
            </w:r>
          </w:p>
        </w:tc>
      </w:tr>
      <w:tr w:rsidR="00346D8D" w:rsidRPr="00207DC2" w14:paraId="1E79EB03" w14:textId="77777777" w:rsidTr="00876DF9">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single" w:sz="4" w:space="0" w:color="1C1C1C" w:themeColor="background1" w:themeShade="BF"/>
            </w:tcBorders>
            <w:noWrap/>
            <w:vAlign w:val="center"/>
            <w:hideMark/>
          </w:tcPr>
          <w:p w14:paraId="0EB414D6" w14:textId="77777777" w:rsidR="00346D8D" w:rsidRPr="00207DC2" w:rsidRDefault="00346D8D" w:rsidP="00FB626D">
            <w:pPr>
              <w:spacing w:after="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Before: After</w:t>
            </w:r>
          </w:p>
        </w:tc>
        <w:tc>
          <w:tcPr>
            <w:tcW w:w="2268" w:type="dxa"/>
            <w:tcBorders>
              <w:top w:val="single" w:sz="4" w:space="0" w:color="1C1C1C" w:themeColor="background1" w:themeShade="BF"/>
              <w:bottom w:val="nil"/>
            </w:tcBorders>
            <w:noWrap/>
            <w:hideMark/>
          </w:tcPr>
          <w:p w14:paraId="2D8FFD28" w14:textId="77777777" w:rsidR="00346D8D" w:rsidRPr="00207DC2" w:rsidRDefault="00346D8D" w:rsidP="00FB626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SALM case</w:t>
            </w:r>
          </w:p>
        </w:tc>
        <w:tc>
          <w:tcPr>
            <w:tcW w:w="1157" w:type="dxa"/>
            <w:tcBorders>
              <w:top w:val="single" w:sz="4" w:space="0" w:color="1C1C1C" w:themeColor="background1" w:themeShade="BF"/>
              <w:bottom w:val="nil"/>
            </w:tcBorders>
            <w:noWrap/>
            <w:hideMark/>
          </w:tcPr>
          <w:p w14:paraId="07EFAFD7" w14:textId="77777777" w:rsidR="00346D8D" w:rsidRPr="00207DC2" w:rsidRDefault="00EA572A" w:rsidP="00FB626D">
            <w:pPr>
              <w:tabs>
                <w:tab w:val="decimal" w:pos="34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4*</w:t>
            </w:r>
            <w:r w:rsidR="00346D8D" w:rsidRPr="00207DC2">
              <w:rPr>
                <w:rFonts w:eastAsia="Times New Roman" w:cs="Times New Roman"/>
                <w:color w:val="000000"/>
                <w:spacing w:val="0"/>
                <w:szCs w:val="22"/>
                <w:lang w:val="en-AU" w:eastAsia="en-AU"/>
              </w:rPr>
              <w:t>**</w:t>
            </w:r>
          </w:p>
        </w:tc>
        <w:tc>
          <w:tcPr>
            <w:tcW w:w="1190" w:type="dxa"/>
            <w:tcBorders>
              <w:top w:val="single" w:sz="4" w:space="0" w:color="1C1C1C" w:themeColor="background1" w:themeShade="BF"/>
              <w:bottom w:val="nil"/>
            </w:tcBorders>
            <w:noWrap/>
            <w:hideMark/>
          </w:tcPr>
          <w:p w14:paraId="11398973" w14:textId="77777777" w:rsidR="00346D8D" w:rsidRPr="00207DC2" w:rsidRDefault="00EA572A" w:rsidP="00FB626D">
            <w:pPr>
              <w:tabs>
                <w:tab w:val="decimal" w:pos="368"/>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2</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2***</w:t>
            </w:r>
          </w:p>
        </w:tc>
        <w:tc>
          <w:tcPr>
            <w:tcW w:w="1197" w:type="dxa"/>
            <w:tcBorders>
              <w:top w:val="single" w:sz="4" w:space="0" w:color="1C1C1C" w:themeColor="background1" w:themeShade="BF"/>
              <w:bottom w:val="nil"/>
            </w:tcBorders>
            <w:noWrap/>
            <w:hideMark/>
          </w:tcPr>
          <w:p w14:paraId="675AB90C" w14:textId="77777777" w:rsidR="00346D8D" w:rsidRPr="00207DC2" w:rsidRDefault="00EA572A" w:rsidP="00FB626D">
            <w:pPr>
              <w:tabs>
                <w:tab w:val="decimal" w:pos="39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2***</w:t>
            </w:r>
          </w:p>
        </w:tc>
      </w:tr>
      <w:tr w:rsidR="00346D8D" w:rsidRPr="00207DC2" w14:paraId="1F6C40D2" w14:textId="77777777" w:rsidTr="00876DF9">
        <w:trPr>
          <w:trHeight w:val="256"/>
        </w:trPr>
        <w:tc>
          <w:tcPr>
            <w:cnfStyle w:val="001000000000" w:firstRow="0" w:lastRow="0" w:firstColumn="1" w:lastColumn="0" w:oddVBand="0" w:evenVBand="0" w:oddHBand="0" w:evenHBand="0" w:firstRowFirstColumn="0" w:firstRowLastColumn="0" w:lastRowFirstColumn="0" w:lastRowLastColumn="0"/>
            <w:tcW w:w="3085" w:type="dxa"/>
            <w:vMerge/>
            <w:vAlign w:val="center"/>
            <w:hideMark/>
          </w:tcPr>
          <w:p w14:paraId="463989E9" w14:textId="77777777" w:rsidR="00346D8D" w:rsidRPr="00207DC2" w:rsidRDefault="00346D8D" w:rsidP="00FB626D">
            <w:pPr>
              <w:spacing w:after="0"/>
              <w:rPr>
                <w:rFonts w:eastAsia="Times New Roman" w:cs="Times New Roman"/>
                <w:color w:val="000000"/>
                <w:spacing w:val="0"/>
                <w:szCs w:val="22"/>
                <w:lang w:val="en-AU" w:eastAsia="en-AU"/>
              </w:rPr>
            </w:pPr>
          </w:p>
        </w:tc>
        <w:tc>
          <w:tcPr>
            <w:tcW w:w="2268" w:type="dxa"/>
            <w:tcBorders>
              <w:top w:val="nil"/>
              <w:bottom w:val="nil"/>
            </w:tcBorders>
            <w:noWrap/>
            <w:hideMark/>
          </w:tcPr>
          <w:p w14:paraId="286C95D9" w14:textId="77777777" w:rsidR="00346D8D" w:rsidRPr="00207DC2" w:rsidRDefault="00346D8D" w:rsidP="00FB626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ISP case</w:t>
            </w:r>
          </w:p>
        </w:tc>
        <w:tc>
          <w:tcPr>
            <w:tcW w:w="1157" w:type="dxa"/>
            <w:tcBorders>
              <w:top w:val="nil"/>
              <w:bottom w:val="nil"/>
            </w:tcBorders>
            <w:noWrap/>
            <w:hideMark/>
          </w:tcPr>
          <w:p w14:paraId="68BD7661" w14:textId="77777777" w:rsidR="00346D8D" w:rsidRPr="00207DC2" w:rsidRDefault="00BF2C1D" w:rsidP="00FB626D">
            <w:pPr>
              <w:tabs>
                <w:tab w:val="decimal" w:pos="34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-2</w:t>
            </w:r>
            <w:r w:rsidR="00876DF9" w:rsidRPr="00207DC2">
              <w:rPr>
                <w:rFonts w:eastAsia="Times New Roman" w:cs="Times New Roman"/>
                <w:color w:val="000000"/>
                <w:spacing w:val="0"/>
                <w:szCs w:val="22"/>
                <w:lang w:val="en-AU" w:eastAsia="en-AU"/>
              </w:rPr>
              <w:t>.</w:t>
            </w:r>
            <w:r w:rsidR="00346D8D" w:rsidRPr="00207DC2">
              <w:rPr>
                <w:rFonts w:eastAsia="Times New Roman" w:cs="Times New Roman"/>
                <w:color w:val="000000"/>
                <w:spacing w:val="0"/>
                <w:szCs w:val="22"/>
                <w:lang w:val="en-AU" w:eastAsia="en-AU"/>
              </w:rPr>
              <w:t>0**</w:t>
            </w:r>
          </w:p>
        </w:tc>
        <w:tc>
          <w:tcPr>
            <w:tcW w:w="1190" w:type="dxa"/>
            <w:tcBorders>
              <w:top w:val="nil"/>
              <w:bottom w:val="nil"/>
            </w:tcBorders>
            <w:noWrap/>
            <w:hideMark/>
          </w:tcPr>
          <w:p w14:paraId="47734B31" w14:textId="77777777" w:rsidR="00346D8D" w:rsidRPr="00207DC2" w:rsidRDefault="00BF2C1D" w:rsidP="00FB626D">
            <w:pPr>
              <w:tabs>
                <w:tab w:val="decimal" w:pos="368"/>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00346D8D" w:rsidRPr="00207DC2">
              <w:rPr>
                <w:rFonts w:eastAsia="Times New Roman" w:cs="Times New Roman"/>
                <w:color w:val="000000"/>
                <w:spacing w:val="0"/>
                <w:szCs w:val="22"/>
                <w:lang w:val="en-AU" w:eastAsia="en-AU"/>
              </w:rPr>
              <w:t>5**</w:t>
            </w:r>
          </w:p>
        </w:tc>
        <w:tc>
          <w:tcPr>
            <w:tcW w:w="1197" w:type="dxa"/>
            <w:tcBorders>
              <w:top w:val="nil"/>
              <w:bottom w:val="nil"/>
            </w:tcBorders>
            <w:noWrap/>
            <w:hideMark/>
          </w:tcPr>
          <w:p w14:paraId="2D187C7B" w14:textId="77777777" w:rsidR="00346D8D" w:rsidRPr="00207DC2" w:rsidRDefault="00BF2C1D" w:rsidP="00FB626D">
            <w:pPr>
              <w:tabs>
                <w:tab w:val="decimal" w:pos="39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00346D8D" w:rsidRPr="00207DC2">
              <w:rPr>
                <w:rFonts w:eastAsia="Times New Roman" w:cs="Times New Roman"/>
                <w:color w:val="000000"/>
                <w:spacing w:val="0"/>
                <w:szCs w:val="22"/>
                <w:lang w:val="en-AU" w:eastAsia="en-AU"/>
              </w:rPr>
              <w:t>1*</w:t>
            </w:r>
          </w:p>
        </w:tc>
      </w:tr>
      <w:tr w:rsidR="00346D8D" w:rsidRPr="00207DC2" w14:paraId="0160C0CA" w14:textId="77777777" w:rsidTr="00876DF9">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085" w:type="dxa"/>
            <w:vMerge/>
            <w:tcBorders>
              <w:bottom w:val="dashSmallGap" w:sz="4" w:space="0" w:color="auto"/>
            </w:tcBorders>
            <w:vAlign w:val="center"/>
            <w:hideMark/>
          </w:tcPr>
          <w:p w14:paraId="16FF6C5E" w14:textId="77777777" w:rsidR="00346D8D" w:rsidRPr="00207DC2" w:rsidRDefault="00346D8D" w:rsidP="00FB626D">
            <w:pPr>
              <w:spacing w:after="0"/>
              <w:rPr>
                <w:rFonts w:eastAsia="Times New Roman" w:cs="Times New Roman"/>
                <w:color w:val="000000"/>
                <w:spacing w:val="0"/>
                <w:szCs w:val="22"/>
                <w:lang w:val="en-AU" w:eastAsia="en-AU"/>
              </w:rPr>
            </w:pPr>
          </w:p>
        </w:tc>
        <w:tc>
          <w:tcPr>
            <w:tcW w:w="2268" w:type="dxa"/>
            <w:tcBorders>
              <w:top w:val="nil"/>
              <w:bottom w:val="dashSmallGap" w:sz="4" w:space="0" w:color="auto"/>
            </w:tcBorders>
            <w:noWrap/>
            <w:hideMark/>
          </w:tcPr>
          <w:p w14:paraId="5FED0ED7" w14:textId="77777777" w:rsidR="00346D8D" w:rsidRPr="00207DC2" w:rsidRDefault="00346D8D" w:rsidP="00FB626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Remote case</w:t>
            </w:r>
          </w:p>
        </w:tc>
        <w:tc>
          <w:tcPr>
            <w:tcW w:w="1157" w:type="dxa"/>
            <w:tcBorders>
              <w:top w:val="nil"/>
              <w:bottom w:val="dashSmallGap" w:sz="4" w:space="0" w:color="auto"/>
            </w:tcBorders>
            <w:noWrap/>
            <w:hideMark/>
          </w:tcPr>
          <w:p w14:paraId="245F2CE4" w14:textId="77777777" w:rsidR="00346D8D" w:rsidRPr="00207DC2" w:rsidRDefault="00346D8D" w:rsidP="00FB626D">
            <w:pPr>
              <w:tabs>
                <w:tab w:val="decimal" w:pos="34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-2</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2**</w:t>
            </w:r>
          </w:p>
        </w:tc>
        <w:tc>
          <w:tcPr>
            <w:tcW w:w="1190" w:type="dxa"/>
            <w:tcBorders>
              <w:top w:val="nil"/>
              <w:bottom w:val="dashSmallGap" w:sz="4" w:space="0" w:color="auto"/>
            </w:tcBorders>
            <w:noWrap/>
            <w:hideMark/>
          </w:tcPr>
          <w:p w14:paraId="7249F80C" w14:textId="77777777" w:rsidR="00346D8D" w:rsidRPr="00207DC2" w:rsidRDefault="00BF2C1D" w:rsidP="00FB626D">
            <w:pPr>
              <w:tabs>
                <w:tab w:val="decimal" w:pos="368"/>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00346D8D" w:rsidRPr="00207DC2">
              <w:rPr>
                <w:rFonts w:eastAsia="Times New Roman" w:cs="Times New Roman"/>
                <w:color w:val="000000"/>
                <w:spacing w:val="0"/>
                <w:szCs w:val="22"/>
                <w:lang w:val="en-AU" w:eastAsia="en-AU"/>
              </w:rPr>
              <w:t>2*</w:t>
            </w:r>
          </w:p>
        </w:tc>
        <w:tc>
          <w:tcPr>
            <w:tcW w:w="1197" w:type="dxa"/>
            <w:tcBorders>
              <w:top w:val="nil"/>
              <w:bottom w:val="dashSmallGap" w:sz="4" w:space="0" w:color="auto"/>
            </w:tcBorders>
            <w:noWrap/>
            <w:hideMark/>
          </w:tcPr>
          <w:p w14:paraId="1ABDE0AB" w14:textId="77777777" w:rsidR="00346D8D" w:rsidRPr="00207DC2" w:rsidRDefault="00346D8D" w:rsidP="00FB626D">
            <w:pPr>
              <w:tabs>
                <w:tab w:val="decimal" w:pos="39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0</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8</w:t>
            </w:r>
          </w:p>
        </w:tc>
      </w:tr>
      <w:tr w:rsidR="00346D8D" w:rsidRPr="00207DC2" w14:paraId="38268CCD" w14:textId="77777777" w:rsidTr="00876DF9">
        <w:trPr>
          <w:trHeight w:val="280"/>
        </w:trPr>
        <w:tc>
          <w:tcPr>
            <w:cnfStyle w:val="001000000000" w:firstRow="0" w:lastRow="0" w:firstColumn="1" w:lastColumn="0" w:oddVBand="0" w:evenVBand="0" w:oddHBand="0" w:evenHBand="0" w:firstRowFirstColumn="0" w:firstRowLastColumn="0" w:lastRowFirstColumn="0" w:lastRowLastColumn="0"/>
            <w:tcW w:w="3085" w:type="dxa"/>
            <w:vMerge w:val="restart"/>
            <w:tcBorders>
              <w:top w:val="dashSmallGap" w:sz="4" w:space="0" w:color="auto"/>
            </w:tcBorders>
            <w:vAlign w:val="center"/>
            <w:hideMark/>
          </w:tcPr>
          <w:p w14:paraId="77D0AF7D" w14:textId="5BCEE530" w:rsidR="00346D8D" w:rsidRPr="00207DC2" w:rsidRDefault="005631B4" w:rsidP="00FB626D">
            <w:pPr>
              <w:spacing w:after="0"/>
              <w:rPr>
                <w:rFonts w:eastAsia="Times New Roman" w:cs="Times New Roman"/>
                <w:color w:val="000000"/>
                <w:spacing w:val="0"/>
                <w:szCs w:val="22"/>
                <w:lang w:val="en-AU" w:eastAsia="en-AU"/>
              </w:rPr>
            </w:pPr>
            <w:r>
              <w:rPr>
                <w:rFonts w:eastAsia="Times New Roman" w:cs="Times New Roman"/>
                <w:color w:val="000000"/>
                <w:spacing w:val="0"/>
                <w:szCs w:val="22"/>
                <w:lang w:val="en-AU" w:eastAsia="en-AU"/>
              </w:rPr>
              <w:t>Difference-in-Difference</w:t>
            </w:r>
          </w:p>
        </w:tc>
        <w:tc>
          <w:tcPr>
            <w:tcW w:w="2268" w:type="dxa"/>
            <w:tcBorders>
              <w:top w:val="dashSmallGap" w:sz="4" w:space="0" w:color="auto"/>
              <w:bottom w:val="nil"/>
            </w:tcBorders>
            <w:noWrap/>
            <w:hideMark/>
          </w:tcPr>
          <w:p w14:paraId="1BE951C3" w14:textId="77777777" w:rsidR="00346D8D" w:rsidRPr="00207DC2" w:rsidRDefault="00346D8D" w:rsidP="00FB626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SALM case</w:t>
            </w:r>
          </w:p>
        </w:tc>
        <w:tc>
          <w:tcPr>
            <w:tcW w:w="1157" w:type="dxa"/>
            <w:tcBorders>
              <w:top w:val="dashSmallGap" w:sz="4" w:space="0" w:color="auto"/>
              <w:bottom w:val="nil"/>
            </w:tcBorders>
            <w:noWrap/>
            <w:hideMark/>
          </w:tcPr>
          <w:p w14:paraId="60F274E3" w14:textId="77777777" w:rsidR="00346D8D" w:rsidRPr="00207DC2" w:rsidRDefault="00BF2C1D" w:rsidP="00FB626D">
            <w:pPr>
              <w:tabs>
                <w:tab w:val="decimal" w:pos="34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0</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9</w:t>
            </w:r>
          </w:p>
        </w:tc>
        <w:tc>
          <w:tcPr>
            <w:tcW w:w="1190" w:type="dxa"/>
            <w:tcBorders>
              <w:top w:val="dashSmallGap" w:sz="4" w:space="0" w:color="auto"/>
              <w:bottom w:val="nil"/>
            </w:tcBorders>
            <w:noWrap/>
            <w:hideMark/>
          </w:tcPr>
          <w:p w14:paraId="507B1A81" w14:textId="77777777" w:rsidR="00346D8D" w:rsidRPr="00207DC2" w:rsidRDefault="00BF2C1D" w:rsidP="00FB626D">
            <w:pPr>
              <w:tabs>
                <w:tab w:val="decimal" w:pos="368"/>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5***</w:t>
            </w:r>
          </w:p>
        </w:tc>
        <w:tc>
          <w:tcPr>
            <w:tcW w:w="1197" w:type="dxa"/>
            <w:tcBorders>
              <w:top w:val="dashSmallGap" w:sz="4" w:space="0" w:color="auto"/>
              <w:bottom w:val="nil"/>
            </w:tcBorders>
            <w:noWrap/>
            <w:hideMark/>
          </w:tcPr>
          <w:p w14:paraId="1DB4B23D" w14:textId="77777777" w:rsidR="00346D8D" w:rsidRPr="00207DC2" w:rsidRDefault="00346D8D" w:rsidP="00FB626D">
            <w:pPr>
              <w:tabs>
                <w:tab w:val="decimal" w:pos="39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00BF2C1D" w:rsidRPr="00207DC2">
              <w:rPr>
                <w:rFonts w:eastAsia="Times New Roman" w:cs="Times New Roman"/>
                <w:color w:val="000000"/>
                <w:spacing w:val="0"/>
                <w:szCs w:val="22"/>
                <w:lang w:val="en-AU" w:eastAsia="en-AU"/>
              </w:rPr>
              <w:t>2*</w:t>
            </w:r>
            <w:r w:rsidRPr="00207DC2">
              <w:rPr>
                <w:rFonts w:eastAsia="Times New Roman" w:cs="Times New Roman"/>
                <w:color w:val="000000"/>
                <w:spacing w:val="0"/>
                <w:szCs w:val="22"/>
                <w:lang w:val="en-AU" w:eastAsia="en-AU"/>
              </w:rPr>
              <w:t>**</w:t>
            </w:r>
          </w:p>
        </w:tc>
      </w:tr>
      <w:tr w:rsidR="00346D8D" w:rsidRPr="00207DC2" w14:paraId="3FF641F0" w14:textId="77777777" w:rsidTr="00876DF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085" w:type="dxa"/>
            <w:vMerge/>
            <w:hideMark/>
          </w:tcPr>
          <w:p w14:paraId="39F4689E" w14:textId="77777777" w:rsidR="00346D8D" w:rsidRPr="00207DC2" w:rsidRDefault="00346D8D" w:rsidP="00FB626D">
            <w:pPr>
              <w:spacing w:after="0"/>
              <w:rPr>
                <w:rFonts w:eastAsia="Times New Roman" w:cs="Times New Roman"/>
                <w:color w:val="000000"/>
                <w:spacing w:val="0"/>
                <w:szCs w:val="22"/>
                <w:lang w:val="en-AU" w:eastAsia="en-AU"/>
              </w:rPr>
            </w:pPr>
          </w:p>
        </w:tc>
        <w:tc>
          <w:tcPr>
            <w:tcW w:w="2268" w:type="dxa"/>
            <w:tcBorders>
              <w:top w:val="nil"/>
              <w:bottom w:val="nil"/>
            </w:tcBorders>
            <w:noWrap/>
            <w:hideMark/>
          </w:tcPr>
          <w:p w14:paraId="705E4E8F" w14:textId="77777777" w:rsidR="00346D8D" w:rsidRPr="00207DC2" w:rsidRDefault="00346D8D" w:rsidP="00FB626D">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ISP case</w:t>
            </w:r>
          </w:p>
        </w:tc>
        <w:tc>
          <w:tcPr>
            <w:tcW w:w="1157" w:type="dxa"/>
            <w:tcBorders>
              <w:top w:val="nil"/>
              <w:bottom w:val="nil"/>
            </w:tcBorders>
            <w:noWrap/>
            <w:hideMark/>
          </w:tcPr>
          <w:p w14:paraId="6CF8C9FE" w14:textId="77777777" w:rsidR="00346D8D" w:rsidRPr="00207DC2" w:rsidRDefault="00346D8D" w:rsidP="00FB626D">
            <w:pPr>
              <w:tabs>
                <w:tab w:val="decimal" w:pos="34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-2</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2*</w:t>
            </w:r>
          </w:p>
        </w:tc>
        <w:tc>
          <w:tcPr>
            <w:tcW w:w="1190" w:type="dxa"/>
            <w:tcBorders>
              <w:top w:val="nil"/>
              <w:bottom w:val="nil"/>
            </w:tcBorders>
            <w:noWrap/>
            <w:hideMark/>
          </w:tcPr>
          <w:p w14:paraId="1F6A13D4" w14:textId="77777777" w:rsidR="00346D8D" w:rsidRPr="00207DC2" w:rsidRDefault="00346D8D" w:rsidP="00FB626D">
            <w:pPr>
              <w:tabs>
                <w:tab w:val="decimal" w:pos="368"/>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5</w:t>
            </w:r>
          </w:p>
        </w:tc>
        <w:tc>
          <w:tcPr>
            <w:tcW w:w="1197" w:type="dxa"/>
            <w:tcBorders>
              <w:top w:val="nil"/>
              <w:bottom w:val="nil"/>
            </w:tcBorders>
            <w:noWrap/>
            <w:hideMark/>
          </w:tcPr>
          <w:p w14:paraId="43877DEA" w14:textId="77777777" w:rsidR="00346D8D" w:rsidRPr="00207DC2" w:rsidRDefault="00346D8D" w:rsidP="00FB626D">
            <w:pPr>
              <w:tabs>
                <w:tab w:val="decimal" w:pos="390"/>
              </w:tabs>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9**</w:t>
            </w:r>
          </w:p>
        </w:tc>
      </w:tr>
      <w:tr w:rsidR="00346D8D" w:rsidRPr="00207DC2" w14:paraId="225F2386" w14:textId="77777777" w:rsidTr="00876DF9">
        <w:trPr>
          <w:trHeight w:val="242"/>
        </w:trPr>
        <w:tc>
          <w:tcPr>
            <w:cnfStyle w:val="001000000000" w:firstRow="0" w:lastRow="0" w:firstColumn="1" w:lastColumn="0" w:oddVBand="0" w:evenVBand="0" w:oddHBand="0" w:evenHBand="0" w:firstRowFirstColumn="0" w:firstRowLastColumn="0" w:lastRowFirstColumn="0" w:lastRowLastColumn="0"/>
            <w:tcW w:w="3085" w:type="dxa"/>
            <w:vMerge/>
            <w:tcBorders>
              <w:bottom w:val="single" w:sz="4" w:space="0" w:color="1C1C1C" w:themeColor="background1" w:themeShade="BF"/>
            </w:tcBorders>
            <w:hideMark/>
          </w:tcPr>
          <w:p w14:paraId="654C7C69" w14:textId="77777777" w:rsidR="00346D8D" w:rsidRPr="00207DC2" w:rsidRDefault="00346D8D" w:rsidP="00FB626D">
            <w:pPr>
              <w:spacing w:after="0"/>
              <w:rPr>
                <w:rFonts w:eastAsia="Times New Roman" w:cs="Times New Roman"/>
                <w:color w:val="000000"/>
                <w:spacing w:val="0"/>
                <w:szCs w:val="22"/>
                <w:lang w:val="en-AU" w:eastAsia="en-AU"/>
              </w:rPr>
            </w:pPr>
          </w:p>
        </w:tc>
        <w:tc>
          <w:tcPr>
            <w:tcW w:w="2268" w:type="dxa"/>
            <w:tcBorders>
              <w:top w:val="nil"/>
              <w:bottom w:val="single" w:sz="4" w:space="0" w:color="1C1C1C" w:themeColor="background1" w:themeShade="BF"/>
            </w:tcBorders>
            <w:noWrap/>
            <w:hideMark/>
          </w:tcPr>
          <w:p w14:paraId="424DBB62" w14:textId="77777777" w:rsidR="00346D8D" w:rsidRPr="00207DC2" w:rsidRDefault="00346D8D" w:rsidP="00FB626D">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Remote case</w:t>
            </w:r>
          </w:p>
        </w:tc>
        <w:tc>
          <w:tcPr>
            <w:tcW w:w="1157" w:type="dxa"/>
            <w:tcBorders>
              <w:top w:val="nil"/>
              <w:bottom w:val="single" w:sz="4" w:space="0" w:color="1C1C1C" w:themeColor="background1" w:themeShade="BF"/>
            </w:tcBorders>
            <w:noWrap/>
            <w:hideMark/>
          </w:tcPr>
          <w:p w14:paraId="3B1A8661" w14:textId="77777777" w:rsidR="00346D8D" w:rsidRPr="00207DC2" w:rsidRDefault="00346D8D" w:rsidP="00FB626D">
            <w:pPr>
              <w:tabs>
                <w:tab w:val="decimal" w:pos="34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-2</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2*</w:t>
            </w:r>
          </w:p>
        </w:tc>
        <w:tc>
          <w:tcPr>
            <w:tcW w:w="1190" w:type="dxa"/>
            <w:tcBorders>
              <w:top w:val="nil"/>
              <w:bottom w:val="single" w:sz="4" w:space="0" w:color="1C1C1C" w:themeColor="background1" w:themeShade="BF"/>
            </w:tcBorders>
            <w:noWrap/>
            <w:hideMark/>
          </w:tcPr>
          <w:p w14:paraId="03A200AC" w14:textId="77777777" w:rsidR="00346D8D" w:rsidRPr="00207DC2" w:rsidRDefault="00346D8D" w:rsidP="00FB626D">
            <w:pPr>
              <w:tabs>
                <w:tab w:val="decimal" w:pos="368"/>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6</w:t>
            </w:r>
          </w:p>
        </w:tc>
        <w:tc>
          <w:tcPr>
            <w:tcW w:w="1197" w:type="dxa"/>
            <w:tcBorders>
              <w:top w:val="nil"/>
              <w:bottom w:val="single" w:sz="4" w:space="0" w:color="1C1C1C" w:themeColor="background1" w:themeShade="BF"/>
            </w:tcBorders>
            <w:noWrap/>
            <w:hideMark/>
          </w:tcPr>
          <w:p w14:paraId="79007A42" w14:textId="77777777" w:rsidR="00346D8D" w:rsidRPr="00207DC2" w:rsidRDefault="00346D8D" w:rsidP="00FB626D">
            <w:pPr>
              <w:tabs>
                <w:tab w:val="decimal" w:pos="390"/>
              </w:tabs>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pacing w:val="0"/>
                <w:szCs w:val="22"/>
                <w:lang w:val="en-AU" w:eastAsia="en-AU"/>
              </w:rPr>
            </w:pPr>
            <w:r w:rsidRPr="00207DC2">
              <w:rPr>
                <w:rFonts w:eastAsia="Times New Roman" w:cs="Times New Roman"/>
                <w:color w:val="000000"/>
                <w:spacing w:val="0"/>
                <w:szCs w:val="22"/>
                <w:lang w:val="en-AU" w:eastAsia="en-AU"/>
              </w:rPr>
              <w:t>1</w:t>
            </w:r>
            <w:r w:rsidR="00876DF9" w:rsidRPr="00207DC2">
              <w:rPr>
                <w:rFonts w:eastAsia="Times New Roman" w:cs="Times New Roman"/>
                <w:color w:val="000000"/>
                <w:spacing w:val="0"/>
                <w:szCs w:val="22"/>
                <w:lang w:val="en-AU" w:eastAsia="en-AU"/>
              </w:rPr>
              <w:t>.</w:t>
            </w:r>
            <w:r w:rsidRPr="00207DC2">
              <w:rPr>
                <w:rFonts w:eastAsia="Times New Roman" w:cs="Times New Roman"/>
                <w:color w:val="000000"/>
                <w:spacing w:val="0"/>
                <w:szCs w:val="22"/>
                <w:lang w:val="en-AU" w:eastAsia="en-AU"/>
              </w:rPr>
              <w:t>8**</w:t>
            </w:r>
          </w:p>
        </w:tc>
      </w:tr>
    </w:tbl>
    <w:p w14:paraId="36E294BC" w14:textId="77777777" w:rsidR="005B236C" w:rsidRPr="00207DC2" w:rsidRDefault="00346D8D" w:rsidP="00FB626D">
      <w:pPr>
        <w:pStyle w:val="tablenotes"/>
      </w:pPr>
      <w:r w:rsidRPr="00207DC2">
        <w:rPr>
          <w:i/>
        </w:rPr>
        <w:t>Source:</w:t>
      </w:r>
      <w:r w:rsidRPr="00207DC2">
        <w:t xml:space="preserve"> </w:t>
      </w:r>
      <w:r w:rsidR="0057565A" w:rsidRPr="00207DC2">
        <w:t>PMC</w:t>
      </w:r>
      <w:r w:rsidRPr="00207DC2">
        <w:t xml:space="preserve"> estimates based unpublished ESS operational data (extracted on </w:t>
      </w:r>
      <w:r w:rsidR="00BA709E" w:rsidRPr="00207DC2">
        <w:t>3 October</w:t>
      </w:r>
      <w:r w:rsidR="002317B0" w:rsidRPr="00207DC2">
        <w:t> </w:t>
      </w:r>
      <w:r w:rsidR="00BA709E" w:rsidRPr="00207DC2">
        <w:t>2017) and DHS operational data (extracted on 9 October 2017).</w:t>
      </w:r>
      <w:r w:rsidR="00F912A0" w:rsidRPr="00207DC2">
        <w:t xml:space="preserve"> </w:t>
      </w:r>
    </w:p>
    <w:p w14:paraId="2D70CDF5" w14:textId="77777777" w:rsidR="00346D8D" w:rsidRPr="00207DC2" w:rsidRDefault="00346D8D" w:rsidP="00FB626D">
      <w:pPr>
        <w:pStyle w:val="tablenotes"/>
      </w:pPr>
      <w:r w:rsidRPr="00207DC2">
        <w:rPr>
          <w:i/>
        </w:rPr>
        <w:t>Note</w:t>
      </w:r>
      <w:r w:rsidR="00F912A0" w:rsidRPr="00207DC2">
        <w:rPr>
          <w:i/>
        </w:rPr>
        <w:t>s</w:t>
      </w:r>
      <w:r w:rsidRPr="00207DC2">
        <w:rPr>
          <w:i/>
        </w:rPr>
        <w:t>:</w:t>
      </w:r>
      <w:r w:rsidRPr="00207DC2">
        <w:t xml:space="preserve"> </w:t>
      </w:r>
      <w:r w:rsidR="00363468" w:rsidRPr="00207DC2">
        <w:t xml:space="preserve">(a) </w:t>
      </w:r>
      <w:r w:rsidRPr="00207DC2">
        <w:t xml:space="preserve">Estimates marked as *** are statistically significant at the 0.1 per cent level, **are statistically significant at the </w:t>
      </w:r>
      <w:r w:rsidR="0037479F" w:rsidRPr="00207DC2">
        <w:t>one</w:t>
      </w:r>
      <w:r w:rsidRPr="00207DC2">
        <w:t xml:space="preserve"> per cent level, and * are statistically significant at the </w:t>
      </w:r>
      <w:r w:rsidR="0037479F" w:rsidRPr="00207DC2">
        <w:t>five</w:t>
      </w:r>
      <w:r w:rsidRPr="00207DC2">
        <w:t> per cent level.</w:t>
      </w:r>
      <w:r w:rsidRPr="00207DC2" w:rsidDel="00B30AAA">
        <w:t xml:space="preserve"> </w:t>
      </w:r>
      <w:r w:rsidR="00363468" w:rsidRPr="00207DC2">
        <w:t>(b</w:t>
      </w:r>
      <w:r w:rsidR="00482C9D" w:rsidRPr="00207DC2">
        <w:t>)</w:t>
      </w:r>
      <w:r w:rsidR="00363468" w:rsidRPr="00207DC2">
        <w:t xml:space="preserve"> </w:t>
      </w:r>
      <w:r w:rsidRPr="00207DC2">
        <w:t>Small Area Labour Market</w:t>
      </w:r>
      <w:r w:rsidR="00363468" w:rsidRPr="00207DC2">
        <w:t xml:space="preserve"> (SALM)</w:t>
      </w:r>
      <w:r w:rsidRPr="00207DC2">
        <w:t xml:space="preserve"> refers to use of these estimato</w:t>
      </w:r>
      <w:r w:rsidR="00363468" w:rsidRPr="00207DC2">
        <w:t xml:space="preserve">rs for labour market conditions; </w:t>
      </w:r>
      <w:r w:rsidRPr="00207DC2">
        <w:t>Income Support Payment</w:t>
      </w:r>
      <w:r w:rsidR="00363468" w:rsidRPr="00207DC2">
        <w:t xml:space="preserve"> (ISP) </w:t>
      </w:r>
      <w:r w:rsidRPr="00207DC2">
        <w:t>refers to use of estimate of resident population dependent on these payments as an indicator of l</w:t>
      </w:r>
      <w:r w:rsidR="00363468" w:rsidRPr="00207DC2">
        <w:t>abour market conditions; Remote</w:t>
      </w:r>
      <w:r w:rsidRPr="00207DC2">
        <w:t xml:space="preserve"> refers to a measure of the remoteness of each program participant as an indicator of labour market conditions. </w:t>
      </w:r>
    </w:p>
    <w:bookmarkEnd w:id="798"/>
    <w:p w14:paraId="5B9A0BCA" w14:textId="77777777" w:rsidR="002E1B54" w:rsidRPr="00207DC2" w:rsidRDefault="002E1B54" w:rsidP="00FB626D">
      <w:pPr>
        <w:jc w:val="both"/>
        <w:rPr>
          <w:lang w:val="en-AU"/>
        </w:rPr>
      </w:pPr>
    </w:p>
    <w:sectPr w:rsidR="002E1B54" w:rsidRPr="00207DC2" w:rsidSect="00AE7970">
      <w:type w:val="continuous"/>
      <w:pgSz w:w="11907" w:h="16839" w:code="9"/>
      <w:pgMar w:top="1559" w:right="1514" w:bottom="1418" w:left="1514" w:header="62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75D2C" w14:textId="77777777" w:rsidR="0036435C" w:rsidRDefault="0036435C" w:rsidP="00474E6F">
      <w:r>
        <w:separator/>
      </w:r>
    </w:p>
    <w:p w14:paraId="177E46E4" w14:textId="77777777" w:rsidR="0036435C" w:rsidRDefault="0036435C" w:rsidP="00474E6F"/>
    <w:p w14:paraId="62724D80" w14:textId="77777777" w:rsidR="0036435C" w:rsidRDefault="0036435C" w:rsidP="00474E6F"/>
  </w:endnote>
  <w:endnote w:type="continuationSeparator" w:id="0">
    <w:p w14:paraId="5C80AA5D" w14:textId="77777777" w:rsidR="0036435C" w:rsidRDefault="0036435C" w:rsidP="00474E6F">
      <w:r>
        <w:continuationSeparator/>
      </w:r>
    </w:p>
    <w:p w14:paraId="4F14AC5E" w14:textId="77777777" w:rsidR="0036435C" w:rsidRDefault="0036435C" w:rsidP="00474E6F"/>
    <w:p w14:paraId="67257248" w14:textId="77777777" w:rsidR="0036435C" w:rsidRDefault="0036435C" w:rsidP="00474E6F"/>
  </w:endnote>
  <w:endnote w:type="continuationNotice" w:id="1">
    <w:p w14:paraId="24CDDE56" w14:textId="77777777" w:rsidR="0036435C" w:rsidRDefault="003643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ontserrat">
    <w:panose1 w:val="00000500000000000000"/>
    <w:charset w:val="00"/>
    <w:family w:val="auto"/>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Ultra Light">
    <w:panose1 w:val="00000300000000000000"/>
    <w:charset w:val="00"/>
    <w:family w:val="modern"/>
    <w:notTrueType/>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Minion Pro">
    <w:altName w:val="Times New Roman"/>
    <w:panose1 w:val="02040503050306020203"/>
    <w:charset w:val="00"/>
    <w:family w:val="roman"/>
    <w:notTrueType/>
    <w:pitch w:val="variable"/>
    <w:sig w:usb0="60000287" w:usb1="00000001" w:usb2="00000000" w:usb3="00000000" w:csb0="0000019F" w:csb1="00000000"/>
  </w:font>
  <w:font w:name="Montserrat Hairline">
    <w:panose1 w:val="000003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DBEB5" w14:textId="67B4D292" w:rsidR="0036435C" w:rsidRPr="00AF4E14" w:rsidRDefault="0036435C" w:rsidP="00B075F6">
    <w:pPr>
      <w:tabs>
        <w:tab w:val="right" w:pos="8902"/>
      </w:tabs>
      <w:jc w:val="both"/>
    </w:pPr>
    <w:r>
      <w:t>The Department of the Prime Minister and Cabinet</w:t>
    </w:r>
    <w:r>
      <w:tab/>
      <w:t xml:space="preserve">Page </w:t>
    </w:r>
    <w:r>
      <w:fldChar w:fldCharType="begin"/>
    </w:r>
    <w:r>
      <w:instrText xml:space="preserve"> page </w:instrText>
    </w:r>
    <w:r>
      <w:fldChar w:fldCharType="separate"/>
    </w:r>
    <w:r w:rsidR="00B225BF">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85834" w14:textId="54EB8202" w:rsidR="0036435C" w:rsidRPr="00AF4E14" w:rsidRDefault="0036435C" w:rsidP="00B075F6">
    <w:pPr>
      <w:tabs>
        <w:tab w:val="right" w:pos="8902"/>
      </w:tabs>
      <w:jc w:val="both"/>
    </w:pPr>
    <w:r>
      <w:t>The Department of the Prime Minister and Cabinet</w:t>
    </w:r>
    <w:r>
      <w:tab/>
      <w:t xml:space="preserve">Page </w:t>
    </w:r>
    <w:r>
      <w:fldChar w:fldCharType="begin"/>
    </w:r>
    <w:r>
      <w:instrText xml:space="preserve"> page </w:instrText>
    </w:r>
    <w:r>
      <w:fldChar w:fldCharType="separate"/>
    </w:r>
    <w:r w:rsidR="00B225BF">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083472" w14:textId="77777777" w:rsidR="0036435C" w:rsidRDefault="0036435C" w:rsidP="00161BA9">
      <w:pPr>
        <w:spacing w:after="120" w:line="240" w:lineRule="auto"/>
      </w:pPr>
      <w:r>
        <w:separator/>
      </w:r>
    </w:p>
  </w:footnote>
  <w:footnote w:type="continuationSeparator" w:id="0">
    <w:p w14:paraId="51344E15" w14:textId="77777777" w:rsidR="0036435C" w:rsidRDefault="0036435C" w:rsidP="00474E6F">
      <w:r>
        <w:continuationSeparator/>
      </w:r>
    </w:p>
    <w:p w14:paraId="5EA44C07" w14:textId="77777777" w:rsidR="0036435C" w:rsidRDefault="0036435C" w:rsidP="00474E6F"/>
  </w:footnote>
  <w:footnote w:type="continuationNotice" w:id="1">
    <w:p w14:paraId="4DD521DE" w14:textId="77777777" w:rsidR="0036435C" w:rsidRDefault="0036435C">
      <w:pPr>
        <w:spacing w:before="0" w:after="0" w:line="240" w:lineRule="auto"/>
      </w:pPr>
    </w:p>
  </w:footnote>
  <w:footnote w:id="2">
    <w:p w14:paraId="09A90319" w14:textId="7C953BA7" w:rsidR="0036435C" w:rsidRPr="006E0C30" w:rsidRDefault="0036435C" w:rsidP="006E0C30">
      <w:pPr>
        <w:pStyle w:val="FootnoteText"/>
        <w:jc w:val="both"/>
        <w:rPr>
          <w:lang w:val="en-US"/>
        </w:rPr>
      </w:pPr>
      <w:r>
        <w:rPr>
          <w:rStyle w:val="FootnoteReference"/>
        </w:rPr>
        <w:footnoteRef/>
      </w:r>
      <w:r>
        <w:t xml:space="preserve"> </w:t>
      </w:r>
      <w:r w:rsidRPr="009A797B">
        <w:t>A suspension is a temporary hold on a participant’s income support payment</w:t>
      </w:r>
      <w:r>
        <w:t xml:space="preserve"> due to failure to meet mutual obligation requirements. A</w:t>
      </w:r>
      <w:r w:rsidRPr="009A797B">
        <w:t xml:space="preserve"> financial penalty is a permanent loss of a proportion of a participant’s income support payment</w:t>
      </w:r>
      <w:r>
        <w:t xml:space="preserve"> due to </w:t>
      </w:r>
      <w:r w:rsidRPr="009A797B">
        <w:t>failure to m</w:t>
      </w:r>
      <w:r>
        <w:t>eet mutual obligation requirements.</w:t>
      </w:r>
    </w:p>
  </w:footnote>
  <w:footnote w:id="3">
    <w:p w14:paraId="33E889B5" w14:textId="13B12FD9" w:rsidR="0036435C" w:rsidRDefault="0036435C" w:rsidP="00626B31">
      <w:pPr>
        <w:pStyle w:val="FootnoteText"/>
        <w:jc w:val="both"/>
      </w:pPr>
      <w:r>
        <w:rPr>
          <w:rStyle w:val="FootnoteReference"/>
        </w:rPr>
        <w:footnoteRef/>
      </w:r>
      <w:r w:rsidDel="008C29B6">
        <w:t xml:space="preserve"> </w:t>
      </w:r>
      <w:r>
        <w:t xml:space="preserve">The </w:t>
      </w:r>
      <w:r w:rsidRPr="00430862">
        <w:t>RJCP was introduced in July 2013</w:t>
      </w:r>
      <w:r>
        <w:t>,</w:t>
      </w:r>
      <w:r w:rsidRPr="00430862">
        <w:t xml:space="preserve"> replac</w:t>
      </w:r>
      <w:r>
        <w:t>ing</w:t>
      </w:r>
      <w:r w:rsidRPr="00430862">
        <w:t xml:space="preserve"> four existing programs then operating in remote areas: Job Services Australia; Disability Employment Services; the Indigenous Employment Program; and the Community Development Employment Projects program.</w:t>
      </w:r>
    </w:p>
  </w:footnote>
  <w:footnote w:id="4">
    <w:p w14:paraId="7AF7C45C" w14:textId="77777777" w:rsidR="0036435C" w:rsidRPr="00612186" w:rsidRDefault="0036435C" w:rsidP="00626B31">
      <w:pPr>
        <w:pStyle w:val="FootnoteText"/>
        <w:jc w:val="both"/>
      </w:pPr>
      <w:r>
        <w:rPr>
          <w:rStyle w:val="FootnoteReference"/>
        </w:rPr>
        <w:footnoteRef/>
      </w:r>
      <w:r>
        <w:t xml:space="preserve"> </w:t>
      </w:r>
      <w:r w:rsidRPr="00612186">
        <w:t xml:space="preserve">It is roughly confined to those portions of the country defined as </w:t>
      </w:r>
      <w:r w:rsidRPr="00324FDC">
        <w:rPr>
          <w:i/>
        </w:rPr>
        <w:t>Remote</w:t>
      </w:r>
      <w:r>
        <w:t xml:space="preserve"> and </w:t>
      </w:r>
      <w:r w:rsidRPr="00D62630">
        <w:rPr>
          <w:i/>
        </w:rPr>
        <w:t>Very Remote</w:t>
      </w:r>
      <w:r w:rsidRPr="00612186">
        <w:t xml:space="preserve"> Australia under the ABS Australian Statistical Geography Standard (ASGS), but excludes the </w:t>
      </w:r>
      <w:r w:rsidRPr="00D62630">
        <w:rPr>
          <w:i/>
        </w:rPr>
        <w:t>Remote</w:t>
      </w:r>
      <w:r w:rsidRPr="00612186">
        <w:t xml:space="preserve"> (excised) cities and towns of Broome, Geraldton, Kalgoorlie, Esperance, Port Lincoln, Port Augusta, Whyalla, Alice Springs, Broken Hill and Mt Isa</w:t>
      </w:r>
      <w:r>
        <w:t>, where participants are serviced by jobactive providers</w:t>
      </w:r>
      <w:r w:rsidRPr="00612186">
        <w:t xml:space="preserve">. </w:t>
      </w:r>
    </w:p>
  </w:footnote>
  <w:footnote w:id="5">
    <w:p w14:paraId="5711E168" w14:textId="63785020" w:rsidR="0036435C" w:rsidRPr="00FD7845" w:rsidRDefault="0036435C" w:rsidP="008264A2">
      <w:pPr>
        <w:pStyle w:val="FootnoteText"/>
        <w:jc w:val="both"/>
        <w:rPr>
          <w:lang w:val="en-US"/>
        </w:rPr>
      </w:pPr>
      <w:r>
        <w:rPr>
          <w:rStyle w:val="FootnoteReference"/>
        </w:rPr>
        <w:footnoteRef/>
      </w:r>
      <w:r>
        <w:t xml:space="preserve"> Based on seasonally adjusted estimates from the Labour Force Survey, unemployment rates across Australia were below six per cent in 2016 (ABS 2017a). Census estimates are used here to enable comparison with small populations in CDP regions (ABS 2017b).</w:t>
      </w:r>
    </w:p>
  </w:footnote>
  <w:footnote w:id="6">
    <w:p w14:paraId="20A543E0" w14:textId="7E0608E6" w:rsidR="0036435C" w:rsidRPr="001847DB" w:rsidRDefault="0036435C" w:rsidP="0074097A">
      <w:pPr>
        <w:pStyle w:val="FootnoteText"/>
        <w:keepNext/>
        <w:jc w:val="both"/>
      </w:pPr>
      <w:r>
        <w:rPr>
          <w:rStyle w:val="FootnoteReference"/>
        </w:rPr>
        <w:footnoteRef/>
      </w:r>
      <w:r>
        <w:t xml:space="preserve"> Activity-tested payments include Newstart Allowance, Youth Allowance (other) and Special Benefit (nominated visa holders). Some Parenting Payment recipients </w:t>
      </w:r>
      <w:r w:rsidRPr="00C722B9">
        <w:t>(those whose youngest child is six or above) and Disability Support Pension recipients (those aged under 35 years with a work capacity of eight or more hours per week and without a child under six years) have part time mutual obligation requirements</w:t>
      </w:r>
      <w:r>
        <w:t xml:space="preserve">. </w:t>
      </w:r>
    </w:p>
  </w:footnote>
  <w:footnote w:id="7">
    <w:p w14:paraId="7F29B40D" w14:textId="77777777" w:rsidR="0036435C" w:rsidRPr="00D141CE" w:rsidRDefault="0036435C" w:rsidP="00753EDE">
      <w:pPr>
        <w:pStyle w:val="FootnoteText"/>
        <w:rPr>
          <w:lang w:val="en-US"/>
        </w:rPr>
      </w:pPr>
      <w:r>
        <w:rPr>
          <w:rStyle w:val="FootnoteReference"/>
        </w:rPr>
        <w:footnoteRef/>
      </w:r>
      <w:r>
        <w:t xml:space="preserve"> </w:t>
      </w:r>
      <w:r>
        <w:rPr>
          <w:rFonts w:eastAsiaTheme="minorEastAsia"/>
          <w:lang w:val="en-AU"/>
        </w:rPr>
        <w:t>In addition to any job search that may be required (</w:t>
      </w:r>
      <w:r>
        <w:t>PMC 2014b:3).</w:t>
      </w:r>
    </w:p>
  </w:footnote>
  <w:footnote w:id="8">
    <w:p w14:paraId="7DED4217" w14:textId="11008940" w:rsidR="0036435C" w:rsidRPr="008D3D48" w:rsidRDefault="0036435C" w:rsidP="00BF6352">
      <w:pPr>
        <w:pStyle w:val="FootnoteText"/>
        <w:jc w:val="both"/>
      </w:pPr>
      <w:r>
        <w:rPr>
          <w:rStyle w:val="FootnoteReference"/>
        </w:rPr>
        <w:footnoteRef/>
      </w:r>
      <w:r>
        <w:t xml:space="preserve"> The term ‘Work for the Dole’ was not used under RJCP, but rather </w:t>
      </w:r>
      <w:r w:rsidRPr="008D3D48">
        <w:t>‘Structured Activities’ which were employment and participation activities tha</w:t>
      </w:r>
      <w:r>
        <w:t>t were as work-like as possible. Examples</w:t>
      </w:r>
      <w:r w:rsidRPr="008D3D48">
        <w:t xml:space="preserve"> included work exper</w:t>
      </w:r>
      <w:r>
        <w:t>ience and integrated employment-</w:t>
      </w:r>
      <w:r w:rsidRPr="008D3D48">
        <w:t>focused training, environmental activities or development and maintenance of community infrastructure</w:t>
      </w:r>
      <w:r>
        <w:t xml:space="preserve"> (PMC 2014)</w:t>
      </w:r>
      <w:r w:rsidRPr="008D3D48">
        <w:t>.</w:t>
      </w:r>
      <w:r w:rsidRPr="0041209D">
        <w:t xml:space="preserve"> </w:t>
      </w:r>
      <w:r w:rsidRPr="006343AE">
        <w:t xml:space="preserve">RJCP structured and </w:t>
      </w:r>
      <w:r>
        <w:t xml:space="preserve">CDP Work for the Dole </w:t>
      </w:r>
      <w:r w:rsidRPr="006343AE">
        <w:t xml:space="preserve">activities are similar in that they </w:t>
      </w:r>
      <w:r>
        <w:t xml:space="preserve">are both required </w:t>
      </w:r>
      <w:r w:rsidRPr="006343AE">
        <w:t xml:space="preserve">to be fully supervised and ‘as work-like as possible’. The key difference is that </w:t>
      </w:r>
      <w:r>
        <w:t xml:space="preserve">CDP </w:t>
      </w:r>
      <w:r w:rsidRPr="006343AE">
        <w:t>W</w:t>
      </w:r>
      <w:r>
        <w:t xml:space="preserve">ork for the </w:t>
      </w:r>
      <w:r w:rsidRPr="006343AE">
        <w:t>D</w:t>
      </w:r>
      <w:r>
        <w:t>ole</w:t>
      </w:r>
      <w:r w:rsidRPr="006343AE">
        <w:t xml:space="preserve"> activities need to be structured to allow for 25 hours of activity across 5 days a week</w:t>
      </w:r>
      <w:r>
        <w:t>, to</w:t>
      </w:r>
      <w:r w:rsidRPr="0041209D">
        <w:t xml:space="preserve"> establish a daily work routine</w:t>
      </w:r>
      <w:r>
        <w:t xml:space="preserve">. Guidelines also specify that CDP Work for the Dole activities should: </w:t>
      </w:r>
      <w:r w:rsidRPr="0041209D">
        <w:t xml:space="preserve">develop and enhance participants’ ability to work independently; improve or enhance participant’s communication skills, motivation, and dependability; and where possible, provide participants with experience working as part of a </w:t>
      </w:r>
      <w:r>
        <w:t>team (PMC 2016:7)</w:t>
      </w:r>
      <w:r w:rsidRPr="0041209D">
        <w:t>.</w:t>
      </w:r>
    </w:p>
  </w:footnote>
  <w:footnote w:id="9">
    <w:p w14:paraId="120D77CD" w14:textId="7A810DE4" w:rsidR="0036435C" w:rsidRPr="007F495D" w:rsidRDefault="0036435C" w:rsidP="008805AF">
      <w:pPr>
        <w:pStyle w:val="FootnoteText"/>
        <w:jc w:val="both"/>
        <w:rPr>
          <w:lang w:val="en-US"/>
        </w:rPr>
      </w:pPr>
      <w:r>
        <w:rPr>
          <w:rStyle w:val="FootnoteReference"/>
        </w:rPr>
        <w:footnoteRef/>
      </w:r>
      <w:r>
        <w:t xml:space="preserve"> </w:t>
      </w:r>
      <w:r>
        <w:rPr>
          <w:lang w:val="en-US"/>
        </w:rPr>
        <w:t xml:space="preserve">This includes </w:t>
      </w:r>
      <w:r>
        <w:t>people on the above activity-tested</w:t>
      </w:r>
      <w:r w:rsidRPr="002D0CE5">
        <w:t xml:space="preserve"> payment</w:t>
      </w:r>
      <w:r>
        <w:t xml:space="preserve">s who are </w:t>
      </w:r>
      <w:r w:rsidRPr="006F26B0">
        <w:rPr>
          <w:lang w:val="en-US"/>
        </w:rPr>
        <w:t>not</w:t>
      </w:r>
      <w:r>
        <w:rPr>
          <w:lang w:val="en-US"/>
        </w:rPr>
        <w:t xml:space="preserve"> </w:t>
      </w:r>
      <w:r w:rsidRPr="0072693E">
        <w:rPr>
          <w:lang w:val="en-US"/>
        </w:rPr>
        <w:t xml:space="preserve">receiving the full rate of </w:t>
      </w:r>
      <w:r>
        <w:rPr>
          <w:lang w:val="en-US"/>
        </w:rPr>
        <w:t>payment,</w:t>
      </w:r>
      <w:r w:rsidRPr="0072693E">
        <w:rPr>
          <w:lang w:val="en-US"/>
        </w:rPr>
        <w:t xml:space="preserve"> </w:t>
      </w:r>
      <w:r>
        <w:rPr>
          <w:lang w:val="en-US"/>
        </w:rPr>
        <w:t xml:space="preserve">are aged under 18 or over </w:t>
      </w:r>
      <w:r w:rsidRPr="0072693E">
        <w:rPr>
          <w:lang w:val="en-US"/>
        </w:rPr>
        <w:t>49 years</w:t>
      </w:r>
      <w:r>
        <w:rPr>
          <w:lang w:val="en-US"/>
        </w:rPr>
        <w:t>,</w:t>
      </w:r>
      <w:r w:rsidRPr="0072693E">
        <w:rPr>
          <w:lang w:val="en-US"/>
        </w:rPr>
        <w:t xml:space="preserve"> exempt from mutua</w:t>
      </w:r>
      <w:r>
        <w:rPr>
          <w:lang w:val="en-US"/>
        </w:rPr>
        <w:t xml:space="preserve">l obligation requirements </w:t>
      </w:r>
      <w:r w:rsidRPr="0072693E">
        <w:rPr>
          <w:lang w:val="en-US"/>
        </w:rPr>
        <w:t>and</w:t>
      </w:r>
      <w:r>
        <w:rPr>
          <w:lang w:val="en-US"/>
        </w:rPr>
        <w:t>/or</w:t>
      </w:r>
      <w:r w:rsidRPr="0072693E">
        <w:rPr>
          <w:lang w:val="en-US"/>
        </w:rPr>
        <w:t xml:space="preserve"> </w:t>
      </w:r>
      <w:r>
        <w:rPr>
          <w:lang w:val="en-US"/>
        </w:rPr>
        <w:t>unable to participate in Work for the Dole due</w:t>
      </w:r>
      <w:r w:rsidRPr="0072693E">
        <w:rPr>
          <w:lang w:val="en-US"/>
        </w:rPr>
        <w:t xml:space="preserve"> </w:t>
      </w:r>
      <w:r>
        <w:rPr>
          <w:lang w:val="en-US"/>
        </w:rPr>
        <w:t xml:space="preserve">to </w:t>
      </w:r>
      <w:r w:rsidRPr="0072693E">
        <w:rPr>
          <w:lang w:val="en-US"/>
        </w:rPr>
        <w:t>illness</w:t>
      </w:r>
      <w:r>
        <w:rPr>
          <w:lang w:val="en-US"/>
        </w:rPr>
        <w:t>,</w:t>
      </w:r>
      <w:r w:rsidRPr="0072693E">
        <w:rPr>
          <w:lang w:val="en-US"/>
        </w:rPr>
        <w:t xml:space="preserve"> injury or disability</w:t>
      </w:r>
      <w:r>
        <w:rPr>
          <w:lang w:val="en-US"/>
        </w:rPr>
        <w:t>.</w:t>
      </w:r>
    </w:p>
  </w:footnote>
  <w:footnote w:id="10">
    <w:p w14:paraId="29B9A84C" w14:textId="65A964C3" w:rsidR="0036435C" w:rsidRPr="002D0CE5" w:rsidRDefault="0036435C" w:rsidP="009A3924">
      <w:pPr>
        <w:pStyle w:val="FootnoteText"/>
        <w:jc w:val="both"/>
        <w:rPr>
          <w:lang w:val="en-US"/>
        </w:rPr>
      </w:pPr>
      <w:r>
        <w:rPr>
          <w:rStyle w:val="FootnoteReference"/>
        </w:rPr>
        <w:footnoteRef/>
      </w:r>
      <w:r>
        <w:t xml:space="preserve"> People</w:t>
      </w:r>
      <w:r w:rsidRPr="002D0CE5">
        <w:t xml:space="preserve"> on non-</w:t>
      </w:r>
      <w:r>
        <w:t>activity-tested</w:t>
      </w:r>
      <w:r w:rsidRPr="002D0CE5">
        <w:t xml:space="preserve"> income support payment</w:t>
      </w:r>
      <w:r>
        <w:t>s</w:t>
      </w:r>
      <w:r w:rsidRPr="002D0CE5">
        <w:t xml:space="preserve"> who reside in </w:t>
      </w:r>
      <w:r>
        <w:t>CDP regions</w:t>
      </w:r>
      <w:r w:rsidRPr="002D0CE5">
        <w:t xml:space="preserve"> are</w:t>
      </w:r>
      <w:r>
        <w:t xml:space="preserve"> not required to participate in CDP, but can volunteer and are </w:t>
      </w:r>
      <w:r w:rsidRPr="002D0CE5">
        <w:t>fully eligible for CDP</w:t>
      </w:r>
      <w:r>
        <w:t xml:space="preserve"> services. </w:t>
      </w:r>
      <w:r w:rsidRPr="002D0CE5">
        <w:t xml:space="preserve">People who are not on income support payments can </w:t>
      </w:r>
      <w:r>
        <w:t xml:space="preserve">also </w:t>
      </w:r>
      <w:r w:rsidRPr="002D0CE5">
        <w:t>vo</w:t>
      </w:r>
      <w:r>
        <w:t>lunteer to participate in CDP, but providers can only receive full payment for</w:t>
      </w:r>
      <w:r w:rsidRPr="002D0CE5">
        <w:t xml:space="preserve"> </w:t>
      </w:r>
      <w:r>
        <w:t>those who are not on income support payments (</w:t>
      </w:r>
      <w:r w:rsidRPr="002D0CE5">
        <w:t>‘CDP ineligi</w:t>
      </w:r>
      <w:r>
        <w:t>ble participants’)</w:t>
      </w:r>
      <w:r w:rsidRPr="002D0CE5">
        <w:t xml:space="preserve"> if they </w:t>
      </w:r>
      <w:r>
        <w:t xml:space="preserve">first </w:t>
      </w:r>
      <w:r w:rsidRPr="002D0CE5">
        <w:t>obtain approval from the department</w:t>
      </w:r>
      <w:r>
        <w:t xml:space="preserve"> (PMC 2016)</w:t>
      </w:r>
      <w:r w:rsidRPr="002D0CE5">
        <w:t>.</w:t>
      </w:r>
      <w:r>
        <w:t xml:space="preserve"> </w:t>
      </w:r>
    </w:p>
  </w:footnote>
  <w:footnote w:id="11">
    <w:p w14:paraId="527A479F" w14:textId="4EF0065D" w:rsidR="0036435C" w:rsidRPr="000C5038" w:rsidRDefault="0036435C" w:rsidP="00D64ADC">
      <w:pPr>
        <w:pStyle w:val="FootnoteText"/>
        <w:jc w:val="both"/>
        <w:rPr>
          <w:lang w:val="en-US"/>
        </w:rPr>
      </w:pPr>
      <w:r>
        <w:rPr>
          <w:rStyle w:val="FootnoteReference"/>
        </w:rPr>
        <w:footnoteRef/>
      </w:r>
      <w:r>
        <w:t xml:space="preserve"> Allowable breaks are periods of approved unpaid leave from work and can include breaks between jobs and periods of unpaid sick leave (PMC 2016)</w:t>
      </w:r>
      <w:r w:rsidRPr="00591369">
        <w:t>.</w:t>
      </w:r>
      <w:r>
        <w:t xml:space="preserve"> Under CDP, a</w:t>
      </w:r>
      <w:r w:rsidRPr="00591369">
        <w:t xml:space="preserve"> </w:t>
      </w:r>
      <w:r>
        <w:t>participant</w:t>
      </w:r>
      <w:r w:rsidRPr="00591369">
        <w:t xml:space="preserve"> can have a break of up to four weeks in each 13</w:t>
      </w:r>
      <w:r>
        <w:t>-</w:t>
      </w:r>
      <w:r w:rsidRPr="00591369">
        <w:t>week period, meaning that a provider can claim a 13</w:t>
      </w:r>
      <w:r>
        <w:t>-</w:t>
      </w:r>
      <w:r w:rsidRPr="00591369">
        <w:t xml:space="preserve">week Employment Outcome Payment if a </w:t>
      </w:r>
      <w:r>
        <w:t>participant</w:t>
      </w:r>
      <w:r w:rsidRPr="00591369">
        <w:t xml:space="preserve"> is employed for 13 weeks over a 17</w:t>
      </w:r>
      <w:r>
        <w:t>-</w:t>
      </w:r>
      <w:r w:rsidRPr="00591369">
        <w:t>week period</w:t>
      </w:r>
      <w:r>
        <w:t>.</w:t>
      </w:r>
    </w:p>
  </w:footnote>
  <w:footnote w:id="12">
    <w:p w14:paraId="381A7AB3" w14:textId="1570F2B5" w:rsidR="0036435C" w:rsidRPr="001B398C" w:rsidRDefault="0036435C" w:rsidP="00D64ADC">
      <w:pPr>
        <w:pStyle w:val="FootnoteText"/>
        <w:jc w:val="both"/>
      </w:pPr>
      <w:r>
        <w:rPr>
          <w:rStyle w:val="FootnoteReference"/>
        </w:rPr>
        <w:footnoteRef/>
      </w:r>
      <w:r>
        <w:t xml:space="preserve"> Full</w:t>
      </w:r>
      <w:r w:rsidRPr="001B398C">
        <w:t xml:space="preserve"> employment outcome</w:t>
      </w:r>
      <w:r>
        <w:t xml:space="preserve">s are claimable </w:t>
      </w:r>
      <w:r w:rsidRPr="001B398C">
        <w:t xml:space="preserve">when the </w:t>
      </w:r>
      <w:r>
        <w:t>CDP participant</w:t>
      </w:r>
      <w:r w:rsidRPr="001B398C">
        <w:t xml:space="preserve"> is off inco</w:t>
      </w:r>
      <w:r>
        <w:t>me support or fully meets their hourly requirements.</w:t>
      </w:r>
      <w:r w:rsidRPr="001B398C">
        <w:t xml:space="preserve"> A part</w:t>
      </w:r>
      <w:r>
        <w:t>ial</w:t>
      </w:r>
      <w:r w:rsidRPr="001B398C">
        <w:t xml:space="preserve"> outcome occurs where a</w:t>
      </w:r>
      <w:r>
        <w:t xml:space="preserve"> CDP participant works sufficient hour</w:t>
      </w:r>
      <w:r w:rsidRPr="001B398C">
        <w:t xml:space="preserve">s </w:t>
      </w:r>
      <w:r>
        <w:t xml:space="preserve">to </w:t>
      </w:r>
      <w:r w:rsidRPr="001B398C">
        <w:t>reduce their income s</w:t>
      </w:r>
      <w:r>
        <w:t>upport by at least 60 per cent</w:t>
      </w:r>
      <w:r w:rsidRPr="00B11307">
        <w:t xml:space="preserve"> or partially meets their hours based requirements </w:t>
      </w:r>
      <w:r w:rsidRPr="00784D7F">
        <w:t>(</w:t>
      </w:r>
      <w:r>
        <w:t>PMC</w:t>
      </w:r>
      <w:r w:rsidRPr="00784D7F">
        <w:t xml:space="preserve"> 2016</w:t>
      </w:r>
      <w:r>
        <w:t>). The number of employment hours required to partially meet requirements is on average 10 hours per week for Newstart, Youth Allowance (other) and Parenting Payment recipients who are carers and an average of 15 hours or more per week for those who are on Newstart or Youth allowance</w:t>
      </w:r>
      <w:r w:rsidRPr="001B398C">
        <w:t>.</w:t>
      </w:r>
      <w:r>
        <w:t xml:space="preserve"> A full employment outcome can be claimed for an eligible participant with partial capacity to work when employed for the minimum required hours (as assessed in an Employment Services Assessment </w:t>
      </w:r>
      <w:r w:rsidRPr="00975DD5">
        <w:t>(ESAt)</w:t>
      </w:r>
      <w:r>
        <w:t xml:space="preserve"> or Job Capacity Assessment); and a partial outcome if they are employed for an average of at least 70 per cent of their minimum hours.</w:t>
      </w:r>
    </w:p>
  </w:footnote>
  <w:footnote w:id="13">
    <w:p w14:paraId="4CD7ADAE" w14:textId="2B0C4721" w:rsidR="0036435C" w:rsidRPr="00FD589F" w:rsidRDefault="0036435C" w:rsidP="00AF30F9">
      <w:pPr>
        <w:pStyle w:val="FootnoteText"/>
      </w:pPr>
      <w:r>
        <w:rPr>
          <w:rStyle w:val="FootnoteReference"/>
        </w:rPr>
        <w:footnoteRef/>
      </w:r>
      <w:r>
        <w:t xml:space="preserve"> R</w:t>
      </w:r>
      <w:r w:rsidRPr="001939DA">
        <w:t xml:space="preserve">eferred to as </w:t>
      </w:r>
      <w:r w:rsidRPr="001939DA">
        <w:rPr>
          <w:i/>
        </w:rPr>
        <w:t xml:space="preserve">commenced </w:t>
      </w:r>
      <w:r>
        <w:t xml:space="preserve">in </w:t>
      </w:r>
      <w:r w:rsidRPr="001939DA">
        <w:t>program guidelines</w:t>
      </w:r>
      <w:r>
        <w:t xml:space="preserve"> and the </w:t>
      </w:r>
      <w:r w:rsidRPr="001939DA">
        <w:t>administrative system</w:t>
      </w:r>
      <w:r>
        <w:t xml:space="preserve">, and defined to include those who have </w:t>
      </w:r>
      <w:r w:rsidRPr="00FD589F">
        <w:t xml:space="preserve">completed the </w:t>
      </w:r>
      <w:r>
        <w:t>initial i</w:t>
      </w:r>
      <w:r w:rsidRPr="00FD589F">
        <w:t xml:space="preserve">nterview </w:t>
      </w:r>
      <w:r>
        <w:t xml:space="preserve">and assessment process </w:t>
      </w:r>
      <w:r w:rsidRPr="001939DA">
        <w:t>(PMC 2013, p.45).</w:t>
      </w:r>
    </w:p>
  </w:footnote>
  <w:footnote w:id="14">
    <w:p w14:paraId="6A1BC4A0" w14:textId="77777777" w:rsidR="0036435C" w:rsidRPr="00730814" w:rsidRDefault="0036435C" w:rsidP="00C45611">
      <w:pPr>
        <w:pStyle w:val="FootnoteText"/>
        <w:jc w:val="both"/>
        <w:rPr>
          <w:lang w:val="en-US"/>
        </w:rPr>
      </w:pPr>
      <w:r>
        <w:rPr>
          <w:rStyle w:val="FootnoteReference"/>
        </w:rPr>
        <w:footnoteRef/>
      </w:r>
      <w:r>
        <w:t xml:space="preserve"> </w:t>
      </w:r>
      <w:r w:rsidRPr="008E7CAF">
        <w:t xml:space="preserve">Part-time payments are payable if a </w:t>
      </w:r>
      <w:r>
        <w:t>participant</w:t>
      </w:r>
      <w:r w:rsidRPr="008E7CAF">
        <w:t>’s income support reduces by at least 60</w:t>
      </w:r>
      <w:r>
        <w:t> </w:t>
      </w:r>
      <w:r w:rsidRPr="008E7CAF">
        <w:t>per</w:t>
      </w:r>
      <w:r>
        <w:t> </w:t>
      </w:r>
      <w:r w:rsidRPr="008E7CAF">
        <w:t>cent. The amount of work required to achieve this reduction will depend on the assessed work capability of the</w:t>
      </w:r>
      <w:r>
        <w:t xml:space="preserve"> participant</w:t>
      </w:r>
      <w:r w:rsidRPr="008E7CAF">
        <w:t>, the hourly wage being paid in the job, the tenure of the work (ongoing or casual) and the predictability of the work per week</w:t>
      </w:r>
      <w:r>
        <w:t xml:space="preserve">. </w:t>
      </w:r>
    </w:p>
  </w:footnote>
  <w:footnote w:id="15">
    <w:p w14:paraId="1830AC5D" w14:textId="77777777" w:rsidR="0036435C" w:rsidRPr="0012021F" w:rsidRDefault="0036435C" w:rsidP="0012021F">
      <w:pPr>
        <w:pStyle w:val="FootnoteText"/>
      </w:pPr>
      <w:r>
        <w:rPr>
          <w:rStyle w:val="FootnoteReference"/>
        </w:rPr>
        <w:footnoteRef/>
      </w:r>
      <w:r>
        <w:t xml:space="preserve"> </w:t>
      </w:r>
      <w:r w:rsidRPr="0012021F">
        <w:t>1 January 2016 was selected as the most appropriate time period for descriptive statistics as it is the most frequently used sampling date for analysis in this report (being the earliest date to avoid transitional issues in the administrative data).</w:t>
      </w:r>
    </w:p>
  </w:footnote>
  <w:footnote w:id="16">
    <w:p w14:paraId="1E5128B4" w14:textId="13208DCF" w:rsidR="0036435C" w:rsidRPr="005A50CD" w:rsidRDefault="0036435C" w:rsidP="001C6A6F">
      <w:pPr>
        <w:pStyle w:val="FootnoteText"/>
        <w:jc w:val="both"/>
        <w:rPr>
          <w:lang w:val="en-US"/>
        </w:rPr>
      </w:pPr>
      <w:r>
        <w:rPr>
          <w:rStyle w:val="FootnoteReference"/>
        </w:rPr>
        <w:footnoteRef/>
      </w:r>
      <w:r>
        <w:t xml:space="preserve"> Analysis of Census data (unpublished) shows that, between 2011 and 2016, there </w:t>
      </w:r>
      <w:r w:rsidRPr="005A50CD">
        <w:t>has been an increase in the proportion</w:t>
      </w:r>
      <w:r>
        <w:t xml:space="preserve"> </w:t>
      </w:r>
      <w:r w:rsidRPr="005A50CD">
        <w:t xml:space="preserve">of </w:t>
      </w:r>
      <w:r>
        <w:t>adults (aged 20 to 64</w:t>
      </w:r>
      <w:r w:rsidRPr="005A50CD">
        <w:t xml:space="preserve">) who have completed </w:t>
      </w:r>
      <w:r>
        <w:t>post-school</w:t>
      </w:r>
      <w:r w:rsidRPr="005A50CD">
        <w:t xml:space="preserve"> education</w:t>
      </w:r>
      <w:r>
        <w:t xml:space="preserve"> in every state and territory (</w:t>
      </w:r>
      <w:r w:rsidRPr="005A50CD">
        <w:t>Indigenous and non-Indigenous</w:t>
      </w:r>
      <w:r>
        <w:t xml:space="preserve">). </w:t>
      </w:r>
    </w:p>
  </w:footnote>
  <w:footnote w:id="17">
    <w:p w14:paraId="2A934EB8" w14:textId="586FDC47" w:rsidR="0036435C" w:rsidRPr="00784D7F" w:rsidRDefault="0036435C" w:rsidP="001343FB">
      <w:pPr>
        <w:pStyle w:val="FootnoteText"/>
        <w:jc w:val="both"/>
        <w:rPr>
          <w:lang w:val="en-US"/>
        </w:rPr>
      </w:pPr>
      <w:r>
        <w:rPr>
          <w:rStyle w:val="FootnoteReference"/>
        </w:rPr>
        <w:footnoteRef/>
      </w:r>
      <w:r>
        <w:t xml:space="preserve"> </w:t>
      </w:r>
      <w:r w:rsidRPr="0085443A">
        <w:t>Participants were classified as having low barriers to employment if they ha</w:t>
      </w:r>
      <w:r>
        <w:t>d</w:t>
      </w:r>
      <w:r w:rsidRPr="0085443A">
        <w:t xml:space="preserve"> fewer than 20</w:t>
      </w:r>
      <w:r>
        <w:t> </w:t>
      </w:r>
      <w:r w:rsidRPr="0085443A">
        <w:t>points on the JSCI; mild barriers if they ha</w:t>
      </w:r>
      <w:r>
        <w:t>d</w:t>
      </w:r>
      <w:r w:rsidRPr="0085443A">
        <w:t xml:space="preserve"> 20 to 28</w:t>
      </w:r>
      <w:r>
        <w:t> </w:t>
      </w:r>
      <w:r w:rsidRPr="0085443A">
        <w:t>points; and moderate to extreme barriers if they ha</w:t>
      </w:r>
      <w:r>
        <w:t>d</w:t>
      </w:r>
      <w:r w:rsidRPr="0085443A">
        <w:t xml:space="preserve"> 29 or more points</w:t>
      </w:r>
      <w:r>
        <w:t>. This is</w:t>
      </w:r>
      <w:r w:rsidRPr="0085443A">
        <w:t xml:space="preserve"> consistent with the rules for classifying participants into streams under </w:t>
      </w:r>
      <w:r w:rsidRPr="00324FDC">
        <w:rPr>
          <w:i/>
        </w:rPr>
        <w:t>Job Services Australia 2012-2015</w:t>
      </w:r>
      <w:r w:rsidRPr="0085443A">
        <w:t>.</w:t>
      </w:r>
    </w:p>
  </w:footnote>
  <w:footnote w:id="18">
    <w:p w14:paraId="5AC5ED99" w14:textId="77777777" w:rsidR="0036435C" w:rsidRPr="00D26EF4" w:rsidRDefault="0036435C" w:rsidP="00453C1C">
      <w:pPr>
        <w:pStyle w:val="FootnoteText"/>
        <w:tabs>
          <w:tab w:val="left" w:pos="4962"/>
          <w:tab w:val="left" w:pos="5387"/>
        </w:tabs>
        <w:jc w:val="both"/>
        <w:rPr>
          <w:lang w:val="en-US"/>
        </w:rPr>
      </w:pPr>
      <w:r>
        <w:rPr>
          <w:rStyle w:val="FootnoteReference"/>
        </w:rPr>
        <w:footnoteRef/>
      </w:r>
      <w:r>
        <w:t xml:space="preserve"> </w:t>
      </w:r>
      <w:r>
        <w:rPr>
          <w:lang w:val="en-US"/>
        </w:rPr>
        <w:t xml:space="preserve">Among those participants who were required to attend Work for the Dole </w:t>
      </w:r>
      <w:r w:rsidRPr="00262E72">
        <w:rPr>
          <w:i/>
          <w:lang w:val="en-US"/>
        </w:rPr>
        <w:t xml:space="preserve">and </w:t>
      </w:r>
      <w:r>
        <w:rPr>
          <w:lang w:val="en-US"/>
        </w:rPr>
        <w:t xml:space="preserve">commenced in the program (i.e. not pending or temporarily exempt), more than 90 per cent were </w:t>
      </w:r>
      <w:r w:rsidRPr="004A6F06">
        <w:rPr>
          <w:lang w:val="en-AU"/>
        </w:rPr>
        <w:t>enrolled</w:t>
      </w:r>
      <w:r>
        <w:rPr>
          <w:lang w:val="en-US"/>
        </w:rPr>
        <w:t xml:space="preserve"> in activities by June 2017.</w:t>
      </w:r>
    </w:p>
  </w:footnote>
  <w:footnote w:id="19">
    <w:p w14:paraId="67BB16B7" w14:textId="38338E9B" w:rsidR="0036435C" w:rsidRPr="004D01F7" w:rsidRDefault="0036435C" w:rsidP="002802E0">
      <w:pPr>
        <w:pStyle w:val="FootnoteText"/>
        <w:jc w:val="both"/>
      </w:pPr>
      <w:r>
        <w:rPr>
          <w:rStyle w:val="FootnoteReference"/>
        </w:rPr>
        <w:footnoteRef/>
      </w:r>
      <w:r>
        <w:t xml:space="preserve"> Defined to include </w:t>
      </w:r>
      <w:r w:rsidRPr="004D01F7">
        <w:t>RJCP structured activities</w:t>
      </w:r>
      <w:r>
        <w:t xml:space="preserve"> as well as CDP Work for the Dole activities. In transition to</w:t>
      </w:r>
      <w:r w:rsidRPr="004D01F7">
        <w:t xml:space="preserve"> CD</w:t>
      </w:r>
      <w:r>
        <w:t>P,</w:t>
      </w:r>
      <w:r w:rsidRPr="004D01F7">
        <w:t xml:space="preserve"> RJCP structured activities </w:t>
      </w:r>
      <w:r>
        <w:t xml:space="preserve">(and some other pre-existing community activities) </w:t>
      </w:r>
      <w:r w:rsidRPr="004D01F7">
        <w:t>wer</w:t>
      </w:r>
      <w:r>
        <w:t xml:space="preserve">e converted into Work for the Dole activities. </w:t>
      </w:r>
    </w:p>
  </w:footnote>
  <w:footnote w:id="20">
    <w:p w14:paraId="55F7A975" w14:textId="77777777" w:rsidR="0036435C" w:rsidRPr="007F34B7" w:rsidRDefault="0036435C" w:rsidP="004A289D">
      <w:pPr>
        <w:pStyle w:val="FootnoteText"/>
        <w:tabs>
          <w:tab w:val="left" w:pos="6379"/>
        </w:tabs>
        <w:jc w:val="both"/>
      </w:pPr>
      <w:r>
        <w:rPr>
          <w:rStyle w:val="FootnoteReference"/>
        </w:rPr>
        <w:footnoteRef/>
      </w:r>
      <w:r>
        <w:t xml:space="preserve"> </w:t>
      </w:r>
      <w:r>
        <w:rPr>
          <w:lang w:val="en-AU"/>
        </w:rPr>
        <w:t xml:space="preserve">Similar results are observed at other times. </w:t>
      </w:r>
      <w:r>
        <w:t>For example,</w:t>
      </w:r>
      <w:r w:rsidRPr="00E2713E">
        <w:t xml:space="preserve"> </w:t>
      </w:r>
      <w:r>
        <w:t>on 23</w:t>
      </w:r>
      <w:r w:rsidRPr="00E2713E">
        <w:t xml:space="preserve"> September 2016,</w:t>
      </w:r>
      <w:r>
        <w:t xml:space="preserve"> 18 per </w:t>
      </w:r>
      <w:r w:rsidRPr="00E2713E">
        <w:t>cent of</w:t>
      </w:r>
      <w:r>
        <w:t xml:space="preserve"> reported reasons for valid non-attendance</w:t>
      </w:r>
      <w:r w:rsidRPr="00E2713E">
        <w:t xml:space="preserve"> were work relate</w:t>
      </w:r>
      <w:r>
        <w:t>d and 17 per </w:t>
      </w:r>
      <w:r w:rsidRPr="00E2713E">
        <w:t xml:space="preserve">cent </w:t>
      </w:r>
      <w:r>
        <w:t>were related to cultural business. A further 16 per </w:t>
      </w:r>
      <w:r w:rsidRPr="00E2713E">
        <w:t xml:space="preserve">cent </w:t>
      </w:r>
      <w:r>
        <w:t xml:space="preserve">were for </w:t>
      </w:r>
      <w:r w:rsidRPr="00E2713E">
        <w:t>personal or external</w:t>
      </w:r>
      <w:r>
        <w:t xml:space="preserve"> reasons</w:t>
      </w:r>
      <w:r w:rsidRPr="00E2713E">
        <w:t xml:space="preserve">, </w:t>
      </w:r>
      <w:r>
        <w:t>12 </w:t>
      </w:r>
      <w:r w:rsidRPr="008856D9">
        <w:t>per</w:t>
      </w:r>
      <w:r w:rsidRPr="00E2713E">
        <w:t xml:space="preserve"> cent </w:t>
      </w:r>
      <w:r>
        <w:t xml:space="preserve">were </w:t>
      </w:r>
      <w:r w:rsidRPr="00E2713E">
        <w:t xml:space="preserve">for medical and health </w:t>
      </w:r>
      <w:r>
        <w:t>issues, six per </w:t>
      </w:r>
      <w:r w:rsidRPr="00E2713E">
        <w:t>c</w:t>
      </w:r>
      <w:r>
        <w:t>ent for caring duties and three per </w:t>
      </w:r>
      <w:r w:rsidRPr="00E2713E">
        <w:t>cent for transport issues.</w:t>
      </w:r>
    </w:p>
  </w:footnote>
  <w:footnote w:id="21">
    <w:p w14:paraId="192CCA0B" w14:textId="77777777" w:rsidR="0036435C" w:rsidRDefault="0036435C" w:rsidP="000D7625">
      <w:pPr>
        <w:pStyle w:val="FootnoteText"/>
        <w:jc w:val="both"/>
      </w:pPr>
      <w:r>
        <w:rPr>
          <w:rStyle w:val="FootnoteReference"/>
        </w:rPr>
        <w:footnoteRef/>
      </w:r>
      <w:r>
        <w:t xml:space="preserve"> From</w:t>
      </w:r>
      <w:r w:rsidRPr="003F7566">
        <w:t xml:space="preserve"> </w:t>
      </w:r>
      <w:r>
        <w:t>1 January 2016</w:t>
      </w:r>
      <w:r w:rsidRPr="003F7566">
        <w:t xml:space="preserve"> to</w:t>
      </w:r>
      <w:r>
        <w:t xml:space="preserve"> 30 June 2017,</w:t>
      </w:r>
      <w:r w:rsidRPr="003F7566">
        <w:t xml:space="preserve"> </w:t>
      </w:r>
      <w:r>
        <w:t xml:space="preserve">Tuesday and </w:t>
      </w:r>
      <w:r w:rsidRPr="003F7566">
        <w:t>Wednesday had the h</w:t>
      </w:r>
      <w:r>
        <w:t>i</w:t>
      </w:r>
      <w:r w:rsidRPr="003F7566">
        <w:t>ghest attendance</w:t>
      </w:r>
      <w:r>
        <w:t xml:space="preserve"> (</w:t>
      </w:r>
      <w:r w:rsidRPr="003F7566">
        <w:t>with 4</w:t>
      </w:r>
      <w:r>
        <w:t>4 per cent</w:t>
      </w:r>
      <w:r w:rsidRPr="003F7566">
        <w:t xml:space="preserve"> of </w:t>
      </w:r>
      <w:r>
        <w:t>participants</w:t>
      </w:r>
      <w:r w:rsidRPr="003F7566">
        <w:t xml:space="preserve"> atte</w:t>
      </w:r>
      <w:r>
        <w:t>nding on average), followed by Thursday (</w:t>
      </w:r>
      <w:r w:rsidRPr="003F7566">
        <w:t>4</w:t>
      </w:r>
      <w:r>
        <w:t xml:space="preserve">1 per cent), Monday </w:t>
      </w:r>
      <w:r w:rsidRPr="003F7566">
        <w:t>(4</w:t>
      </w:r>
      <w:r>
        <w:t xml:space="preserve">0 per cent), and Friday </w:t>
      </w:r>
      <w:r w:rsidRPr="003F7566">
        <w:t>(3</w:t>
      </w:r>
      <w:r>
        <w:t>7 per cent</w:t>
      </w:r>
      <w:r w:rsidRPr="003F7566">
        <w:t xml:space="preserve">). A small </w:t>
      </w:r>
      <w:r>
        <w:t>number</w:t>
      </w:r>
      <w:r w:rsidRPr="003F7566">
        <w:t xml:space="preserve"> of participants </w:t>
      </w:r>
      <w:r>
        <w:t>attended activities</w:t>
      </w:r>
      <w:r w:rsidRPr="003F7566">
        <w:t xml:space="preserve"> on the </w:t>
      </w:r>
      <w:r>
        <w:t>weekends.</w:t>
      </w:r>
    </w:p>
  </w:footnote>
  <w:footnote w:id="22">
    <w:p w14:paraId="5FC146F9" w14:textId="0E721B0D" w:rsidR="0036435C" w:rsidRPr="002B209B" w:rsidRDefault="0036435C" w:rsidP="00D0006C">
      <w:pPr>
        <w:pStyle w:val="FootnoteText"/>
        <w:jc w:val="both"/>
        <w:rPr>
          <w:lang w:val="en-US"/>
        </w:rPr>
      </w:pPr>
      <w:r>
        <w:rPr>
          <w:rStyle w:val="FootnoteReference"/>
        </w:rPr>
        <w:footnoteRef/>
      </w:r>
      <w:r>
        <w:t xml:space="preserve"> To test the robustness of the results, the models were replicated using a different sample date for participants, from the same dataset. The results were largely similar.</w:t>
      </w:r>
    </w:p>
  </w:footnote>
  <w:footnote w:id="23">
    <w:p w14:paraId="4CD99EF1" w14:textId="568BC90B" w:rsidR="0036435C" w:rsidRPr="000501FB" w:rsidRDefault="0036435C" w:rsidP="000501FB">
      <w:pPr>
        <w:pStyle w:val="FootnoteText"/>
        <w:jc w:val="both"/>
        <w:rPr>
          <w:lang w:val="en-US"/>
        </w:rPr>
      </w:pPr>
      <w:r>
        <w:rPr>
          <w:rStyle w:val="FootnoteReference"/>
        </w:rPr>
        <w:footnoteRef/>
      </w:r>
      <w:r>
        <w:t xml:space="preserve"> Longer</w:t>
      </w:r>
      <w:r>
        <w:noBreakHyphen/>
        <w:t xml:space="preserve">term medical exemptions also require </w:t>
      </w:r>
      <w:r w:rsidRPr="00141661">
        <w:t>an Employment Services Assessment (ESA</w:t>
      </w:r>
      <w:r>
        <w:t>t</w:t>
      </w:r>
      <w:r w:rsidRPr="00141661">
        <w:t>) conducted by a health or allied health professio</w:t>
      </w:r>
      <w:r>
        <w:t>nal (DSS 2016, sec. 3.5.1.220).</w:t>
      </w:r>
    </w:p>
  </w:footnote>
  <w:footnote w:id="24">
    <w:p w14:paraId="77B5BED3" w14:textId="77777777" w:rsidR="0036435C" w:rsidRDefault="0036435C" w:rsidP="0065178B">
      <w:pPr>
        <w:pStyle w:val="FootnoteText"/>
        <w:jc w:val="both"/>
      </w:pPr>
      <w:r>
        <w:rPr>
          <w:rStyle w:val="FootnoteReference"/>
        </w:rPr>
        <w:footnoteRef/>
      </w:r>
      <w:r>
        <w:t xml:space="preserve"> There is some seasonal variation in reduction penalties (</w:t>
      </w:r>
      <w:r w:rsidRPr="00994F17">
        <w:t>penalties that reduce a participant’s income support payment</w:t>
      </w:r>
      <w:r>
        <w:t>), with fewer being applied in the fourth quarter of each year due to approved leave around Christmas.</w:t>
      </w:r>
    </w:p>
  </w:footnote>
  <w:footnote w:id="25">
    <w:p w14:paraId="12668A1C" w14:textId="77777777" w:rsidR="0036435C" w:rsidRPr="00C05684" w:rsidRDefault="0036435C" w:rsidP="00C05684">
      <w:pPr>
        <w:pStyle w:val="FootnoteText"/>
        <w:jc w:val="both"/>
        <w:rPr>
          <w:lang w:val="en-US"/>
        </w:rPr>
      </w:pPr>
      <w:r>
        <w:rPr>
          <w:rStyle w:val="FootnoteReference"/>
        </w:rPr>
        <w:footnoteRef/>
      </w:r>
      <w:r>
        <w:t xml:space="preserve"> </w:t>
      </w:r>
      <w:r>
        <w:rPr>
          <w:lang w:val="en-US"/>
        </w:rPr>
        <w:t>These are usually referred to as ‘short term’ penalties in the Department of Jobs and Small Business compliance reports.</w:t>
      </w:r>
    </w:p>
  </w:footnote>
  <w:footnote w:id="26">
    <w:p w14:paraId="02CD058E" w14:textId="1A38F027" w:rsidR="0036435C" w:rsidRPr="006318BB" w:rsidRDefault="0036435C" w:rsidP="00E445F8">
      <w:pPr>
        <w:pStyle w:val="FootnoteText"/>
        <w:jc w:val="both"/>
        <w:rPr>
          <w:lang w:val="en-US"/>
        </w:rPr>
      </w:pPr>
      <w:r>
        <w:rPr>
          <w:rStyle w:val="FootnoteReference"/>
        </w:rPr>
        <w:footnoteRef/>
      </w:r>
      <w:r>
        <w:t xml:space="preserve"> </w:t>
      </w:r>
      <w:r w:rsidRPr="003B0BD4">
        <w:t>The number of zero</w:t>
      </w:r>
      <w:r>
        <w:t>-</w:t>
      </w:r>
      <w:r w:rsidRPr="003B0BD4">
        <w:t>rate penal</w:t>
      </w:r>
      <w:r>
        <w:t xml:space="preserve">ties reported in this analysis may be </w:t>
      </w:r>
      <w:r w:rsidRPr="003B0BD4">
        <w:t xml:space="preserve">lower than the number of </w:t>
      </w:r>
      <w:r w:rsidRPr="00AB3195">
        <w:rPr>
          <w:i/>
        </w:rPr>
        <w:t>serious failure</w:t>
      </w:r>
      <w:r w:rsidRPr="003B0BD4">
        <w:t xml:space="preserve"> penalties published by the Department of </w:t>
      </w:r>
      <w:r>
        <w:t>Jobs and Small Business</w:t>
      </w:r>
      <w:r w:rsidRPr="003B0BD4">
        <w:t xml:space="preserve">, because many of the ‘applied’ </w:t>
      </w:r>
      <w:r w:rsidRPr="00AB3195">
        <w:rPr>
          <w:i/>
        </w:rPr>
        <w:t>serious failures</w:t>
      </w:r>
      <w:r w:rsidRPr="003B0BD4">
        <w:t xml:space="preserve"> </w:t>
      </w:r>
      <w:r>
        <w:t>reported in the Department of Jobs and Small Business</w:t>
      </w:r>
      <w:r w:rsidRPr="003B0BD4">
        <w:t xml:space="preserve"> reports do not</w:t>
      </w:r>
      <w:r>
        <w:t xml:space="preserve"> </w:t>
      </w:r>
      <w:r w:rsidRPr="003B0BD4">
        <w:t>result in a financial penalty being served.</w:t>
      </w:r>
    </w:p>
  </w:footnote>
  <w:footnote w:id="27">
    <w:p w14:paraId="0E5AC09A" w14:textId="77777777" w:rsidR="0036435C" w:rsidRPr="002B209B" w:rsidRDefault="0036435C" w:rsidP="00986D8D">
      <w:pPr>
        <w:pStyle w:val="FootnoteText"/>
        <w:rPr>
          <w:lang w:val="en-US"/>
        </w:rPr>
      </w:pPr>
      <w:r>
        <w:rPr>
          <w:rStyle w:val="FootnoteReference"/>
        </w:rPr>
        <w:footnoteRef/>
      </w:r>
      <w:r>
        <w:t xml:space="preserve"> To check the robustness of the results, the models were replicated using a different sample period for participants, from the same dataset. The results were largely similar.</w:t>
      </w:r>
    </w:p>
  </w:footnote>
  <w:footnote w:id="28">
    <w:p w14:paraId="669EE27A" w14:textId="77777777" w:rsidR="0036435C" w:rsidRPr="006318BB" w:rsidRDefault="0036435C" w:rsidP="00FB626D">
      <w:pPr>
        <w:pStyle w:val="FootnoteText"/>
        <w:jc w:val="both"/>
        <w:rPr>
          <w:lang w:val="en-US"/>
        </w:rPr>
      </w:pPr>
      <w:r>
        <w:rPr>
          <w:rStyle w:val="FootnoteReference"/>
        </w:rPr>
        <w:footnoteRef/>
      </w:r>
      <w:r>
        <w:t xml:space="preserve"> These rate</w:t>
      </w:r>
      <w:r w:rsidRPr="0005260E">
        <w:t xml:space="preserve">s will </w:t>
      </w:r>
      <w:r>
        <w:t xml:space="preserve">differ from </w:t>
      </w:r>
      <w:r w:rsidRPr="0005260E">
        <w:t>those i</w:t>
      </w:r>
      <w:r>
        <w:t xml:space="preserve">ncluded in routine reporting </w:t>
      </w:r>
      <w:r w:rsidRPr="0005260E">
        <w:t xml:space="preserve">as the base population for this analysis includes all registered program participants </w:t>
      </w:r>
      <w:r>
        <w:t>on selected sampling dates (including</w:t>
      </w:r>
      <w:r w:rsidRPr="0005260E">
        <w:t xml:space="preserve"> </w:t>
      </w:r>
      <w:r>
        <w:t xml:space="preserve">those who never </w:t>
      </w:r>
      <w:r w:rsidRPr="0005260E">
        <w:t xml:space="preserve">commenced </w:t>
      </w:r>
      <w:r>
        <w:t>into the program).</w:t>
      </w:r>
    </w:p>
  </w:footnote>
  <w:footnote w:id="29">
    <w:p w14:paraId="4BA1632B" w14:textId="77777777" w:rsidR="0036435C" w:rsidRPr="0071092D" w:rsidRDefault="0036435C" w:rsidP="008B5AF6">
      <w:pPr>
        <w:pStyle w:val="FootnoteText"/>
        <w:keepNext/>
        <w:jc w:val="both"/>
        <w:rPr>
          <w:lang w:val="en-US"/>
        </w:rPr>
      </w:pPr>
      <w:r>
        <w:rPr>
          <w:rStyle w:val="FootnoteReference"/>
        </w:rPr>
        <w:footnoteRef/>
      </w:r>
      <w:r>
        <w:t xml:space="preserve"> </w:t>
      </w:r>
      <w:r w:rsidRPr="006926F9">
        <w:t xml:space="preserve">Income support history data is available from 1998 onwards. For participants </w:t>
      </w:r>
      <w:r>
        <w:t>who came of working age prior to 1998, their early history is unknown</w:t>
      </w:r>
      <w:r w:rsidRPr="006926F9">
        <w:t>.</w:t>
      </w:r>
      <w:r>
        <w:t xml:space="preserve"> This is</w:t>
      </w:r>
      <w:r w:rsidRPr="00CB1A4B">
        <w:t xml:space="preserve"> a better proxy </w:t>
      </w:r>
      <w:r>
        <w:t>for</w:t>
      </w:r>
      <w:r w:rsidRPr="00CB1A4B">
        <w:t xml:space="preserve"> long-term unemployment than the measure of long-term unemployment </w:t>
      </w:r>
      <w:r>
        <w:t xml:space="preserve">available from the JSCI, </w:t>
      </w:r>
      <w:r w:rsidRPr="00CB1A4B">
        <w:t xml:space="preserve">which </w:t>
      </w:r>
      <w:r>
        <w:t>only covers the five years prior to the assessment.</w:t>
      </w:r>
    </w:p>
  </w:footnote>
  <w:footnote w:id="30">
    <w:p w14:paraId="0FBCB184" w14:textId="76BC080E" w:rsidR="0036435C" w:rsidRPr="00C064EF" w:rsidRDefault="0036435C" w:rsidP="00C064EF">
      <w:pPr>
        <w:pStyle w:val="FootnoteText"/>
        <w:jc w:val="both"/>
        <w:rPr>
          <w:lang w:val="en-AU"/>
        </w:rPr>
      </w:pPr>
      <w:r>
        <w:rPr>
          <w:rStyle w:val="FootnoteReference"/>
        </w:rPr>
        <w:footnoteRef/>
      </w:r>
      <w:r>
        <w:t xml:space="preserve"> The measures of remoteness </w:t>
      </w:r>
      <w:r w:rsidRPr="00824168">
        <w:t>are</w:t>
      </w:r>
      <w:r>
        <w:t xml:space="preserve"> based on </w:t>
      </w:r>
      <w:r w:rsidRPr="00824168">
        <w:t>Markham (2016) 1x1</w:t>
      </w:r>
      <w:r>
        <w:t> </w:t>
      </w:r>
      <w:r w:rsidRPr="00824168">
        <w:t>km remoteness classification across Australia. Each 1x1</w:t>
      </w:r>
      <w:r>
        <w:t> </w:t>
      </w:r>
      <w:r w:rsidRPr="00824168">
        <w:t>km area is assigned a remoteness value between 0 (not remote) and 15 (most remote).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6E8615A"/>
    <w:lvl w:ilvl="0">
      <w:start w:val="1"/>
      <w:numFmt w:val="bullet"/>
      <w:pStyle w:val="ListBullet5"/>
      <w:lvlText w:val=""/>
      <w:lvlJc w:val="left"/>
      <w:pPr>
        <w:tabs>
          <w:tab w:val="num" w:pos="1440"/>
        </w:tabs>
        <w:ind w:left="144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23E2C8A"/>
    <w:multiLevelType w:val="hybridMultilevel"/>
    <w:tmpl w:val="A9F6A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B56FAB"/>
    <w:multiLevelType w:val="hybridMultilevel"/>
    <w:tmpl w:val="27C06BCA"/>
    <w:lvl w:ilvl="0" w:tplc="77928A88">
      <w:start w:val="4"/>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E2477D"/>
    <w:multiLevelType w:val="hybridMultilevel"/>
    <w:tmpl w:val="8D603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363207"/>
    <w:multiLevelType w:val="hybridMultilevel"/>
    <w:tmpl w:val="A74A31F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C57E3D"/>
    <w:multiLevelType w:val="hybridMultilevel"/>
    <w:tmpl w:val="5AE6B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171C6"/>
    <w:multiLevelType w:val="hybridMultilevel"/>
    <w:tmpl w:val="F63ABA2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A917D9"/>
    <w:multiLevelType w:val="hybridMultilevel"/>
    <w:tmpl w:val="313083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4E50B5"/>
    <w:multiLevelType w:val="hybridMultilevel"/>
    <w:tmpl w:val="D41AA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793E9B"/>
    <w:multiLevelType w:val="hybridMultilevel"/>
    <w:tmpl w:val="0742B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6F205A"/>
    <w:multiLevelType w:val="multilevel"/>
    <w:tmpl w:val="B138511A"/>
    <w:styleLink w:val="AnnualRepor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4" w15:restartNumberingAfterBreak="0">
    <w:nsid w:val="20C901EB"/>
    <w:multiLevelType w:val="hybridMultilevel"/>
    <w:tmpl w:val="901E5B6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67A3D2C"/>
    <w:multiLevelType w:val="hybridMultilevel"/>
    <w:tmpl w:val="04CC5002"/>
    <w:lvl w:ilvl="0" w:tplc="855A660A">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AB2DD9"/>
    <w:multiLevelType w:val="hybridMultilevel"/>
    <w:tmpl w:val="53F6935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7" w15:restartNumberingAfterBreak="0">
    <w:nsid w:val="36F87B4D"/>
    <w:multiLevelType w:val="hybridMultilevel"/>
    <w:tmpl w:val="3A5AF6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156CB8"/>
    <w:multiLevelType w:val="hybridMultilevel"/>
    <w:tmpl w:val="15E4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1A2839"/>
    <w:multiLevelType w:val="hybridMultilevel"/>
    <w:tmpl w:val="8476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43AFC"/>
    <w:multiLevelType w:val="hybridMultilevel"/>
    <w:tmpl w:val="1EB0B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D051BF"/>
    <w:multiLevelType w:val="hybridMultilevel"/>
    <w:tmpl w:val="8C1C739C"/>
    <w:lvl w:ilvl="0" w:tplc="ADBA6C42">
      <w:start w:val="1"/>
      <w:numFmt w:val="bullet"/>
      <w:lvlText w:val=""/>
      <w:lvlJc w:val="left"/>
      <w:pPr>
        <w:ind w:left="493" w:hanging="36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966255"/>
    <w:multiLevelType w:val="hybridMultilevel"/>
    <w:tmpl w:val="3D58D3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AC7445"/>
    <w:multiLevelType w:val="hybridMultilevel"/>
    <w:tmpl w:val="CFB6F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2D077B6"/>
    <w:multiLevelType w:val="hybridMultilevel"/>
    <w:tmpl w:val="C576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D84336"/>
    <w:multiLevelType w:val="hybridMultilevel"/>
    <w:tmpl w:val="504CE2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29603A"/>
    <w:multiLevelType w:val="multilevel"/>
    <w:tmpl w:val="73B67114"/>
    <w:lvl w:ilvl="0">
      <w:start w:val="1"/>
      <w:numFmt w:val="decimal"/>
      <w:pStyle w:val="ZED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78418A"/>
    <w:multiLevelType w:val="hybridMultilevel"/>
    <w:tmpl w:val="BD8E7C86"/>
    <w:lvl w:ilvl="0" w:tplc="48962A8C">
      <w:start w:val="4"/>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B6136B"/>
    <w:multiLevelType w:val="hybridMultilevel"/>
    <w:tmpl w:val="2FE0E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1F1156"/>
    <w:multiLevelType w:val="hybridMultilevel"/>
    <w:tmpl w:val="63120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5F63C3"/>
    <w:multiLevelType w:val="hybridMultilevel"/>
    <w:tmpl w:val="DF4E4D4A"/>
    <w:lvl w:ilvl="0" w:tplc="1458B6F0">
      <w:start w:val="1"/>
      <w:numFmt w:val="decimal"/>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F37350"/>
    <w:multiLevelType w:val="hybridMultilevel"/>
    <w:tmpl w:val="1C682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B4F1C6A"/>
    <w:multiLevelType w:val="hybridMultilevel"/>
    <w:tmpl w:val="6B8C3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C1E2F"/>
    <w:multiLevelType w:val="hybridMultilevel"/>
    <w:tmpl w:val="491E6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A31FB2"/>
    <w:multiLevelType w:val="hybridMultilevel"/>
    <w:tmpl w:val="4DE818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491506"/>
    <w:multiLevelType w:val="hybridMultilevel"/>
    <w:tmpl w:val="76C6E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5E27C1"/>
    <w:multiLevelType w:val="hybridMultilevel"/>
    <w:tmpl w:val="B9128C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4FB1F52"/>
    <w:multiLevelType w:val="hybridMultilevel"/>
    <w:tmpl w:val="936C0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B6750D"/>
    <w:multiLevelType w:val="hybridMultilevel"/>
    <w:tmpl w:val="8DD6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E011C2"/>
    <w:multiLevelType w:val="hybridMultilevel"/>
    <w:tmpl w:val="D94CEF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13"/>
  </w:num>
  <w:num w:numId="6">
    <w:abstractNumId w:val="28"/>
  </w:num>
  <w:num w:numId="7">
    <w:abstractNumId w:val="20"/>
  </w:num>
  <w:num w:numId="8">
    <w:abstractNumId w:val="39"/>
  </w:num>
  <w:num w:numId="9">
    <w:abstractNumId w:val="26"/>
  </w:num>
  <w:num w:numId="10">
    <w:abstractNumId w:val="30"/>
  </w:num>
  <w:num w:numId="11">
    <w:abstractNumId w:val="14"/>
  </w:num>
  <w:num w:numId="12">
    <w:abstractNumId w:val="36"/>
  </w:num>
  <w:num w:numId="13">
    <w:abstractNumId w:val="9"/>
  </w:num>
  <w:num w:numId="14">
    <w:abstractNumId w:val="17"/>
  </w:num>
  <w:num w:numId="15">
    <w:abstractNumId w:val="5"/>
  </w:num>
  <w:num w:numId="16">
    <w:abstractNumId w:val="27"/>
  </w:num>
  <w:num w:numId="17">
    <w:abstractNumId w:val="34"/>
  </w:num>
  <w:num w:numId="18">
    <w:abstractNumId w:val="37"/>
  </w:num>
  <w:num w:numId="19">
    <w:abstractNumId w:val="19"/>
  </w:num>
  <w:num w:numId="20">
    <w:abstractNumId w:val="10"/>
  </w:num>
  <w:num w:numId="21">
    <w:abstractNumId w:val="32"/>
  </w:num>
  <w:num w:numId="22">
    <w:abstractNumId w:val="38"/>
  </w:num>
  <w:num w:numId="23">
    <w:abstractNumId w:val="33"/>
  </w:num>
  <w:num w:numId="24">
    <w:abstractNumId w:val="29"/>
  </w:num>
  <w:num w:numId="25">
    <w:abstractNumId w:val="16"/>
  </w:num>
  <w:num w:numId="26">
    <w:abstractNumId w:val="11"/>
  </w:num>
  <w:num w:numId="27">
    <w:abstractNumId w:val="31"/>
  </w:num>
  <w:num w:numId="28">
    <w:abstractNumId w:val="7"/>
  </w:num>
  <w:num w:numId="29">
    <w:abstractNumId w:val="21"/>
  </w:num>
  <w:num w:numId="30">
    <w:abstractNumId w:val="24"/>
  </w:num>
  <w:num w:numId="31">
    <w:abstractNumId w:val="18"/>
  </w:num>
  <w:num w:numId="32">
    <w:abstractNumId w:val="23"/>
  </w:num>
  <w:num w:numId="33">
    <w:abstractNumId w:val="12"/>
  </w:num>
  <w:num w:numId="34">
    <w:abstractNumId w:val="22"/>
  </w:num>
  <w:num w:numId="35">
    <w:abstractNumId w:val="4"/>
  </w:num>
  <w:num w:numId="36">
    <w:abstractNumId w:val="25"/>
  </w:num>
  <w:num w:numId="37">
    <w:abstractNumId w:val="8"/>
  </w:num>
  <w:num w:numId="38">
    <w:abstractNumId w:val="6"/>
  </w:num>
  <w:num w:numId="39">
    <w:abstractNumId w:val="35"/>
  </w:num>
  <w:num w:numId="40">
    <w:abstractNumId w:val="15"/>
  </w:num>
  <w:num w:numId="41">
    <w:abstractNumId w:val="30"/>
  </w:num>
  <w:num w:numId="42">
    <w:abstractNumId w:val="30"/>
  </w:num>
  <w:num w:numId="43">
    <w:abstractNumId w:val="3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en-AU" w:vendorID="64" w:dllVersion="131078" w:nlCheck="1" w:checkStyle="0"/>
  <w:activeWritingStyle w:appName="MSWord" w:lang="en-US" w:vendorID="64" w:dllVersion="131078" w:nlCheck="1" w:checkStyle="1"/>
  <w:activeWritingStyle w:appName="MSWord" w:lang="en-GB" w:vendorID="64" w:dllVersion="131078" w:nlCheck="1" w:checkStyle="1"/>
  <w:attachedTemplate r:id="rId1"/>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23"/>
    <w:rsid w:val="000001B8"/>
    <w:rsid w:val="000003F8"/>
    <w:rsid w:val="00000532"/>
    <w:rsid w:val="00000C62"/>
    <w:rsid w:val="00000DD3"/>
    <w:rsid w:val="00000E70"/>
    <w:rsid w:val="0000141E"/>
    <w:rsid w:val="0000184F"/>
    <w:rsid w:val="00001D32"/>
    <w:rsid w:val="00001D8E"/>
    <w:rsid w:val="00001E86"/>
    <w:rsid w:val="00002011"/>
    <w:rsid w:val="00002981"/>
    <w:rsid w:val="0000300C"/>
    <w:rsid w:val="000032EE"/>
    <w:rsid w:val="0000348A"/>
    <w:rsid w:val="000038B8"/>
    <w:rsid w:val="00003BA0"/>
    <w:rsid w:val="00003D2B"/>
    <w:rsid w:val="00003D64"/>
    <w:rsid w:val="00003E4F"/>
    <w:rsid w:val="000041CA"/>
    <w:rsid w:val="0000449B"/>
    <w:rsid w:val="0000527E"/>
    <w:rsid w:val="000052F1"/>
    <w:rsid w:val="000053C1"/>
    <w:rsid w:val="00005479"/>
    <w:rsid w:val="00005750"/>
    <w:rsid w:val="00005953"/>
    <w:rsid w:val="00006114"/>
    <w:rsid w:val="000061FE"/>
    <w:rsid w:val="000069A2"/>
    <w:rsid w:val="00006A62"/>
    <w:rsid w:val="000070BE"/>
    <w:rsid w:val="00007220"/>
    <w:rsid w:val="00007ABB"/>
    <w:rsid w:val="00007DA8"/>
    <w:rsid w:val="00007E6C"/>
    <w:rsid w:val="0001032F"/>
    <w:rsid w:val="000103C1"/>
    <w:rsid w:val="00010789"/>
    <w:rsid w:val="00010AAC"/>
    <w:rsid w:val="00010B97"/>
    <w:rsid w:val="00010BFF"/>
    <w:rsid w:val="0001116D"/>
    <w:rsid w:val="0001134B"/>
    <w:rsid w:val="00011405"/>
    <w:rsid w:val="00011440"/>
    <w:rsid w:val="00011508"/>
    <w:rsid w:val="00011654"/>
    <w:rsid w:val="000116F7"/>
    <w:rsid w:val="00011956"/>
    <w:rsid w:val="00011FE0"/>
    <w:rsid w:val="00012248"/>
    <w:rsid w:val="00012281"/>
    <w:rsid w:val="000122E8"/>
    <w:rsid w:val="000124CB"/>
    <w:rsid w:val="000126D6"/>
    <w:rsid w:val="00012A23"/>
    <w:rsid w:val="00013311"/>
    <w:rsid w:val="00013355"/>
    <w:rsid w:val="000133EF"/>
    <w:rsid w:val="00013C58"/>
    <w:rsid w:val="00014872"/>
    <w:rsid w:val="00014E79"/>
    <w:rsid w:val="00014EF4"/>
    <w:rsid w:val="00014F0E"/>
    <w:rsid w:val="000155DA"/>
    <w:rsid w:val="0001564C"/>
    <w:rsid w:val="000159BF"/>
    <w:rsid w:val="00015CA0"/>
    <w:rsid w:val="00015FAA"/>
    <w:rsid w:val="0001630E"/>
    <w:rsid w:val="00016626"/>
    <w:rsid w:val="00016756"/>
    <w:rsid w:val="00016FD1"/>
    <w:rsid w:val="00017255"/>
    <w:rsid w:val="0001736A"/>
    <w:rsid w:val="00017551"/>
    <w:rsid w:val="000178A5"/>
    <w:rsid w:val="00017E04"/>
    <w:rsid w:val="00017E6B"/>
    <w:rsid w:val="0002030C"/>
    <w:rsid w:val="0002085D"/>
    <w:rsid w:val="0002088C"/>
    <w:rsid w:val="00020C79"/>
    <w:rsid w:val="0002110B"/>
    <w:rsid w:val="0002114E"/>
    <w:rsid w:val="0002136F"/>
    <w:rsid w:val="00021BF6"/>
    <w:rsid w:val="0002281B"/>
    <w:rsid w:val="00022E53"/>
    <w:rsid w:val="00022F38"/>
    <w:rsid w:val="00023094"/>
    <w:rsid w:val="00023549"/>
    <w:rsid w:val="00023628"/>
    <w:rsid w:val="0002365E"/>
    <w:rsid w:val="00023C5A"/>
    <w:rsid w:val="00024035"/>
    <w:rsid w:val="0002423E"/>
    <w:rsid w:val="00024595"/>
    <w:rsid w:val="000245AF"/>
    <w:rsid w:val="00024752"/>
    <w:rsid w:val="00024C41"/>
    <w:rsid w:val="00024CA3"/>
    <w:rsid w:val="00025030"/>
    <w:rsid w:val="000251A6"/>
    <w:rsid w:val="00025687"/>
    <w:rsid w:val="00025B64"/>
    <w:rsid w:val="00026F6B"/>
    <w:rsid w:val="00026FC5"/>
    <w:rsid w:val="000271BA"/>
    <w:rsid w:val="00027837"/>
    <w:rsid w:val="00027DF9"/>
    <w:rsid w:val="00030ACA"/>
    <w:rsid w:val="00030B8B"/>
    <w:rsid w:val="00031073"/>
    <w:rsid w:val="00031458"/>
    <w:rsid w:val="000317B7"/>
    <w:rsid w:val="000317DD"/>
    <w:rsid w:val="00031D5C"/>
    <w:rsid w:val="00031FAE"/>
    <w:rsid w:val="000320B6"/>
    <w:rsid w:val="000321C2"/>
    <w:rsid w:val="0003296B"/>
    <w:rsid w:val="00032CC9"/>
    <w:rsid w:val="00033097"/>
    <w:rsid w:val="000330D2"/>
    <w:rsid w:val="00033578"/>
    <w:rsid w:val="000338EE"/>
    <w:rsid w:val="0003399E"/>
    <w:rsid w:val="00033E1C"/>
    <w:rsid w:val="00033EC6"/>
    <w:rsid w:val="00034081"/>
    <w:rsid w:val="000347CA"/>
    <w:rsid w:val="00034837"/>
    <w:rsid w:val="00034870"/>
    <w:rsid w:val="00034A0E"/>
    <w:rsid w:val="00034A34"/>
    <w:rsid w:val="00034CB2"/>
    <w:rsid w:val="00034DDF"/>
    <w:rsid w:val="00034F7A"/>
    <w:rsid w:val="000350B8"/>
    <w:rsid w:val="00035B72"/>
    <w:rsid w:val="00035D03"/>
    <w:rsid w:val="00035E00"/>
    <w:rsid w:val="0003602B"/>
    <w:rsid w:val="000363C2"/>
    <w:rsid w:val="00036658"/>
    <w:rsid w:val="000367E1"/>
    <w:rsid w:val="00036965"/>
    <w:rsid w:val="00036980"/>
    <w:rsid w:val="00036A57"/>
    <w:rsid w:val="00036CCB"/>
    <w:rsid w:val="00036F10"/>
    <w:rsid w:val="00036FE3"/>
    <w:rsid w:val="00037586"/>
    <w:rsid w:val="00037637"/>
    <w:rsid w:val="0003763D"/>
    <w:rsid w:val="000378F0"/>
    <w:rsid w:val="000379D5"/>
    <w:rsid w:val="000379EF"/>
    <w:rsid w:val="00037A9C"/>
    <w:rsid w:val="00037F4F"/>
    <w:rsid w:val="0004028F"/>
    <w:rsid w:val="000406E8"/>
    <w:rsid w:val="0004091A"/>
    <w:rsid w:val="00040F42"/>
    <w:rsid w:val="0004142C"/>
    <w:rsid w:val="000414FF"/>
    <w:rsid w:val="0004196F"/>
    <w:rsid w:val="0004216A"/>
    <w:rsid w:val="00042647"/>
    <w:rsid w:val="00042856"/>
    <w:rsid w:val="00042983"/>
    <w:rsid w:val="00042E95"/>
    <w:rsid w:val="00042EFB"/>
    <w:rsid w:val="000431BD"/>
    <w:rsid w:val="00043761"/>
    <w:rsid w:val="00043FEF"/>
    <w:rsid w:val="00044623"/>
    <w:rsid w:val="00044A08"/>
    <w:rsid w:val="00044EA1"/>
    <w:rsid w:val="00044EA8"/>
    <w:rsid w:val="000450EF"/>
    <w:rsid w:val="00045689"/>
    <w:rsid w:val="00045757"/>
    <w:rsid w:val="00045A9B"/>
    <w:rsid w:val="000462C7"/>
    <w:rsid w:val="000464EA"/>
    <w:rsid w:val="00046668"/>
    <w:rsid w:val="000468D1"/>
    <w:rsid w:val="00047195"/>
    <w:rsid w:val="0004725C"/>
    <w:rsid w:val="00047404"/>
    <w:rsid w:val="00047458"/>
    <w:rsid w:val="00047A62"/>
    <w:rsid w:val="00047BCE"/>
    <w:rsid w:val="00047F2A"/>
    <w:rsid w:val="0005011B"/>
    <w:rsid w:val="000501FB"/>
    <w:rsid w:val="00050239"/>
    <w:rsid w:val="00050807"/>
    <w:rsid w:val="00050BBE"/>
    <w:rsid w:val="00050F9C"/>
    <w:rsid w:val="000518CA"/>
    <w:rsid w:val="000519F7"/>
    <w:rsid w:val="00051A53"/>
    <w:rsid w:val="00051BBE"/>
    <w:rsid w:val="00051EC6"/>
    <w:rsid w:val="00051F21"/>
    <w:rsid w:val="0005204D"/>
    <w:rsid w:val="0005222B"/>
    <w:rsid w:val="0005260E"/>
    <w:rsid w:val="00052A4C"/>
    <w:rsid w:val="00052C9A"/>
    <w:rsid w:val="00052D33"/>
    <w:rsid w:val="00052DC1"/>
    <w:rsid w:val="00053150"/>
    <w:rsid w:val="0005345F"/>
    <w:rsid w:val="0005397B"/>
    <w:rsid w:val="000539C3"/>
    <w:rsid w:val="00053D1B"/>
    <w:rsid w:val="00053F8B"/>
    <w:rsid w:val="00054162"/>
    <w:rsid w:val="000541F8"/>
    <w:rsid w:val="0005489C"/>
    <w:rsid w:val="00054F34"/>
    <w:rsid w:val="000550CA"/>
    <w:rsid w:val="0005562E"/>
    <w:rsid w:val="0005580E"/>
    <w:rsid w:val="00055EF1"/>
    <w:rsid w:val="00056ABB"/>
    <w:rsid w:val="00056CD2"/>
    <w:rsid w:val="00056E35"/>
    <w:rsid w:val="000574DE"/>
    <w:rsid w:val="000578CF"/>
    <w:rsid w:val="00057B6C"/>
    <w:rsid w:val="00057D99"/>
    <w:rsid w:val="00057E99"/>
    <w:rsid w:val="000601F7"/>
    <w:rsid w:val="0006046D"/>
    <w:rsid w:val="00060767"/>
    <w:rsid w:val="00060B6D"/>
    <w:rsid w:val="00060BF4"/>
    <w:rsid w:val="00060CE8"/>
    <w:rsid w:val="00060E2F"/>
    <w:rsid w:val="00060E45"/>
    <w:rsid w:val="00060FB8"/>
    <w:rsid w:val="0006159E"/>
    <w:rsid w:val="000622DC"/>
    <w:rsid w:val="0006246A"/>
    <w:rsid w:val="000626C1"/>
    <w:rsid w:val="00062814"/>
    <w:rsid w:val="00062FBA"/>
    <w:rsid w:val="00063481"/>
    <w:rsid w:val="00063696"/>
    <w:rsid w:val="00064194"/>
    <w:rsid w:val="00064294"/>
    <w:rsid w:val="00064985"/>
    <w:rsid w:val="00064AD6"/>
    <w:rsid w:val="00064BD5"/>
    <w:rsid w:val="00064D56"/>
    <w:rsid w:val="0006518C"/>
    <w:rsid w:val="000651A6"/>
    <w:rsid w:val="0006554D"/>
    <w:rsid w:val="00065556"/>
    <w:rsid w:val="000656E8"/>
    <w:rsid w:val="0006605D"/>
    <w:rsid w:val="00066569"/>
    <w:rsid w:val="00066A8C"/>
    <w:rsid w:val="0006747F"/>
    <w:rsid w:val="00067564"/>
    <w:rsid w:val="0006759B"/>
    <w:rsid w:val="00067C5E"/>
    <w:rsid w:val="0007028C"/>
    <w:rsid w:val="0007061E"/>
    <w:rsid w:val="0007081D"/>
    <w:rsid w:val="00070ABF"/>
    <w:rsid w:val="00071415"/>
    <w:rsid w:val="00071751"/>
    <w:rsid w:val="0007183F"/>
    <w:rsid w:val="00071991"/>
    <w:rsid w:val="00071A50"/>
    <w:rsid w:val="00071AD1"/>
    <w:rsid w:val="000727AC"/>
    <w:rsid w:val="00072949"/>
    <w:rsid w:val="00072AA8"/>
    <w:rsid w:val="00072E9C"/>
    <w:rsid w:val="00073165"/>
    <w:rsid w:val="000733D4"/>
    <w:rsid w:val="00073614"/>
    <w:rsid w:val="0007379B"/>
    <w:rsid w:val="000737D6"/>
    <w:rsid w:val="000738A1"/>
    <w:rsid w:val="00073A1E"/>
    <w:rsid w:val="000741E7"/>
    <w:rsid w:val="000742C3"/>
    <w:rsid w:val="000743D1"/>
    <w:rsid w:val="000749E1"/>
    <w:rsid w:val="00074CB4"/>
    <w:rsid w:val="000750B6"/>
    <w:rsid w:val="00075ADA"/>
    <w:rsid w:val="00075C8F"/>
    <w:rsid w:val="00075F5F"/>
    <w:rsid w:val="0007610F"/>
    <w:rsid w:val="00076131"/>
    <w:rsid w:val="00076A7C"/>
    <w:rsid w:val="000771FB"/>
    <w:rsid w:val="00077218"/>
    <w:rsid w:val="000772DE"/>
    <w:rsid w:val="00077390"/>
    <w:rsid w:val="000773D5"/>
    <w:rsid w:val="000774BB"/>
    <w:rsid w:val="00077631"/>
    <w:rsid w:val="000779BA"/>
    <w:rsid w:val="000779D0"/>
    <w:rsid w:val="000801AF"/>
    <w:rsid w:val="000802DA"/>
    <w:rsid w:val="00080744"/>
    <w:rsid w:val="000807CA"/>
    <w:rsid w:val="00081712"/>
    <w:rsid w:val="000817E4"/>
    <w:rsid w:val="00081BBD"/>
    <w:rsid w:val="00081D5F"/>
    <w:rsid w:val="00081E49"/>
    <w:rsid w:val="00082126"/>
    <w:rsid w:val="00082158"/>
    <w:rsid w:val="00082492"/>
    <w:rsid w:val="000828D7"/>
    <w:rsid w:val="000828E0"/>
    <w:rsid w:val="00082C94"/>
    <w:rsid w:val="000830C4"/>
    <w:rsid w:val="0008341F"/>
    <w:rsid w:val="00083D92"/>
    <w:rsid w:val="000840D9"/>
    <w:rsid w:val="00085218"/>
    <w:rsid w:val="000852AB"/>
    <w:rsid w:val="0008540A"/>
    <w:rsid w:val="00085436"/>
    <w:rsid w:val="00085453"/>
    <w:rsid w:val="00085759"/>
    <w:rsid w:val="00085873"/>
    <w:rsid w:val="00085AD6"/>
    <w:rsid w:val="00085D79"/>
    <w:rsid w:val="00085F28"/>
    <w:rsid w:val="000867A8"/>
    <w:rsid w:val="00086BBB"/>
    <w:rsid w:val="00086CE9"/>
    <w:rsid w:val="00086E60"/>
    <w:rsid w:val="000871D4"/>
    <w:rsid w:val="00087659"/>
    <w:rsid w:val="000877AD"/>
    <w:rsid w:val="00087A28"/>
    <w:rsid w:val="0009008B"/>
    <w:rsid w:val="0009014A"/>
    <w:rsid w:val="000902D3"/>
    <w:rsid w:val="000903E8"/>
    <w:rsid w:val="000906D1"/>
    <w:rsid w:val="000906EA"/>
    <w:rsid w:val="0009077E"/>
    <w:rsid w:val="00090825"/>
    <w:rsid w:val="0009098B"/>
    <w:rsid w:val="00090AEC"/>
    <w:rsid w:val="00090AFF"/>
    <w:rsid w:val="00090C68"/>
    <w:rsid w:val="00090F0A"/>
    <w:rsid w:val="00091033"/>
    <w:rsid w:val="0009107A"/>
    <w:rsid w:val="00091130"/>
    <w:rsid w:val="00091424"/>
    <w:rsid w:val="000918B8"/>
    <w:rsid w:val="00091A71"/>
    <w:rsid w:val="00091D2E"/>
    <w:rsid w:val="00091E8B"/>
    <w:rsid w:val="00092244"/>
    <w:rsid w:val="0009238C"/>
    <w:rsid w:val="000926B2"/>
    <w:rsid w:val="000927EA"/>
    <w:rsid w:val="00092B7E"/>
    <w:rsid w:val="00092D11"/>
    <w:rsid w:val="00092D65"/>
    <w:rsid w:val="000931E1"/>
    <w:rsid w:val="000935F7"/>
    <w:rsid w:val="00093680"/>
    <w:rsid w:val="00093965"/>
    <w:rsid w:val="00093C6A"/>
    <w:rsid w:val="00093F33"/>
    <w:rsid w:val="00094380"/>
    <w:rsid w:val="00094432"/>
    <w:rsid w:val="00094451"/>
    <w:rsid w:val="000947EF"/>
    <w:rsid w:val="000952EE"/>
    <w:rsid w:val="0009575C"/>
    <w:rsid w:val="00095A3F"/>
    <w:rsid w:val="00095C36"/>
    <w:rsid w:val="00095EFC"/>
    <w:rsid w:val="0009630F"/>
    <w:rsid w:val="00096394"/>
    <w:rsid w:val="000967A6"/>
    <w:rsid w:val="000967D2"/>
    <w:rsid w:val="0009686C"/>
    <w:rsid w:val="00096B50"/>
    <w:rsid w:val="00096D6E"/>
    <w:rsid w:val="0009752F"/>
    <w:rsid w:val="00097E09"/>
    <w:rsid w:val="000A0798"/>
    <w:rsid w:val="000A0AA1"/>
    <w:rsid w:val="000A0EDB"/>
    <w:rsid w:val="000A1500"/>
    <w:rsid w:val="000A1825"/>
    <w:rsid w:val="000A1AC9"/>
    <w:rsid w:val="000A1BDC"/>
    <w:rsid w:val="000A1CC0"/>
    <w:rsid w:val="000A22DA"/>
    <w:rsid w:val="000A2607"/>
    <w:rsid w:val="000A2813"/>
    <w:rsid w:val="000A2826"/>
    <w:rsid w:val="000A286C"/>
    <w:rsid w:val="000A2890"/>
    <w:rsid w:val="000A29EB"/>
    <w:rsid w:val="000A2BAA"/>
    <w:rsid w:val="000A2CE7"/>
    <w:rsid w:val="000A2F35"/>
    <w:rsid w:val="000A3268"/>
    <w:rsid w:val="000A349F"/>
    <w:rsid w:val="000A3552"/>
    <w:rsid w:val="000A3622"/>
    <w:rsid w:val="000A37E9"/>
    <w:rsid w:val="000A3951"/>
    <w:rsid w:val="000A3B59"/>
    <w:rsid w:val="000A3E58"/>
    <w:rsid w:val="000A3F92"/>
    <w:rsid w:val="000A40C4"/>
    <w:rsid w:val="000A45D9"/>
    <w:rsid w:val="000A48E4"/>
    <w:rsid w:val="000A4DC4"/>
    <w:rsid w:val="000A53B7"/>
    <w:rsid w:val="000A5539"/>
    <w:rsid w:val="000A5AE5"/>
    <w:rsid w:val="000A5C18"/>
    <w:rsid w:val="000A5DCD"/>
    <w:rsid w:val="000A602A"/>
    <w:rsid w:val="000A64CF"/>
    <w:rsid w:val="000A654D"/>
    <w:rsid w:val="000A65AC"/>
    <w:rsid w:val="000A67B3"/>
    <w:rsid w:val="000A6A5A"/>
    <w:rsid w:val="000A7712"/>
    <w:rsid w:val="000A7713"/>
    <w:rsid w:val="000A7D17"/>
    <w:rsid w:val="000A7DF7"/>
    <w:rsid w:val="000B00DD"/>
    <w:rsid w:val="000B0385"/>
    <w:rsid w:val="000B0458"/>
    <w:rsid w:val="000B0558"/>
    <w:rsid w:val="000B0581"/>
    <w:rsid w:val="000B07CA"/>
    <w:rsid w:val="000B116D"/>
    <w:rsid w:val="000B1669"/>
    <w:rsid w:val="000B1FA8"/>
    <w:rsid w:val="000B24D9"/>
    <w:rsid w:val="000B2744"/>
    <w:rsid w:val="000B2E70"/>
    <w:rsid w:val="000B3266"/>
    <w:rsid w:val="000B344F"/>
    <w:rsid w:val="000B3639"/>
    <w:rsid w:val="000B3A4E"/>
    <w:rsid w:val="000B4029"/>
    <w:rsid w:val="000B44F7"/>
    <w:rsid w:val="000B4A19"/>
    <w:rsid w:val="000B4C65"/>
    <w:rsid w:val="000B519D"/>
    <w:rsid w:val="000B559F"/>
    <w:rsid w:val="000B59C5"/>
    <w:rsid w:val="000B5A13"/>
    <w:rsid w:val="000B5C91"/>
    <w:rsid w:val="000B5D53"/>
    <w:rsid w:val="000B5D9C"/>
    <w:rsid w:val="000B5DDE"/>
    <w:rsid w:val="000B609A"/>
    <w:rsid w:val="000B62C7"/>
    <w:rsid w:val="000B640E"/>
    <w:rsid w:val="000B641A"/>
    <w:rsid w:val="000B6890"/>
    <w:rsid w:val="000B6AB2"/>
    <w:rsid w:val="000B6D8F"/>
    <w:rsid w:val="000B7099"/>
    <w:rsid w:val="000B7336"/>
    <w:rsid w:val="000B7354"/>
    <w:rsid w:val="000B7715"/>
    <w:rsid w:val="000B7C0A"/>
    <w:rsid w:val="000B7CA4"/>
    <w:rsid w:val="000B7D80"/>
    <w:rsid w:val="000C0052"/>
    <w:rsid w:val="000C02B4"/>
    <w:rsid w:val="000C0728"/>
    <w:rsid w:val="000C072D"/>
    <w:rsid w:val="000C084B"/>
    <w:rsid w:val="000C0A00"/>
    <w:rsid w:val="000C0A06"/>
    <w:rsid w:val="000C0C14"/>
    <w:rsid w:val="000C106C"/>
    <w:rsid w:val="000C11BE"/>
    <w:rsid w:val="000C1282"/>
    <w:rsid w:val="000C190E"/>
    <w:rsid w:val="000C2230"/>
    <w:rsid w:val="000C29D0"/>
    <w:rsid w:val="000C33F6"/>
    <w:rsid w:val="000C34AD"/>
    <w:rsid w:val="000C3670"/>
    <w:rsid w:val="000C377E"/>
    <w:rsid w:val="000C3A8A"/>
    <w:rsid w:val="000C3F50"/>
    <w:rsid w:val="000C4048"/>
    <w:rsid w:val="000C4109"/>
    <w:rsid w:val="000C4179"/>
    <w:rsid w:val="000C44B8"/>
    <w:rsid w:val="000C453A"/>
    <w:rsid w:val="000C45D7"/>
    <w:rsid w:val="000C4955"/>
    <w:rsid w:val="000C4F3E"/>
    <w:rsid w:val="000C5038"/>
    <w:rsid w:val="000C53B8"/>
    <w:rsid w:val="000C558C"/>
    <w:rsid w:val="000C5783"/>
    <w:rsid w:val="000C5AF3"/>
    <w:rsid w:val="000C5B4C"/>
    <w:rsid w:val="000C60A5"/>
    <w:rsid w:val="000C65B8"/>
    <w:rsid w:val="000C6813"/>
    <w:rsid w:val="000C6A62"/>
    <w:rsid w:val="000C6A64"/>
    <w:rsid w:val="000C6A94"/>
    <w:rsid w:val="000C6CF1"/>
    <w:rsid w:val="000C6F95"/>
    <w:rsid w:val="000C7324"/>
    <w:rsid w:val="000C7624"/>
    <w:rsid w:val="000C7F26"/>
    <w:rsid w:val="000D04E5"/>
    <w:rsid w:val="000D0762"/>
    <w:rsid w:val="000D0797"/>
    <w:rsid w:val="000D1039"/>
    <w:rsid w:val="000D1315"/>
    <w:rsid w:val="000D159C"/>
    <w:rsid w:val="000D1DBD"/>
    <w:rsid w:val="000D1E44"/>
    <w:rsid w:val="000D2A02"/>
    <w:rsid w:val="000D2D55"/>
    <w:rsid w:val="000D30A8"/>
    <w:rsid w:val="000D3149"/>
    <w:rsid w:val="000D3691"/>
    <w:rsid w:val="000D3811"/>
    <w:rsid w:val="000D3DDE"/>
    <w:rsid w:val="000D3DED"/>
    <w:rsid w:val="000D3F55"/>
    <w:rsid w:val="000D4AFB"/>
    <w:rsid w:val="000D4D87"/>
    <w:rsid w:val="000D50DA"/>
    <w:rsid w:val="000D5242"/>
    <w:rsid w:val="000D5C1D"/>
    <w:rsid w:val="000D6162"/>
    <w:rsid w:val="000D6307"/>
    <w:rsid w:val="000D6482"/>
    <w:rsid w:val="000D66FB"/>
    <w:rsid w:val="000D6EBD"/>
    <w:rsid w:val="000D73C3"/>
    <w:rsid w:val="000D73D3"/>
    <w:rsid w:val="000D7625"/>
    <w:rsid w:val="000D7A24"/>
    <w:rsid w:val="000D7DDD"/>
    <w:rsid w:val="000E009F"/>
    <w:rsid w:val="000E0DAE"/>
    <w:rsid w:val="000E125B"/>
    <w:rsid w:val="000E16D1"/>
    <w:rsid w:val="000E19CF"/>
    <w:rsid w:val="000E1DDA"/>
    <w:rsid w:val="000E273C"/>
    <w:rsid w:val="000E2AAD"/>
    <w:rsid w:val="000E2E1E"/>
    <w:rsid w:val="000E2FFF"/>
    <w:rsid w:val="000E3277"/>
    <w:rsid w:val="000E37B9"/>
    <w:rsid w:val="000E3BA0"/>
    <w:rsid w:val="000E3E03"/>
    <w:rsid w:val="000E4334"/>
    <w:rsid w:val="000E43BB"/>
    <w:rsid w:val="000E4812"/>
    <w:rsid w:val="000E4875"/>
    <w:rsid w:val="000E4A6E"/>
    <w:rsid w:val="000E4AA8"/>
    <w:rsid w:val="000E4C22"/>
    <w:rsid w:val="000E4E1F"/>
    <w:rsid w:val="000E510F"/>
    <w:rsid w:val="000E518D"/>
    <w:rsid w:val="000E5C0D"/>
    <w:rsid w:val="000E5ECE"/>
    <w:rsid w:val="000E61D4"/>
    <w:rsid w:val="000E622D"/>
    <w:rsid w:val="000E62BD"/>
    <w:rsid w:val="000E6571"/>
    <w:rsid w:val="000E6888"/>
    <w:rsid w:val="000E6D58"/>
    <w:rsid w:val="000E71E9"/>
    <w:rsid w:val="000E774B"/>
    <w:rsid w:val="000E7C59"/>
    <w:rsid w:val="000E7D8E"/>
    <w:rsid w:val="000E7D97"/>
    <w:rsid w:val="000F00DF"/>
    <w:rsid w:val="000F0E95"/>
    <w:rsid w:val="000F0EED"/>
    <w:rsid w:val="000F0F07"/>
    <w:rsid w:val="000F114E"/>
    <w:rsid w:val="000F118E"/>
    <w:rsid w:val="000F1333"/>
    <w:rsid w:val="000F13CB"/>
    <w:rsid w:val="000F1401"/>
    <w:rsid w:val="000F1D5C"/>
    <w:rsid w:val="000F1D71"/>
    <w:rsid w:val="000F2056"/>
    <w:rsid w:val="000F23D6"/>
    <w:rsid w:val="000F2820"/>
    <w:rsid w:val="000F296F"/>
    <w:rsid w:val="000F3103"/>
    <w:rsid w:val="000F33EC"/>
    <w:rsid w:val="000F3889"/>
    <w:rsid w:val="000F3C51"/>
    <w:rsid w:val="000F3D48"/>
    <w:rsid w:val="000F3E8A"/>
    <w:rsid w:val="000F4402"/>
    <w:rsid w:val="000F4621"/>
    <w:rsid w:val="000F497D"/>
    <w:rsid w:val="000F4AB6"/>
    <w:rsid w:val="000F4C6E"/>
    <w:rsid w:val="000F50D1"/>
    <w:rsid w:val="000F56C3"/>
    <w:rsid w:val="000F6125"/>
    <w:rsid w:val="000F624F"/>
    <w:rsid w:val="000F646F"/>
    <w:rsid w:val="000F6701"/>
    <w:rsid w:val="000F6856"/>
    <w:rsid w:val="000F68E9"/>
    <w:rsid w:val="000F69EE"/>
    <w:rsid w:val="000F6BC1"/>
    <w:rsid w:val="000F6E2D"/>
    <w:rsid w:val="000F7037"/>
    <w:rsid w:val="000F7194"/>
    <w:rsid w:val="000F79AC"/>
    <w:rsid w:val="000F7BB5"/>
    <w:rsid w:val="000F7D1F"/>
    <w:rsid w:val="001001F9"/>
    <w:rsid w:val="00100238"/>
    <w:rsid w:val="001002B3"/>
    <w:rsid w:val="001008EE"/>
    <w:rsid w:val="00100964"/>
    <w:rsid w:val="00100AAA"/>
    <w:rsid w:val="00100AC1"/>
    <w:rsid w:val="00100C42"/>
    <w:rsid w:val="00100C67"/>
    <w:rsid w:val="00100C8A"/>
    <w:rsid w:val="001015C0"/>
    <w:rsid w:val="00101881"/>
    <w:rsid w:val="00101B1B"/>
    <w:rsid w:val="00101B24"/>
    <w:rsid w:val="00101B82"/>
    <w:rsid w:val="00101C24"/>
    <w:rsid w:val="0010216C"/>
    <w:rsid w:val="001023E4"/>
    <w:rsid w:val="001024BC"/>
    <w:rsid w:val="00102841"/>
    <w:rsid w:val="00102C2B"/>
    <w:rsid w:val="00102C3D"/>
    <w:rsid w:val="00102D54"/>
    <w:rsid w:val="00103065"/>
    <w:rsid w:val="0010313C"/>
    <w:rsid w:val="001031AF"/>
    <w:rsid w:val="00103A92"/>
    <w:rsid w:val="00103AA3"/>
    <w:rsid w:val="00103D49"/>
    <w:rsid w:val="00104EE1"/>
    <w:rsid w:val="0010545D"/>
    <w:rsid w:val="00105548"/>
    <w:rsid w:val="00105571"/>
    <w:rsid w:val="00105B36"/>
    <w:rsid w:val="00105D82"/>
    <w:rsid w:val="0010635F"/>
    <w:rsid w:val="0010662F"/>
    <w:rsid w:val="001068AE"/>
    <w:rsid w:val="00106CE8"/>
    <w:rsid w:val="00106E79"/>
    <w:rsid w:val="00106F7F"/>
    <w:rsid w:val="00107745"/>
    <w:rsid w:val="00107820"/>
    <w:rsid w:val="00107A9C"/>
    <w:rsid w:val="00107BBE"/>
    <w:rsid w:val="00107C7C"/>
    <w:rsid w:val="00107D53"/>
    <w:rsid w:val="001100EC"/>
    <w:rsid w:val="001102C5"/>
    <w:rsid w:val="001103B5"/>
    <w:rsid w:val="0011076B"/>
    <w:rsid w:val="001109B7"/>
    <w:rsid w:val="00110A75"/>
    <w:rsid w:val="00110D01"/>
    <w:rsid w:val="00110DFD"/>
    <w:rsid w:val="00111381"/>
    <w:rsid w:val="00111F77"/>
    <w:rsid w:val="001120B3"/>
    <w:rsid w:val="00112218"/>
    <w:rsid w:val="00112862"/>
    <w:rsid w:val="00112D6E"/>
    <w:rsid w:val="001130A2"/>
    <w:rsid w:val="0011325A"/>
    <w:rsid w:val="0011325B"/>
    <w:rsid w:val="00113430"/>
    <w:rsid w:val="00113528"/>
    <w:rsid w:val="001135A9"/>
    <w:rsid w:val="001138F2"/>
    <w:rsid w:val="00113AB5"/>
    <w:rsid w:val="00114452"/>
    <w:rsid w:val="00114BF3"/>
    <w:rsid w:val="00114D8A"/>
    <w:rsid w:val="00115226"/>
    <w:rsid w:val="00115EE4"/>
    <w:rsid w:val="001163DF"/>
    <w:rsid w:val="0011652A"/>
    <w:rsid w:val="00116932"/>
    <w:rsid w:val="00116BCF"/>
    <w:rsid w:val="00116C26"/>
    <w:rsid w:val="001172E8"/>
    <w:rsid w:val="0011748D"/>
    <w:rsid w:val="0012021F"/>
    <w:rsid w:val="00120491"/>
    <w:rsid w:val="00120B76"/>
    <w:rsid w:val="00120D37"/>
    <w:rsid w:val="00121437"/>
    <w:rsid w:val="00121440"/>
    <w:rsid w:val="001216AC"/>
    <w:rsid w:val="00121724"/>
    <w:rsid w:val="001218BB"/>
    <w:rsid w:val="00121B0E"/>
    <w:rsid w:val="00121CD3"/>
    <w:rsid w:val="00121FF6"/>
    <w:rsid w:val="00122089"/>
    <w:rsid w:val="001223FB"/>
    <w:rsid w:val="001224C0"/>
    <w:rsid w:val="001227FB"/>
    <w:rsid w:val="00123299"/>
    <w:rsid w:val="001232D9"/>
    <w:rsid w:val="00123466"/>
    <w:rsid w:val="00123991"/>
    <w:rsid w:val="00123AE0"/>
    <w:rsid w:val="00123DF7"/>
    <w:rsid w:val="0012428D"/>
    <w:rsid w:val="0012474E"/>
    <w:rsid w:val="001249E7"/>
    <w:rsid w:val="00124C64"/>
    <w:rsid w:val="00124CE7"/>
    <w:rsid w:val="00124D47"/>
    <w:rsid w:val="00124F86"/>
    <w:rsid w:val="00124FA3"/>
    <w:rsid w:val="00125190"/>
    <w:rsid w:val="0012568B"/>
    <w:rsid w:val="00125E97"/>
    <w:rsid w:val="00126733"/>
    <w:rsid w:val="001269C8"/>
    <w:rsid w:val="00126A71"/>
    <w:rsid w:val="00126CC4"/>
    <w:rsid w:val="00126F62"/>
    <w:rsid w:val="001272FC"/>
    <w:rsid w:val="0012749A"/>
    <w:rsid w:val="001279F8"/>
    <w:rsid w:val="00127AAA"/>
    <w:rsid w:val="00127B35"/>
    <w:rsid w:val="00127D7C"/>
    <w:rsid w:val="00130971"/>
    <w:rsid w:val="00130F31"/>
    <w:rsid w:val="0013135C"/>
    <w:rsid w:val="00131589"/>
    <w:rsid w:val="001323F3"/>
    <w:rsid w:val="00132D9E"/>
    <w:rsid w:val="00132E2C"/>
    <w:rsid w:val="0013314B"/>
    <w:rsid w:val="00133232"/>
    <w:rsid w:val="001339DA"/>
    <w:rsid w:val="001339EA"/>
    <w:rsid w:val="00133A80"/>
    <w:rsid w:val="00133D68"/>
    <w:rsid w:val="001343FB"/>
    <w:rsid w:val="00134592"/>
    <w:rsid w:val="00134733"/>
    <w:rsid w:val="0013487D"/>
    <w:rsid w:val="00134BED"/>
    <w:rsid w:val="00135601"/>
    <w:rsid w:val="0013592E"/>
    <w:rsid w:val="0013599F"/>
    <w:rsid w:val="00135B1B"/>
    <w:rsid w:val="00135BD2"/>
    <w:rsid w:val="00135CC3"/>
    <w:rsid w:val="00135E81"/>
    <w:rsid w:val="0013633B"/>
    <w:rsid w:val="0013645C"/>
    <w:rsid w:val="00136A15"/>
    <w:rsid w:val="0013775D"/>
    <w:rsid w:val="00137EE9"/>
    <w:rsid w:val="00137FE2"/>
    <w:rsid w:val="00140070"/>
    <w:rsid w:val="00140134"/>
    <w:rsid w:val="001406E9"/>
    <w:rsid w:val="00140C1B"/>
    <w:rsid w:val="00140C91"/>
    <w:rsid w:val="00141339"/>
    <w:rsid w:val="00141412"/>
    <w:rsid w:val="001415F7"/>
    <w:rsid w:val="00141661"/>
    <w:rsid w:val="001416C6"/>
    <w:rsid w:val="00141711"/>
    <w:rsid w:val="00141837"/>
    <w:rsid w:val="001418BC"/>
    <w:rsid w:val="001428D3"/>
    <w:rsid w:val="00142987"/>
    <w:rsid w:val="00142D85"/>
    <w:rsid w:val="001431D4"/>
    <w:rsid w:val="00143CC5"/>
    <w:rsid w:val="00143FE6"/>
    <w:rsid w:val="0014407B"/>
    <w:rsid w:val="0014439C"/>
    <w:rsid w:val="0014443E"/>
    <w:rsid w:val="001448E7"/>
    <w:rsid w:val="00144AE5"/>
    <w:rsid w:val="001450C7"/>
    <w:rsid w:val="001450E8"/>
    <w:rsid w:val="001451A2"/>
    <w:rsid w:val="001451C2"/>
    <w:rsid w:val="00145508"/>
    <w:rsid w:val="001458CE"/>
    <w:rsid w:val="0014599F"/>
    <w:rsid w:val="00145C65"/>
    <w:rsid w:val="00145DD4"/>
    <w:rsid w:val="001461BB"/>
    <w:rsid w:val="001463EF"/>
    <w:rsid w:val="00146448"/>
    <w:rsid w:val="00146528"/>
    <w:rsid w:val="00146731"/>
    <w:rsid w:val="0014688A"/>
    <w:rsid w:val="0014689F"/>
    <w:rsid w:val="00146BDA"/>
    <w:rsid w:val="0014760F"/>
    <w:rsid w:val="0014775B"/>
    <w:rsid w:val="001500BF"/>
    <w:rsid w:val="001503CF"/>
    <w:rsid w:val="00150A58"/>
    <w:rsid w:val="00150AF1"/>
    <w:rsid w:val="00150E1B"/>
    <w:rsid w:val="00150F26"/>
    <w:rsid w:val="001513D2"/>
    <w:rsid w:val="00151502"/>
    <w:rsid w:val="001516ED"/>
    <w:rsid w:val="00151742"/>
    <w:rsid w:val="00151877"/>
    <w:rsid w:val="0015189B"/>
    <w:rsid w:val="00151924"/>
    <w:rsid w:val="00151D29"/>
    <w:rsid w:val="00151E84"/>
    <w:rsid w:val="001522F8"/>
    <w:rsid w:val="00152878"/>
    <w:rsid w:val="00152BD7"/>
    <w:rsid w:val="001530B0"/>
    <w:rsid w:val="001530C1"/>
    <w:rsid w:val="00153136"/>
    <w:rsid w:val="0015328B"/>
    <w:rsid w:val="0015330E"/>
    <w:rsid w:val="00153364"/>
    <w:rsid w:val="001535D7"/>
    <w:rsid w:val="00153713"/>
    <w:rsid w:val="00153AA6"/>
    <w:rsid w:val="00153CE5"/>
    <w:rsid w:val="00154077"/>
    <w:rsid w:val="00154100"/>
    <w:rsid w:val="001544CA"/>
    <w:rsid w:val="001548F7"/>
    <w:rsid w:val="0015496B"/>
    <w:rsid w:val="00154A0F"/>
    <w:rsid w:val="00155603"/>
    <w:rsid w:val="00155CCF"/>
    <w:rsid w:val="001560BB"/>
    <w:rsid w:val="00156104"/>
    <w:rsid w:val="0015631D"/>
    <w:rsid w:val="0015642E"/>
    <w:rsid w:val="00156549"/>
    <w:rsid w:val="00156700"/>
    <w:rsid w:val="00156A35"/>
    <w:rsid w:val="00156C11"/>
    <w:rsid w:val="00156EFB"/>
    <w:rsid w:val="00156F4D"/>
    <w:rsid w:val="00156F9D"/>
    <w:rsid w:val="001573D4"/>
    <w:rsid w:val="00157579"/>
    <w:rsid w:val="0015787B"/>
    <w:rsid w:val="0015799E"/>
    <w:rsid w:val="00157F42"/>
    <w:rsid w:val="00160323"/>
    <w:rsid w:val="00160472"/>
    <w:rsid w:val="001607D8"/>
    <w:rsid w:val="00160969"/>
    <w:rsid w:val="00160AD2"/>
    <w:rsid w:val="00160DCA"/>
    <w:rsid w:val="0016111D"/>
    <w:rsid w:val="0016140E"/>
    <w:rsid w:val="001614BF"/>
    <w:rsid w:val="001614D6"/>
    <w:rsid w:val="00161646"/>
    <w:rsid w:val="001618BE"/>
    <w:rsid w:val="00161BA9"/>
    <w:rsid w:val="00161C7E"/>
    <w:rsid w:val="00161CF3"/>
    <w:rsid w:val="00161F14"/>
    <w:rsid w:val="001626EA"/>
    <w:rsid w:val="00162C54"/>
    <w:rsid w:val="00162C9A"/>
    <w:rsid w:val="001631AB"/>
    <w:rsid w:val="001631DB"/>
    <w:rsid w:val="00163269"/>
    <w:rsid w:val="001633D7"/>
    <w:rsid w:val="001635A5"/>
    <w:rsid w:val="00163632"/>
    <w:rsid w:val="00163AEA"/>
    <w:rsid w:val="00163B23"/>
    <w:rsid w:val="00163CAB"/>
    <w:rsid w:val="001641BC"/>
    <w:rsid w:val="001641CB"/>
    <w:rsid w:val="00164395"/>
    <w:rsid w:val="001643F8"/>
    <w:rsid w:val="0016446B"/>
    <w:rsid w:val="00164486"/>
    <w:rsid w:val="00164852"/>
    <w:rsid w:val="00164893"/>
    <w:rsid w:val="00165163"/>
    <w:rsid w:val="001656E0"/>
    <w:rsid w:val="00165850"/>
    <w:rsid w:val="00165BB6"/>
    <w:rsid w:val="00165C6D"/>
    <w:rsid w:val="00165D56"/>
    <w:rsid w:val="00165F2F"/>
    <w:rsid w:val="001660B0"/>
    <w:rsid w:val="0016610D"/>
    <w:rsid w:val="00166310"/>
    <w:rsid w:val="00166438"/>
    <w:rsid w:val="00166621"/>
    <w:rsid w:val="001666EE"/>
    <w:rsid w:val="00166865"/>
    <w:rsid w:val="0016690A"/>
    <w:rsid w:val="00166B46"/>
    <w:rsid w:val="00166D50"/>
    <w:rsid w:val="00166F2D"/>
    <w:rsid w:val="0017010D"/>
    <w:rsid w:val="00170AFA"/>
    <w:rsid w:val="00170C02"/>
    <w:rsid w:val="00170EFD"/>
    <w:rsid w:val="001713E4"/>
    <w:rsid w:val="00171556"/>
    <w:rsid w:val="00171738"/>
    <w:rsid w:val="001719FC"/>
    <w:rsid w:val="00171C0D"/>
    <w:rsid w:val="00171CC1"/>
    <w:rsid w:val="00171DED"/>
    <w:rsid w:val="00172038"/>
    <w:rsid w:val="00172667"/>
    <w:rsid w:val="00172D97"/>
    <w:rsid w:val="00172F06"/>
    <w:rsid w:val="00172F64"/>
    <w:rsid w:val="001732FF"/>
    <w:rsid w:val="00173B4E"/>
    <w:rsid w:val="00173BB4"/>
    <w:rsid w:val="00173DEF"/>
    <w:rsid w:val="00173E8F"/>
    <w:rsid w:val="0017402D"/>
    <w:rsid w:val="001742C8"/>
    <w:rsid w:val="001745A9"/>
    <w:rsid w:val="0017492F"/>
    <w:rsid w:val="00174AE8"/>
    <w:rsid w:val="00174CBB"/>
    <w:rsid w:val="00174F12"/>
    <w:rsid w:val="00175314"/>
    <w:rsid w:val="00175B4E"/>
    <w:rsid w:val="00175C8A"/>
    <w:rsid w:val="001762CF"/>
    <w:rsid w:val="0017665F"/>
    <w:rsid w:val="00176B7F"/>
    <w:rsid w:val="001774BC"/>
    <w:rsid w:val="00177AB1"/>
    <w:rsid w:val="00177C38"/>
    <w:rsid w:val="00177CF0"/>
    <w:rsid w:val="00177DC1"/>
    <w:rsid w:val="00177E85"/>
    <w:rsid w:val="00180673"/>
    <w:rsid w:val="001810EB"/>
    <w:rsid w:val="00181302"/>
    <w:rsid w:val="00181956"/>
    <w:rsid w:val="00181D62"/>
    <w:rsid w:val="00181FAE"/>
    <w:rsid w:val="00182052"/>
    <w:rsid w:val="00182243"/>
    <w:rsid w:val="0018236C"/>
    <w:rsid w:val="00182441"/>
    <w:rsid w:val="0018292A"/>
    <w:rsid w:val="00182B90"/>
    <w:rsid w:val="00182C10"/>
    <w:rsid w:val="00182E09"/>
    <w:rsid w:val="00182EEB"/>
    <w:rsid w:val="00182F2C"/>
    <w:rsid w:val="001830A3"/>
    <w:rsid w:val="001831F0"/>
    <w:rsid w:val="00183661"/>
    <w:rsid w:val="00183827"/>
    <w:rsid w:val="001839FC"/>
    <w:rsid w:val="00183CD2"/>
    <w:rsid w:val="00184110"/>
    <w:rsid w:val="00184216"/>
    <w:rsid w:val="00184383"/>
    <w:rsid w:val="001847DB"/>
    <w:rsid w:val="00184A36"/>
    <w:rsid w:val="00184A3D"/>
    <w:rsid w:val="00184BD5"/>
    <w:rsid w:val="00184C63"/>
    <w:rsid w:val="00184C91"/>
    <w:rsid w:val="00184E20"/>
    <w:rsid w:val="00185201"/>
    <w:rsid w:val="001853EA"/>
    <w:rsid w:val="001856D2"/>
    <w:rsid w:val="001858A5"/>
    <w:rsid w:val="00185A49"/>
    <w:rsid w:val="00185AB3"/>
    <w:rsid w:val="00185E25"/>
    <w:rsid w:val="00185EB2"/>
    <w:rsid w:val="001860DC"/>
    <w:rsid w:val="00186410"/>
    <w:rsid w:val="00186823"/>
    <w:rsid w:val="00186A39"/>
    <w:rsid w:val="00187233"/>
    <w:rsid w:val="001875D8"/>
    <w:rsid w:val="00187658"/>
    <w:rsid w:val="00187874"/>
    <w:rsid w:val="00187D8D"/>
    <w:rsid w:val="00187F4D"/>
    <w:rsid w:val="00190014"/>
    <w:rsid w:val="001900E6"/>
    <w:rsid w:val="001906BB"/>
    <w:rsid w:val="0019071D"/>
    <w:rsid w:val="001907CF"/>
    <w:rsid w:val="00190A4C"/>
    <w:rsid w:val="00190EBA"/>
    <w:rsid w:val="00190ED4"/>
    <w:rsid w:val="00190FEF"/>
    <w:rsid w:val="001913C2"/>
    <w:rsid w:val="0019143F"/>
    <w:rsid w:val="0019166F"/>
    <w:rsid w:val="001918E4"/>
    <w:rsid w:val="00191A4E"/>
    <w:rsid w:val="00191C18"/>
    <w:rsid w:val="00191C5A"/>
    <w:rsid w:val="00191DBF"/>
    <w:rsid w:val="001922E0"/>
    <w:rsid w:val="0019273E"/>
    <w:rsid w:val="00192B3A"/>
    <w:rsid w:val="00193024"/>
    <w:rsid w:val="00193286"/>
    <w:rsid w:val="0019341A"/>
    <w:rsid w:val="00193951"/>
    <w:rsid w:val="001939DA"/>
    <w:rsid w:val="001946B0"/>
    <w:rsid w:val="00194883"/>
    <w:rsid w:val="00194C25"/>
    <w:rsid w:val="00194C5C"/>
    <w:rsid w:val="001952B9"/>
    <w:rsid w:val="00195544"/>
    <w:rsid w:val="001955A7"/>
    <w:rsid w:val="0019586D"/>
    <w:rsid w:val="00195A98"/>
    <w:rsid w:val="00195EC4"/>
    <w:rsid w:val="001961F5"/>
    <w:rsid w:val="00196368"/>
    <w:rsid w:val="00196690"/>
    <w:rsid w:val="00196F58"/>
    <w:rsid w:val="00197303"/>
    <w:rsid w:val="00197539"/>
    <w:rsid w:val="001975F0"/>
    <w:rsid w:val="00197613"/>
    <w:rsid w:val="00197930"/>
    <w:rsid w:val="00197994"/>
    <w:rsid w:val="00197C9D"/>
    <w:rsid w:val="00197D11"/>
    <w:rsid w:val="00197E30"/>
    <w:rsid w:val="00197EE1"/>
    <w:rsid w:val="00197F00"/>
    <w:rsid w:val="001A0090"/>
    <w:rsid w:val="001A0227"/>
    <w:rsid w:val="001A0287"/>
    <w:rsid w:val="001A0727"/>
    <w:rsid w:val="001A0745"/>
    <w:rsid w:val="001A092A"/>
    <w:rsid w:val="001A092C"/>
    <w:rsid w:val="001A0E43"/>
    <w:rsid w:val="001A0E93"/>
    <w:rsid w:val="001A1031"/>
    <w:rsid w:val="001A1390"/>
    <w:rsid w:val="001A17E3"/>
    <w:rsid w:val="001A19D8"/>
    <w:rsid w:val="001A1AE1"/>
    <w:rsid w:val="001A1C4F"/>
    <w:rsid w:val="001A1CD9"/>
    <w:rsid w:val="001A227F"/>
    <w:rsid w:val="001A2716"/>
    <w:rsid w:val="001A2933"/>
    <w:rsid w:val="001A29EB"/>
    <w:rsid w:val="001A2D92"/>
    <w:rsid w:val="001A2EAD"/>
    <w:rsid w:val="001A30E6"/>
    <w:rsid w:val="001A3608"/>
    <w:rsid w:val="001A36B0"/>
    <w:rsid w:val="001A387D"/>
    <w:rsid w:val="001A3974"/>
    <w:rsid w:val="001A3B79"/>
    <w:rsid w:val="001A3D5B"/>
    <w:rsid w:val="001A41BE"/>
    <w:rsid w:val="001A451C"/>
    <w:rsid w:val="001A46D6"/>
    <w:rsid w:val="001A4C37"/>
    <w:rsid w:val="001A4C6C"/>
    <w:rsid w:val="001A4D63"/>
    <w:rsid w:val="001A4DF6"/>
    <w:rsid w:val="001A4ECB"/>
    <w:rsid w:val="001A4F39"/>
    <w:rsid w:val="001A4F3F"/>
    <w:rsid w:val="001A55C9"/>
    <w:rsid w:val="001A5769"/>
    <w:rsid w:val="001A58AB"/>
    <w:rsid w:val="001A5D1D"/>
    <w:rsid w:val="001A5EBC"/>
    <w:rsid w:val="001A6225"/>
    <w:rsid w:val="001A66F3"/>
    <w:rsid w:val="001A6A90"/>
    <w:rsid w:val="001A6EF4"/>
    <w:rsid w:val="001A7013"/>
    <w:rsid w:val="001B0086"/>
    <w:rsid w:val="001B040D"/>
    <w:rsid w:val="001B107A"/>
    <w:rsid w:val="001B1A7B"/>
    <w:rsid w:val="001B1CB1"/>
    <w:rsid w:val="001B1DEA"/>
    <w:rsid w:val="001B1FCC"/>
    <w:rsid w:val="001B2246"/>
    <w:rsid w:val="001B24B9"/>
    <w:rsid w:val="001B26EA"/>
    <w:rsid w:val="001B28FD"/>
    <w:rsid w:val="001B2BB4"/>
    <w:rsid w:val="001B2C3D"/>
    <w:rsid w:val="001B2C94"/>
    <w:rsid w:val="001B306F"/>
    <w:rsid w:val="001B3136"/>
    <w:rsid w:val="001B32D2"/>
    <w:rsid w:val="001B3F84"/>
    <w:rsid w:val="001B3FB6"/>
    <w:rsid w:val="001B46CF"/>
    <w:rsid w:val="001B4BBB"/>
    <w:rsid w:val="001B4D1C"/>
    <w:rsid w:val="001B4D98"/>
    <w:rsid w:val="001B500C"/>
    <w:rsid w:val="001B5142"/>
    <w:rsid w:val="001B5340"/>
    <w:rsid w:val="001B597D"/>
    <w:rsid w:val="001B5B21"/>
    <w:rsid w:val="001B60FE"/>
    <w:rsid w:val="001B6B11"/>
    <w:rsid w:val="001B6E6E"/>
    <w:rsid w:val="001B6F21"/>
    <w:rsid w:val="001B700A"/>
    <w:rsid w:val="001B73EC"/>
    <w:rsid w:val="001B76F6"/>
    <w:rsid w:val="001B7704"/>
    <w:rsid w:val="001B796C"/>
    <w:rsid w:val="001B7D54"/>
    <w:rsid w:val="001B7FC1"/>
    <w:rsid w:val="001C07AC"/>
    <w:rsid w:val="001C1189"/>
    <w:rsid w:val="001C1256"/>
    <w:rsid w:val="001C154F"/>
    <w:rsid w:val="001C1978"/>
    <w:rsid w:val="001C2029"/>
    <w:rsid w:val="001C205E"/>
    <w:rsid w:val="001C2078"/>
    <w:rsid w:val="001C2242"/>
    <w:rsid w:val="001C2760"/>
    <w:rsid w:val="001C283A"/>
    <w:rsid w:val="001C2851"/>
    <w:rsid w:val="001C2A46"/>
    <w:rsid w:val="001C2D21"/>
    <w:rsid w:val="001C2DB6"/>
    <w:rsid w:val="001C2FED"/>
    <w:rsid w:val="001C35BB"/>
    <w:rsid w:val="001C3A8D"/>
    <w:rsid w:val="001C3F4D"/>
    <w:rsid w:val="001C4120"/>
    <w:rsid w:val="001C4799"/>
    <w:rsid w:val="001C4AC2"/>
    <w:rsid w:val="001C4AE3"/>
    <w:rsid w:val="001C4D82"/>
    <w:rsid w:val="001C5031"/>
    <w:rsid w:val="001C540D"/>
    <w:rsid w:val="001C5E84"/>
    <w:rsid w:val="001C5E9F"/>
    <w:rsid w:val="001C5FEE"/>
    <w:rsid w:val="001C66DE"/>
    <w:rsid w:val="001C680A"/>
    <w:rsid w:val="001C692B"/>
    <w:rsid w:val="001C69E5"/>
    <w:rsid w:val="001C6A6F"/>
    <w:rsid w:val="001C6DAE"/>
    <w:rsid w:val="001C6DDC"/>
    <w:rsid w:val="001C700C"/>
    <w:rsid w:val="001C735B"/>
    <w:rsid w:val="001C7C95"/>
    <w:rsid w:val="001C7DF0"/>
    <w:rsid w:val="001D0102"/>
    <w:rsid w:val="001D01BE"/>
    <w:rsid w:val="001D02CB"/>
    <w:rsid w:val="001D0760"/>
    <w:rsid w:val="001D0932"/>
    <w:rsid w:val="001D0CE1"/>
    <w:rsid w:val="001D1110"/>
    <w:rsid w:val="001D120D"/>
    <w:rsid w:val="001D143A"/>
    <w:rsid w:val="001D1614"/>
    <w:rsid w:val="001D1659"/>
    <w:rsid w:val="001D1994"/>
    <w:rsid w:val="001D1AC4"/>
    <w:rsid w:val="001D2321"/>
    <w:rsid w:val="001D2355"/>
    <w:rsid w:val="001D2363"/>
    <w:rsid w:val="001D2410"/>
    <w:rsid w:val="001D2441"/>
    <w:rsid w:val="001D2572"/>
    <w:rsid w:val="001D2666"/>
    <w:rsid w:val="001D2683"/>
    <w:rsid w:val="001D270C"/>
    <w:rsid w:val="001D2957"/>
    <w:rsid w:val="001D2C4E"/>
    <w:rsid w:val="001D2D35"/>
    <w:rsid w:val="001D31E6"/>
    <w:rsid w:val="001D3284"/>
    <w:rsid w:val="001D35B5"/>
    <w:rsid w:val="001D36BB"/>
    <w:rsid w:val="001D3998"/>
    <w:rsid w:val="001D39D1"/>
    <w:rsid w:val="001D3AA1"/>
    <w:rsid w:val="001D3C4F"/>
    <w:rsid w:val="001D3C83"/>
    <w:rsid w:val="001D3D43"/>
    <w:rsid w:val="001D3DF8"/>
    <w:rsid w:val="001D4091"/>
    <w:rsid w:val="001D417B"/>
    <w:rsid w:val="001D41FE"/>
    <w:rsid w:val="001D47F3"/>
    <w:rsid w:val="001D4E9E"/>
    <w:rsid w:val="001D4F87"/>
    <w:rsid w:val="001D51C4"/>
    <w:rsid w:val="001D5462"/>
    <w:rsid w:val="001D560B"/>
    <w:rsid w:val="001D57E1"/>
    <w:rsid w:val="001D5ABC"/>
    <w:rsid w:val="001D5B64"/>
    <w:rsid w:val="001D5E89"/>
    <w:rsid w:val="001D676C"/>
    <w:rsid w:val="001D6BF7"/>
    <w:rsid w:val="001D6F41"/>
    <w:rsid w:val="001D73D7"/>
    <w:rsid w:val="001D78CC"/>
    <w:rsid w:val="001D79E9"/>
    <w:rsid w:val="001D7E87"/>
    <w:rsid w:val="001D7F20"/>
    <w:rsid w:val="001E0102"/>
    <w:rsid w:val="001E01C6"/>
    <w:rsid w:val="001E07D0"/>
    <w:rsid w:val="001E07D4"/>
    <w:rsid w:val="001E0BA5"/>
    <w:rsid w:val="001E10FC"/>
    <w:rsid w:val="001E114C"/>
    <w:rsid w:val="001E1192"/>
    <w:rsid w:val="001E119E"/>
    <w:rsid w:val="001E11A2"/>
    <w:rsid w:val="001E11DB"/>
    <w:rsid w:val="001E14FA"/>
    <w:rsid w:val="001E19CC"/>
    <w:rsid w:val="001E1BA6"/>
    <w:rsid w:val="001E1FFB"/>
    <w:rsid w:val="001E2083"/>
    <w:rsid w:val="001E21E9"/>
    <w:rsid w:val="001E26BF"/>
    <w:rsid w:val="001E2A0D"/>
    <w:rsid w:val="001E2ACD"/>
    <w:rsid w:val="001E2B34"/>
    <w:rsid w:val="001E2C5A"/>
    <w:rsid w:val="001E2EBC"/>
    <w:rsid w:val="001E2ED6"/>
    <w:rsid w:val="001E31D1"/>
    <w:rsid w:val="001E3203"/>
    <w:rsid w:val="001E3497"/>
    <w:rsid w:val="001E34FC"/>
    <w:rsid w:val="001E3D94"/>
    <w:rsid w:val="001E3ED3"/>
    <w:rsid w:val="001E3FDB"/>
    <w:rsid w:val="001E40DC"/>
    <w:rsid w:val="001E4155"/>
    <w:rsid w:val="001E4DCB"/>
    <w:rsid w:val="001E52A6"/>
    <w:rsid w:val="001E5302"/>
    <w:rsid w:val="001E5374"/>
    <w:rsid w:val="001E5608"/>
    <w:rsid w:val="001E585A"/>
    <w:rsid w:val="001E5CF6"/>
    <w:rsid w:val="001E5DDA"/>
    <w:rsid w:val="001E60FC"/>
    <w:rsid w:val="001E6290"/>
    <w:rsid w:val="001E6CAF"/>
    <w:rsid w:val="001E6CBF"/>
    <w:rsid w:val="001E6D64"/>
    <w:rsid w:val="001E6F86"/>
    <w:rsid w:val="001E757B"/>
    <w:rsid w:val="001E7A84"/>
    <w:rsid w:val="001E7EA1"/>
    <w:rsid w:val="001F0621"/>
    <w:rsid w:val="001F06CB"/>
    <w:rsid w:val="001F087A"/>
    <w:rsid w:val="001F090D"/>
    <w:rsid w:val="001F0A67"/>
    <w:rsid w:val="001F0ED2"/>
    <w:rsid w:val="001F109C"/>
    <w:rsid w:val="001F117D"/>
    <w:rsid w:val="001F1288"/>
    <w:rsid w:val="001F14C4"/>
    <w:rsid w:val="001F19C4"/>
    <w:rsid w:val="001F1AE3"/>
    <w:rsid w:val="001F1CBF"/>
    <w:rsid w:val="001F1CEA"/>
    <w:rsid w:val="001F1E14"/>
    <w:rsid w:val="001F233E"/>
    <w:rsid w:val="001F242C"/>
    <w:rsid w:val="001F2620"/>
    <w:rsid w:val="001F2873"/>
    <w:rsid w:val="001F32F9"/>
    <w:rsid w:val="001F35AF"/>
    <w:rsid w:val="001F37FC"/>
    <w:rsid w:val="001F3DB8"/>
    <w:rsid w:val="001F3E0F"/>
    <w:rsid w:val="001F43F1"/>
    <w:rsid w:val="001F4884"/>
    <w:rsid w:val="001F4BFB"/>
    <w:rsid w:val="001F4DEB"/>
    <w:rsid w:val="001F4F4D"/>
    <w:rsid w:val="001F58CA"/>
    <w:rsid w:val="001F5B53"/>
    <w:rsid w:val="001F5CF5"/>
    <w:rsid w:val="001F60EC"/>
    <w:rsid w:val="001F6981"/>
    <w:rsid w:val="001F70F9"/>
    <w:rsid w:val="001F7277"/>
    <w:rsid w:val="001F73A8"/>
    <w:rsid w:val="001F77FC"/>
    <w:rsid w:val="001F7A71"/>
    <w:rsid w:val="001F7A9E"/>
    <w:rsid w:val="001F7BEB"/>
    <w:rsid w:val="001F7E3E"/>
    <w:rsid w:val="002000DE"/>
    <w:rsid w:val="00200569"/>
    <w:rsid w:val="002008FF"/>
    <w:rsid w:val="00200973"/>
    <w:rsid w:val="00200FC7"/>
    <w:rsid w:val="002010EB"/>
    <w:rsid w:val="002013DE"/>
    <w:rsid w:val="00201FE5"/>
    <w:rsid w:val="00202025"/>
    <w:rsid w:val="00202064"/>
    <w:rsid w:val="00202333"/>
    <w:rsid w:val="00202A50"/>
    <w:rsid w:val="00202AF4"/>
    <w:rsid w:val="00202B41"/>
    <w:rsid w:val="00202CF3"/>
    <w:rsid w:val="00202DF6"/>
    <w:rsid w:val="00202EDC"/>
    <w:rsid w:val="0020335C"/>
    <w:rsid w:val="00203573"/>
    <w:rsid w:val="002037CF"/>
    <w:rsid w:val="00203B48"/>
    <w:rsid w:val="00203F0B"/>
    <w:rsid w:val="0020407B"/>
    <w:rsid w:val="002046FD"/>
    <w:rsid w:val="002047DE"/>
    <w:rsid w:val="00204DD6"/>
    <w:rsid w:val="0020569E"/>
    <w:rsid w:val="0020574B"/>
    <w:rsid w:val="00205796"/>
    <w:rsid w:val="00205C31"/>
    <w:rsid w:val="00205F37"/>
    <w:rsid w:val="002060F7"/>
    <w:rsid w:val="00206291"/>
    <w:rsid w:val="00206322"/>
    <w:rsid w:val="00206574"/>
    <w:rsid w:val="002073E8"/>
    <w:rsid w:val="002075B6"/>
    <w:rsid w:val="002076EE"/>
    <w:rsid w:val="00207701"/>
    <w:rsid w:val="00207893"/>
    <w:rsid w:val="00207A85"/>
    <w:rsid w:val="00207D04"/>
    <w:rsid w:val="00207DC2"/>
    <w:rsid w:val="00207F69"/>
    <w:rsid w:val="00210199"/>
    <w:rsid w:val="00210263"/>
    <w:rsid w:val="002105FC"/>
    <w:rsid w:val="00210690"/>
    <w:rsid w:val="0021081F"/>
    <w:rsid w:val="002109F0"/>
    <w:rsid w:val="00210BC3"/>
    <w:rsid w:val="0021101D"/>
    <w:rsid w:val="0021148B"/>
    <w:rsid w:val="002116D4"/>
    <w:rsid w:val="00211B45"/>
    <w:rsid w:val="00211C83"/>
    <w:rsid w:val="00211D26"/>
    <w:rsid w:val="0021240C"/>
    <w:rsid w:val="00212458"/>
    <w:rsid w:val="002125BD"/>
    <w:rsid w:val="002127D4"/>
    <w:rsid w:val="002128A7"/>
    <w:rsid w:val="002131AA"/>
    <w:rsid w:val="002131CA"/>
    <w:rsid w:val="00213238"/>
    <w:rsid w:val="00213354"/>
    <w:rsid w:val="002136C3"/>
    <w:rsid w:val="0021374F"/>
    <w:rsid w:val="002137DA"/>
    <w:rsid w:val="00213DCB"/>
    <w:rsid w:val="0021431F"/>
    <w:rsid w:val="0021456A"/>
    <w:rsid w:val="00214637"/>
    <w:rsid w:val="00214FC3"/>
    <w:rsid w:val="002155F7"/>
    <w:rsid w:val="00215AFA"/>
    <w:rsid w:val="00215E2E"/>
    <w:rsid w:val="00215F05"/>
    <w:rsid w:val="00215F5F"/>
    <w:rsid w:val="002162BE"/>
    <w:rsid w:val="0021638C"/>
    <w:rsid w:val="002166AE"/>
    <w:rsid w:val="00216771"/>
    <w:rsid w:val="00216F06"/>
    <w:rsid w:val="00216F50"/>
    <w:rsid w:val="00217031"/>
    <w:rsid w:val="002171E7"/>
    <w:rsid w:val="0021775F"/>
    <w:rsid w:val="00217A83"/>
    <w:rsid w:val="00217D39"/>
    <w:rsid w:val="00217FAF"/>
    <w:rsid w:val="00220B0B"/>
    <w:rsid w:val="002213A7"/>
    <w:rsid w:val="002213F1"/>
    <w:rsid w:val="0022142B"/>
    <w:rsid w:val="0022159A"/>
    <w:rsid w:val="002215DF"/>
    <w:rsid w:val="002216CE"/>
    <w:rsid w:val="00221CB8"/>
    <w:rsid w:val="002222F6"/>
    <w:rsid w:val="002227BC"/>
    <w:rsid w:val="00222D17"/>
    <w:rsid w:val="002230BB"/>
    <w:rsid w:val="002231AB"/>
    <w:rsid w:val="00223AA3"/>
    <w:rsid w:val="00223B79"/>
    <w:rsid w:val="0022406A"/>
    <w:rsid w:val="0022494A"/>
    <w:rsid w:val="00224E71"/>
    <w:rsid w:val="002252AE"/>
    <w:rsid w:val="0022558D"/>
    <w:rsid w:val="00225837"/>
    <w:rsid w:val="002260E9"/>
    <w:rsid w:val="00226224"/>
    <w:rsid w:val="0022678D"/>
    <w:rsid w:val="002268E2"/>
    <w:rsid w:val="0022692B"/>
    <w:rsid w:val="0022699F"/>
    <w:rsid w:val="00226E4C"/>
    <w:rsid w:val="00227462"/>
    <w:rsid w:val="0022756B"/>
    <w:rsid w:val="002276AB"/>
    <w:rsid w:val="002276EF"/>
    <w:rsid w:val="00227A43"/>
    <w:rsid w:val="00227B31"/>
    <w:rsid w:val="0023054B"/>
    <w:rsid w:val="002307CB"/>
    <w:rsid w:val="00230C2D"/>
    <w:rsid w:val="00230C48"/>
    <w:rsid w:val="00230DF4"/>
    <w:rsid w:val="00230F19"/>
    <w:rsid w:val="00230F48"/>
    <w:rsid w:val="002317B0"/>
    <w:rsid w:val="002317C4"/>
    <w:rsid w:val="002319F8"/>
    <w:rsid w:val="002327A3"/>
    <w:rsid w:val="00232B29"/>
    <w:rsid w:val="00232C9C"/>
    <w:rsid w:val="00232D1F"/>
    <w:rsid w:val="00232E72"/>
    <w:rsid w:val="00232FB6"/>
    <w:rsid w:val="002331D3"/>
    <w:rsid w:val="002332CA"/>
    <w:rsid w:val="002332E2"/>
    <w:rsid w:val="00233CD5"/>
    <w:rsid w:val="0023437E"/>
    <w:rsid w:val="00234A66"/>
    <w:rsid w:val="00234E1A"/>
    <w:rsid w:val="0023508C"/>
    <w:rsid w:val="00235121"/>
    <w:rsid w:val="00235402"/>
    <w:rsid w:val="002354F8"/>
    <w:rsid w:val="002356FE"/>
    <w:rsid w:val="002358C8"/>
    <w:rsid w:val="00235BF0"/>
    <w:rsid w:val="00235BF4"/>
    <w:rsid w:val="002365E8"/>
    <w:rsid w:val="002369CA"/>
    <w:rsid w:val="002369F8"/>
    <w:rsid w:val="00236EC9"/>
    <w:rsid w:val="002372B0"/>
    <w:rsid w:val="002373CF"/>
    <w:rsid w:val="002376CF"/>
    <w:rsid w:val="00237722"/>
    <w:rsid w:val="002377FF"/>
    <w:rsid w:val="00240473"/>
    <w:rsid w:val="002405EA"/>
    <w:rsid w:val="002406A9"/>
    <w:rsid w:val="002406D3"/>
    <w:rsid w:val="00240BCA"/>
    <w:rsid w:val="0024170E"/>
    <w:rsid w:val="0024239E"/>
    <w:rsid w:val="00242404"/>
    <w:rsid w:val="00242676"/>
    <w:rsid w:val="00242BC0"/>
    <w:rsid w:val="00243492"/>
    <w:rsid w:val="002435D9"/>
    <w:rsid w:val="00243881"/>
    <w:rsid w:val="002438AD"/>
    <w:rsid w:val="002439B0"/>
    <w:rsid w:val="00243FCD"/>
    <w:rsid w:val="002442A5"/>
    <w:rsid w:val="0024438F"/>
    <w:rsid w:val="00244AE4"/>
    <w:rsid w:val="00244B29"/>
    <w:rsid w:val="00245906"/>
    <w:rsid w:val="00245A21"/>
    <w:rsid w:val="00245A8E"/>
    <w:rsid w:val="00245C50"/>
    <w:rsid w:val="002467ED"/>
    <w:rsid w:val="002468E2"/>
    <w:rsid w:val="00246917"/>
    <w:rsid w:val="00247036"/>
    <w:rsid w:val="00247041"/>
    <w:rsid w:val="00247B1C"/>
    <w:rsid w:val="002502D0"/>
    <w:rsid w:val="00250795"/>
    <w:rsid w:val="00250807"/>
    <w:rsid w:val="0025092E"/>
    <w:rsid w:val="00250B36"/>
    <w:rsid w:val="00250DBF"/>
    <w:rsid w:val="00250F5F"/>
    <w:rsid w:val="00251916"/>
    <w:rsid w:val="00251994"/>
    <w:rsid w:val="00251B49"/>
    <w:rsid w:val="00251F54"/>
    <w:rsid w:val="00251F57"/>
    <w:rsid w:val="00251F67"/>
    <w:rsid w:val="00251FD3"/>
    <w:rsid w:val="002521AA"/>
    <w:rsid w:val="00252269"/>
    <w:rsid w:val="002527F2"/>
    <w:rsid w:val="0025287E"/>
    <w:rsid w:val="00252883"/>
    <w:rsid w:val="00252BB0"/>
    <w:rsid w:val="00252C63"/>
    <w:rsid w:val="00253040"/>
    <w:rsid w:val="002532D3"/>
    <w:rsid w:val="0025349D"/>
    <w:rsid w:val="00254469"/>
    <w:rsid w:val="00254977"/>
    <w:rsid w:val="00254A08"/>
    <w:rsid w:val="00254CB7"/>
    <w:rsid w:val="00255101"/>
    <w:rsid w:val="002553CC"/>
    <w:rsid w:val="002558F7"/>
    <w:rsid w:val="00255AB1"/>
    <w:rsid w:val="00255C3A"/>
    <w:rsid w:val="00255EDC"/>
    <w:rsid w:val="00255FCF"/>
    <w:rsid w:val="002565F3"/>
    <w:rsid w:val="002566A3"/>
    <w:rsid w:val="0025670F"/>
    <w:rsid w:val="002567C3"/>
    <w:rsid w:val="00256B6C"/>
    <w:rsid w:val="00256F67"/>
    <w:rsid w:val="0025705E"/>
    <w:rsid w:val="00257337"/>
    <w:rsid w:val="0025737E"/>
    <w:rsid w:val="00257F48"/>
    <w:rsid w:val="002603C0"/>
    <w:rsid w:val="00260602"/>
    <w:rsid w:val="002609D8"/>
    <w:rsid w:val="00261463"/>
    <w:rsid w:val="00261482"/>
    <w:rsid w:val="00262211"/>
    <w:rsid w:val="002624CC"/>
    <w:rsid w:val="0026252C"/>
    <w:rsid w:val="0026256B"/>
    <w:rsid w:val="00262AD4"/>
    <w:rsid w:val="00262BAC"/>
    <w:rsid w:val="00262CC3"/>
    <w:rsid w:val="00262E72"/>
    <w:rsid w:val="00262EFC"/>
    <w:rsid w:val="00263139"/>
    <w:rsid w:val="00263372"/>
    <w:rsid w:val="002634B6"/>
    <w:rsid w:val="00263938"/>
    <w:rsid w:val="002639CC"/>
    <w:rsid w:val="00263A8B"/>
    <w:rsid w:val="00263E1B"/>
    <w:rsid w:val="0026452C"/>
    <w:rsid w:val="00264670"/>
    <w:rsid w:val="002649F3"/>
    <w:rsid w:val="00264A06"/>
    <w:rsid w:val="00264D27"/>
    <w:rsid w:val="00264FA8"/>
    <w:rsid w:val="00265245"/>
    <w:rsid w:val="0026534F"/>
    <w:rsid w:val="00265989"/>
    <w:rsid w:val="00265C7D"/>
    <w:rsid w:val="00265E93"/>
    <w:rsid w:val="0026660C"/>
    <w:rsid w:val="002667BB"/>
    <w:rsid w:val="00266AD2"/>
    <w:rsid w:val="0026710A"/>
    <w:rsid w:val="002671A9"/>
    <w:rsid w:val="002672EC"/>
    <w:rsid w:val="00267551"/>
    <w:rsid w:val="00267B12"/>
    <w:rsid w:val="00267CBD"/>
    <w:rsid w:val="0027033A"/>
    <w:rsid w:val="002704E3"/>
    <w:rsid w:val="00270A25"/>
    <w:rsid w:val="00270CEA"/>
    <w:rsid w:val="00270EF0"/>
    <w:rsid w:val="0027131B"/>
    <w:rsid w:val="002715A5"/>
    <w:rsid w:val="002715C6"/>
    <w:rsid w:val="00271BBB"/>
    <w:rsid w:val="00272BB0"/>
    <w:rsid w:val="002732A2"/>
    <w:rsid w:val="002736E7"/>
    <w:rsid w:val="00274324"/>
    <w:rsid w:val="00274562"/>
    <w:rsid w:val="0027474B"/>
    <w:rsid w:val="00274814"/>
    <w:rsid w:val="00274842"/>
    <w:rsid w:val="00274B46"/>
    <w:rsid w:val="00274BCB"/>
    <w:rsid w:val="00274F98"/>
    <w:rsid w:val="0027500F"/>
    <w:rsid w:val="0027512D"/>
    <w:rsid w:val="002755EF"/>
    <w:rsid w:val="00275856"/>
    <w:rsid w:val="00275CE3"/>
    <w:rsid w:val="002763D3"/>
    <w:rsid w:val="002766A7"/>
    <w:rsid w:val="00276C81"/>
    <w:rsid w:val="00276FF6"/>
    <w:rsid w:val="0027778D"/>
    <w:rsid w:val="002777E5"/>
    <w:rsid w:val="00277AC7"/>
    <w:rsid w:val="00277C7A"/>
    <w:rsid w:val="00277FE7"/>
    <w:rsid w:val="00280204"/>
    <w:rsid w:val="0028023E"/>
    <w:rsid w:val="002802E0"/>
    <w:rsid w:val="002803C8"/>
    <w:rsid w:val="002805CF"/>
    <w:rsid w:val="0028094E"/>
    <w:rsid w:val="00280A18"/>
    <w:rsid w:val="00281188"/>
    <w:rsid w:val="00281328"/>
    <w:rsid w:val="00281955"/>
    <w:rsid w:val="0028199E"/>
    <w:rsid w:val="00281AAC"/>
    <w:rsid w:val="00281CF6"/>
    <w:rsid w:val="00281D4A"/>
    <w:rsid w:val="00281EE5"/>
    <w:rsid w:val="002824CB"/>
    <w:rsid w:val="0028287D"/>
    <w:rsid w:val="00282A91"/>
    <w:rsid w:val="00282BA0"/>
    <w:rsid w:val="00282D88"/>
    <w:rsid w:val="002832B2"/>
    <w:rsid w:val="00283350"/>
    <w:rsid w:val="00283548"/>
    <w:rsid w:val="0028368F"/>
    <w:rsid w:val="00283AAC"/>
    <w:rsid w:val="00284260"/>
    <w:rsid w:val="002847BB"/>
    <w:rsid w:val="00284C80"/>
    <w:rsid w:val="00284F05"/>
    <w:rsid w:val="00284F3D"/>
    <w:rsid w:val="00285A87"/>
    <w:rsid w:val="00285B87"/>
    <w:rsid w:val="00285C31"/>
    <w:rsid w:val="00285D97"/>
    <w:rsid w:val="00285FE8"/>
    <w:rsid w:val="00286097"/>
    <w:rsid w:val="002860B9"/>
    <w:rsid w:val="00286310"/>
    <w:rsid w:val="00286346"/>
    <w:rsid w:val="0028676F"/>
    <w:rsid w:val="00286E00"/>
    <w:rsid w:val="0028724F"/>
    <w:rsid w:val="0028792D"/>
    <w:rsid w:val="00287F97"/>
    <w:rsid w:val="002906D6"/>
    <w:rsid w:val="00290904"/>
    <w:rsid w:val="002909E0"/>
    <w:rsid w:val="00290C71"/>
    <w:rsid w:val="00290EF6"/>
    <w:rsid w:val="00291018"/>
    <w:rsid w:val="00291052"/>
    <w:rsid w:val="00291253"/>
    <w:rsid w:val="0029150D"/>
    <w:rsid w:val="002916BA"/>
    <w:rsid w:val="00291732"/>
    <w:rsid w:val="00291AD5"/>
    <w:rsid w:val="00291D64"/>
    <w:rsid w:val="00291F20"/>
    <w:rsid w:val="0029248E"/>
    <w:rsid w:val="002924B3"/>
    <w:rsid w:val="002929B0"/>
    <w:rsid w:val="00292DE6"/>
    <w:rsid w:val="00292F1F"/>
    <w:rsid w:val="00293062"/>
    <w:rsid w:val="00293A48"/>
    <w:rsid w:val="00293D62"/>
    <w:rsid w:val="00293E97"/>
    <w:rsid w:val="00294777"/>
    <w:rsid w:val="002947C4"/>
    <w:rsid w:val="00294C89"/>
    <w:rsid w:val="0029581C"/>
    <w:rsid w:val="00295876"/>
    <w:rsid w:val="00295A66"/>
    <w:rsid w:val="00295B9A"/>
    <w:rsid w:val="00295F2D"/>
    <w:rsid w:val="00296106"/>
    <w:rsid w:val="00296831"/>
    <w:rsid w:val="00296976"/>
    <w:rsid w:val="00296B1F"/>
    <w:rsid w:val="00296CF0"/>
    <w:rsid w:val="00297840"/>
    <w:rsid w:val="00297AE2"/>
    <w:rsid w:val="00297B2E"/>
    <w:rsid w:val="00297D01"/>
    <w:rsid w:val="00297F1E"/>
    <w:rsid w:val="002A0168"/>
    <w:rsid w:val="002A031E"/>
    <w:rsid w:val="002A07CF"/>
    <w:rsid w:val="002A0B78"/>
    <w:rsid w:val="002A109B"/>
    <w:rsid w:val="002A16A9"/>
    <w:rsid w:val="002A185E"/>
    <w:rsid w:val="002A2868"/>
    <w:rsid w:val="002A2917"/>
    <w:rsid w:val="002A2C19"/>
    <w:rsid w:val="002A2CC7"/>
    <w:rsid w:val="002A30D8"/>
    <w:rsid w:val="002A351F"/>
    <w:rsid w:val="002A359D"/>
    <w:rsid w:val="002A398E"/>
    <w:rsid w:val="002A39ED"/>
    <w:rsid w:val="002A3A22"/>
    <w:rsid w:val="002A3BE3"/>
    <w:rsid w:val="002A3E53"/>
    <w:rsid w:val="002A433C"/>
    <w:rsid w:val="002A4721"/>
    <w:rsid w:val="002A49AA"/>
    <w:rsid w:val="002A4AB9"/>
    <w:rsid w:val="002A4D58"/>
    <w:rsid w:val="002A5089"/>
    <w:rsid w:val="002A527B"/>
    <w:rsid w:val="002A52B6"/>
    <w:rsid w:val="002A5907"/>
    <w:rsid w:val="002A5911"/>
    <w:rsid w:val="002A623C"/>
    <w:rsid w:val="002A653F"/>
    <w:rsid w:val="002A66FE"/>
    <w:rsid w:val="002A67D7"/>
    <w:rsid w:val="002A7B40"/>
    <w:rsid w:val="002B00BF"/>
    <w:rsid w:val="002B0317"/>
    <w:rsid w:val="002B0763"/>
    <w:rsid w:val="002B0A41"/>
    <w:rsid w:val="002B0BEA"/>
    <w:rsid w:val="002B0EE8"/>
    <w:rsid w:val="002B1917"/>
    <w:rsid w:val="002B1ADA"/>
    <w:rsid w:val="002B2033"/>
    <w:rsid w:val="002B209B"/>
    <w:rsid w:val="002B23E0"/>
    <w:rsid w:val="002B26F8"/>
    <w:rsid w:val="002B350B"/>
    <w:rsid w:val="002B3808"/>
    <w:rsid w:val="002B3889"/>
    <w:rsid w:val="002B38A3"/>
    <w:rsid w:val="002B3A49"/>
    <w:rsid w:val="002B3EF0"/>
    <w:rsid w:val="002B401B"/>
    <w:rsid w:val="002B4287"/>
    <w:rsid w:val="002B51E5"/>
    <w:rsid w:val="002B5389"/>
    <w:rsid w:val="002B5420"/>
    <w:rsid w:val="002B552D"/>
    <w:rsid w:val="002B61AE"/>
    <w:rsid w:val="002B64E5"/>
    <w:rsid w:val="002B66A4"/>
    <w:rsid w:val="002B69D8"/>
    <w:rsid w:val="002B6C51"/>
    <w:rsid w:val="002B6C8A"/>
    <w:rsid w:val="002B6F58"/>
    <w:rsid w:val="002B70B4"/>
    <w:rsid w:val="002B71D9"/>
    <w:rsid w:val="002B7903"/>
    <w:rsid w:val="002B7935"/>
    <w:rsid w:val="002B7AAF"/>
    <w:rsid w:val="002B7C1E"/>
    <w:rsid w:val="002B7DC9"/>
    <w:rsid w:val="002C001E"/>
    <w:rsid w:val="002C01E5"/>
    <w:rsid w:val="002C0429"/>
    <w:rsid w:val="002C07E9"/>
    <w:rsid w:val="002C07EC"/>
    <w:rsid w:val="002C0870"/>
    <w:rsid w:val="002C098B"/>
    <w:rsid w:val="002C0A19"/>
    <w:rsid w:val="002C0A63"/>
    <w:rsid w:val="002C0C98"/>
    <w:rsid w:val="002C0DFF"/>
    <w:rsid w:val="002C0E21"/>
    <w:rsid w:val="002C1189"/>
    <w:rsid w:val="002C12C8"/>
    <w:rsid w:val="002C14E0"/>
    <w:rsid w:val="002C1817"/>
    <w:rsid w:val="002C1B79"/>
    <w:rsid w:val="002C1C57"/>
    <w:rsid w:val="002C1EE6"/>
    <w:rsid w:val="002C1F0E"/>
    <w:rsid w:val="002C1FC9"/>
    <w:rsid w:val="002C21BE"/>
    <w:rsid w:val="002C2A23"/>
    <w:rsid w:val="002C2F9E"/>
    <w:rsid w:val="002C31AD"/>
    <w:rsid w:val="002C3285"/>
    <w:rsid w:val="002C33FE"/>
    <w:rsid w:val="002C37CE"/>
    <w:rsid w:val="002C4443"/>
    <w:rsid w:val="002C4555"/>
    <w:rsid w:val="002C46D8"/>
    <w:rsid w:val="002C47C6"/>
    <w:rsid w:val="002C4B17"/>
    <w:rsid w:val="002C4B2F"/>
    <w:rsid w:val="002C4E7E"/>
    <w:rsid w:val="002C516C"/>
    <w:rsid w:val="002C56BD"/>
    <w:rsid w:val="002C6141"/>
    <w:rsid w:val="002C6257"/>
    <w:rsid w:val="002C6304"/>
    <w:rsid w:val="002C636E"/>
    <w:rsid w:val="002C6455"/>
    <w:rsid w:val="002C67B1"/>
    <w:rsid w:val="002C6903"/>
    <w:rsid w:val="002C6CB0"/>
    <w:rsid w:val="002C7238"/>
    <w:rsid w:val="002C725B"/>
    <w:rsid w:val="002C7555"/>
    <w:rsid w:val="002C77E3"/>
    <w:rsid w:val="002C77EA"/>
    <w:rsid w:val="002C7ED7"/>
    <w:rsid w:val="002D02CD"/>
    <w:rsid w:val="002D0553"/>
    <w:rsid w:val="002D07E1"/>
    <w:rsid w:val="002D0CE5"/>
    <w:rsid w:val="002D0CEC"/>
    <w:rsid w:val="002D0D93"/>
    <w:rsid w:val="002D1021"/>
    <w:rsid w:val="002D103F"/>
    <w:rsid w:val="002D1439"/>
    <w:rsid w:val="002D14DD"/>
    <w:rsid w:val="002D15C3"/>
    <w:rsid w:val="002D163B"/>
    <w:rsid w:val="002D1721"/>
    <w:rsid w:val="002D1B4F"/>
    <w:rsid w:val="002D22E4"/>
    <w:rsid w:val="002D24B6"/>
    <w:rsid w:val="002D250C"/>
    <w:rsid w:val="002D25F0"/>
    <w:rsid w:val="002D2663"/>
    <w:rsid w:val="002D2955"/>
    <w:rsid w:val="002D2B73"/>
    <w:rsid w:val="002D2D1B"/>
    <w:rsid w:val="002D36F9"/>
    <w:rsid w:val="002D3723"/>
    <w:rsid w:val="002D3B27"/>
    <w:rsid w:val="002D4450"/>
    <w:rsid w:val="002D4D9B"/>
    <w:rsid w:val="002D5090"/>
    <w:rsid w:val="002D50EA"/>
    <w:rsid w:val="002D53AE"/>
    <w:rsid w:val="002D5465"/>
    <w:rsid w:val="002D5479"/>
    <w:rsid w:val="002D56CC"/>
    <w:rsid w:val="002D56D6"/>
    <w:rsid w:val="002D5CB2"/>
    <w:rsid w:val="002D62BC"/>
    <w:rsid w:val="002D6407"/>
    <w:rsid w:val="002D6796"/>
    <w:rsid w:val="002D67F6"/>
    <w:rsid w:val="002D6A95"/>
    <w:rsid w:val="002D768E"/>
    <w:rsid w:val="002D7B35"/>
    <w:rsid w:val="002D7C8C"/>
    <w:rsid w:val="002E0026"/>
    <w:rsid w:val="002E0111"/>
    <w:rsid w:val="002E0245"/>
    <w:rsid w:val="002E0264"/>
    <w:rsid w:val="002E027A"/>
    <w:rsid w:val="002E09F0"/>
    <w:rsid w:val="002E0D06"/>
    <w:rsid w:val="002E104A"/>
    <w:rsid w:val="002E11A3"/>
    <w:rsid w:val="002E148D"/>
    <w:rsid w:val="002E15DF"/>
    <w:rsid w:val="002E168C"/>
    <w:rsid w:val="002E186B"/>
    <w:rsid w:val="002E1A03"/>
    <w:rsid w:val="002E1B54"/>
    <w:rsid w:val="002E1B99"/>
    <w:rsid w:val="002E1DAB"/>
    <w:rsid w:val="002E1F6D"/>
    <w:rsid w:val="002E2101"/>
    <w:rsid w:val="002E2538"/>
    <w:rsid w:val="002E2660"/>
    <w:rsid w:val="002E3085"/>
    <w:rsid w:val="002E3117"/>
    <w:rsid w:val="002E334F"/>
    <w:rsid w:val="002E358E"/>
    <w:rsid w:val="002E4000"/>
    <w:rsid w:val="002E446C"/>
    <w:rsid w:val="002E4637"/>
    <w:rsid w:val="002E46E2"/>
    <w:rsid w:val="002E4701"/>
    <w:rsid w:val="002E4B4A"/>
    <w:rsid w:val="002E4D35"/>
    <w:rsid w:val="002E4F2F"/>
    <w:rsid w:val="002E5079"/>
    <w:rsid w:val="002E54E3"/>
    <w:rsid w:val="002E562C"/>
    <w:rsid w:val="002E5750"/>
    <w:rsid w:val="002E633C"/>
    <w:rsid w:val="002E64BF"/>
    <w:rsid w:val="002E6552"/>
    <w:rsid w:val="002E6836"/>
    <w:rsid w:val="002E6905"/>
    <w:rsid w:val="002E6983"/>
    <w:rsid w:val="002E7220"/>
    <w:rsid w:val="002E75F4"/>
    <w:rsid w:val="002E7686"/>
    <w:rsid w:val="002E7890"/>
    <w:rsid w:val="002E7AFC"/>
    <w:rsid w:val="002E7C07"/>
    <w:rsid w:val="002F004F"/>
    <w:rsid w:val="002F0289"/>
    <w:rsid w:val="002F04F6"/>
    <w:rsid w:val="002F0ADD"/>
    <w:rsid w:val="002F0E22"/>
    <w:rsid w:val="002F1477"/>
    <w:rsid w:val="002F1609"/>
    <w:rsid w:val="002F1632"/>
    <w:rsid w:val="002F170F"/>
    <w:rsid w:val="002F1A1C"/>
    <w:rsid w:val="002F1F0C"/>
    <w:rsid w:val="002F22C2"/>
    <w:rsid w:val="002F2B9C"/>
    <w:rsid w:val="002F2D15"/>
    <w:rsid w:val="002F2D99"/>
    <w:rsid w:val="002F3438"/>
    <w:rsid w:val="002F3C57"/>
    <w:rsid w:val="002F3F6C"/>
    <w:rsid w:val="002F429B"/>
    <w:rsid w:val="002F44AC"/>
    <w:rsid w:val="002F4758"/>
    <w:rsid w:val="002F4759"/>
    <w:rsid w:val="002F4A7F"/>
    <w:rsid w:val="002F4BC7"/>
    <w:rsid w:val="002F4D8C"/>
    <w:rsid w:val="002F500F"/>
    <w:rsid w:val="002F5548"/>
    <w:rsid w:val="002F5575"/>
    <w:rsid w:val="002F56E6"/>
    <w:rsid w:val="002F60B8"/>
    <w:rsid w:val="002F636F"/>
    <w:rsid w:val="002F67E8"/>
    <w:rsid w:val="002F6D12"/>
    <w:rsid w:val="002F70FD"/>
    <w:rsid w:val="002F76A2"/>
    <w:rsid w:val="002F7819"/>
    <w:rsid w:val="002F79F5"/>
    <w:rsid w:val="003001D6"/>
    <w:rsid w:val="003001E3"/>
    <w:rsid w:val="003002FD"/>
    <w:rsid w:val="0030052A"/>
    <w:rsid w:val="0030089F"/>
    <w:rsid w:val="00300DEA"/>
    <w:rsid w:val="00300F6A"/>
    <w:rsid w:val="00301010"/>
    <w:rsid w:val="0030114C"/>
    <w:rsid w:val="003013EA"/>
    <w:rsid w:val="00301435"/>
    <w:rsid w:val="00301655"/>
    <w:rsid w:val="00301803"/>
    <w:rsid w:val="00301CDD"/>
    <w:rsid w:val="00301E67"/>
    <w:rsid w:val="003020BF"/>
    <w:rsid w:val="003021B9"/>
    <w:rsid w:val="003026E3"/>
    <w:rsid w:val="00302733"/>
    <w:rsid w:val="00302951"/>
    <w:rsid w:val="0030296F"/>
    <w:rsid w:val="00302E1A"/>
    <w:rsid w:val="00302E5F"/>
    <w:rsid w:val="00302FE2"/>
    <w:rsid w:val="00303024"/>
    <w:rsid w:val="00303FD4"/>
    <w:rsid w:val="00304048"/>
    <w:rsid w:val="003041D6"/>
    <w:rsid w:val="00304382"/>
    <w:rsid w:val="00304412"/>
    <w:rsid w:val="00304620"/>
    <w:rsid w:val="00304802"/>
    <w:rsid w:val="00304BCE"/>
    <w:rsid w:val="00304E14"/>
    <w:rsid w:val="00305052"/>
    <w:rsid w:val="00305160"/>
    <w:rsid w:val="0030521D"/>
    <w:rsid w:val="00305253"/>
    <w:rsid w:val="0030542E"/>
    <w:rsid w:val="003056AD"/>
    <w:rsid w:val="00306148"/>
    <w:rsid w:val="0030614F"/>
    <w:rsid w:val="003063AD"/>
    <w:rsid w:val="003074D0"/>
    <w:rsid w:val="0030761D"/>
    <w:rsid w:val="0030764A"/>
    <w:rsid w:val="003077BC"/>
    <w:rsid w:val="00310128"/>
    <w:rsid w:val="00310187"/>
    <w:rsid w:val="00310332"/>
    <w:rsid w:val="00310BCE"/>
    <w:rsid w:val="00310C25"/>
    <w:rsid w:val="00310D81"/>
    <w:rsid w:val="00310FA3"/>
    <w:rsid w:val="003110DE"/>
    <w:rsid w:val="00311359"/>
    <w:rsid w:val="00311435"/>
    <w:rsid w:val="0031144B"/>
    <w:rsid w:val="00311D67"/>
    <w:rsid w:val="00311F16"/>
    <w:rsid w:val="0031262D"/>
    <w:rsid w:val="0031293B"/>
    <w:rsid w:val="00312B9E"/>
    <w:rsid w:val="00312BB9"/>
    <w:rsid w:val="00312CAA"/>
    <w:rsid w:val="00312D0A"/>
    <w:rsid w:val="00312D8C"/>
    <w:rsid w:val="00312EC2"/>
    <w:rsid w:val="00313446"/>
    <w:rsid w:val="00313689"/>
    <w:rsid w:val="00313796"/>
    <w:rsid w:val="00313A1E"/>
    <w:rsid w:val="00313CD2"/>
    <w:rsid w:val="00313E8F"/>
    <w:rsid w:val="00313F2C"/>
    <w:rsid w:val="00314043"/>
    <w:rsid w:val="0031438E"/>
    <w:rsid w:val="00314392"/>
    <w:rsid w:val="00314F11"/>
    <w:rsid w:val="00314F8E"/>
    <w:rsid w:val="00315736"/>
    <w:rsid w:val="00316127"/>
    <w:rsid w:val="00316471"/>
    <w:rsid w:val="0031673D"/>
    <w:rsid w:val="003169DC"/>
    <w:rsid w:val="003170D2"/>
    <w:rsid w:val="00317153"/>
    <w:rsid w:val="003172E0"/>
    <w:rsid w:val="00317997"/>
    <w:rsid w:val="00317DDA"/>
    <w:rsid w:val="003205B2"/>
    <w:rsid w:val="003205EB"/>
    <w:rsid w:val="00320646"/>
    <w:rsid w:val="00320C0B"/>
    <w:rsid w:val="00320DA4"/>
    <w:rsid w:val="003213B1"/>
    <w:rsid w:val="00321ECE"/>
    <w:rsid w:val="0032233C"/>
    <w:rsid w:val="00322E34"/>
    <w:rsid w:val="0032394B"/>
    <w:rsid w:val="00323AA0"/>
    <w:rsid w:val="00323BE0"/>
    <w:rsid w:val="00323C56"/>
    <w:rsid w:val="00323D40"/>
    <w:rsid w:val="00323E4D"/>
    <w:rsid w:val="00323F6D"/>
    <w:rsid w:val="00324058"/>
    <w:rsid w:val="00324153"/>
    <w:rsid w:val="00324233"/>
    <w:rsid w:val="00324C1C"/>
    <w:rsid w:val="00324C7D"/>
    <w:rsid w:val="00324FDC"/>
    <w:rsid w:val="0032526D"/>
    <w:rsid w:val="003257E8"/>
    <w:rsid w:val="003257EC"/>
    <w:rsid w:val="00325DD3"/>
    <w:rsid w:val="003261F9"/>
    <w:rsid w:val="0032645C"/>
    <w:rsid w:val="003266EA"/>
    <w:rsid w:val="00326737"/>
    <w:rsid w:val="00326C28"/>
    <w:rsid w:val="003270CE"/>
    <w:rsid w:val="003275D7"/>
    <w:rsid w:val="0032780B"/>
    <w:rsid w:val="00327AC9"/>
    <w:rsid w:val="00327B93"/>
    <w:rsid w:val="00327C4C"/>
    <w:rsid w:val="00327E58"/>
    <w:rsid w:val="003300D7"/>
    <w:rsid w:val="00330990"/>
    <w:rsid w:val="00330BE6"/>
    <w:rsid w:val="00330DC1"/>
    <w:rsid w:val="00330EFB"/>
    <w:rsid w:val="00330FE1"/>
    <w:rsid w:val="003310A9"/>
    <w:rsid w:val="003315B1"/>
    <w:rsid w:val="0033169D"/>
    <w:rsid w:val="00331A11"/>
    <w:rsid w:val="00331CFE"/>
    <w:rsid w:val="00331EC5"/>
    <w:rsid w:val="00331F8A"/>
    <w:rsid w:val="0033260F"/>
    <w:rsid w:val="00332BCE"/>
    <w:rsid w:val="00333098"/>
    <w:rsid w:val="0033309D"/>
    <w:rsid w:val="00333184"/>
    <w:rsid w:val="003332FC"/>
    <w:rsid w:val="003339FC"/>
    <w:rsid w:val="00333B4C"/>
    <w:rsid w:val="00333BBE"/>
    <w:rsid w:val="00333CE4"/>
    <w:rsid w:val="00333CE7"/>
    <w:rsid w:val="00334111"/>
    <w:rsid w:val="003345D1"/>
    <w:rsid w:val="003345EE"/>
    <w:rsid w:val="00334616"/>
    <w:rsid w:val="00334C69"/>
    <w:rsid w:val="00334C6C"/>
    <w:rsid w:val="00334C87"/>
    <w:rsid w:val="00334C89"/>
    <w:rsid w:val="0033556B"/>
    <w:rsid w:val="003358CA"/>
    <w:rsid w:val="00335BE0"/>
    <w:rsid w:val="0033613D"/>
    <w:rsid w:val="00336736"/>
    <w:rsid w:val="0033685D"/>
    <w:rsid w:val="0033698E"/>
    <w:rsid w:val="0033719A"/>
    <w:rsid w:val="00337742"/>
    <w:rsid w:val="00337AD4"/>
    <w:rsid w:val="00340967"/>
    <w:rsid w:val="0034097F"/>
    <w:rsid w:val="00340C2C"/>
    <w:rsid w:val="00340C76"/>
    <w:rsid w:val="00341207"/>
    <w:rsid w:val="00341338"/>
    <w:rsid w:val="00341714"/>
    <w:rsid w:val="0034174B"/>
    <w:rsid w:val="00341766"/>
    <w:rsid w:val="00341884"/>
    <w:rsid w:val="00341A2A"/>
    <w:rsid w:val="00341B6B"/>
    <w:rsid w:val="00341DB6"/>
    <w:rsid w:val="00341E36"/>
    <w:rsid w:val="00341E56"/>
    <w:rsid w:val="00341FD9"/>
    <w:rsid w:val="003423C2"/>
    <w:rsid w:val="00342666"/>
    <w:rsid w:val="003426CE"/>
    <w:rsid w:val="00342778"/>
    <w:rsid w:val="00342C3E"/>
    <w:rsid w:val="00342C61"/>
    <w:rsid w:val="00342F3A"/>
    <w:rsid w:val="00342FE8"/>
    <w:rsid w:val="00342FE9"/>
    <w:rsid w:val="003430AE"/>
    <w:rsid w:val="003438D5"/>
    <w:rsid w:val="0034391B"/>
    <w:rsid w:val="0034395E"/>
    <w:rsid w:val="00343AF6"/>
    <w:rsid w:val="00343D2E"/>
    <w:rsid w:val="003444E9"/>
    <w:rsid w:val="0034453D"/>
    <w:rsid w:val="00344617"/>
    <w:rsid w:val="00344B78"/>
    <w:rsid w:val="00344DD6"/>
    <w:rsid w:val="00344E91"/>
    <w:rsid w:val="00345174"/>
    <w:rsid w:val="0034539C"/>
    <w:rsid w:val="003458EE"/>
    <w:rsid w:val="00345C8C"/>
    <w:rsid w:val="00345D83"/>
    <w:rsid w:val="003468B8"/>
    <w:rsid w:val="00346D5A"/>
    <w:rsid w:val="00346D8D"/>
    <w:rsid w:val="003471A9"/>
    <w:rsid w:val="00347769"/>
    <w:rsid w:val="00347932"/>
    <w:rsid w:val="003479F0"/>
    <w:rsid w:val="00347D1A"/>
    <w:rsid w:val="003500F5"/>
    <w:rsid w:val="0035019C"/>
    <w:rsid w:val="00350888"/>
    <w:rsid w:val="00350A58"/>
    <w:rsid w:val="00350AD1"/>
    <w:rsid w:val="00350C59"/>
    <w:rsid w:val="00351286"/>
    <w:rsid w:val="003513EB"/>
    <w:rsid w:val="003517A5"/>
    <w:rsid w:val="00351BEF"/>
    <w:rsid w:val="00351C96"/>
    <w:rsid w:val="00351DC7"/>
    <w:rsid w:val="003520E9"/>
    <w:rsid w:val="00352116"/>
    <w:rsid w:val="00352163"/>
    <w:rsid w:val="00352328"/>
    <w:rsid w:val="0035232D"/>
    <w:rsid w:val="00352AAD"/>
    <w:rsid w:val="00352DB0"/>
    <w:rsid w:val="00352F26"/>
    <w:rsid w:val="0035315A"/>
    <w:rsid w:val="00353227"/>
    <w:rsid w:val="003532EC"/>
    <w:rsid w:val="00353492"/>
    <w:rsid w:val="00353864"/>
    <w:rsid w:val="00353963"/>
    <w:rsid w:val="00353FF0"/>
    <w:rsid w:val="003544C9"/>
    <w:rsid w:val="00354733"/>
    <w:rsid w:val="00354A01"/>
    <w:rsid w:val="00354FD4"/>
    <w:rsid w:val="003551DE"/>
    <w:rsid w:val="00355282"/>
    <w:rsid w:val="003553A6"/>
    <w:rsid w:val="003554C2"/>
    <w:rsid w:val="00355BEF"/>
    <w:rsid w:val="00355CE8"/>
    <w:rsid w:val="00355E53"/>
    <w:rsid w:val="00355E8E"/>
    <w:rsid w:val="00356002"/>
    <w:rsid w:val="003561C6"/>
    <w:rsid w:val="00356936"/>
    <w:rsid w:val="00357089"/>
    <w:rsid w:val="00357E0D"/>
    <w:rsid w:val="0036003E"/>
    <w:rsid w:val="0036005B"/>
    <w:rsid w:val="00360334"/>
    <w:rsid w:val="0036033B"/>
    <w:rsid w:val="003604E0"/>
    <w:rsid w:val="003608B4"/>
    <w:rsid w:val="003608E8"/>
    <w:rsid w:val="00360ABB"/>
    <w:rsid w:val="00361184"/>
    <w:rsid w:val="00361735"/>
    <w:rsid w:val="003617CE"/>
    <w:rsid w:val="00361AE8"/>
    <w:rsid w:val="00361D67"/>
    <w:rsid w:val="00362214"/>
    <w:rsid w:val="0036233A"/>
    <w:rsid w:val="003625EE"/>
    <w:rsid w:val="0036285E"/>
    <w:rsid w:val="00362FEC"/>
    <w:rsid w:val="00363468"/>
    <w:rsid w:val="00363618"/>
    <w:rsid w:val="00363B9E"/>
    <w:rsid w:val="00363C2A"/>
    <w:rsid w:val="00363D4E"/>
    <w:rsid w:val="00363EBD"/>
    <w:rsid w:val="00363ED8"/>
    <w:rsid w:val="0036414C"/>
    <w:rsid w:val="00364196"/>
    <w:rsid w:val="0036435C"/>
    <w:rsid w:val="00364562"/>
    <w:rsid w:val="003645CB"/>
    <w:rsid w:val="003645FA"/>
    <w:rsid w:val="003649FC"/>
    <w:rsid w:val="00364A93"/>
    <w:rsid w:val="00364B9D"/>
    <w:rsid w:val="00364CA3"/>
    <w:rsid w:val="00364CDD"/>
    <w:rsid w:val="00364F96"/>
    <w:rsid w:val="003654CD"/>
    <w:rsid w:val="00365704"/>
    <w:rsid w:val="00365832"/>
    <w:rsid w:val="0036590E"/>
    <w:rsid w:val="00365C57"/>
    <w:rsid w:val="00365FB1"/>
    <w:rsid w:val="00366027"/>
    <w:rsid w:val="0036607C"/>
    <w:rsid w:val="003667AE"/>
    <w:rsid w:val="00366AE1"/>
    <w:rsid w:val="00366DBF"/>
    <w:rsid w:val="003671C9"/>
    <w:rsid w:val="003674B2"/>
    <w:rsid w:val="003676A5"/>
    <w:rsid w:val="003677CA"/>
    <w:rsid w:val="0036794A"/>
    <w:rsid w:val="00367974"/>
    <w:rsid w:val="00367A3A"/>
    <w:rsid w:val="00367D6F"/>
    <w:rsid w:val="00370100"/>
    <w:rsid w:val="00370782"/>
    <w:rsid w:val="00370862"/>
    <w:rsid w:val="003708F4"/>
    <w:rsid w:val="00370BFB"/>
    <w:rsid w:val="00370C95"/>
    <w:rsid w:val="00370F57"/>
    <w:rsid w:val="0037107E"/>
    <w:rsid w:val="0037136E"/>
    <w:rsid w:val="003713E5"/>
    <w:rsid w:val="0037184B"/>
    <w:rsid w:val="00371AA8"/>
    <w:rsid w:val="00371AE2"/>
    <w:rsid w:val="00371CCA"/>
    <w:rsid w:val="00372033"/>
    <w:rsid w:val="00372FA7"/>
    <w:rsid w:val="0037318A"/>
    <w:rsid w:val="00373341"/>
    <w:rsid w:val="003733E9"/>
    <w:rsid w:val="00373A03"/>
    <w:rsid w:val="00373B01"/>
    <w:rsid w:val="00373C80"/>
    <w:rsid w:val="00374401"/>
    <w:rsid w:val="0037479F"/>
    <w:rsid w:val="00374CCD"/>
    <w:rsid w:val="00374EDA"/>
    <w:rsid w:val="003750CB"/>
    <w:rsid w:val="00375E8A"/>
    <w:rsid w:val="003768AD"/>
    <w:rsid w:val="003768B2"/>
    <w:rsid w:val="003768CD"/>
    <w:rsid w:val="003775DC"/>
    <w:rsid w:val="003776BC"/>
    <w:rsid w:val="00377A8D"/>
    <w:rsid w:val="00377C04"/>
    <w:rsid w:val="00380494"/>
    <w:rsid w:val="003809E2"/>
    <w:rsid w:val="00380D33"/>
    <w:rsid w:val="00380E51"/>
    <w:rsid w:val="00380EC7"/>
    <w:rsid w:val="00381271"/>
    <w:rsid w:val="003817AB"/>
    <w:rsid w:val="00381A29"/>
    <w:rsid w:val="00381B38"/>
    <w:rsid w:val="00381C85"/>
    <w:rsid w:val="00381F11"/>
    <w:rsid w:val="00381F67"/>
    <w:rsid w:val="00382316"/>
    <w:rsid w:val="00382396"/>
    <w:rsid w:val="00383A5E"/>
    <w:rsid w:val="00383C30"/>
    <w:rsid w:val="00383F4E"/>
    <w:rsid w:val="0038417B"/>
    <w:rsid w:val="003848FA"/>
    <w:rsid w:val="00384B8A"/>
    <w:rsid w:val="00384BEB"/>
    <w:rsid w:val="00384E55"/>
    <w:rsid w:val="003852A9"/>
    <w:rsid w:val="003857ED"/>
    <w:rsid w:val="00385A75"/>
    <w:rsid w:val="00386113"/>
    <w:rsid w:val="0038611D"/>
    <w:rsid w:val="003861D5"/>
    <w:rsid w:val="003862A0"/>
    <w:rsid w:val="003863D3"/>
    <w:rsid w:val="0038654F"/>
    <w:rsid w:val="0038660A"/>
    <w:rsid w:val="00386717"/>
    <w:rsid w:val="00386D57"/>
    <w:rsid w:val="00387056"/>
    <w:rsid w:val="00387140"/>
    <w:rsid w:val="003871E5"/>
    <w:rsid w:val="003875FB"/>
    <w:rsid w:val="00387616"/>
    <w:rsid w:val="00387675"/>
    <w:rsid w:val="00387871"/>
    <w:rsid w:val="0038797F"/>
    <w:rsid w:val="003879AB"/>
    <w:rsid w:val="003879B3"/>
    <w:rsid w:val="00387AB1"/>
    <w:rsid w:val="0039049C"/>
    <w:rsid w:val="00390663"/>
    <w:rsid w:val="00390835"/>
    <w:rsid w:val="0039086B"/>
    <w:rsid w:val="00390A01"/>
    <w:rsid w:val="00390C7B"/>
    <w:rsid w:val="00390F68"/>
    <w:rsid w:val="00391109"/>
    <w:rsid w:val="0039116F"/>
    <w:rsid w:val="003915BD"/>
    <w:rsid w:val="00391723"/>
    <w:rsid w:val="00391966"/>
    <w:rsid w:val="00391AF5"/>
    <w:rsid w:val="00391B7F"/>
    <w:rsid w:val="00391BA9"/>
    <w:rsid w:val="00391E41"/>
    <w:rsid w:val="00391FE0"/>
    <w:rsid w:val="0039224E"/>
    <w:rsid w:val="00392FF9"/>
    <w:rsid w:val="003932B1"/>
    <w:rsid w:val="003935BF"/>
    <w:rsid w:val="0039396E"/>
    <w:rsid w:val="00393B30"/>
    <w:rsid w:val="00393BAA"/>
    <w:rsid w:val="00393E6E"/>
    <w:rsid w:val="003942E9"/>
    <w:rsid w:val="003943A8"/>
    <w:rsid w:val="003947C5"/>
    <w:rsid w:val="003947E4"/>
    <w:rsid w:val="00395371"/>
    <w:rsid w:val="003953C0"/>
    <w:rsid w:val="00395478"/>
    <w:rsid w:val="0039549A"/>
    <w:rsid w:val="003954BB"/>
    <w:rsid w:val="0039583E"/>
    <w:rsid w:val="0039637A"/>
    <w:rsid w:val="00396552"/>
    <w:rsid w:val="00396C53"/>
    <w:rsid w:val="00396F52"/>
    <w:rsid w:val="003971CF"/>
    <w:rsid w:val="00397256"/>
    <w:rsid w:val="003972D1"/>
    <w:rsid w:val="003973E2"/>
    <w:rsid w:val="0039757E"/>
    <w:rsid w:val="00397E1B"/>
    <w:rsid w:val="003A003E"/>
    <w:rsid w:val="003A05E3"/>
    <w:rsid w:val="003A0645"/>
    <w:rsid w:val="003A0A13"/>
    <w:rsid w:val="003A0BB4"/>
    <w:rsid w:val="003A0D59"/>
    <w:rsid w:val="003A0DCE"/>
    <w:rsid w:val="003A0E96"/>
    <w:rsid w:val="003A1049"/>
    <w:rsid w:val="003A1393"/>
    <w:rsid w:val="003A1BD8"/>
    <w:rsid w:val="003A21A4"/>
    <w:rsid w:val="003A2379"/>
    <w:rsid w:val="003A26B4"/>
    <w:rsid w:val="003A2C2C"/>
    <w:rsid w:val="003A2E6C"/>
    <w:rsid w:val="003A311B"/>
    <w:rsid w:val="003A3121"/>
    <w:rsid w:val="003A3619"/>
    <w:rsid w:val="003A36A9"/>
    <w:rsid w:val="003A37A0"/>
    <w:rsid w:val="003A39E2"/>
    <w:rsid w:val="003A3CFB"/>
    <w:rsid w:val="003A3E00"/>
    <w:rsid w:val="003A46CC"/>
    <w:rsid w:val="003A4754"/>
    <w:rsid w:val="003A48D4"/>
    <w:rsid w:val="003A4AB6"/>
    <w:rsid w:val="003A4CAF"/>
    <w:rsid w:val="003A4D07"/>
    <w:rsid w:val="003A502E"/>
    <w:rsid w:val="003A533F"/>
    <w:rsid w:val="003A5589"/>
    <w:rsid w:val="003A5781"/>
    <w:rsid w:val="003A61A3"/>
    <w:rsid w:val="003A6210"/>
    <w:rsid w:val="003A6556"/>
    <w:rsid w:val="003A659F"/>
    <w:rsid w:val="003A6C91"/>
    <w:rsid w:val="003A70B5"/>
    <w:rsid w:val="003A7295"/>
    <w:rsid w:val="003A72C9"/>
    <w:rsid w:val="003A7376"/>
    <w:rsid w:val="003A753C"/>
    <w:rsid w:val="003A7B7E"/>
    <w:rsid w:val="003A7CA2"/>
    <w:rsid w:val="003B0BCB"/>
    <w:rsid w:val="003B1238"/>
    <w:rsid w:val="003B131D"/>
    <w:rsid w:val="003B1369"/>
    <w:rsid w:val="003B1607"/>
    <w:rsid w:val="003B190B"/>
    <w:rsid w:val="003B1E56"/>
    <w:rsid w:val="003B20BF"/>
    <w:rsid w:val="003B22AC"/>
    <w:rsid w:val="003B2367"/>
    <w:rsid w:val="003B25DB"/>
    <w:rsid w:val="003B2DED"/>
    <w:rsid w:val="003B34D2"/>
    <w:rsid w:val="003B372A"/>
    <w:rsid w:val="003B37B2"/>
    <w:rsid w:val="003B3D4E"/>
    <w:rsid w:val="003B4052"/>
    <w:rsid w:val="003B40EF"/>
    <w:rsid w:val="003B41AF"/>
    <w:rsid w:val="003B47C6"/>
    <w:rsid w:val="003B49B8"/>
    <w:rsid w:val="003B4C1C"/>
    <w:rsid w:val="003B4E5F"/>
    <w:rsid w:val="003B574C"/>
    <w:rsid w:val="003B574F"/>
    <w:rsid w:val="003B591C"/>
    <w:rsid w:val="003B59F1"/>
    <w:rsid w:val="003B5AC8"/>
    <w:rsid w:val="003B5B14"/>
    <w:rsid w:val="003B5F09"/>
    <w:rsid w:val="003B605B"/>
    <w:rsid w:val="003B6081"/>
    <w:rsid w:val="003B6158"/>
    <w:rsid w:val="003B61AA"/>
    <w:rsid w:val="003B62DC"/>
    <w:rsid w:val="003B641E"/>
    <w:rsid w:val="003B67AD"/>
    <w:rsid w:val="003B6BF5"/>
    <w:rsid w:val="003B7039"/>
    <w:rsid w:val="003B71C6"/>
    <w:rsid w:val="003B752B"/>
    <w:rsid w:val="003B779A"/>
    <w:rsid w:val="003B7B48"/>
    <w:rsid w:val="003B7C8B"/>
    <w:rsid w:val="003B7CF5"/>
    <w:rsid w:val="003B7FB1"/>
    <w:rsid w:val="003C00BD"/>
    <w:rsid w:val="003C022F"/>
    <w:rsid w:val="003C0C36"/>
    <w:rsid w:val="003C12D7"/>
    <w:rsid w:val="003C1763"/>
    <w:rsid w:val="003C244D"/>
    <w:rsid w:val="003C254F"/>
    <w:rsid w:val="003C275E"/>
    <w:rsid w:val="003C28F8"/>
    <w:rsid w:val="003C326B"/>
    <w:rsid w:val="003C3306"/>
    <w:rsid w:val="003C3599"/>
    <w:rsid w:val="003C3F28"/>
    <w:rsid w:val="003C409F"/>
    <w:rsid w:val="003C45D2"/>
    <w:rsid w:val="003C46F3"/>
    <w:rsid w:val="003C48B1"/>
    <w:rsid w:val="003C509B"/>
    <w:rsid w:val="003C5258"/>
    <w:rsid w:val="003C55E2"/>
    <w:rsid w:val="003C56DA"/>
    <w:rsid w:val="003C58DC"/>
    <w:rsid w:val="003C5C85"/>
    <w:rsid w:val="003C5D4F"/>
    <w:rsid w:val="003C6365"/>
    <w:rsid w:val="003C6DCF"/>
    <w:rsid w:val="003C6F59"/>
    <w:rsid w:val="003C76DA"/>
    <w:rsid w:val="003D07D6"/>
    <w:rsid w:val="003D0BD3"/>
    <w:rsid w:val="003D0DD7"/>
    <w:rsid w:val="003D1FD6"/>
    <w:rsid w:val="003D26C3"/>
    <w:rsid w:val="003D339F"/>
    <w:rsid w:val="003D33EE"/>
    <w:rsid w:val="003D35F3"/>
    <w:rsid w:val="003D3803"/>
    <w:rsid w:val="003D388C"/>
    <w:rsid w:val="003D3CC4"/>
    <w:rsid w:val="003D3EFF"/>
    <w:rsid w:val="003D4509"/>
    <w:rsid w:val="003D48D0"/>
    <w:rsid w:val="003D4E5F"/>
    <w:rsid w:val="003D5335"/>
    <w:rsid w:val="003D5643"/>
    <w:rsid w:val="003D5679"/>
    <w:rsid w:val="003D5815"/>
    <w:rsid w:val="003D58CD"/>
    <w:rsid w:val="003D5A9C"/>
    <w:rsid w:val="003D5AF5"/>
    <w:rsid w:val="003D5B27"/>
    <w:rsid w:val="003D5BCA"/>
    <w:rsid w:val="003D5C13"/>
    <w:rsid w:val="003D5CD9"/>
    <w:rsid w:val="003D6567"/>
    <w:rsid w:val="003D6656"/>
    <w:rsid w:val="003D6657"/>
    <w:rsid w:val="003D6AFD"/>
    <w:rsid w:val="003D6C9E"/>
    <w:rsid w:val="003D6E41"/>
    <w:rsid w:val="003D710E"/>
    <w:rsid w:val="003D7CE6"/>
    <w:rsid w:val="003D7D5B"/>
    <w:rsid w:val="003D7E1C"/>
    <w:rsid w:val="003D7EE0"/>
    <w:rsid w:val="003D7FEC"/>
    <w:rsid w:val="003E0113"/>
    <w:rsid w:val="003E02D1"/>
    <w:rsid w:val="003E0300"/>
    <w:rsid w:val="003E0511"/>
    <w:rsid w:val="003E0A1F"/>
    <w:rsid w:val="003E1097"/>
    <w:rsid w:val="003E109E"/>
    <w:rsid w:val="003E1670"/>
    <w:rsid w:val="003E1770"/>
    <w:rsid w:val="003E1CCC"/>
    <w:rsid w:val="003E1DAB"/>
    <w:rsid w:val="003E2358"/>
    <w:rsid w:val="003E2A93"/>
    <w:rsid w:val="003E2F0A"/>
    <w:rsid w:val="003E31FC"/>
    <w:rsid w:val="003E3336"/>
    <w:rsid w:val="003E33E9"/>
    <w:rsid w:val="003E3A72"/>
    <w:rsid w:val="003E3B41"/>
    <w:rsid w:val="003E3D92"/>
    <w:rsid w:val="003E4099"/>
    <w:rsid w:val="003E440F"/>
    <w:rsid w:val="003E485A"/>
    <w:rsid w:val="003E4CFF"/>
    <w:rsid w:val="003E4D28"/>
    <w:rsid w:val="003E4FAB"/>
    <w:rsid w:val="003E5044"/>
    <w:rsid w:val="003E54C8"/>
    <w:rsid w:val="003E5C9D"/>
    <w:rsid w:val="003E5EF3"/>
    <w:rsid w:val="003E64F6"/>
    <w:rsid w:val="003E652D"/>
    <w:rsid w:val="003E6851"/>
    <w:rsid w:val="003E6A25"/>
    <w:rsid w:val="003E6B33"/>
    <w:rsid w:val="003E6F0A"/>
    <w:rsid w:val="003E7169"/>
    <w:rsid w:val="003E78CD"/>
    <w:rsid w:val="003E7CFC"/>
    <w:rsid w:val="003F021E"/>
    <w:rsid w:val="003F03F5"/>
    <w:rsid w:val="003F0535"/>
    <w:rsid w:val="003F07DC"/>
    <w:rsid w:val="003F0944"/>
    <w:rsid w:val="003F09FA"/>
    <w:rsid w:val="003F0B73"/>
    <w:rsid w:val="003F1008"/>
    <w:rsid w:val="003F17BA"/>
    <w:rsid w:val="003F1976"/>
    <w:rsid w:val="003F2064"/>
    <w:rsid w:val="003F256B"/>
    <w:rsid w:val="003F268E"/>
    <w:rsid w:val="003F27BF"/>
    <w:rsid w:val="003F28B1"/>
    <w:rsid w:val="003F2C14"/>
    <w:rsid w:val="003F2E29"/>
    <w:rsid w:val="003F31C7"/>
    <w:rsid w:val="003F31F6"/>
    <w:rsid w:val="003F32E3"/>
    <w:rsid w:val="003F3444"/>
    <w:rsid w:val="003F3EAE"/>
    <w:rsid w:val="003F4026"/>
    <w:rsid w:val="003F412A"/>
    <w:rsid w:val="003F4B7F"/>
    <w:rsid w:val="003F5381"/>
    <w:rsid w:val="003F54AE"/>
    <w:rsid w:val="003F5611"/>
    <w:rsid w:val="003F562F"/>
    <w:rsid w:val="003F69B2"/>
    <w:rsid w:val="003F6B6D"/>
    <w:rsid w:val="003F6E65"/>
    <w:rsid w:val="003F70EA"/>
    <w:rsid w:val="003F7221"/>
    <w:rsid w:val="003F74C7"/>
    <w:rsid w:val="003F7652"/>
    <w:rsid w:val="003F7798"/>
    <w:rsid w:val="00400885"/>
    <w:rsid w:val="00400E2A"/>
    <w:rsid w:val="00401A92"/>
    <w:rsid w:val="004021E9"/>
    <w:rsid w:val="004024F5"/>
    <w:rsid w:val="00402A41"/>
    <w:rsid w:val="00402AB6"/>
    <w:rsid w:val="00402B1A"/>
    <w:rsid w:val="00402C37"/>
    <w:rsid w:val="00402DE0"/>
    <w:rsid w:val="00402FC3"/>
    <w:rsid w:val="0040329A"/>
    <w:rsid w:val="004032FB"/>
    <w:rsid w:val="00403349"/>
    <w:rsid w:val="00403569"/>
    <w:rsid w:val="004038B2"/>
    <w:rsid w:val="004038C8"/>
    <w:rsid w:val="004039CF"/>
    <w:rsid w:val="00403BC9"/>
    <w:rsid w:val="00403CC9"/>
    <w:rsid w:val="00403E4B"/>
    <w:rsid w:val="00403F31"/>
    <w:rsid w:val="00404150"/>
    <w:rsid w:val="004044C7"/>
    <w:rsid w:val="00404536"/>
    <w:rsid w:val="00404559"/>
    <w:rsid w:val="00404A53"/>
    <w:rsid w:val="00404EE8"/>
    <w:rsid w:val="0040519B"/>
    <w:rsid w:val="004051B4"/>
    <w:rsid w:val="004055EA"/>
    <w:rsid w:val="00406010"/>
    <w:rsid w:val="00406950"/>
    <w:rsid w:val="00406B9F"/>
    <w:rsid w:val="004072F2"/>
    <w:rsid w:val="00407436"/>
    <w:rsid w:val="00407545"/>
    <w:rsid w:val="0041062E"/>
    <w:rsid w:val="00410631"/>
    <w:rsid w:val="00410B3C"/>
    <w:rsid w:val="00410EF0"/>
    <w:rsid w:val="00411111"/>
    <w:rsid w:val="00411120"/>
    <w:rsid w:val="0041137E"/>
    <w:rsid w:val="00411755"/>
    <w:rsid w:val="004118DD"/>
    <w:rsid w:val="004119C6"/>
    <w:rsid w:val="00411B32"/>
    <w:rsid w:val="00411D5B"/>
    <w:rsid w:val="00412059"/>
    <w:rsid w:val="0041209D"/>
    <w:rsid w:val="0041214D"/>
    <w:rsid w:val="00412253"/>
    <w:rsid w:val="004129D6"/>
    <w:rsid w:val="00413C01"/>
    <w:rsid w:val="00413EAC"/>
    <w:rsid w:val="00414046"/>
    <w:rsid w:val="0041416E"/>
    <w:rsid w:val="00414445"/>
    <w:rsid w:val="00414978"/>
    <w:rsid w:val="004151E6"/>
    <w:rsid w:val="004152E7"/>
    <w:rsid w:val="004155C1"/>
    <w:rsid w:val="00415650"/>
    <w:rsid w:val="004157F3"/>
    <w:rsid w:val="0041588C"/>
    <w:rsid w:val="00415992"/>
    <w:rsid w:val="00416270"/>
    <w:rsid w:val="0041634A"/>
    <w:rsid w:val="00416707"/>
    <w:rsid w:val="00416961"/>
    <w:rsid w:val="004169A9"/>
    <w:rsid w:val="00416C3B"/>
    <w:rsid w:val="00417088"/>
    <w:rsid w:val="00417292"/>
    <w:rsid w:val="00420140"/>
    <w:rsid w:val="004201E5"/>
    <w:rsid w:val="004203A4"/>
    <w:rsid w:val="00420B38"/>
    <w:rsid w:val="00420EBA"/>
    <w:rsid w:val="00421132"/>
    <w:rsid w:val="0042141F"/>
    <w:rsid w:val="0042172E"/>
    <w:rsid w:val="00421765"/>
    <w:rsid w:val="00421A15"/>
    <w:rsid w:val="00421A22"/>
    <w:rsid w:val="00422196"/>
    <w:rsid w:val="004221DD"/>
    <w:rsid w:val="00422571"/>
    <w:rsid w:val="00422583"/>
    <w:rsid w:val="0042278B"/>
    <w:rsid w:val="00422A56"/>
    <w:rsid w:val="00422BC8"/>
    <w:rsid w:val="00422C6E"/>
    <w:rsid w:val="00422EA2"/>
    <w:rsid w:val="00423127"/>
    <w:rsid w:val="00423528"/>
    <w:rsid w:val="00423B3F"/>
    <w:rsid w:val="00423BEA"/>
    <w:rsid w:val="004243B7"/>
    <w:rsid w:val="00424483"/>
    <w:rsid w:val="00424858"/>
    <w:rsid w:val="00424DE6"/>
    <w:rsid w:val="00425033"/>
    <w:rsid w:val="00425100"/>
    <w:rsid w:val="00425382"/>
    <w:rsid w:val="00425684"/>
    <w:rsid w:val="00425B6E"/>
    <w:rsid w:val="00425CE1"/>
    <w:rsid w:val="004265C2"/>
    <w:rsid w:val="004266CC"/>
    <w:rsid w:val="0042738F"/>
    <w:rsid w:val="004273A6"/>
    <w:rsid w:val="0042752B"/>
    <w:rsid w:val="00427530"/>
    <w:rsid w:val="00427746"/>
    <w:rsid w:val="0042774C"/>
    <w:rsid w:val="004279E5"/>
    <w:rsid w:val="0043010C"/>
    <w:rsid w:val="00430524"/>
    <w:rsid w:val="004307A7"/>
    <w:rsid w:val="00430B4B"/>
    <w:rsid w:val="00430BEC"/>
    <w:rsid w:val="00430FD5"/>
    <w:rsid w:val="00431061"/>
    <w:rsid w:val="004311D0"/>
    <w:rsid w:val="004312F5"/>
    <w:rsid w:val="00431439"/>
    <w:rsid w:val="0043154A"/>
    <w:rsid w:val="0043175B"/>
    <w:rsid w:val="00431835"/>
    <w:rsid w:val="00431924"/>
    <w:rsid w:val="00431B87"/>
    <w:rsid w:val="004320D8"/>
    <w:rsid w:val="004327A0"/>
    <w:rsid w:val="0043286A"/>
    <w:rsid w:val="0043290B"/>
    <w:rsid w:val="0043291C"/>
    <w:rsid w:val="00432C31"/>
    <w:rsid w:val="00432D93"/>
    <w:rsid w:val="004331DB"/>
    <w:rsid w:val="00433372"/>
    <w:rsid w:val="004334FF"/>
    <w:rsid w:val="00433940"/>
    <w:rsid w:val="00433B1B"/>
    <w:rsid w:val="00433B78"/>
    <w:rsid w:val="00433C87"/>
    <w:rsid w:val="00433C93"/>
    <w:rsid w:val="00433D06"/>
    <w:rsid w:val="0043421D"/>
    <w:rsid w:val="004344AB"/>
    <w:rsid w:val="00434821"/>
    <w:rsid w:val="00434C35"/>
    <w:rsid w:val="00434CBC"/>
    <w:rsid w:val="00434D7C"/>
    <w:rsid w:val="00434FED"/>
    <w:rsid w:val="004351E9"/>
    <w:rsid w:val="00435442"/>
    <w:rsid w:val="004354C7"/>
    <w:rsid w:val="004358DE"/>
    <w:rsid w:val="00435B73"/>
    <w:rsid w:val="00435C70"/>
    <w:rsid w:val="00435FEA"/>
    <w:rsid w:val="00436418"/>
    <w:rsid w:val="00436711"/>
    <w:rsid w:val="00436D95"/>
    <w:rsid w:val="0043715A"/>
    <w:rsid w:val="004377D5"/>
    <w:rsid w:val="004405D6"/>
    <w:rsid w:val="0044073D"/>
    <w:rsid w:val="00440793"/>
    <w:rsid w:val="00440FE4"/>
    <w:rsid w:val="004421BA"/>
    <w:rsid w:val="004426C1"/>
    <w:rsid w:val="0044297A"/>
    <w:rsid w:val="00442CBB"/>
    <w:rsid w:val="00442D7B"/>
    <w:rsid w:val="00442E70"/>
    <w:rsid w:val="00443074"/>
    <w:rsid w:val="0044326D"/>
    <w:rsid w:val="004432C4"/>
    <w:rsid w:val="00443559"/>
    <w:rsid w:val="00443581"/>
    <w:rsid w:val="004437E5"/>
    <w:rsid w:val="004438A1"/>
    <w:rsid w:val="00443B2E"/>
    <w:rsid w:val="00443DD7"/>
    <w:rsid w:val="004441AC"/>
    <w:rsid w:val="0044441A"/>
    <w:rsid w:val="00445221"/>
    <w:rsid w:val="004454EF"/>
    <w:rsid w:val="00445932"/>
    <w:rsid w:val="00445DDF"/>
    <w:rsid w:val="00446AFC"/>
    <w:rsid w:val="00446C47"/>
    <w:rsid w:val="00446D54"/>
    <w:rsid w:val="0044744F"/>
    <w:rsid w:val="0044749C"/>
    <w:rsid w:val="0044774D"/>
    <w:rsid w:val="00447882"/>
    <w:rsid w:val="00447ACA"/>
    <w:rsid w:val="00447F49"/>
    <w:rsid w:val="00450086"/>
    <w:rsid w:val="004501F5"/>
    <w:rsid w:val="0045034B"/>
    <w:rsid w:val="00450549"/>
    <w:rsid w:val="0045059C"/>
    <w:rsid w:val="004508D7"/>
    <w:rsid w:val="00450D79"/>
    <w:rsid w:val="00451001"/>
    <w:rsid w:val="00451138"/>
    <w:rsid w:val="004513A5"/>
    <w:rsid w:val="00451CCA"/>
    <w:rsid w:val="00451E5D"/>
    <w:rsid w:val="00452FAE"/>
    <w:rsid w:val="0045329A"/>
    <w:rsid w:val="00453662"/>
    <w:rsid w:val="004536BF"/>
    <w:rsid w:val="00453890"/>
    <w:rsid w:val="00453C1C"/>
    <w:rsid w:val="00453DB7"/>
    <w:rsid w:val="00454524"/>
    <w:rsid w:val="00454982"/>
    <w:rsid w:val="00454B7D"/>
    <w:rsid w:val="00454EEF"/>
    <w:rsid w:val="00454FA7"/>
    <w:rsid w:val="004551A1"/>
    <w:rsid w:val="004554A3"/>
    <w:rsid w:val="00455953"/>
    <w:rsid w:val="00455B70"/>
    <w:rsid w:val="00455EC2"/>
    <w:rsid w:val="0045630E"/>
    <w:rsid w:val="004564E9"/>
    <w:rsid w:val="0045656E"/>
    <w:rsid w:val="00456618"/>
    <w:rsid w:val="00456830"/>
    <w:rsid w:val="00456D77"/>
    <w:rsid w:val="004570F9"/>
    <w:rsid w:val="004576BC"/>
    <w:rsid w:val="00457887"/>
    <w:rsid w:val="00457E2F"/>
    <w:rsid w:val="0046022E"/>
    <w:rsid w:val="004603C0"/>
    <w:rsid w:val="0046062D"/>
    <w:rsid w:val="004606CA"/>
    <w:rsid w:val="004606E6"/>
    <w:rsid w:val="004609C5"/>
    <w:rsid w:val="00460DE2"/>
    <w:rsid w:val="004616C7"/>
    <w:rsid w:val="004619C7"/>
    <w:rsid w:val="00461AF9"/>
    <w:rsid w:val="00461BA1"/>
    <w:rsid w:val="00461C06"/>
    <w:rsid w:val="00461ED4"/>
    <w:rsid w:val="004621AE"/>
    <w:rsid w:val="00462726"/>
    <w:rsid w:val="00462786"/>
    <w:rsid w:val="004629E3"/>
    <w:rsid w:val="00462C98"/>
    <w:rsid w:val="00462EFB"/>
    <w:rsid w:val="004632D2"/>
    <w:rsid w:val="004635A3"/>
    <w:rsid w:val="00463875"/>
    <w:rsid w:val="004638D4"/>
    <w:rsid w:val="00463A77"/>
    <w:rsid w:val="00463ED1"/>
    <w:rsid w:val="00465050"/>
    <w:rsid w:val="004652A2"/>
    <w:rsid w:val="00465423"/>
    <w:rsid w:val="0046575C"/>
    <w:rsid w:val="00465897"/>
    <w:rsid w:val="00465917"/>
    <w:rsid w:val="00465941"/>
    <w:rsid w:val="00465C35"/>
    <w:rsid w:val="00465CF9"/>
    <w:rsid w:val="00465D3E"/>
    <w:rsid w:val="00465D68"/>
    <w:rsid w:val="00465F23"/>
    <w:rsid w:val="0046606D"/>
    <w:rsid w:val="004663FE"/>
    <w:rsid w:val="004667CE"/>
    <w:rsid w:val="00466A69"/>
    <w:rsid w:val="00466B17"/>
    <w:rsid w:val="004671F7"/>
    <w:rsid w:val="0046778D"/>
    <w:rsid w:val="004677EF"/>
    <w:rsid w:val="00467A36"/>
    <w:rsid w:val="00467E36"/>
    <w:rsid w:val="00470047"/>
    <w:rsid w:val="00470576"/>
    <w:rsid w:val="004706A7"/>
    <w:rsid w:val="00470713"/>
    <w:rsid w:val="0047156E"/>
    <w:rsid w:val="0047172F"/>
    <w:rsid w:val="00471A5C"/>
    <w:rsid w:val="00471C20"/>
    <w:rsid w:val="00471C2B"/>
    <w:rsid w:val="00471DDE"/>
    <w:rsid w:val="00471E72"/>
    <w:rsid w:val="00471F37"/>
    <w:rsid w:val="00472105"/>
    <w:rsid w:val="004724C0"/>
    <w:rsid w:val="004726C3"/>
    <w:rsid w:val="004729D1"/>
    <w:rsid w:val="00472A8B"/>
    <w:rsid w:val="00472C28"/>
    <w:rsid w:val="00472DF6"/>
    <w:rsid w:val="004738B2"/>
    <w:rsid w:val="004738D9"/>
    <w:rsid w:val="00473D66"/>
    <w:rsid w:val="00473E52"/>
    <w:rsid w:val="00473F7B"/>
    <w:rsid w:val="00474667"/>
    <w:rsid w:val="004747A5"/>
    <w:rsid w:val="00474B2E"/>
    <w:rsid w:val="00474E6F"/>
    <w:rsid w:val="004756A9"/>
    <w:rsid w:val="00475765"/>
    <w:rsid w:val="004759D8"/>
    <w:rsid w:val="00475EAE"/>
    <w:rsid w:val="00475F06"/>
    <w:rsid w:val="0047607D"/>
    <w:rsid w:val="0047665B"/>
    <w:rsid w:val="00476BED"/>
    <w:rsid w:val="00476D3D"/>
    <w:rsid w:val="00476D53"/>
    <w:rsid w:val="00476E91"/>
    <w:rsid w:val="004771EF"/>
    <w:rsid w:val="00477537"/>
    <w:rsid w:val="004776FE"/>
    <w:rsid w:val="00477BFC"/>
    <w:rsid w:val="00477CE3"/>
    <w:rsid w:val="004805BD"/>
    <w:rsid w:val="00480D0F"/>
    <w:rsid w:val="00480D31"/>
    <w:rsid w:val="00481190"/>
    <w:rsid w:val="0048146A"/>
    <w:rsid w:val="004816C5"/>
    <w:rsid w:val="0048180F"/>
    <w:rsid w:val="00481C8D"/>
    <w:rsid w:val="00481C90"/>
    <w:rsid w:val="004820AB"/>
    <w:rsid w:val="00482840"/>
    <w:rsid w:val="004829AA"/>
    <w:rsid w:val="00482C9D"/>
    <w:rsid w:val="00483093"/>
    <w:rsid w:val="00483101"/>
    <w:rsid w:val="0048348A"/>
    <w:rsid w:val="0048349B"/>
    <w:rsid w:val="00483557"/>
    <w:rsid w:val="00483652"/>
    <w:rsid w:val="004836BC"/>
    <w:rsid w:val="004836FB"/>
    <w:rsid w:val="0048373A"/>
    <w:rsid w:val="00483860"/>
    <w:rsid w:val="00483ADD"/>
    <w:rsid w:val="00483B56"/>
    <w:rsid w:val="00483E8D"/>
    <w:rsid w:val="00483FAA"/>
    <w:rsid w:val="0048403C"/>
    <w:rsid w:val="00484527"/>
    <w:rsid w:val="004848A5"/>
    <w:rsid w:val="004856F6"/>
    <w:rsid w:val="0048583D"/>
    <w:rsid w:val="00485919"/>
    <w:rsid w:val="004859BC"/>
    <w:rsid w:val="00485A9E"/>
    <w:rsid w:val="00485BB0"/>
    <w:rsid w:val="00485C71"/>
    <w:rsid w:val="00486354"/>
    <w:rsid w:val="00486397"/>
    <w:rsid w:val="004867DA"/>
    <w:rsid w:val="00486937"/>
    <w:rsid w:val="00486BEB"/>
    <w:rsid w:val="00487A2D"/>
    <w:rsid w:val="00487E5F"/>
    <w:rsid w:val="00487FB9"/>
    <w:rsid w:val="004903A7"/>
    <w:rsid w:val="004906DF"/>
    <w:rsid w:val="00490964"/>
    <w:rsid w:val="00490D6E"/>
    <w:rsid w:val="00491796"/>
    <w:rsid w:val="0049188B"/>
    <w:rsid w:val="00491A09"/>
    <w:rsid w:val="00491CFA"/>
    <w:rsid w:val="00491F4A"/>
    <w:rsid w:val="00492164"/>
    <w:rsid w:val="004922B1"/>
    <w:rsid w:val="0049237F"/>
    <w:rsid w:val="004927B2"/>
    <w:rsid w:val="00492BFF"/>
    <w:rsid w:val="00492D2E"/>
    <w:rsid w:val="00493088"/>
    <w:rsid w:val="00493149"/>
    <w:rsid w:val="00493C6D"/>
    <w:rsid w:val="00493CA8"/>
    <w:rsid w:val="004941AA"/>
    <w:rsid w:val="004944AE"/>
    <w:rsid w:val="00494A57"/>
    <w:rsid w:val="0049524F"/>
    <w:rsid w:val="00495A37"/>
    <w:rsid w:val="00495AC0"/>
    <w:rsid w:val="00495DD7"/>
    <w:rsid w:val="004961B2"/>
    <w:rsid w:val="0049664E"/>
    <w:rsid w:val="00496A76"/>
    <w:rsid w:val="00496CB7"/>
    <w:rsid w:val="00497C31"/>
    <w:rsid w:val="00497C75"/>
    <w:rsid w:val="00497EFD"/>
    <w:rsid w:val="004A04A5"/>
    <w:rsid w:val="004A0505"/>
    <w:rsid w:val="004A0659"/>
    <w:rsid w:val="004A069A"/>
    <w:rsid w:val="004A06DD"/>
    <w:rsid w:val="004A0917"/>
    <w:rsid w:val="004A0AF0"/>
    <w:rsid w:val="004A0BBC"/>
    <w:rsid w:val="004A0C13"/>
    <w:rsid w:val="004A0C1E"/>
    <w:rsid w:val="004A0C5F"/>
    <w:rsid w:val="004A0C80"/>
    <w:rsid w:val="004A0F92"/>
    <w:rsid w:val="004A108C"/>
    <w:rsid w:val="004A1414"/>
    <w:rsid w:val="004A14D1"/>
    <w:rsid w:val="004A15A0"/>
    <w:rsid w:val="004A15FE"/>
    <w:rsid w:val="004A1928"/>
    <w:rsid w:val="004A2072"/>
    <w:rsid w:val="004A240D"/>
    <w:rsid w:val="004A2521"/>
    <w:rsid w:val="004A289D"/>
    <w:rsid w:val="004A34DF"/>
    <w:rsid w:val="004A43E6"/>
    <w:rsid w:val="004A4507"/>
    <w:rsid w:val="004A47E5"/>
    <w:rsid w:val="004A4962"/>
    <w:rsid w:val="004A4977"/>
    <w:rsid w:val="004A4AC8"/>
    <w:rsid w:val="004A523E"/>
    <w:rsid w:val="004A55E9"/>
    <w:rsid w:val="004A5A66"/>
    <w:rsid w:val="004A6705"/>
    <w:rsid w:val="004A67F0"/>
    <w:rsid w:val="004A6941"/>
    <w:rsid w:val="004A6B07"/>
    <w:rsid w:val="004A6F06"/>
    <w:rsid w:val="004A71B0"/>
    <w:rsid w:val="004A7218"/>
    <w:rsid w:val="004A72C4"/>
    <w:rsid w:val="004A730D"/>
    <w:rsid w:val="004A75C8"/>
    <w:rsid w:val="004A78DB"/>
    <w:rsid w:val="004A79ED"/>
    <w:rsid w:val="004A7A5D"/>
    <w:rsid w:val="004A7ED3"/>
    <w:rsid w:val="004A7FF3"/>
    <w:rsid w:val="004B023F"/>
    <w:rsid w:val="004B0346"/>
    <w:rsid w:val="004B0490"/>
    <w:rsid w:val="004B04C5"/>
    <w:rsid w:val="004B05FF"/>
    <w:rsid w:val="004B094D"/>
    <w:rsid w:val="004B0E91"/>
    <w:rsid w:val="004B1105"/>
    <w:rsid w:val="004B1228"/>
    <w:rsid w:val="004B122B"/>
    <w:rsid w:val="004B132D"/>
    <w:rsid w:val="004B22C4"/>
    <w:rsid w:val="004B28C4"/>
    <w:rsid w:val="004B2903"/>
    <w:rsid w:val="004B2B51"/>
    <w:rsid w:val="004B31BA"/>
    <w:rsid w:val="004B32AD"/>
    <w:rsid w:val="004B3347"/>
    <w:rsid w:val="004B339A"/>
    <w:rsid w:val="004B3463"/>
    <w:rsid w:val="004B39B0"/>
    <w:rsid w:val="004B3B92"/>
    <w:rsid w:val="004B427C"/>
    <w:rsid w:val="004B434E"/>
    <w:rsid w:val="004B4A41"/>
    <w:rsid w:val="004B4A57"/>
    <w:rsid w:val="004B4C7A"/>
    <w:rsid w:val="004B4DAA"/>
    <w:rsid w:val="004B4E8A"/>
    <w:rsid w:val="004B5131"/>
    <w:rsid w:val="004B52CB"/>
    <w:rsid w:val="004B5BA0"/>
    <w:rsid w:val="004B5E5C"/>
    <w:rsid w:val="004B6029"/>
    <w:rsid w:val="004B6281"/>
    <w:rsid w:val="004B6629"/>
    <w:rsid w:val="004B66A9"/>
    <w:rsid w:val="004B66C2"/>
    <w:rsid w:val="004B67E9"/>
    <w:rsid w:val="004B68B0"/>
    <w:rsid w:val="004B6FA4"/>
    <w:rsid w:val="004B72CF"/>
    <w:rsid w:val="004B777C"/>
    <w:rsid w:val="004B7AA5"/>
    <w:rsid w:val="004B7FEB"/>
    <w:rsid w:val="004C03FB"/>
    <w:rsid w:val="004C0C62"/>
    <w:rsid w:val="004C0F0C"/>
    <w:rsid w:val="004C105D"/>
    <w:rsid w:val="004C10F5"/>
    <w:rsid w:val="004C1151"/>
    <w:rsid w:val="004C13E5"/>
    <w:rsid w:val="004C16A5"/>
    <w:rsid w:val="004C1868"/>
    <w:rsid w:val="004C1A44"/>
    <w:rsid w:val="004C1DBE"/>
    <w:rsid w:val="004C1F21"/>
    <w:rsid w:val="004C1F46"/>
    <w:rsid w:val="004C215F"/>
    <w:rsid w:val="004C22BD"/>
    <w:rsid w:val="004C22D6"/>
    <w:rsid w:val="004C2652"/>
    <w:rsid w:val="004C2A02"/>
    <w:rsid w:val="004C2B76"/>
    <w:rsid w:val="004C2BF6"/>
    <w:rsid w:val="004C2D3F"/>
    <w:rsid w:val="004C3055"/>
    <w:rsid w:val="004C3207"/>
    <w:rsid w:val="004C32FA"/>
    <w:rsid w:val="004C33CD"/>
    <w:rsid w:val="004C33E2"/>
    <w:rsid w:val="004C3CB5"/>
    <w:rsid w:val="004C41BE"/>
    <w:rsid w:val="004C4348"/>
    <w:rsid w:val="004C4409"/>
    <w:rsid w:val="004C4526"/>
    <w:rsid w:val="004C4537"/>
    <w:rsid w:val="004C4781"/>
    <w:rsid w:val="004C48EA"/>
    <w:rsid w:val="004C4B57"/>
    <w:rsid w:val="004C4F4C"/>
    <w:rsid w:val="004C50C5"/>
    <w:rsid w:val="004C52C9"/>
    <w:rsid w:val="004C568B"/>
    <w:rsid w:val="004C56B7"/>
    <w:rsid w:val="004C5702"/>
    <w:rsid w:val="004C6221"/>
    <w:rsid w:val="004C62C9"/>
    <w:rsid w:val="004C641B"/>
    <w:rsid w:val="004C6436"/>
    <w:rsid w:val="004C6550"/>
    <w:rsid w:val="004C6A10"/>
    <w:rsid w:val="004C6FF2"/>
    <w:rsid w:val="004C70A8"/>
    <w:rsid w:val="004C7105"/>
    <w:rsid w:val="004C776E"/>
    <w:rsid w:val="004C77DB"/>
    <w:rsid w:val="004C7CA1"/>
    <w:rsid w:val="004D01F7"/>
    <w:rsid w:val="004D02A6"/>
    <w:rsid w:val="004D07C7"/>
    <w:rsid w:val="004D0B6B"/>
    <w:rsid w:val="004D0CD5"/>
    <w:rsid w:val="004D0DC4"/>
    <w:rsid w:val="004D0DF1"/>
    <w:rsid w:val="004D11E7"/>
    <w:rsid w:val="004D12BA"/>
    <w:rsid w:val="004D12BC"/>
    <w:rsid w:val="004D13C7"/>
    <w:rsid w:val="004D1952"/>
    <w:rsid w:val="004D1C58"/>
    <w:rsid w:val="004D1E6E"/>
    <w:rsid w:val="004D2074"/>
    <w:rsid w:val="004D216B"/>
    <w:rsid w:val="004D21CB"/>
    <w:rsid w:val="004D21E9"/>
    <w:rsid w:val="004D2452"/>
    <w:rsid w:val="004D2B16"/>
    <w:rsid w:val="004D2D94"/>
    <w:rsid w:val="004D2FEA"/>
    <w:rsid w:val="004D37BC"/>
    <w:rsid w:val="004D3ADB"/>
    <w:rsid w:val="004D3C84"/>
    <w:rsid w:val="004D3E8C"/>
    <w:rsid w:val="004D3ED7"/>
    <w:rsid w:val="004D438B"/>
    <w:rsid w:val="004D454F"/>
    <w:rsid w:val="004D4576"/>
    <w:rsid w:val="004D4631"/>
    <w:rsid w:val="004D46A2"/>
    <w:rsid w:val="004D4BB5"/>
    <w:rsid w:val="004D4DD6"/>
    <w:rsid w:val="004D4E29"/>
    <w:rsid w:val="004D50EA"/>
    <w:rsid w:val="004D51C2"/>
    <w:rsid w:val="004D53DB"/>
    <w:rsid w:val="004D54A8"/>
    <w:rsid w:val="004D57A0"/>
    <w:rsid w:val="004D589C"/>
    <w:rsid w:val="004D58CF"/>
    <w:rsid w:val="004D5CA3"/>
    <w:rsid w:val="004D5EFA"/>
    <w:rsid w:val="004D66B7"/>
    <w:rsid w:val="004D6815"/>
    <w:rsid w:val="004D70CC"/>
    <w:rsid w:val="004D7489"/>
    <w:rsid w:val="004D749A"/>
    <w:rsid w:val="004D75D3"/>
    <w:rsid w:val="004D76D4"/>
    <w:rsid w:val="004D7767"/>
    <w:rsid w:val="004D793A"/>
    <w:rsid w:val="004D7C09"/>
    <w:rsid w:val="004D7D5D"/>
    <w:rsid w:val="004E02A1"/>
    <w:rsid w:val="004E0342"/>
    <w:rsid w:val="004E0F26"/>
    <w:rsid w:val="004E125C"/>
    <w:rsid w:val="004E156F"/>
    <w:rsid w:val="004E174B"/>
    <w:rsid w:val="004E17BD"/>
    <w:rsid w:val="004E17E2"/>
    <w:rsid w:val="004E1C57"/>
    <w:rsid w:val="004E1D8C"/>
    <w:rsid w:val="004E2CAB"/>
    <w:rsid w:val="004E2FB5"/>
    <w:rsid w:val="004E306C"/>
    <w:rsid w:val="004E31CA"/>
    <w:rsid w:val="004E32B7"/>
    <w:rsid w:val="004E32E5"/>
    <w:rsid w:val="004E336A"/>
    <w:rsid w:val="004E3867"/>
    <w:rsid w:val="004E3890"/>
    <w:rsid w:val="004E3B5A"/>
    <w:rsid w:val="004E3B61"/>
    <w:rsid w:val="004E3C3C"/>
    <w:rsid w:val="004E3E96"/>
    <w:rsid w:val="004E433E"/>
    <w:rsid w:val="004E43B5"/>
    <w:rsid w:val="004E447E"/>
    <w:rsid w:val="004E45A4"/>
    <w:rsid w:val="004E45AD"/>
    <w:rsid w:val="004E45EA"/>
    <w:rsid w:val="004E4CA9"/>
    <w:rsid w:val="004E4D38"/>
    <w:rsid w:val="004E4D8E"/>
    <w:rsid w:val="004E5557"/>
    <w:rsid w:val="004E5877"/>
    <w:rsid w:val="004E5B16"/>
    <w:rsid w:val="004E5C2B"/>
    <w:rsid w:val="004E6439"/>
    <w:rsid w:val="004E6573"/>
    <w:rsid w:val="004E69D8"/>
    <w:rsid w:val="004E6C84"/>
    <w:rsid w:val="004E6D38"/>
    <w:rsid w:val="004E737A"/>
    <w:rsid w:val="004E772F"/>
    <w:rsid w:val="004E77B6"/>
    <w:rsid w:val="004E7F04"/>
    <w:rsid w:val="004E7F17"/>
    <w:rsid w:val="004F017E"/>
    <w:rsid w:val="004F0182"/>
    <w:rsid w:val="004F0498"/>
    <w:rsid w:val="004F0518"/>
    <w:rsid w:val="004F051E"/>
    <w:rsid w:val="004F07F3"/>
    <w:rsid w:val="004F095B"/>
    <w:rsid w:val="004F1033"/>
    <w:rsid w:val="004F124D"/>
    <w:rsid w:val="004F1506"/>
    <w:rsid w:val="004F16C9"/>
    <w:rsid w:val="004F16D1"/>
    <w:rsid w:val="004F16F5"/>
    <w:rsid w:val="004F195B"/>
    <w:rsid w:val="004F2200"/>
    <w:rsid w:val="004F260A"/>
    <w:rsid w:val="004F260F"/>
    <w:rsid w:val="004F269F"/>
    <w:rsid w:val="004F2854"/>
    <w:rsid w:val="004F2F16"/>
    <w:rsid w:val="004F2F36"/>
    <w:rsid w:val="004F337A"/>
    <w:rsid w:val="004F33BC"/>
    <w:rsid w:val="004F3951"/>
    <w:rsid w:val="004F3FFF"/>
    <w:rsid w:val="004F4044"/>
    <w:rsid w:val="004F45ED"/>
    <w:rsid w:val="004F4DA2"/>
    <w:rsid w:val="004F505C"/>
    <w:rsid w:val="004F51FE"/>
    <w:rsid w:val="004F528D"/>
    <w:rsid w:val="004F591E"/>
    <w:rsid w:val="004F5ABA"/>
    <w:rsid w:val="004F5C2E"/>
    <w:rsid w:val="004F5D67"/>
    <w:rsid w:val="004F5F94"/>
    <w:rsid w:val="004F601E"/>
    <w:rsid w:val="004F606C"/>
    <w:rsid w:val="004F64B2"/>
    <w:rsid w:val="004F6792"/>
    <w:rsid w:val="004F6A25"/>
    <w:rsid w:val="004F6FA6"/>
    <w:rsid w:val="004F7606"/>
    <w:rsid w:val="004F7989"/>
    <w:rsid w:val="004F7B39"/>
    <w:rsid w:val="004F7B80"/>
    <w:rsid w:val="004F7E1E"/>
    <w:rsid w:val="004F7FA3"/>
    <w:rsid w:val="00500003"/>
    <w:rsid w:val="005000E5"/>
    <w:rsid w:val="00500267"/>
    <w:rsid w:val="005003BA"/>
    <w:rsid w:val="0050118D"/>
    <w:rsid w:val="005012AC"/>
    <w:rsid w:val="0050167E"/>
    <w:rsid w:val="00501767"/>
    <w:rsid w:val="00501768"/>
    <w:rsid w:val="00501CC3"/>
    <w:rsid w:val="00501E43"/>
    <w:rsid w:val="00501E45"/>
    <w:rsid w:val="00502087"/>
    <w:rsid w:val="00502667"/>
    <w:rsid w:val="0050283C"/>
    <w:rsid w:val="00502B35"/>
    <w:rsid w:val="005031DD"/>
    <w:rsid w:val="00503405"/>
    <w:rsid w:val="0050341F"/>
    <w:rsid w:val="00504183"/>
    <w:rsid w:val="005041E5"/>
    <w:rsid w:val="00504516"/>
    <w:rsid w:val="005046D6"/>
    <w:rsid w:val="00504E35"/>
    <w:rsid w:val="00505135"/>
    <w:rsid w:val="005053A1"/>
    <w:rsid w:val="005054CB"/>
    <w:rsid w:val="005055EA"/>
    <w:rsid w:val="00505603"/>
    <w:rsid w:val="00505BE6"/>
    <w:rsid w:val="00505C0A"/>
    <w:rsid w:val="00505F8D"/>
    <w:rsid w:val="00506631"/>
    <w:rsid w:val="005069C6"/>
    <w:rsid w:val="00506BF9"/>
    <w:rsid w:val="00507A57"/>
    <w:rsid w:val="0051021C"/>
    <w:rsid w:val="00510454"/>
    <w:rsid w:val="00510486"/>
    <w:rsid w:val="005104E0"/>
    <w:rsid w:val="00510674"/>
    <w:rsid w:val="005108EF"/>
    <w:rsid w:val="005109B0"/>
    <w:rsid w:val="00510B84"/>
    <w:rsid w:val="00510FDA"/>
    <w:rsid w:val="005111B6"/>
    <w:rsid w:val="0051125A"/>
    <w:rsid w:val="00511938"/>
    <w:rsid w:val="00511AFE"/>
    <w:rsid w:val="00511BB8"/>
    <w:rsid w:val="00511F85"/>
    <w:rsid w:val="0051213D"/>
    <w:rsid w:val="00512156"/>
    <w:rsid w:val="00512678"/>
    <w:rsid w:val="005138C3"/>
    <w:rsid w:val="005139FD"/>
    <w:rsid w:val="00514083"/>
    <w:rsid w:val="005140A6"/>
    <w:rsid w:val="005141A5"/>
    <w:rsid w:val="005142E7"/>
    <w:rsid w:val="0051449B"/>
    <w:rsid w:val="005145CC"/>
    <w:rsid w:val="00514C9F"/>
    <w:rsid w:val="00514DD2"/>
    <w:rsid w:val="00514F7F"/>
    <w:rsid w:val="0051577C"/>
    <w:rsid w:val="00515990"/>
    <w:rsid w:val="00515D4B"/>
    <w:rsid w:val="00515FA8"/>
    <w:rsid w:val="00516648"/>
    <w:rsid w:val="00516DFB"/>
    <w:rsid w:val="005172A8"/>
    <w:rsid w:val="005179A7"/>
    <w:rsid w:val="00517C8A"/>
    <w:rsid w:val="005201F6"/>
    <w:rsid w:val="00520289"/>
    <w:rsid w:val="005202AD"/>
    <w:rsid w:val="005204A1"/>
    <w:rsid w:val="00520558"/>
    <w:rsid w:val="00521025"/>
    <w:rsid w:val="005210E6"/>
    <w:rsid w:val="005211AF"/>
    <w:rsid w:val="005212D1"/>
    <w:rsid w:val="005216BA"/>
    <w:rsid w:val="00521C5A"/>
    <w:rsid w:val="00522044"/>
    <w:rsid w:val="0052214E"/>
    <w:rsid w:val="00522EB8"/>
    <w:rsid w:val="0052339C"/>
    <w:rsid w:val="00523532"/>
    <w:rsid w:val="0052388A"/>
    <w:rsid w:val="00523C33"/>
    <w:rsid w:val="00523C3D"/>
    <w:rsid w:val="00523EC0"/>
    <w:rsid w:val="005241AB"/>
    <w:rsid w:val="00524582"/>
    <w:rsid w:val="005246CA"/>
    <w:rsid w:val="005248B9"/>
    <w:rsid w:val="005248C6"/>
    <w:rsid w:val="00524AC8"/>
    <w:rsid w:val="005251CE"/>
    <w:rsid w:val="0052597B"/>
    <w:rsid w:val="00525AF0"/>
    <w:rsid w:val="00525C8F"/>
    <w:rsid w:val="00525DF3"/>
    <w:rsid w:val="0052608E"/>
    <w:rsid w:val="00526118"/>
    <w:rsid w:val="0052645E"/>
    <w:rsid w:val="0052672F"/>
    <w:rsid w:val="005268EF"/>
    <w:rsid w:val="005269BA"/>
    <w:rsid w:val="00526F15"/>
    <w:rsid w:val="00526F1C"/>
    <w:rsid w:val="0052718E"/>
    <w:rsid w:val="005271B8"/>
    <w:rsid w:val="005271F0"/>
    <w:rsid w:val="00527214"/>
    <w:rsid w:val="00527354"/>
    <w:rsid w:val="0052784B"/>
    <w:rsid w:val="00527A35"/>
    <w:rsid w:val="00527A7D"/>
    <w:rsid w:val="00530188"/>
    <w:rsid w:val="0053037C"/>
    <w:rsid w:val="00530624"/>
    <w:rsid w:val="005307E8"/>
    <w:rsid w:val="005308FE"/>
    <w:rsid w:val="00530E5B"/>
    <w:rsid w:val="00531001"/>
    <w:rsid w:val="00531567"/>
    <w:rsid w:val="00531AE4"/>
    <w:rsid w:val="00531CEC"/>
    <w:rsid w:val="00532085"/>
    <w:rsid w:val="00532E4F"/>
    <w:rsid w:val="00533356"/>
    <w:rsid w:val="005338D2"/>
    <w:rsid w:val="00533992"/>
    <w:rsid w:val="00533CDF"/>
    <w:rsid w:val="00533CF9"/>
    <w:rsid w:val="00534363"/>
    <w:rsid w:val="005343BD"/>
    <w:rsid w:val="005344B9"/>
    <w:rsid w:val="0053453D"/>
    <w:rsid w:val="0053458B"/>
    <w:rsid w:val="00534DBE"/>
    <w:rsid w:val="00534FEC"/>
    <w:rsid w:val="00535266"/>
    <w:rsid w:val="0053539A"/>
    <w:rsid w:val="0053544C"/>
    <w:rsid w:val="005357AB"/>
    <w:rsid w:val="00535A56"/>
    <w:rsid w:val="00535A8A"/>
    <w:rsid w:val="00535AF6"/>
    <w:rsid w:val="00535B07"/>
    <w:rsid w:val="00535C00"/>
    <w:rsid w:val="00535D4D"/>
    <w:rsid w:val="00535ED5"/>
    <w:rsid w:val="00535F35"/>
    <w:rsid w:val="005360E1"/>
    <w:rsid w:val="005363A0"/>
    <w:rsid w:val="00536570"/>
    <w:rsid w:val="0053697B"/>
    <w:rsid w:val="00537BE4"/>
    <w:rsid w:val="00537F0B"/>
    <w:rsid w:val="00540195"/>
    <w:rsid w:val="00540267"/>
    <w:rsid w:val="00540781"/>
    <w:rsid w:val="005407D2"/>
    <w:rsid w:val="005407F0"/>
    <w:rsid w:val="0054085E"/>
    <w:rsid w:val="005408D1"/>
    <w:rsid w:val="005409AE"/>
    <w:rsid w:val="005410BC"/>
    <w:rsid w:val="005411CB"/>
    <w:rsid w:val="00541339"/>
    <w:rsid w:val="00541374"/>
    <w:rsid w:val="00541843"/>
    <w:rsid w:val="00541937"/>
    <w:rsid w:val="00541F67"/>
    <w:rsid w:val="00542434"/>
    <w:rsid w:val="0054246D"/>
    <w:rsid w:val="0054253B"/>
    <w:rsid w:val="005429A5"/>
    <w:rsid w:val="00542D35"/>
    <w:rsid w:val="005432D2"/>
    <w:rsid w:val="005438BE"/>
    <w:rsid w:val="0054391B"/>
    <w:rsid w:val="005439E8"/>
    <w:rsid w:val="00543DF6"/>
    <w:rsid w:val="00544E1C"/>
    <w:rsid w:val="00544EF5"/>
    <w:rsid w:val="00545037"/>
    <w:rsid w:val="0054509E"/>
    <w:rsid w:val="0054554D"/>
    <w:rsid w:val="00545A72"/>
    <w:rsid w:val="00545FA8"/>
    <w:rsid w:val="00546054"/>
    <w:rsid w:val="00546761"/>
    <w:rsid w:val="00546778"/>
    <w:rsid w:val="005469C9"/>
    <w:rsid w:val="00546B44"/>
    <w:rsid w:val="00546F0B"/>
    <w:rsid w:val="0054715F"/>
    <w:rsid w:val="00547334"/>
    <w:rsid w:val="00547975"/>
    <w:rsid w:val="00547AB1"/>
    <w:rsid w:val="00547AF6"/>
    <w:rsid w:val="00547B67"/>
    <w:rsid w:val="0055060F"/>
    <w:rsid w:val="005507A5"/>
    <w:rsid w:val="00550B80"/>
    <w:rsid w:val="005511B0"/>
    <w:rsid w:val="00551797"/>
    <w:rsid w:val="00551C39"/>
    <w:rsid w:val="005521FC"/>
    <w:rsid w:val="005529B9"/>
    <w:rsid w:val="00552A97"/>
    <w:rsid w:val="00552D65"/>
    <w:rsid w:val="005530D3"/>
    <w:rsid w:val="0055319D"/>
    <w:rsid w:val="005534BB"/>
    <w:rsid w:val="005534F0"/>
    <w:rsid w:val="00553917"/>
    <w:rsid w:val="00553930"/>
    <w:rsid w:val="00553948"/>
    <w:rsid w:val="00553E03"/>
    <w:rsid w:val="00554119"/>
    <w:rsid w:val="005544FE"/>
    <w:rsid w:val="005547B6"/>
    <w:rsid w:val="00554CAA"/>
    <w:rsid w:val="00554DA0"/>
    <w:rsid w:val="00554DC3"/>
    <w:rsid w:val="00554EB3"/>
    <w:rsid w:val="00555125"/>
    <w:rsid w:val="005554C6"/>
    <w:rsid w:val="00555758"/>
    <w:rsid w:val="0055575E"/>
    <w:rsid w:val="00555DD0"/>
    <w:rsid w:val="00555ED0"/>
    <w:rsid w:val="00555FBD"/>
    <w:rsid w:val="00556504"/>
    <w:rsid w:val="00556741"/>
    <w:rsid w:val="00556916"/>
    <w:rsid w:val="00556956"/>
    <w:rsid w:val="00556990"/>
    <w:rsid w:val="00556C16"/>
    <w:rsid w:val="00556C4B"/>
    <w:rsid w:val="00556EF0"/>
    <w:rsid w:val="0055729D"/>
    <w:rsid w:val="0055756F"/>
    <w:rsid w:val="005577A0"/>
    <w:rsid w:val="005602DD"/>
    <w:rsid w:val="0056045B"/>
    <w:rsid w:val="00560618"/>
    <w:rsid w:val="00560A77"/>
    <w:rsid w:val="00560ED8"/>
    <w:rsid w:val="0056103C"/>
    <w:rsid w:val="005610AB"/>
    <w:rsid w:val="00561113"/>
    <w:rsid w:val="00561433"/>
    <w:rsid w:val="005614E0"/>
    <w:rsid w:val="00561880"/>
    <w:rsid w:val="00561A06"/>
    <w:rsid w:val="00561AC9"/>
    <w:rsid w:val="00561F26"/>
    <w:rsid w:val="00561FD2"/>
    <w:rsid w:val="0056276D"/>
    <w:rsid w:val="005627F3"/>
    <w:rsid w:val="00562A0B"/>
    <w:rsid w:val="00562BF4"/>
    <w:rsid w:val="00562E2C"/>
    <w:rsid w:val="005631B4"/>
    <w:rsid w:val="00563263"/>
    <w:rsid w:val="00563276"/>
    <w:rsid w:val="005637CB"/>
    <w:rsid w:val="0056385B"/>
    <w:rsid w:val="00563B9D"/>
    <w:rsid w:val="00563C2A"/>
    <w:rsid w:val="00563F62"/>
    <w:rsid w:val="00563FF7"/>
    <w:rsid w:val="005640DE"/>
    <w:rsid w:val="005640E9"/>
    <w:rsid w:val="005642F1"/>
    <w:rsid w:val="005645A0"/>
    <w:rsid w:val="00564C7F"/>
    <w:rsid w:val="005659C4"/>
    <w:rsid w:val="00565ACE"/>
    <w:rsid w:val="00565BD1"/>
    <w:rsid w:val="00565E67"/>
    <w:rsid w:val="005664DE"/>
    <w:rsid w:val="00566608"/>
    <w:rsid w:val="005667BE"/>
    <w:rsid w:val="00566882"/>
    <w:rsid w:val="00566D01"/>
    <w:rsid w:val="00566E1B"/>
    <w:rsid w:val="00566EBF"/>
    <w:rsid w:val="00567A0D"/>
    <w:rsid w:val="00567A23"/>
    <w:rsid w:val="00567AC4"/>
    <w:rsid w:val="0057007A"/>
    <w:rsid w:val="00570210"/>
    <w:rsid w:val="005711F7"/>
    <w:rsid w:val="00571545"/>
    <w:rsid w:val="0057155F"/>
    <w:rsid w:val="00571800"/>
    <w:rsid w:val="0057184B"/>
    <w:rsid w:val="00571AF7"/>
    <w:rsid w:val="005721F6"/>
    <w:rsid w:val="00572761"/>
    <w:rsid w:val="00572947"/>
    <w:rsid w:val="005730AD"/>
    <w:rsid w:val="005735FC"/>
    <w:rsid w:val="00573CAB"/>
    <w:rsid w:val="00573D3C"/>
    <w:rsid w:val="0057437C"/>
    <w:rsid w:val="005746BF"/>
    <w:rsid w:val="00574EBD"/>
    <w:rsid w:val="0057559F"/>
    <w:rsid w:val="0057565A"/>
    <w:rsid w:val="00575ABA"/>
    <w:rsid w:val="00575CC7"/>
    <w:rsid w:val="00575D9A"/>
    <w:rsid w:val="00575E17"/>
    <w:rsid w:val="00575F1E"/>
    <w:rsid w:val="0057632C"/>
    <w:rsid w:val="0057637F"/>
    <w:rsid w:val="00576899"/>
    <w:rsid w:val="00576D0D"/>
    <w:rsid w:val="0057716E"/>
    <w:rsid w:val="005777CF"/>
    <w:rsid w:val="00577BD6"/>
    <w:rsid w:val="00577E68"/>
    <w:rsid w:val="00580976"/>
    <w:rsid w:val="00580A5D"/>
    <w:rsid w:val="00580AFD"/>
    <w:rsid w:val="00580B44"/>
    <w:rsid w:val="00580B97"/>
    <w:rsid w:val="00580BF2"/>
    <w:rsid w:val="00580EF4"/>
    <w:rsid w:val="00581320"/>
    <w:rsid w:val="00581595"/>
    <w:rsid w:val="00581881"/>
    <w:rsid w:val="00581B84"/>
    <w:rsid w:val="00581C15"/>
    <w:rsid w:val="00581F48"/>
    <w:rsid w:val="00582336"/>
    <w:rsid w:val="0058257C"/>
    <w:rsid w:val="005825F8"/>
    <w:rsid w:val="0058262D"/>
    <w:rsid w:val="005828E5"/>
    <w:rsid w:val="00582C0F"/>
    <w:rsid w:val="00582C31"/>
    <w:rsid w:val="005832ED"/>
    <w:rsid w:val="005833AC"/>
    <w:rsid w:val="005839BC"/>
    <w:rsid w:val="00584295"/>
    <w:rsid w:val="0058466E"/>
    <w:rsid w:val="00584845"/>
    <w:rsid w:val="00584A65"/>
    <w:rsid w:val="00584C10"/>
    <w:rsid w:val="00584C5C"/>
    <w:rsid w:val="00584F08"/>
    <w:rsid w:val="0058502E"/>
    <w:rsid w:val="00585522"/>
    <w:rsid w:val="005856D8"/>
    <w:rsid w:val="00585A93"/>
    <w:rsid w:val="00585C7F"/>
    <w:rsid w:val="00586303"/>
    <w:rsid w:val="00586557"/>
    <w:rsid w:val="00586FCE"/>
    <w:rsid w:val="0058742A"/>
    <w:rsid w:val="005876BB"/>
    <w:rsid w:val="00587744"/>
    <w:rsid w:val="0058789D"/>
    <w:rsid w:val="00587A24"/>
    <w:rsid w:val="00587E4A"/>
    <w:rsid w:val="00590548"/>
    <w:rsid w:val="00590794"/>
    <w:rsid w:val="005909D7"/>
    <w:rsid w:val="00590D39"/>
    <w:rsid w:val="00590D65"/>
    <w:rsid w:val="00590E9B"/>
    <w:rsid w:val="00590EA1"/>
    <w:rsid w:val="00590ECE"/>
    <w:rsid w:val="00590F18"/>
    <w:rsid w:val="005912D6"/>
    <w:rsid w:val="00591369"/>
    <w:rsid w:val="00591771"/>
    <w:rsid w:val="00591870"/>
    <w:rsid w:val="005919D2"/>
    <w:rsid w:val="00591F8A"/>
    <w:rsid w:val="005923A9"/>
    <w:rsid w:val="00592560"/>
    <w:rsid w:val="0059262F"/>
    <w:rsid w:val="00592643"/>
    <w:rsid w:val="005926DD"/>
    <w:rsid w:val="005926EF"/>
    <w:rsid w:val="005927EA"/>
    <w:rsid w:val="00592A62"/>
    <w:rsid w:val="00592AC2"/>
    <w:rsid w:val="00592B77"/>
    <w:rsid w:val="0059319E"/>
    <w:rsid w:val="005945D1"/>
    <w:rsid w:val="00594C30"/>
    <w:rsid w:val="00594CFD"/>
    <w:rsid w:val="00594F0E"/>
    <w:rsid w:val="00594F80"/>
    <w:rsid w:val="00594FF4"/>
    <w:rsid w:val="0059515A"/>
    <w:rsid w:val="005951ED"/>
    <w:rsid w:val="005956F9"/>
    <w:rsid w:val="00595B19"/>
    <w:rsid w:val="00595D9D"/>
    <w:rsid w:val="005960AE"/>
    <w:rsid w:val="00596355"/>
    <w:rsid w:val="005963AD"/>
    <w:rsid w:val="0059664A"/>
    <w:rsid w:val="00596687"/>
    <w:rsid w:val="00596E9A"/>
    <w:rsid w:val="00596ED6"/>
    <w:rsid w:val="00596F45"/>
    <w:rsid w:val="00596F7D"/>
    <w:rsid w:val="00597E19"/>
    <w:rsid w:val="005A01FD"/>
    <w:rsid w:val="005A022B"/>
    <w:rsid w:val="005A03EE"/>
    <w:rsid w:val="005A05A4"/>
    <w:rsid w:val="005A05EB"/>
    <w:rsid w:val="005A07E5"/>
    <w:rsid w:val="005A0935"/>
    <w:rsid w:val="005A0BFD"/>
    <w:rsid w:val="005A1866"/>
    <w:rsid w:val="005A193A"/>
    <w:rsid w:val="005A1A11"/>
    <w:rsid w:val="005A1D39"/>
    <w:rsid w:val="005A2198"/>
    <w:rsid w:val="005A28E3"/>
    <w:rsid w:val="005A2B87"/>
    <w:rsid w:val="005A2C88"/>
    <w:rsid w:val="005A2D0E"/>
    <w:rsid w:val="005A323A"/>
    <w:rsid w:val="005A3375"/>
    <w:rsid w:val="005A3461"/>
    <w:rsid w:val="005A35DD"/>
    <w:rsid w:val="005A4051"/>
    <w:rsid w:val="005A4215"/>
    <w:rsid w:val="005A478C"/>
    <w:rsid w:val="005A4C9C"/>
    <w:rsid w:val="005A4F32"/>
    <w:rsid w:val="005A50CC"/>
    <w:rsid w:val="005A50CD"/>
    <w:rsid w:val="005A590F"/>
    <w:rsid w:val="005A5A34"/>
    <w:rsid w:val="005A5AB1"/>
    <w:rsid w:val="005A5D40"/>
    <w:rsid w:val="005A63B7"/>
    <w:rsid w:val="005A6593"/>
    <w:rsid w:val="005A66E5"/>
    <w:rsid w:val="005A6ABD"/>
    <w:rsid w:val="005A6DC5"/>
    <w:rsid w:val="005A725F"/>
    <w:rsid w:val="005A7291"/>
    <w:rsid w:val="005A7297"/>
    <w:rsid w:val="005A7326"/>
    <w:rsid w:val="005A77F9"/>
    <w:rsid w:val="005B073A"/>
    <w:rsid w:val="005B0FC6"/>
    <w:rsid w:val="005B1148"/>
    <w:rsid w:val="005B126A"/>
    <w:rsid w:val="005B1BD7"/>
    <w:rsid w:val="005B205F"/>
    <w:rsid w:val="005B2272"/>
    <w:rsid w:val="005B22C4"/>
    <w:rsid w:val="005B236C"/>
    <w:rsid w:val="005B27D7"/>
    <w:rsid w:val="005B2875"/>
    <w:rsid w:val="005B2CA3"/>
    <w:rsid w:val="005B2F27"/>
    <w:rsid w:val="005B334E"/>
    <w:rsid w:val="005B3385"/>
    <w:rsid w:val="005B3E34"/>
    <w:rsid w:val="005B4282"/>
    <w:rsid w:val="005B4425"/>
    <w:rsid w:val="005B4512"/>
    <w:rsid w:val="005B454A"/>
    <w:rsid w:val="005B4A06"/>
    <w:rsid w:val="005B4A93"/>
    <w:rsid w:val="005B573F"/>
    <w:rsid w:val="005B5910"/>
    <w:rsid w:val="005B6192"/>
    <w:rsid w:val="005B62DA"/>
    <w:rsid w:val="005B64C3"/>
    <w:rsid w:val="005B6558"/>
    <w:rsid w:val="005B6842"/>
    <w:rsid w:val="005B692C"/>
    <w:rsid w:val="005B6AC8"/>
    <w:rsid w:val="005B6BA5"/>
    <w:rsid w:val="005B70AF"/>
    <w:rsid w:val="005B729B"/>
    <w:rsid w:val="005B769E"/>
    <w:rsid w:val="005B78E4"/>
    <w:rsid w:val="005B7989"/>
    <w:rsid w:val="005B7D23"/>
    <w:rsid w:val="005B7E0F"/>
    <w:rsid w:val="005C083A"/>
    <w:rsid w:val="005C0D06"/>
    <w:rsid w:val="005C0E00"/>
    <w:rsid w:val="005C0EE5"/>
    <w:rsid w:val="005C0F62"/>
    <w:rsid w:val="005C11EB"/>
    <w:rsid w:val="005C1EC3"/>
    <w:rsid w:val="005C22A4"/>
    <w:rsid w:val="005C28E5"/>
    <w:rsid w:val="005C2B1A"/>
    <w:rsid w:val="005C3792"/>
    <w:rsid w:val="005C392F"/>
    <w:rsid w:val="005C3B4C"/>
    <w:rsid w:val="005C3FB0"/>
    <w:rsid w:val="005C4058"/>
    <w:rsid w:val="005C4060"/>
    <w:rsid w:val="005C45B8"/>
    <w:rsid w:val="005C46B4"/>
    <w:rsid w:val="005C490E"/>
    <w:rsid w:val="005C4E97"/>
    <w:rsid w:val="005C5117"/>
    <w:rsid w:val="005C548D"/>
    <w:rsid w:val="005C5724"/>
    <w:rsid w:val="005C57AD"/>
    <w:rsid w:val="005C593B"/>
    <w:rsid w:val="005C5A0A"/>
    <w:rsid w:val="005C6158"/>
    <w:rsid w:val="005C628B"/>
    <w:rsid w:val="005C64EE"/>
    <w:rsid w:val="005C6515"/>
    <w:rsid w:val="005C69C1"/>
    <w:rsid w:val="005C69EE"/>
    <w:rsid w:val="005C6E87"/>
    <w:rsid w:val="005C6EBD"/>
    <w:rsid w:val="005C72BF"/>
    <w:rsid w:val="005C72F5"/>
    <w:rsid w:val="005C750E"/>
    <w:rsid w:val="005C76F3"/>
    <w:rsid w:val="005C7A5D"/>
    <w:rsid w:val="005C7B23"/>
    <w:rsid w:val="005C7BF4"/>
    <w:rsid w:val="005C7CB7"/>
    <w:rsid w:val="005C7D34"/>
    <w:rsid w:val="005D00B4"/>
    <w:rsid w:val="005D0B52"/>
    <w:rsid w:val="005D0D3D"/>
    <w:rsid w:val="005D1305"/>
    <w:rsid w:val="005D162C"/>
    <w:rsid w:val="005D174E"/>
    <w:rsid w:val="005D2049"/>
    <w:rsid w:val="005D26BD"/>
    <w:rsid w:val="005D2797"/>
    <w:rsid w:val="005D2941"/>
    <w:rsid w:val="005D2A12"/>
    <w:rsid w:val="005D2BCB"/>
    <w:rsid w:val="005D3315"/>
    <w:rsid w:val="005D336C"/>
    <w:rsid w:val="005D3516"/>
    <w:rsid w:val="005D35EE"/>
    <w:rsid w:val="005D3A4C"/>
    <w:rsid w:val="005D3DFF"/>
    <w:rsid w:val="005D3FFC"/>
    <w:rsid w:val="005D41B4"/>
    <w:rsid w:val="005D4869"/>
    <w:rsid w:val="005D4947"/>
    <w:rsid w:val="005D4948"/>
    <w:rsid w:val="005D4D01"/>
    <w:rsid w:val="005D56E3"/>
    <w:rsid w:val="005D59FC"/>
    <w:rsid w:val="005D5AC7"/>
    <w:rsid w:val="005D5C5A"/>
    <w:rsid w:val="005D5CC0"/>
    <w:rsid w:val="005D5FD6"/>
    <w:rsid w:val="005D65D3"/>
    <w:rsid w:val="005D67BD"/>
    <w:rsid w:val="005D6917"/>
    <w:rsid w:val="005D6B8C"/>
    <w:rsid w:val="005D731C"/>
    <w:rsid w:val="005D7464"/>
    <w:rsid w:val="005D792E"/>
    <w:rsid w:val="005D7A5C"/>
    <w:rsid w:val="005D7E74"/>
    <w:rsid w:val="005E07AE"/>
    <w:rsid w:val="005E0A3B"/>
    <w:rsid w:val="005E0BFB"/>
    <w:rsid w:val="005E0E32"/>
    <w:rsid w:val="005E10BB"/>
    <w:rsid w:val="005E11C5"/>
    <w:rsid w:val="005E11CF"/>
    <w:rsid w:val="005E1427"/>
    <w:rsid w:val="005E14BA"/>
    <w:rsid w:val="005E1762"/>
    <w:rsid w:val="005E1D28"/>
    <w:rsid w:val="005E1E1A"/>
    <w:rsid w:val="005E2159"/>
    <w:rsid w:val="005E241F"/>
    <w:rsid w:val="005E2AC5"/>
    <w:rsid w:val="005E2E3D"/>
    <w:rsid w:val="005E308D"/>
    <w:rsid w:val="005E317D"/>
    <w:rsid w:val="005E3348"/>
    <w:rsid w:val="005E382A"/>
    <w:rsid w:val="005E3A75"/>
    <w:rsid w:val="005E3AA0"/>
    <w:rsid w:val="005E3C0D"/>
    <w:rsid w:val="005E3D8D"/>
    <w:rsid w:val="005E3EDE"/>
    <w:rsid w:val="005E4468"/>
    <w:rsid w:val="005E44A7"/>
    <w:rsid w:val="005E4E4A"/>
    <w:rsid w:val="005E5226"/>
    <w:rsid w:val="005E5245"/>
    <w:rsid w:val="005E5588"/>
    <w:rsid w:val="005E5632"/>
    <w:rsid w:val="005E5C21"/>
    <w:rsid w:val="005E5CA0"/>
    <w:rsid w:val="005E5E2E"/>
    <w:rsid w:val="005E632B"/>
    <w:rsid w:val="005E63FC"/>
    <w:rsid w:val="005E643C"/>
    <w:rsid w:val="005E6661"/>
    <w:rsid w:val="005E6890"/>
    <w:rsid w:val="005E6D6A"/>
    <w:rsid w:val="005E6DBD"/>
    <w:rsid w:val="005E6E05"/>
    <w:rsid w:val="005E6F74"/>
    <w:rsid w:val="005E7491"/>
    <w:rsid w:val="005E7578"/>
    <w:rsid w:val="005E7D65"/>
    <w:rsid w:val="005E7D7D"/>
    <w:rsid w:val="005E7E14"/>
    <w:rsid w:val="005E7EFC"/>
    <w:rsid w:val="005E7FFC"/>
    <w:rsid w:val="005F0473"/>
    <w:rsid w:val="005F085E"/>
    <w:rsid w:val="005F0ADD"/>
    <w:rsid w:val="005F100A"/>
    <w:rsid w:val="005F1135"/>
    <w:rsid w:val="005F13F7"/>
    <w:rsid w:val="005F1624"/>
    <w:rsid w:val="005F1978"/>
    <w:rsid w:val="005F1C4C"/>
    <w:rsid w:val="005F1EEB"/>
    <w:rsid w:val="005F226E"/>
    <w:rsid w:val="005F238D"/>
    <w:rsid w:val="005F24D5"/>
    <w:rsid w:val="005F27CD"/>
    <w:rsid w:val="005F2B64"/>
    <w:rsid w:val="005F2FE8"/>
    <w:rsid w:val="005F3294"/>
    <w:rsid w:val="005F335E"/>
    <w:rsid w:val="005F3622"/>
    <w:rsid w:val="005F3666"/>
    <w:rsid w:val="005F3743"/>
    <w:rsid w:val="005F3978"/>
    <w:rsid w:val="005F3C58"/>
    <w:rsid w:val="005F3D17"/>
    <w:rsid w:val="005F4501"/>
    <w:rsid w:val="005F4576"/>
    <w:rsid w:val="005F457D"/>
    <w:rsid w:val="005F4CB2"/>
    <w:rsid w:val="005F4E8C"/>
    <w:rsid w:val="005F55E2"/>
    <w:rsid w:val="005F5831"/>
    <w:rsid w:val="005F583D"/>
    <w:rsid w:val="005F5ADF"/>
    <w:rsid w:val="005F63BC"/>
    <w:rsid w:val="005F671F"/>
    <w:rsid w:val="005F68FE"/>
    <w:rsid w:val="005F693C"/>
    <w:rsid w:val="005F6980"/>
    <w:rsid w:val="005F6D52"/>
    <w:rsid w:val="005F6D6E"/>
    <w:rsid w:val="005F6EA9"/>
    <w:rsid w:val="005F6F30"/>
    <w:rsid w:val="005F7332"/>
    <w:rsid w:val="005F749E"/>
    <w:rsid w:val="005F74B1"/>
    <w:rsid w:val="005F7544"/>
    <w:rsid w:val="005F7618"/>
    <w:rsid w:val="005F77B2"/>
    <w:rsid w:val="005F799B"/>
    <w:rsid w:val="00600422"/>
    <w:rsid w:val="00600462"/>
    <w:rsid w:val="00600552"/>
    <w:rsid w:val="006005AA"/>
    <w:rsid w:val="00600775"/>
    <w:rsid w:val="00600FB4"/>
    <w:rsid w:val="0060122D"/>
    <w:rsid w:val="00601B99"/>
    <w:rsid w:val="00601D67"/>
    <w:rsid w:val="006021BB"/>
    <w:rsid w:val="00602244"/>
    <w:rsid w:val="00602420"/>
    <w:rsid w:val="00602500"/>
    <w:rsid w:val="006028D0"/>
    <w:rsid w:val="00602D14"/>
    <w:rsid w:val="0060303D"/>
    <w:rsid w:val="00603236"/>
    <w:rsid w:val="006033DB"/>
    <w:rsid w:val="00603A78"/>
    <w:rsid w:val="00603CD6"/>
    <w:rsid w:val="00604094"/>
    <w:rsid w:val="00604149"/>
    <w:rsid w:val="006041E5"/>
    <w:rsid w:val="00604343"/>
    <w:rsid w:val="0060445C"/>
    <w:rsid w:val="006047F1"/>
    <w:rsid w:val="00604AB0"/>
    <w:rsid w:val="00604C06"/>
    <w:rsid w:val="0060539A"/>
    <w:rsid w:val="006053D4"/>
    <w:rsid w:val="00605524"/>
    <w:rsid w:val="00605807"/>
    <w:rsid w:val="0060587B"/>
    <w:rsid w:val="00605C50"/>
    <w:rsid w:val="00605D0C"/>
    <w:rsid w:val="00605F4C"/>
    <w:rsid w:val="00606129"/>
    <w:rsid w:val="0060670B"/>
    <w:rsid w:val="00606B23"/>
    <w:rsid w:val="006070CD"/>
    <w:rsid w:val="006072CF"/>
    <w:rsid w:val="00607553"/>
    <w:rsid w:val="00610095"/>
    <w:rsid w:val="006100B9"/>
    <w:rsid w:val="00610123"/>
    <w:rsid w:val="00610286"/>
    <w:rsid w:val="006102D6"/>
    <w:rsid w:val="00610752"/>
    <w:rsid w:val="00610922"/>
    <w:rsid w:val="006115BB"/>
    <w:rsid w:val="00611980"/>
    <w:rsid w:val="006119E2"/>
    <w:rsid w:val="00611CBC"/>
    <w:rsid w:val="00611CDB"/>
    <w:rsid w:val="00611FF0"/>
    <w:rsid w:val="0061239D"/>
    <w:rsid w:val="00612DE3"/>
    <w:rsid w:val="00612FC3"/>
    <w:rsid w:val="006132F5"/>
    <w:rsid w:val="0061348B"/>
    <w:rsid w:val="0061359C"/>
    <w:rsid w:val="006135B0"/>
    <w:rsid w:val="00613644"/>
    <w:rsid w:val="00613B22"/>
    <w:rsid w:val="00613DCE"/>
    <w:rsid w:val="00613F8F"/>
    <w:rsid w:val="00614343"/>
    <w:rsid w:val="00614464"/>
    <w:rsid w:val="00614642"/>
    <w:rsid w:val="00614B51"/>
    <w:rsid w:val="00614F5F"/>
    <w:rsid w:val="0061513A"/>
    <w:rsid w:val="00615562"/>
    <w:rsid w:val="00615591"/>
    <w:rsid w:val="00615880"/>
    <w:rsid w:val="00615C0D"/>
    <w:rsid w:val="00615F45"/>
    <w:rsid w:val="00616321"/>
    <w:rsid w:val="006168A9"/>
    <w:rsid w:val="006168DB"/>
    <w:rsid w:val="00617091"/>
    <w:rsid w:val="00617533"/>
    <w:rsid w:val="00617B7B"/>
    <w:rsid w:val="00620193"/>
    <w:rsid w:val="006201B9"/>
    <w:rsid w:val="00620590"/>
    <w:rsid w:val="006205A3"/>
    <w:rsid w:val="006208A5"/>
    <w:rsid w:val="006208D2"/>
    <w:rsid w:val="0062095C"/>
    <w:rsid w:val="0062104B"/>
    <w:rsid w:val="006215C1"/>
    <w:rsid w:val="0062170C"/>
    <w:rsid w:val="00621B06"/>
    <w:rsid w:val="00622111"/>
    <w:rsid w:val="00622334"/>
    <w:rsid w:val="006239B0"/>
    <w:rsid w:val="00623A76"/>
    <w:rsid w:val="00623BE2"/>
    <w:rsid w:val="00623E63"/>
    <w:rsid w:val="00623FCD"/>
    <w:rsid w:val="00624397"/>
    <w:rsid w:val="00624892"/>
    <w:rsid w:val="0062493F"/>
    <w:rsid w:val="00624AC9"/>
    <w:rsid w:val="00624B20"/>
    <w:rsid w:val="00624B3B"/>
    <w:rsid w:val="00624BE8"/>
    <w:rsid w:val="006252AA"/>
    <w:rsid w:val="00625340"/>
    <w:rsid w:val="00625936"/>
    <w:rsid w:val="00625B2F"/>
    <w:rsid w:val="00625C19"/>
    <w:rsid w:val="00626355"/>
    <w:rsid w:val="00626B31"/>
    <w:rsid w:val="00626BCE"/>
    <w:rsid w:val="00626D00"/>
    <w:rsid w:val="0062715B"/>
    <w:rsid w:val="006272F6"/>
    <w:rsid w:val="006306CF"/>
    <w:rsid w:val="0063079E"/>
    <w:rsid w:val="00630C16"/>
    <w:rsid w:val="00630DA6"/>
    <w:rsid w:val="00630E4B"/>
    <w:rsid w:val="00631067"/>
    <w:rsid w:val="00631215"/>
    <w:rsid w:val="0063188A"/>
    <w:rsid w:val="006318BB"/>
    <w:rsid w:val="00631AF2"/>
    <w:rsid w:val="00631C7F"/>
    <w:rsid w:val="00631E25"/>
    <w:rsid w:val="00631E82"/>
    <w:rsid w:val="00632222"/>
    <w:rsid w:val="00632512"/>
    <w:rsid w:val="006325B1"/>
    <w:rsid w:val="0063354A"/>
    <w:rsid w:val="0063372B"/>
    <w:rsid w:val="006337CF"/>
    <w:rsid w:val="0063382B"/>
    <w:rsid w:val="00633855"/>
    <w:rsid w:val="00633935"/>
    <w:rsid w:val="00633B06"/>
    <w:rsid w:val="00633E6F"/>
    <w:rsid w:val="006340CD"/>
    <w:rsid w:val="00634249"/>
    <w:rsid w:val="0063432E"/>
    <w:rsid w:val="006343AE"/>
    <w:rsid w:val="00634935"/>
    <w:rsid w:val="00634A6B"/>
    <w:rsid w:val="00634D9F"/>
    <w:rsid w:val="0063511B"/>
    <w:rsid w:val="006357C6"/>
    <w:rsid w:val="00635A07"/>
    <w:rsid w:val="00635A2B"/>
    <w:rsid w:val="00635E08"/>
    <w:rsid w:val="00636346"/>
    <w:rsid w:val="006365CF"/>
    <w:rsid w:val="0063725B"/>
    <w:rsid w:val="00637642"/>
    <w:rsid w:val="00637B69"/>
    <w:rsid w:val="006406B4"/>
    <w:rsid w:val="006408CC"/>
    <w:rsid w:val="006413CA"/>
    <w:rsid w:val="0064168E"/>
    <w:rsid w:val="00641899"/>
    <w:rsid w:val="00641982"/>
    <w:rsid w:val="00641A81"/>
    <w:rsid w:val="00641AC5"/>
    <w:rsid w:val="00641BDF"/>
    <w:rsid w:val="00641D6E"/>
    <w:rsid w:val="00641EE9"/>
    <w:rsid w:val="00642166"/>
    <w:rsid w:val="006422A1"/>
    <w:rsid w:val="006428E4"/>
    <w:rsid w:val="00643062"/>
    <w:rsid w:val="00643139"/>
    <w:rsid w:val="006431D8"/>
    <w:rsid w:val="00643680"/>
    <w:rsid w:val="00643863"/>
    <w:rsid w:val="006438DC"/>
    <w:rsid w:val="00643CDB"/>
    <w:rsid w:val="006444C9"/>
    <w:rsid w:val="00644685"/>
    <w:rsid w:val="006449E0"/>
    <w:rsid w:val="00644DAC"/>
    <w:rsid w:val="006452C1"/>
    <w:rsid w:val="00645398"/>
    <w:rsid w:val="00645833"/>
    <w:rsid w:val="006459CD"/>
    <w:rsid w:val="0064642C"/>
    <w:rsid w:val="006467D9"/>
    <w:rsid w:val="00646A59"/>
    <w:rsid w:val="00646DDC"/>
    <w:rsid w:val="00646F5D"/>
    <w:rsid w:val="00647422"/>
    <w:rsid w:val="006477A5"/>
    <w:rsid w:val="00647807"/>
    <w:rsid w:val="006479BB"/>
    <w:rsid w:val="00647ABE"/>
    <w:rsid w:val="00647BF4"/>
    <w:rsid w:val="00647DD4"/>
    <w:rsid w:val="006508EE"/>
    <w:rsid w:val="0065090D"/>
    <w:rsid w:val="0065095A"/>
    <w:rsid w:val="00650DFF"/>
    <w:rsid w:val="00650F29"/>
    <w:rsid w:val="00651039"/>
    <w:rsid w:val="00651537"/>
    <w:rsid w:val="0065157C"/>
    <w:rsid w:val="006515DD"/>
    <w:rsid w:val="00651786"/>
    <w:rsid w:val="0065178B"/>
    <w:rsid w:val="006517C7"/>
    <w:rsid w:val="00652147"/>
    <w:rsid w:val="006522EB"/>
    <w:rsid w:val="006524C8"/>
    <w:rsid w:val="0065319C"/>
    <w:rsid w:val="00653240"/>
    <w:rsid w:val="006533DB"/>
    <w:rsid w:val="006534A2"/>
    <w:rsid w:val="006534F8"/>
    <w:rsid w:val="0065356E"/>
    <w:rsid w:val="006535BE"/>
    <w:rsid w:val="0065367A"/>
    <w:rsid w:val="006536CE"/>
    <w:rsid w:val="006536D3"/>
    <w:rsid w:val="00653725"/>
    <w:rsid w:val="0065374A"/>
    <w:rsid w:val="00653964"/>
    <w:rsid w:val="00653A8A"/>
    <w:rsid w:val="00653B23"/>
    <w:rsid w:val="00653F42"/>
    <w:rsid w:val="00654212"/>
    <w:rsid w:val="00654487"/>
    <w:rsid w:val="006544EA"/>
    <w:rsid w:val="00654784"/>
    <w:rsid w:val="00654DA2"/>
    <w:rsid w:val="00654E8C"/>
    <w:rsid w:val="00654F1C"/>
    <w:rsid w:val="00655087"/>
    <w:rsid w:val="0065574A"/>
    <w:rsid w:val="00656743"/>
    <w:rsid w:val="0065698F"/>
    <w:rsid w:val="006569CC"/>
    <w:rsid w:val="00656CAC"/>
    <w:rsid w:val="00656E2D"/>
    <w:rsid w:val="00656E38"/>
    <w:rsid w:val="00656F48"/>
    <w:rsid w:val="00657219"/>
    <w:rsid w:val="0065771D"/>
    <w:rsid w:val="00657946"/>
    <w:rsid w:val="00657A48"/>
    <w:rsid w:val="00660031"/>
    <w:rsid w:val="00660051"/>
    <w:rsid w:val="006603B8"/>
    <w:rsid w:val="00660BF0"/>
    <w:rsid w:val="00660C3D"/>
    <w:rsid w:val="00660D60"/>
    <w:rsid w:val="0066118B"/>
    <w:rsid w:val="006612F6"/>
    <w:rsid w:val="006617E5"/>
    <w:rsid w:val="00662557"/>
    <w:rsid w:val="00662666"/>
    <w:rsid w:val="006629CC"/>
    <w:rsid w:val="00662E44"/>
    <w:rsid w:val="00663047"/>
    <w:rsid w:val="00663687"/>
    <w:rsid w:val="00663B11"/>
    <w:rsid w:val="00663CB4"/>
    <w:rsid w:val="00663CD0"/>
    <w:rsid w:val="00663E4F"/>
    <w:rsid w:val="006643D3"/>
    <w:rsid w:val="00664422"/>
    <w:rsid w:val="00664560"/>
    <w:rsid w:val="00664696"/>
    <w:rsid w:val="0066493D"/>
    <w:rsid w:val="00664BB6"/>
    <w:rsid w:val="00664E74"/>
    <w:rsid w:val="006651CB"/>
    <w:rsid w:val="00665295"/>
    <w:rsid w:val="00665C2B"/>
    <w:rsid w:val="00665FE1"/>
    <w:rsid w:val="006661EA"/>
    <w:rsid w:val="006663D9"/>
    <w:rsid w:val="0066678B"/>
    <w:rsid w:val="006676F0"/>
    <w:rsid w:val="006678F5"/>
    <w:rsid w:val="006679EC"/>
    <w:rsid w:val="00670DD1"/>
    <w:rsid w:val="00671162"/>
    <w:rsid w:val="0067172E"/>
    <w:rsid w:val="00671D5D"/>
    <w:rsid w:val="0067204B"/>
    <w:rsid w:val="00672170"/>
    <w:rsid w:val="006723B6"/>
    <w:rsid w:val="00672474"/>
    <w:rsid w:val="00672624"/>
    <w:rsid w:val="00672EEC"/>
    <w:rsid w:val="00673087"/>
    <w:rsid w:val="006739A3"/>
    <w:rsid w:val="00674370"/>
    <w:rsid w:val="006745AF"/>
    <w:rsid w:val="00674B0C"/>
    <w:rsid w:val="00674DF2"/>
    <w:rsid w:val="00674F55"/>
    <w:rsid w:val="00675059"/>
    <w:rsid w:val="006750C4"/>
    <w:rsid w:val="00675A54"/>
    <w:rsid w:val="006761F8"/>
    <w:rsid w:val="00676699"/>
    <w:rsid w:val="00676B7E"/>
    <w:rsid w:val="00676BA9"/>
    <w:rsid w:val="00676DE2"/>
    <w:rsid w:val="006772A8"/>
    <w:rsid w:val="006776F4"/>
    <w:rsid w:val="00677F32"/>
    <w:rsid w:val="0068001D"/>
    <w:rsid w:val="00680414"/>
    <w:rsid w:val="006804F3"/>
    <w:rsid w:val="006807C5"/>
    <w:rsid w:val="0068090B"/>
    <w:rsid w:val="00680F58"/>
    <w:rsid w:val="00681430"/>
    <w:rsid w:val="00681496"/>
    <w:rsid w:val="006815F2"/>
    <w:rsid w:val="006817E6"/>
    <w:rsid w:val="00681AD9"/>
    <w:rsid w:val="00681C34"/>
    <w:rsid w:val="00681F93"/>
    <w:rsid w:val="0068207B"/>
    <w:rsid w:val="00682123"/>
    <w:rsid w:val="00682758"/>
    <w:rsid w:val="00682E64"/>
    <w:rsid w:val="00682FA5"/>
    <w:rsid w:val="00683900"/>
    <w:rsid w:val="00683D4C"/>
    <w:rsid w:val="00683EB7"/>
    <w:rsid w:val="00683F9C"/>
    <w:rsid w:val="0068441C"/>
    <w:rsid w:val="00684DA8"/>
    <w:rsid w:val="00684DD0"/>
    <w:rsid w:val="00685970"/>
    <w:rsid w:val="00686292"/>
    <w:rsid w:val="0068660D"/>
    <w:rsid w:val="00686925"/>
    <w:rsid w:val="00686CF6"/>
    <w:rsid w:val="00686D74"/>
    <w:rsid w:val="00686E5C"/>
    <w:rsid w:val="00686ED1"/>
    <w:rsid w:val="00686F61"/>
    <w:rsid w:val="00687252"/>
    <w:rsid w:val="00687DC5"/>
    <w:rsid w:val="00687EEB"/>
    <w:rsid w:val="00690210"/>
    <w:rsid w:val="00690212"/>
    <w:rsid w:val="00690237"/>
    <w:rsid w:val="00690303"/>
    <w:rsid w:val="0069040F"/>
    <w:rsid w:val="00690A8A"/>
    <w:rsid w:val="00690A99"/>
    <w:rsid w:val="00691241"/>
    <w:rsid w:val="0069139E"/>
    <w:rsid w:val="00691A33"/>
    <w:rsid w:val="00691C02"/>
    <w:rsid w:val="00692000"/>
    <w:rsid w:val="006920A0"/>
    <w:rsid w:val="0069210C"/>
    <w:rsid w:val="00692210"/>
    <w:rsid w:val="006925A2"/>
    <w:rsid w:val="006925BB"/>
    <w:rsid w:val="0069265D"/>
    <w:rsid w:val="006926F9"/>
    <w:rsid w:val="00692776"/>
    <w:rsid w:val="00692C34"/>
    <w:rsid w:val="00692CB4"/>
    <w:rsid w:val="00693129"/>
    <w:rsid w:val="006935AC"/>
    <w:rsid w:val="00694386"/>
    <w:rsid w:val="006943BB"/>
    <w:rsid w:val="006943F8"/>
    <w:rsid w:val="00694610"/>
    <w:rsid w:val="006948DF"/>
    <w:rsid w:val="00694972"/>
    <w:rsid w:val="006949C2"/>
    <w:rsid w:val="006950D7"/>
    <w:rsid w:val="006950F2"/>
    <w:rsid w:val="00695561"/>
    <w:rsid w:val="00696474"/>
    <w:rsid w:val="006964E1"/>
    <w:rsid w:val="006964F1"/>
    <w:rsid w:val="00696564"/>
    <w:rsid w:val="006965F0"/>
    <w:rsid w:val="006969E1"/>
    <w:rsid w:val="00696AB1"/>
    <w:rsid w:val="0069711D"/>
    <w:rsid w:val="00697B49"/>
    <w:rsid w:val="006A01B9"/>
    <w:rsid w:val="006A01C4"/>
    <w:rsid w:val="006A0219"/>
    <w:rsid w:val="006A0479"/>
    <w:rsid w:val="006A048C"/>
    <w:rsid w:val="006A072E"/>
    <w:rsid w:val="006A0773"/>
    <w:rsid w:val="006A0777"/>
    <w:rsid w:val="006A0882"/>
    <w:rsid w:val="006A116B"/>
    <w:rsid w:val="006A139A"/>
    <w:rsid w:val="006A1E56"/>
    <w:rsid w:val="006A21B6"/>
    <w:rsid w:val="006A26E5"/>
    <w:rsid w:val="006A283E"/>
    <w:rsid w:val="006A29EC"/>
    <w:rsid w:val="006A2A7E"/>
    <w:rsid w:val="006A2BE6"/>
    <w:rsid w:val="006A2E7B"/>
    <w:rsid w:val="006A3043"/>
    <w:rsid w:val="006A30DC"/>
    <w:rsid w:val="006A31D4"/>
    <w:rsid w:val="006A3409"/>
    <w:rsid w:val="006A342C"/>
    <w:rsid w:val="006A358E"/>
    <w:rsid w:val="006A361D"/>
    <w:rsid w:val="006A3B9F"/>
    <w:rsid w:val="006A3D8D"/>
    <w:rsid w:val="006A3FA9"/>
    <w:rsid w:val="006A477C"/>
    <w:rsid w:val="006A4E90"/>
    <w:rsid w:val="006A4F64"/>
    <w:rsid w:val="006A52F5"/>
    <w:rsid w:val="006A54FC"/>
    <w:rsid w:val="006A5584"/>
    <w:rsid w:val="006A5E0B"/>
    <w:rsid w:val="006A6BBD"/>
    <w:rsid w:val="006A6DDE"/>
    <w:rsid w:val="006A6F3A"/>
    <w:rsid w:val="006A7773"/>
    <w:rsid w:val="006A77EE"/>
    <w:rsid w:val="006A796C"/>
    <w:rsid w:val="006A7C6C"/>
    <w:rsid w:val="006A7E6D"/>
    <w:rsid w:val="006B0134"/>
    <w:rsid w:val="006B0B90"/>
    <w:rsid w:val="006B0D03"/>
    <w:rsid w:val="006B0D9C"/>
    <w:rsid w:val="006B0DFB"/>
    <w:rsid w:val="006B1013"/>
    <w:rsid w:val="006B122F"/>
    <w:rsid w:val="006B12FF"/>
    <w:rsid w:val="006B17F5"/>
    <w:rsid w:val="006B26C5"/>
    <w:rsid w:val="006B2769"/>
    <w:rsid w:val="006B279E"/>
    <w:rsid w:val="006B2989"/>
    <w:rsid w:val="006B2C04"/>
    <w:rsid w:val="006B2EF1"/>
    <w:rsid w:val="006B30FD"/>
    <w:rsid w:val="006B38AE"/>
    <w:rsid w:val="006B39AC"/>
    <w:rsid w:val="006B3DD3"/>
    <w:rsid w:val="006B428B"/>
    <w:rsid w:val="006B465E"/>
    <w:rsid w:val="006B47BF"/>
    <w:rsid w:val="006B485D"/>
    <w:rsid w:val="006B4CC2"/>
    <w:rsid w:val="006B4CDD"/>
    <w:rsid w:val="006B5175"/>
    <w:rsid w:val="006B573F"/>
    <w:rsid w:val="006B590B"/>
    <w:rsid w:val="006B6076"/>
    <w:rsid w:val="006B6087"/>
    <w:rsid w:val="006B626D"/>
    <w:rsid w:val="006B6502"/>
    <w:rsid w:val="006B685F"/>
    <w:rsid w:val="006B6B65"/>
    <w:rsid w:val="006B7000"/>
    <w:rsid w:val="006B707E"/>
    <w:rsid w:val="006B7144"/>
    <w:rsid w:val="006B75F5"/>
    <w:rsid w:val="006B790C"/>
    <w:rsid w:val="006B794D"/>
    <w:rsid w:val="006B79D5"/>
    <w:rsid w:val="006B7D7B"/>
    <w:rsid w:val="006B7F11"/>
    <w:rsid w:val="006B7F33"/>
    <w:rsid w:val="006C02CD"/>
    <w:rsid w:val="006C0B79"/>
    <w:rsid w:val="006C16AB"/>
    <w:rsid w:val="006C16E2"/>
    <w:rsid w:val="006C1F00"/>
    <w:rsid w:val="006C22F5"/>
    <w:rsid w:val="006C251E"/>
    <w:rsid w:val="006C3225"/>
    <w:rsid w:val="006C3628"/>
    <w:rsid w:val="006C3B3D"/>
    <w:rsid w:val="006C44E3"/>
    <w:rsid w:val="006C4CBF"/>
    <w:rsid w:val="006C4E12"/>
    <w:rsid w:val="006C4EF6"/>
    <w:rsid w:val="006C5931"/>
    <w:rsid w:val="006C59A0"/>
    <w:rsid w:val="006C5EB3"/>
    <w:rsid w:val="006C63A9"/>
    <w:rsid w:val="006C63D2"/>
    <w:rsid w:val="006C68B2"/>
    <w:rsid w:val="006C69AC"/>
    <w:rsid w:val="006C6A6F"/>
    <w:rsid w:val="006C6BB4"/>
    <w:rsid w:val="006C7149"/>
    <w:rsid w:val="006C7683"/>
    <w:rsid w:val="006C798E"/>
    <w:rsid w:val="006C7BD4"/>
    <w:rsid w:val="006C7BD8"/>
    <w:rsid w:val="006D04DD"/>
    <w:rsid w:val="006D0524"/>
    <w:rsid w:val="006D0850"/>
    <w:rsid w:val="006D085A"/>
    <w:rsid w:val="006D0C68"/>
    <w:rsid w:val="006D0E4E"/>
    <w:rsid w:val="006D1696"/>
    <w:rsid w:val="006D1A6B"/>
    <w:rsid w:val="006D1B2A"/>
    <w:rsid w:val="006D1C34"/>
    <w:rsid w:val="006D1FAE"/>
    <w:rsid w:val="006D2183"/>
    <w:rsid w:val="006D2367"/>
    <w:rsid w:val="006D23E8"/>
    <w:rsid w:val="006D2695"/>
    <w:rsid w:val="006D26B2"/>
    <w:rsid w:val="006D28F1"/>
    <w:rsid w:val="006D2BE9"/>
    <w:rsid w:val="006D2CF0"/>
    <w:rsid w:val="006D2EBD"/>
    <w:rsid w:val="006D3017"/>
    <w:rsid w:val="006D344E"/>
    <w:rsid w:val="006D3A37"/>
    <w:rsid w:val="006D3B0E"/>
    <w:rsid w:val="006D3C30"/>
    <w:rsid w:val="006D3C87"/>
    <w:rsid w:val="006D4A1B"/>
    <w:rsid w:val="006D4C35"/>
    <w:rsid w:val="006D509E"/>
    <w:rsid w:val="006D5314"/>
    <w:rsid w:val="006D54A0"/>
    <w:rsid w:val="006D54AF"/>
    <w:rsid w:val="006D59BE"/>
    <w:rsid w:val="006D5B26"/>
    <w:rsid w:val="006D5D9B"/>
    <w:rsid w:val="006D60D8"/>
    <w:rsid w:val="006D6871"/>
    <w:rsid w:val="006D68E6"/>
    <w:rsid w:val="006D6FB9"/>
    <w:rsid w:val="006D6FCD"/>
    <w:rsid w:val="006D7016"/>
    <w:rsid w:val="006D70E7"/>
    <w:rsid w:val="006D7112"/>
    <w:rsid w:val="006D7261"/>
    <w:rsid w:val="006D75CD"/>
    <w:rsid w:val="006D7BB4"/>
    <w:rsid w:val="006D7CB3"/>
    <w:rsid w:val="006D7D14"/>
    <w:rsid w:val="006D7D15"/>
    <w:rsid w:val="006D7F07"/>
    <w:rsid w:val="006D7F95"/>
    <w:rsid w:val="006E026E"/>
    <w:rsid w:val="006E03CB"/>
    <w:rsid w:val="006E0591"/>
    <w:rsid w:val="006E0A9E"/>
    <w:rsid w:val="006E0C30"/>
    <w:rsid w:val="006E0DC7"/>
    <w:rsid w:val="006E0DFF"/>
    <w:rsid w:val="006E1848"/>
    <w:rsid w:val="006E1A3E"/>
    <w:rsid w:val="006E1C11"/>
    <w:rsid w:val="006E1F35"/>
    <w:rsid w:val="006E2083"/>
    <w:rsid w:val="006E2409"/>
    <w:rsid w:val="006E28AD"/>
    <w:rsid w:val="006E2B86"/>
    <w:rsid w:val="006E2C27"/>
    <w:rsid w:val="006E2FAB"/>
    <w:rsid w:val="006E3524"/>
    <w:rsid w:val="006E3BC6"/>
    <w:rsid w:val="006E3CEF"/>
    <w:rsid w:val="006E4097"/>
    <w:rsid w:val="006E40EA"/>
    <w:rsid w:val="006E4216"/>
    <w:rsid w:val="006E462D"/>
    <w:rsid w:val="006E46FA"/>
    <w:rsid w:val="006E47D2"/>
    <w:rsid w:val="006E4975"/>
    <w:rsid w:val="006E4A45"/>
    <w:rsid w:val="006E4D70"/>
    <w:rsid w:val="006E51FE"/>
    <w:rsid w:val="006E5AEB"/>
    <w:rsid w:val="006E5CA1"/>
    <w:rsid w:val="006E5E26"/>
    <w:rsid w:val="006E5F23"/>
    <w:rsid w:val="006E60B8"/>
    <w:rsid w:val="006E62D2"/>
    <w:rsid w:val="006E633F"/>
    <w:rsid w:val="006E63E5"/>
    <w:rsid w:val="006E69F8"/>
    <w:rsid w:val="006E6D4C"/>
    <w:rsid w:val="006E6D61"/>
    <w:rsid w:val="006E71EF"/>
    <w:rsid w:val="006E7288"/>
    <w:rsid w:val="006E72E1"/>
    <w:rsid w:val="006E7A87"/>
    <w:rsid w:val="006E7BE8"/>
    <w:rsid w:val="006E7C21"/>
    <w:rsid w:val="006E7CB5"/>
    <w:rsid w:val="006E7FA3"/>
    <w:rsid w:val="006F06F7"/>
    <w:rsid w:val="006F06FB"/>
    <w:rsid w:val="006F0842"/>
    <w:rsid w:val="006F0A71"/>
    <w:rsid w:val="006F0C64"/>
    <w:rsid w:val="006F0C6F"/>
    <w:rsid w:val="006F0CD2"/>
    <w:rsid w:val="006F1253"/>
    <w:rsid w:val="006F180E"/>
    <w:rsid w:val="006F2110"/>
    <w:rsid w:val="006F262B"/>
    <w:rsid w:val="006F26B0"/>
    <w:rsid w:val="006F2702"/>
    <w:rsid w:val="006F2DAC"/>
    <w:rsid w:val="006F32D7"/>
    <w:rsid w:val="006F32FC"/>
    <w:rsid w:val="006F34E1"/>
    <w:rsid w:val="006F3EEC"/>
    <w:rsid w:val="006F3FB5"/>
    <w:rsid w:val="006F4344"/>
    <w:rsid w:val="006F438B"/>
    <w:rsid w:val="006F47BE"/>
    <w:rsid w:val="006F48D0"/>
    <w:rsid w:val="006F496A"/>
    <w:rsid w:val="006F4AA7"/>
    <w:rsid w:val="006F4AD5"/>
    <w:rsid w:val="006F4F1D"/>
    <w:rsid w:val="006F58A5"/>
    <w:rsid w:val="006F59B9"/>
    <w:rsid w:val="006F5C28"/>
    <w:rsid w:val="006F5C6E"/>
    <w:rsid w:val="006F61B7"/>
    <w:rsid w:val="006F61F3"/>
    <w:rsid w:val="006F6326"/>
    <w:rsid w:val="006F683A"/>
    <w:rsid w:val="006F68BD"/>
    <w:rsid w:val="006F69A6"/>
    <w:rsid w:val="006F6AF7"/>
    <w:rsid w:val="006F6CD3"/>
    <w:rsid w:val="006F6F9E"/>
    <w:rsid w:val="006F795D"/>
    <w:rsid w:val="006F79B2"/>
    <w:rsid w:val="006F7B27"/>
    <w:rsid w:val="006F7CC2"/>
    <w:rsid w:val="006F7FE1"/>
    <w:rsid w:val="007001B7"/>
    <w:rsid w:val="007004DB"/>
    <w:rsid w:val="00700605"/>
    <w:rsid w:val="00700653"/>
    <w:rsid w:val="007008CB"/>
    <w:rsid w:val="00700B16"/>
    <w:rsid w:val="00700D67"/>
    <w:rsid w:val="007010F2"/>
    <w:rsid w:val="0070159C"/>
    <w:rsid w:val="00701ACD"/>
    <w:rsid w:val="00701DF5"/>
    <w:rsid w:val="00702506"/>
    <w:rsid w:val="00702E48"/>
    <w:rsid w:val="0070300B"/>
    <w:rsid w:val="0070329B"/>
    <w:rsid w:val="007032E3"/>
    <w:rsid w:val="007036E6"/>
    <w:rsid w:val="0070393C"/>
    <w:rsid w:val="00704534"/>
    <w:rsid w:val="007046FE"/>
    <w:rsid w:val="0070480B"/>
    <w:rsid w:val="00704C3F"/>
    <w:rsid w:val="00704C74"/>
    <w:rsid w:val="00704D96"/>
    <w:rsid w:val="00704E0A"/>
    <w:rsid w:val="0070527C"/>
    <w:rsid w:val="0070552A"/>
    <w:rsid w:val="00705816"/>
    <w:rsid w:val="00705C6A"/>
    <w:rsid w:val="00705DAA"/>
    <w:rsid w:val="00705DE0"/>
    <w:rsid w:val="007060AB"/>
    <w:rsid w:val="0070624A"/>
    <w:rsid w:val="0070644D"/>
    <w:rsid w:val="007064D6"/>
    <w:rsid w:val="00706A09"/>
    <w:rsid w:val="00706A42"/>
    <w:rsid w:val="00706B5E"/>
    <w:rsid w:val="00706BEB"/>
    <w:rsid w:val="00706F91"/>
    <w:rsid w:val="0070717B"/>
    <w:rsid w:val="00707604"/>
    <w:rsid w:val="007077C7"/>
    <w:rsid w:val="00707986"/>
    <w:rsid w:val="007079D3"/>
    <w:rsid w:val="00707D9E"/>
    <w:rsid w:val="00707F3F"/>
    <w:rsid w:val="00710088"/>
    <w:rsid w:val="00710134"/>
    <w:rsid w:val="007101AD"/>
    <w:rsid w:val="0071028A"/>
    <w:rsid w:val="0071052B"/>
    <w:rsid w:val="00710940"/>
    <w:rsid w:val="00710AF1"/>
    <w:rsid w:val="00710DD6"/>
    <w:rsid w:val="007110CF"/>
    <w:rsid w:val="007119D0"/>
    <w:rsid w:val="00711AD2"/>
    <w:rsid w:val="00711F89"/>
    <w:rsid w:val="007120E1"/>
    <w:rsid w:val="0071210C"/>
    <w:rsid w:val="007122BE"/>
    <w:rsid w:val="00712582"/>
    <w:rsid w:val="007125DF"/>
    <w:rsid w:val="00712812"/>
    <w:rsid w:val="00712892"/>
    <w:rsid w:val="007128A9"/>
    <w:rsid w:val="00712D15"/>
    <w:rsid w:val="00712FCA"/>
    <w:rsid w:val="00713149"/>
    <w:rsid w:val="007131C9"/>
    <w:rsid w:val="00713972"/>
    <w:rsid w:val="00713ED4"/>
    <w:rsid w:val="007141F3"/>
    <w:rsid w:val="0071442C"/>
    <w:rsid w:val="00714CE9"/>
    <w:rsid w:val="007150A5"/>
    <w:rsid w:val="007153B6"/>
    <w:rsid w:val="007157CB"/>
    <w:rsid w:val="00715965"/>
    <w:rsid w:val="00715A23"/>
    <w:rsid w:val="00715D34"/>
    <w:rsid w:val="00715D50"/>
    <w:rsid w:val="0071648F"/>
    <w:rsid w:val="00716B0A"/>
    <w:rsid w:val="00716E10"/>
    <w:rsid w:val="007170F6"/>
    <w:rsid w:val="00717587"/>
    <w:rsid w:val="00717708"/>
    <w:rsid w:val="00717920"/>
    <w:rsid w:val="00717BA1"/>
    <w:rsid w:val="007201E2"/>
    <w:rsid w:val="007202B6"/>
    <w:rsid w:val="00720BDC"/>
    <w:rsid w:val="007212BC"/>
    <w:rsid w:val="0072130F"/>
    <w:rsid w:val="0072148B"/>
    <w:rsid w:val="00721556"/>
    <w:rsid w:val="007215D5"/>
    <w:rsid w:val="00721D2D"/>
    <w:rsid w:val="007221DC"/>
    <w:rsid w:val="007222BB"/>
    <w:rsid w:val="00722455"/>
    <w:rsid w:val="007228CB"/>
    <w:rsid w:val="00722E54"/>
    <w:rsid w:val="00722E74"/>
    <w:rsid w:val="00723105"/>
    <w:rsid w:val="007234B1"/>
    <w:rsid w:val="00723632"/>
    <w:rsid w:val="00723E53"/>
    <w:rsid w:val="00723EF4"/>
    <w:rsid w:val="007240B5"/>
    <w:rsid w:val="00724107"/>
    <w:rsid w:val="007244D6"/>
    <w:rsid w:val="00724801"/>
    <w:rsid w:val="00724A3F"/>
    <w:rsid w:val="00724E51"/>
    <w:rsid w:val="007251A4"/>
    <w:rsid w:val="00725B6A"/>
    <w:rsid w:val="00725F67"/>
    <w:rsid w:val="007261DC"/>
    <w:rsid w:val="00726201"/>
    <w:rsid w:val="00726236"/>
    <w:rsid w:val="007268CB"/>
    <w:rsid w:val="0072693E"/>
    <w:rsid w:val="00726BCF"/>
    <w:rsid w:val="00726C1B"/>
    <w:rsid w:val="00726E01"/>
    <w:rsid w:val="00726E59"/>
    <w:rsid w:val="0072715A"/>
    <w:rsid w:val="00727585"/>
    <w:rsid w:val="007278B1"/>
    <w:rsid w:val="00727D37"/>
    <w:rsid w:val="0073034C"/>
    <w:rsid w:val="007303A9"/>
    <w:rsid w:val="00730435"/>
    <w:rsid w:val="00730535"/>
    <w:rsid w:val="00730ADA"/>
    <w:rsid w:val="00730E05"/>
    <w:rsid w:val="00730F4D"/>
    <w:rsid w:val="00731042"/>
    <w:rsid w:val="0073180E"/>
    <w:rsid w:val="007318BE"/>
    <w:rsid w:val="00731E10"/>
    <w:rsid w:val="00732069"/>
    <w:rsid w:val="007324DE"/>
    <w:rsid w:val="00732679"/>
    <w:rsid w:val="0073290A"/>
    <w:rsid w:val="0073299D"/>
    <w:rsid w:val="00733488"/>
    <w:rsid w:val="0073384B"/>
    <w:rsid w:val="00733AAA"/>
    <w:rsid w:val="00733B05"/>
    <w:rsid w:val="007340DC"/>
    <w:rsid w:val="007344C5"/>
    <w:rsid w:val="0073471C"/>
    <w:rsid w:val="0073475C"/>
    <w:rsid w:val="00734917"/>
    <w:rsid w:val="00734D74"/>
    <w:rsid w:val="007356C2"/>
    <w:rsid w:val="00735B61"/>
    <w:rsid w:val="0073613A"/>
    <w:rsid w:val="0073613C"/>
    <w:rsid w:val="007361C9"/>
    <w:rsid w:val="007365EA"/>
    <w:rsid w:val="00736849"/>
    <w:rsid w:val="007368CC"/>
    <w:rsid w:val="007375C7"/>
    <w:rsid w:val="0073769F"/>
    <w:rsid w:val="00737ACE"/>
    <w:rsid w:val="0074002E"/>
    <w:rsid w:val="00740143"/>
    <w:rsid w:val="007402F4"/>
    <w:rsid w:val="007406DE"/>
    <w:rsid w:val="0074097A"/>
    <w:rsid w:val="00740AC1"/>
    <w:rsid w:val="00740C96"/>
    <w:rsid w:val="00740E28"/>
    <w:rsid w:val="00741041"/>
    <w:rsid w:val="00741D2D"/>
    <w:rsid w:val="00741E17"/>
    <w:rsid w:val="00742368"/>
    <w:rsid w:val="00742440"/>
    <w:rsid w:val="00742679"/>
    <w:rsid w:val="007432B0"/>
    <w:rsid w:val="007439FF"/>
    <w:rsid w:val="00743E63"/>
    <w:rsid w:val="00743E8B"/>
    <w:rsid w:val="0074403B"/>
    <w:rsid w:val="007440DD"/>
    <w:rsid w:val="00744290"/>
    <w:rsid w:val="007444F5"/>
    <w:rsid w:val="0074497E"/>
    <w:rsid w:val="0074541D"/>
    <w:rsid w:val="007455A8"/>
    <w:rsid w:val="00745C8F"/>
    <w:rsid w:val="00745ED1"/>
    <w:rsid w:val="0074616D"/>
    <w:rsid w:val="00746C9E"/>
    <w:rsid w:val="00746CEA"/>
    <w:rsid w:val="00747169"/>
    <w:rsid w:val="007473AB"/>
    <w:rsid w:val="00747548"/>
    <w:rsid w:val="0074785F"/>
    <w:rsid w:val="00747BF7"/>
    <w:rsid w:val="00747C18"/>
    <w:rsid w:val="00747D4D"/>
    <w:rsid w:val="00750013"/>
    <w:rsid w:val="007503DD"/>
    <w:rsid w:val="0075095B"/>
    <w:rsid w:val="00750F86"/>
    <w:rsid w:val="00750FD1"/>
    <w:rsid w:val="007510B4"/>
    <w:rsid w:val="00751A84"/>
    <w:rsid w:val="00751E1D"/>
    <w:rsid w:val="007521C1"/>
    <w:rsid w:val="0075238A"/>
    <w:rsid w:val="00752712"/>
    <w:rsid w:val="00752771"/>
    <w:rsid w:val="00752D21"/>
    <w:rsid w:val="00753024"/>
    <w:rsid w:val="007532AD"/>
    <w:rsid w:val="0075359F"/>
    <w:rsid w:val="00753D87"/>
    <w:rsid w:val="00753EDE"/>
    <w:rsid w:val="00753F46"/>
    <w:rsid w:val="00753F49"/>
    <w:rsid w:val="0075402D"/>
    <w:rsid w:val="007543C4"/>
    <w:rsid w:val="0075452E"/>
    <w:rsid w:val="0075480B"/>
    <w:rsid w:val="0075481C"/>
    <w:rsid w:val="00754927"/>
    <w:rsid w:val="007549D6"/>
    <w:rsid w:val="007550C2"/>
    <w:rsid w:val="00755169"/>
    <w:rsid w:val="00755516"/>
    <w:rsid w:val="00755BC8"/>
    <w:rsid w:val="00755E8C"/>
    <w:rsid w:val="0075679E"/>
    <w:rsid w:val="0075688A"/>
    <w:rsid w:val="007569A2"/>
    <w:rsid w:val="00756BE5"/>
    <w:rsid w:val="00756D30"/>
    <w:rsid w:val="00756FD3"/>
    <w:rsid w:val="00756FFB"/>
    <w:rsid w:val="0075731F"/>
    <w:rsid w:val="0075773C"/>
    <w:rsid w:val="0075799E"/>
    <w:rsid w:val="00757D2A"/>
    <w:rsid w:val="007601A5"/>
    <w:rsid w:val="007602B6"/>
    <w:rsid w:val="00760A7C"/>
    <w:rsid w:val="00760B32"/>
    <w:rsid w:val="00760D2B"/>
    <w:rsid w:val="007614CB"/>
    <w:rsid w:val="00761616"/>
    <w:rsid w:val="00761733"/>
    <w:rsid w:val="007617A3"/>
    <w:rsid w:val="0076212E"/>
    <w:rsid w:val="00762206"/>
    <w:rsid w:val="007624CD"/>
    <w:rsid w:val="0076254E"/>
    <w:rsid w:val="00762CAD"/>
    <w:rsid w:val="007636C2"/>
    <w:rsid w:val="00763818"/>
    <w:rsid w:val="0076388A"/>
    <w:rsid w:val="007644F9"/>
    <w:rsid w:val="007646CD"/>
    <w:rsid w:val="00764C3E"/>
    <w:rsid w:val="00764C58"/>
    <w:rsid w:val="0076512D"/>
    <w:rsid w:val="0076560C"/>
    <w:rsid w:val="007657EB"/>
    <w:rsid w:val="00765847"/>
    <w:rsid w:val="00766184"/>
    <w:rsid w:val="00766256"/>
    <w:rsid w:val="00766942"/>
    <w:rsid w:val="00766AC0"/>
    <w:rsid w:val="00766C74"/>
    <w:rsid w:val="00766CBB"/>
    <w:rsid w:val="00766E66"/>
    <w:rsid w:val="00767034"/>
    <w:rsid w:val="0076713A"/>
    <w:rsid w:val="00767251"/>
    <w:rsid w:val="007672BD"/>
    <w:rsid w:val="00767457"/>
    <w:rsid w:val="00767570"/>
    <w:rsid w:val="00767785"/>
    <w:rsid w:val="00767A0E"/>
    <w:rsid w:val="00767C20"/>
    <w:rsid w:val="00767E63"/>
    <w:rsid w:val="007700F9"/>
    <w:rsid w:val="007701E1"/>
    <w:rsid w:val="007709AE"/>
    <w:rsid w:val="00770A0F"/>
    <w:rsid w:val="00770D89"/>
    <w:rsid w:val="00770F30"/>
    <w:rsid w:val="007710D9"/>
    <w:rsid w:val="007713B8"/>
    <w:rsid w:val="007718C3"/>
    <w:rsid w:val="00772169"/>
    <w:rsid w:val="0077244A"/>
    <w:rsid w:val="00772A81"/>
    <w:rsid w:val="00772BCF"/>
    <w:rsid w:val="00772C10"/>
    <w:rsid w:val="007731E6"/>
    <w:rsid w:val="00773211"/>
    <w:rsid w:val="007735F8"/>
    <w:rsid w:val="00773EF9"/>
    <w:rsid w:val="00773FEE"/>
    <w:rsid w:val="00775064"/>
    <w:rsid w:val="00775400"/>
    <w:rsid w:val="00775584"/>
    <w:rsid w:val="007764D7"/>
    <w:rsid w:val="00776A4F"/>
    <w:rsid w:val="00776BB2"/>
    <w:rsid w:val="00776D7A"/>
    <w:rsid w:val="0077739C"/>
    <w:rsid w:val="007775AE"/>
    <w:rsid w:val="007778BD"/>
    <w:rsid w:val="007778F4"/>
    <w:rsid w:val="007779BC"/>
    <w:rsid w:val="0078001A"/>
    <w:rsid w:val="007803B7"/>
    <w:rsid w:val="007803BE"/>
    <w:rsid w:val="0078061E"/>
    <w:rsid w:val="00780DDE"/>
    <w:rsid w:val="0078107C"/>
    <w:rsid w:val="00781466"/>
    <w:rsid w:val="00781657"/>
    <w:rsid w:val="00781A4C"/>
    <w:rsid w:val="00781B3C"/>
    <w:rsid w:val="00781DBF"/>
    <w:rsid w:val="00781FF3"/>
    <w:rsid w:val="00782304"/>
    <w:rsid w:val="007828A3"/>
    <w:rsid w:val="00782937"/>
    <w:rsid w:val="00783192"/>
    <w:rsid w:val="00783355"/>
    <w:rsid w:val="00783BC9"/>
    <w:rsid w:val="00783DA5"/>
    <w:rsid w:val="00783E1C"/>
    <w:rsid w:val="0078454B"/>
    <w:rsid w:val="0078455A"/>
    <w:rsid w:val="00784A2A"/>
    <w:rsid w:val="00784AEA"/>
    <w:rsid w:val="00784D64"/>
    <w:rsid w:val="007851D5"/>
    <w:rsid w:val="007853E8"/>
    <w:rsid w:val="0078564F"/>
    <w:rsid w:val="00785973"/>
    <w:rsid w:val="00785B47"/>
    <w:rsid w:val="00785EA6"/>
    <w:rsid w:val="00786081"/>
    <w:rsid w:val="007860DF"/>
    <w:rsid w:val="00786142"/>
    <w:rsid w:val="00786342"/>
    <w:rsid w:val="00787309"/>
    <w:rsid w:val="007876C9"/>
    <w:rsid w:val="00787B4C"/>
    <w:rsid w:val="007903AA"/>
    <w:rsid w:val="00790539"/>
    <w:rsid w:val="00790E9F"/>
    <w:rsid w:val="00790FE3"/>
    <w:rsid w:val="007918C3"/>
    <w:rsid w:val="00791D1E"/>
    <w:rsid w:val="007923F1"/>
    <w:rsid w:val="0079272C"/>
    <w:rsid w:val="00792730"/>
    <w:rsid w:val="00792C86"/>
    <w:rsid w:val="00792E0D"/>
    <w:rsid w:val="00792ED1"/>
    <w:rsid w:val="007937D0"/>
    <w:rsid w:val="00793E5B"/>
    <w:rsid w:val="0079408A"/>
    <w:rsid w:val="00794332"/>
    <w:rsid w:val="00794720"/>
    <w:rsid w:val="007947C7"/>
    <w:rsid w:val="007947EF"/>
    <w:rsid w:val="00794979"/>
    <w:rsid w:val="007949DB"/>
    <w:rsid w:val="00794B25"/>
    <w:rsid w:val="00794C84"/>
    <w:rsid w:val="00794E69"/>
    <w:rsid w:val="00795159"/>
    <w:rsid w:val="00795907"/>
    <w:rsid w:val="007959E2"/>
    <w:rsid w:val="00795ADF"/>
    <w:rsid w:val="00795C3F"/>
    <w:rsid w:val="00795F2F"/>
    <w:rsid w:val="007960E9"/>
    <w:rsid w:val="007964EB"/>
    <w:rsid w:val="0079650D"/>
    <w:rsid w:val="00796734"/>
    <w:rsid w:val="00796815"/>
    <w:rsid w:val="0079696C"/>
    <w:rsid w:val="00796A58"/>
    <w:rsid w:val="00796C53"/>
    <w:rsid w:val="007974AD"/>
    <w:rsid w:val="00797595"/>
    <w:rsid w:val="00797D06"/>
    <w:rsid w:val="007A0000"/>
    <w:rsid w:val="007A0435"/>
    <w:rsid w:val="007A0624"/>
    <w:rsid w:val="007A07C7"/>
    <w:rsid w:val="007A0820"/>
    <w:rsid w:val="007A0C85"/>
    <w:rsid w:val="007A0FCA"/>
    <w:rsid w:val="007A155F"/>
    <w:rsid w:val="007A16A6"/>
    <w:rsid w:val="007A1BCB"/>
    <w:rsid w:val="007A2241"/>
    <w:rsid w:val="007A2344"/>
    <w:rsid w:val="007A24B1"/>
    <w:rsid w:val="007A2B6D"/>
    <w:rsid w:val="007A2D22"/>
    <w:rsid w:val="007A2DE9"/>
    <w:rsid w:val="007A3183"/>
    <w:rsid w:val="007A322F"/>
    <w:rsid w:val="007A32AE"/>
    <w:rsid w:val="007A3418"/>
    <w:rsid w:val="007A3533"/>
    <w:rsid w:val="007A3D28"/>
    <w:rsid w:val="007A3E17"/>
    <w:rsid w:val="007A3F08"/>
    <w:rsid w:val="007A40D9"/>
    <w:rsid w:val="007A41FD"/>
    <w:rsid w:val="007A4245"/>
    <w:rsid w:val="007A431D"/>
    <w:rsid w:val="007A4519"/>
    <w:rsid w:val="007A458A"/>
    <w:rsid w:val="007A46B8"/>
    <w:rsid w:val="007A49E4"/>
    <w:rsid w:val="007A4B58"/>
    <w:rsid w:val="007A4DE3"/>
    <w:rsid w:val="007A4F88"/>
    <w:rsid w:val="007A4FAF"/>
    <w:rsid w:val="007A5445"/>
    <w:rsid w:val="007A54F9"/>
    <w:rsid w:val="007A5849"/>
    <w:rsid w:val="007A5A33"/>
    <w:rsid w:val="007A62B6"/>
    <w:rsid w:val="007A657A"/>
    <w:rsid w:val="007A6688"/>
    <w:rsid w:val="007A66ED"/>
    <w:rsid w:val="007A6E3F"/>
    <w:rsid w:val="007A71A2"/>
    <w:rsid w:val="007A7561"/>
    <w:rsid w:val="007A7636"/>
    <w:rsid w:val="007A7763"/>
    <w:rsid w:val="007A7AFE"/>
    <w:rsid w:val="007A7B09"/>
    <w:rsid w:val="007A7B26"/>
    <w:rsid w:val="007A7FB4"/>
    <w:rsid w:val="007B0599"/>
    <w:rsid w:val="007B08AF"/>
    <w:rsid w:val="007B09C2"/>
    <w:rsid w:val="007B0D55"/>
    <w:rsid w:val="007B1227"/>
    <w:rsid w:val="007B1964"/>
    <w:rsid w:val="007B1EF4"/>
    <w:rsid w:val="007B21E5"/>
    <w:rsid w:val="007B2530"/>
    <w:rsid w:val="007B2563"/>
    <w:rsid w:val="007B265C"/>
    <w:rsid w:val="007B2C43"/>
    <w:rsid w:val="007B2EAD"/>
    <w:rsid w:val="007B34C0"/>
    <w:rsid w:val="007B35EF"/>
    <w:rsid w:val="007B3706"/>
    <w:rsid w:val="007B38C6"/>
    <w:rsid w:val="007B3B50"/>
    <w:rsid w:val="007B3CDD"/>
    <w:rsid w:val="007B401E"/>
    <w:rsid w:val="007B4305"/>
    <w:rsid w:val="007B437C"/>
    <w:rsid w:val="007B4B9C"/>
    <w:rsid w:val="007B5632"/>
    <w:rsid w:val="007B5845"/>
    <w:rsid w:val="007B6A7C"/>
    <w:rsid w:val="007B6D0C"/>
    <w:rsid w:val="007B6F4E"/>
    <w:rsid w:val="007B6FAF"/>
    <w:rsid w:val="007B75A0"/>
    <w:rsid w:val="007B76E4"/>
    <w:rsid w:val="007B77D4"/>
    <w:rsid w:val="007B79B4"/>
    <w:rsid w:val="007B7EC6"/>
    <w:rsid w:val="007B7F12"/>
    <w:rsid w:val="007C0062"/>
    <w:rsid w:val="007C03DB"/>
    <w:rsid w:val="007C060B"/>
    <w:rsid w:val="007C0757"/>
    <w:rsid w:val="007C091B"/>
    <w:rsid w:val="007C0BE9"/>
    <w:rsid w:val="007C0D51"/>
    <w:rsid w:val="007C1DBF"/>
    <w:rsid w:val="007C1DDF"/>
    <w:rsid w:val="007C1DE3"/>
    <w:rsid w:val="007C2129"/>
    <w:rsid w:val="007C2408"/>
    <w:rsid w:val="007C2807"/>
    <w:rsid w:val="007C2F3A"/>
    <w:rsid w:val="007C31C2"/>
    <w:rsid w:val="007C3261"/>
    <w:rsid w:val="007C3795"/>
    <w:rsid w:val="007C39F3"/>
    <w:rsid w:val="007C3F17"/>
    <w:rsid w:val="007C404B"/>
    <w:rsid w:val="007C4100"/>
    <w:rsid w:val="007C449E"/>
    <w:rsid w:val="007C44D7"/>
    <w:rsid w:val="007C4556"/>
    <w:rsid w:val="007C472A"/>
    <w:rsid w:val="007C4995"/>
    <w:rsid w:val="007C4C20"/>
    <w:rsid w:val="007C4FE4"/>
    <w:rsid w:val="007C5474"/>
    <w:rsid w:val="007C552E"/>
    <w:rsid w:val="007C55DE"/>
    <w:rsid w:val="007C5780"/>
    <w:rsid w:val="007C5B71"/>
    <w:rsid w:val="007C609E"/>
    <w:rsid w:val="007C6199"/>
    <w:rsid w:val="007C636A"/>
    <w:rsid w:val="007C6483"/>
    <w:rsid w:val="007C64BA"/>
    <w:rsid w:val="007C657B"/>
    <w:rsid w:val="007C68C0"/>
    <w:rsid w:val="007C69AF"/>
    <w:rsid w:val="007C69CE"/>
    <w:rsid w:val="007C6BFD"/>
    <w:rsid w:val="007C6DA9"/>
    <w:rsid w:val="007C7535"/>
    <w:rsid w:val="007C7984"/>
    <w:rsid w:val="007C7D2A"/>
    <w:rsid w:val="007D020D"/>
    <w:rsid w:val="007D0220"/>
    <w:rsid w:val="007D034C"/>
    <w:rsid w:val="007D0774"/>
    <w:rsid w:val="007D09E4"/>
    <w:rsid w:val="007D0EBC"/>
    <w:rsid w:val="007D0F03"/>
    <w:rsid w:val="007D12AE"/>
    <w:rsid w:val="007D134F"/>
    <w:rsid w:val="007D13EB"/>
    <w:rsid w:val="007D140C"/>
    <w:rsid w:val="007D1B73"/>
    <w:rsid w:val="007D1CEA"/>
    <w:rsid w:val="007D1D85"/>
    <w:rsid w:val="007D2461"/>
    <w:rsid w:val="007D27F7"/>
    <w:rsid w:val="007D2C67"/>
    <w:rsid w:val="007D332E"/>
    <w:rsid w:val="007D3667"/>
    <w:rsid w:val="007D3C52"/>
    <w:rsid w:val="007D4061"/>
    <w:rsid w:val="007D4278"/>
    <w:rsid w:val="007D4306"/>
    <w:rsid w:val="007D44D4"/>
    <w:rsid w:val="007D4BB2"/>
    <w:rsid w:val="007D4C75"/>
    <w:rsid w:val="007D584F"/>
    <w:rsid w:val="007D59A0"/>
    <w:rsid w:val="007D5B8F"/>
    <w:rsid w:val="007D5E5B"/>
    <w:rsid w:val="007D5FFD"/>
    <w:rsid w:val="007D6CB1"/>
    <w:rsid w:val="007D6E0D"/>
    <w:rsid w:val="007D6E48"/>
    <w:rsid w:val="007D6E54"/>
    <w:rsid w:val="007D6EB5"/>
    <w:rsid w:val="007D6FE2"/>
    <w:rsid w:val="007D732B"/>
    <w:rsid w:val="007D73BE"/>
    <w:rsid w:val="007D7514"/>
    <w:rsid w:val="007D76FC"/>
    <w:rsid w:val="007D7789"/>
    <w:rsid w:val="007D7949"/>
    <w:rsid w:val="007D7B61"/>
    <w:rsid w:val="007D7FDD"/>
    <w:rsid w:val="007E02FF"/>
    <w:rsid w:val="007E0381"/>
    <w:rsid w:val="007E06D1"/>
    <w:rsid w:val="007E12B6"/>
    <w:rsid w:val="007E161D"/>
    <w:rsid w:val="007E163A"/>
    <w:rsid w:val="007E2363"/>
    <w:rsid w:val="007E2573"/>
    <w:rsid w:val="007E287C"/>
    <w:rsid w:val="007E29C6"/>
    <w:rsid w:val="007E2EDD"/>
    <w:rsid w:val="007E35CC"/>
    <w:rsid w:val="007E428B"/>
    <w:rsid w:val="007E434A"/>
    <w:rsid w:val="007E443B"/>
    <w:rsid w:val="007E4452"/>
    <w:rsid w:val="007E468C"/>
    <w:rsid w:val="007E4C3B"/>
    <w:rsid w:val="007E4CB4"/>
    <w:rsid w:val="007E4D45"/>
    <w:rsid w:val="007E4F0D"/>
    <w:rsid w:val="007E5CCA"/>
    <w:rsid w:val="007E5CF3"/>
    <w:rsid w:val="007E5FD8"/>
    <w:rsid w:val="007E5FEA"/>
    <w:rsid w:val="007E647B"/>
    <w:rsid w:val="007E650E"/>
    <w:rsid w:val="007E6983"/>
    <w:rsid w:val="007E6E94"/>
    <w:rsid w:val="007E6FAF"/>
    <w:rsid w:val="007E73F0"/>
    <w:rsid w:val="007E7CFC"/>
    <w:rsid w:val="007E7FE7"/>
    <w:rsid w:val="007F0104"/>
    <w:rsid w:val="007F0146"/>
    <w:rsid w:val="007F072D"/>
    <w:rsid w:val="007F09AA"/>
    <w:rsid w:val="007F0A8F"/>
    <w:rsid w:val="007F0C9B"/>
    <w:rsid w:val="007F0D6B"/>
    <w:rsid w:val="007F0D82"/>
    <w:rsid w:val="007F107F"/>
    <w:rsid w:val="007F1999"/>
    <w:rsid w:val="007F1D14"/>
    <w:rsid w:val="007F1DE6"/>
    <w:rsid w:val="007F1F26"/>
    <w:rsid w:val="007F245F"/>
    <w:rsid w:val="007F275A"/>
    <w:rsid w:val="007F2998"/>
    <w:rsid w:val="007F2D25"/>
    <w:rsid w:val="007F2DB3"/>
    <w:rsid w:val="007F2E53"/>
    <w:rsid w:val="007F2E8A"/>
    <w:rsid w:val="007F30AB"/>
    <w:rsid w:val="007F330F"/>
    <w:rsid w:val="007F336A"/>
    <w:rsid w:val="007F34B7"/>
    <w:rsid w:val="007F3631"/>
    <w:rsid w:val="007F387E"/>
    <w:rsid w:val="007F398B"/>
    <w:rsid w:val="007F399E"/>
    <w:rsid w:val="007F3CAA"/>
    <w:rsid w:val="007F3FC9"/>
    <w:rsid w:val="007F45A5"/>
    <w:rsid w:val="007F463C"/>
    <w:rsid w:val="007F495D"/>
    <w:rsid w:val="007F4B16"/>
    <w:rsid w:val="007F4FE3"/>
    <w:rsid w:val="007F5295"/>
    <w:rsid w:val="007F5476"/>
    <w:rsid w:val="007F57F3"/>
    <w:rsid w:val="007F590C"/>
    <w:rsid w:val="007F5921"/>
    <w:rsid w:val="007F5CA7"/>
    <w:rsid w:val="007F5F08"/>
    <w:rsid w:val="007F60C6"/>
    <w:rsid w:val="007F6992"/>
    <w:rsid w:val="007F6C4B"/>
    <w:rsid w:val="007F6E48"/>
    <w:rsid w:val="007F7444"/>
    <w:rsid w:val="007F7E64"/>
    <w:rsid w:val="00800102"/>
    <w:rsid w:val="008001A6"/>
    <w:rsid w:val="00800862"/>
    <w:rsid w:val="0080096D"/>
    <w:rsid w:val="008009BE"/>
    <w:rsid w:val="00800B71"/>
    <w:rsid w:val="00800E16"/>
    <w:rsid w:val="00801091"/>
    <w:rsid w:val="008010B6"/>
    <w:rsid w:val="00801341"/>
    <w:rsid w:val="00801805"/>
    <w:rsid w:val="00801B02"/>
    <w:rsid w:val="00801BA2"/>
    <w:rsid w:val="00801D2A"/>
    <w:rsid w:val="00801DF4"/>
    <w:rsid w:val="0080201F"/>
    <w:rsid w:val="0080207C"/>
    <w:rsid w:val="008021B2"/>
    <w:rsid w:val="008021E1"/>
    <w:rsid w:val="008026AB"/>
    <w:rsid w:val="00802929"/>
    <w:rsid w:val="00802AC2"/>
    <w:rsid w:val="00802F6A"/>
    <w:rsid w:val="00803984"/>
    <w:rsid w:val="00803B5C"/>
    <w:rsid w:val="00803B91"/>
    <w:rsid w:val="00803D08"/>
    <w:rsid w:val="008044C4"/>
    <w:rsid w:val="0080491D"/>
    <w:rsid w:val="00804C84"/>
    <w:rsid w:val="00804DF7"/>
    <w:rsid w:val="008050A9"/>
    <w:rsid w:val="008055FF"/>
    <w:rsid w:val="008057B1"/>
    <w:rsid w:val="008058CF"/>
    <w:rsid w:val="00805B5D"/>
    <w:rsid w:val="00805C42"/>
    <w:rsid w:val="00805CBD"/>
    <w:rsid w:val="00805D3A"/>
    <w:rsid w:val="00805D3B"/>
    <w:rsid w:val="00805E81"/>
    <w:rsid w:val="0080630C"/>
    <w:rsid w:val="00806FAD"/>
    <w:rsid w:val="00806FBA"/>
    <w:rsid w:val="0080788C"/>
    <w:rsid w:val="00807B4A"/>
    <w:rsid w:val="00807B6B"/>
    <w:rsid w:val="00807B90"/>
    <w:rsid w:val="00807C10"/>
    <w:rsid w:val="00807CCC"/>
    <w:rsid w:val="00810493"/>
    <w:rsid w:val="008109B0"/>
    <w:rsid w:val="00810CF3"/>
    <w:rsid w:val="00810D4B"/>
    <w:rsid w:val="00810E77"/>
    <w:rsid w:val="008113FC"/>
    <w:rsid w:val="00811798"/>
    <w:rsid w:val="008118A2"/>
    <w:rsid w:val="00811987"/>
    <w:rsid w:val="008119D1"/>
    <w:rsid w:val="00811A29"/>
    <w:rsid w:val="00811AB3"/>
    <w:rsid w:val="00811DB0"/>
    <w:rsid w:val="0081278E"/>
    <w:rsid w:val="00812B88"/>
    <w:rsid w:val="00812ECE"/>
    <w:rsid w:val="0081349F"/>
    <w:rsid w:val="008134C9"/>
    <w:rsid w:val="0081369E"/>
    <w:rsid w:val="00813AA6"/>
    <w:rsid w:val="008143AB"/>
    <w:rsid w:val="008145AE"/>
    <w:rsid w:val="008146AA"/>
    <w:rsid w:val="008148A8"/>
    <w:rsid w:val="00814B8E"/>
    <w:rsid w:val="00814F00"/>
    <w:rsid w:val="008150A6"/>
    <w:rsid w:val="008152D2"/>
    <w:rsid w:val="00815340"/>
    <w:rsid w:val="008153E6"/>
    <w:rsid w:val="0081563A"/>
    <w:rsid w:val="00815744"/>
    <w:rsid w:val="00815F51"/>
    <w:rsid w:val="0081607E"/>
    <w:rsid w:val="00816087"/>
    <w:rsid w:val="0081621F"/>
    <w:rsid w:val="00816422"/>
    <w:rsid w:val="0081688A"/>
    <w:rsid w:val="00816E24"/>
    <w:rsid w:val="0081727A"/>
    <w:rsid w:val="008172E5"/>
    <w:rsid w:val="008172FD"/>
    <w:rsid w:val="00817946"/>
    <w:rsid w:val="00817963"/>
    <w:rsid w:val="00817B6A"/>
    <w:rsid w:val="0082007A"/>
    <w:rsid w:val="0082096A"/>
    <w:rsid w:val="00820C53"/>
    <w:rsid w:val="00820EF0"/>
    <w:rsid w:val="00820F96"/>
    <w:rsid w:val="00821D25"/>
    <w:rsid w:val="00821D54"/>
    <w:rsid w:val="008224E0"/>
    <w:rsid w:val="00822CA8"/>
    <w:rsid w:val="00822E37"/>
    <w:rsid w:val="00822F2B"/>
    <w:rsid w:val="00823211"/>
    <w:rsid w:val="0082353C"/>
    <w:rsid w:val="00823DC2"/>
    <w:rsid w:val="00824168"/>
    <w:rsid w:val="00824199"/>
    <w:rsid w:val="008241FB"/>
    <w:rsid w:val="0082435B"/>
    <w:rsid w:val="008252C9"/>
    <w:rsid w:val="00825320"/>
    <w:rsid w:val="00825414"/>
    <w:rsid w:val="00825C00"/>
    <w:rsid w:val="00826057"/>
    <w:rsid w:val="0082608E"/>
    <w:rsid w:val="008261CB"/>
    <w:rsid w:val="008264A2"/>
    <w:rsid w:val="00826B99"/>
    <w:rsid w:val="00826C5D"/>
    <w:rsid w:val="00826C62"/>
    <w:rsid w:val="0082737B"/>
    <w:rsid w:val="0082764D"/>
    <w:rsid w:val="0082786C"/>
    <w:rsid w:val="008278F7"/>
    <w:rsid w:val="0082796C"/>
    <w:rsid w:val="00827CA9"/>
    <w:rsid w:val="00830099"/>
    <w:rsid w:val="0083052E"/>
    <w:rsid w:val="00830804"/>
    <w:rsid w:val="00830B81"/>
    <w:rsid w:val="00830DE3"/>
    <w:rsid w:val="0083116A"/>
    <w:rsid w:val="008311BB"/>
    <w:rsid w:val="0083154C"/>
    <w:rsid w:val="00831A56"/>
    <w:rsid w:val="00831B27"/>
    <w:rsid w:val="00831CC9"/>
    <w:rsid w:val="008322C3"/>
    <w:rsid w:val="00832B9D"/>
    <w:rsid w:val="00832C65"/>
    <w:rsid w:val="00832D74"/>
    <w:rsid w:val="008331AD"/>
    <w:rsid w:val="00833702"/>
    <w:rsid w:val="0083399C"/>
    <w:rsid w:val="00833A93"/>
    <w:rsid w:val="00833BAF"/>
    <w:rsid w:val="00833DE4"/>
    <w:rsid w:val="00833FCE"/>
    <w:rsid w:val="0083484A"/>
    <w:rsid w:val="00834A81"/>
    <w:rsid w:val="00834B33"/>
    <w:rsid w:val="00834F1F"/>
    <w:rsid w:val="0083502E"/>
    <w:rsid w:val="008354E6"/>
    <w:rsid w:val="0083578B"/>
    <w:rsid w:val="008361F2"/>
    <w:rsid w:val="00836921"/>
    <w:rsid w:val="00836BBB"/>
    <w:rsid w:val="00836EFE"/>
    <w:rsid w:val="00836F25"/>
    <w:rsid w:val="0083756E"/>
    <w:rsid w:val="00837639"/>
    <w:rsid w:val="008376B0"/>
    <w:rsid w:val="00837A48"/>
    <w:rsid w:val="00837BF9"/>
    <w:rsid w:val="00837F94"/>
    <w:rsid w:val="0084011A"/>
    <w:rsid w:val="0084039B"/>
    <w:rsid w:val="00840501"/>
    <w:rsid w:val="008406DD"/>
    <w:rsid w:val="008410B0"/>
    <w:rsid w:val="008412BB"/>
    <w:rsid w:val="00841473"/>
    <w:rsid w:val="008415E4"/>
    <w:rsid w:val="0084216F"/>
    <w:rsid w:val="008429EE"/>
    <w:rsid w:val="00842E14"/>
    <w:rsid w:val="00842EAC"/>
    <w:rsid w:val="00843350"/>
    <w:rsid w:val="008433CC"/>
    <w:rsid w:val="00843481"/>
    <w:rsid w:val="00843710"/>
    <w:rsid w:val="00844106"/>
    <w:rsid w:val="008444F7"/>
    <w:rsid w:val="008449F9"/>
    <w:rsid w:val="0084543D"/>
    <w:rsid w:val="008454BA"/>
    <w:rsid w:val="008459CF"/>
    <w:rsid w:val="00845AD5"/>
    <w:rsid w:val="00845CE0"/>
    <w:rsid w:val="0084619C"/>
    <w:rsid w:val="008466C3"/>
    <w:rsid w:val="00846793"/>
    <w:rsid w:val="00846A1E"/>
    <w:rsid w:val="00846CE5"/>
    <w:rsid w:val="00846F5B"/>
    <w:rsid w:val="008470F4"/>
    <w:rsid w:val="008473E4"/>
    <w:rsid w:val="0084747D"/>
    <w:rsid w:val="0084771C"/>
    <w:rsid w:val="0084778F"/>
    <w:rsid w:val="00847FC1"/>
    <w:rsid w:val="0085019F"/>
    <w:rsid w:val="008509D7"/>
    <w:rsid w:val="00850BE6"/>
    <w:rsid w:val="00850E0D"/>
    <w:rsid w:val="00850EAC"/>
    <w:rsid w:val="00850F9A"/>
    <w:rsid w:val="008511CC"/>
    <w:rsid w:val="008516FA"/>
    <w:rsid w:val="00851F82"/>
    <w:rsid w:val="0085225D"/>
    <w:rsid w:val="008522AC"/>
    <w:rsid w:val="0085253A"/>
    <w:rsid w:val="008527AC"/>
    <w:rsid w:val="00852B15"/>
    <w:rsid w:val="00852C16"/>
    <w:rsid w:val="00852DCD"/>
    <w:rsid w:val="0085309D"/>
    <w:rsid w:val="008530B9"/>
    <w:rsid w:val="00853128"/>
    <w:rsid w:val="008533B5"/>
    <w:rsid w:val="00853594"/>
    <w:rsid w:val="00853782"/>
    <w:rsid w:val="00853AA9"/>
    <w:rsid w:val="00853E19"/>
    <w:rsid w:val="00853F4B"/>
    <w:rsid w:val="0085443A"/>
    <w:rsid w:val="00854A12"/>
    <w:rsid w:val="00855087"/>
    <w:rsid w:val="00855158"/>
    <w:rsid w:val="0085517A"/>
    <w:rsid w:val="008554E9"/>
    <w:rsid w:val="008555B3"/>
    <w:rsid w:val="00855F9F"/>
    <w:rsid w:val="00856464"/>
    <w:rsid w:val="008566B4"/>
    <w:rsid w:val="00856939"/>
    <w:rsid w:val="00857165"/>
    <w:rsid w:val="00857186"/>
    <w:rsid w:val="0085719F"/>
    <w:rsid w:val="00857305"/>
    <w:rsid w:val="00857A46"/>
    <w:rsid w:val="00857D63"/>
    <w:rsid w:val="008601CC"/>
    <w:rsid w:val="00860532"/>
    <w:rsid w:val="008607BD"/>
    <w:rsid w:val="0086081D"/>
    <w:rsid w:val="00860D10"/>
    <w:rsid w:val="00860E93"/>
    <w:rsid w:val="00860EA9"/>
    <w:rsid w:val="00861139"/>
    <w:rsid w:val="008618D1"/>
    <w:rsid w:val="00861B33"/>
    <w:rsid w:val="00861FC9"/>
    <w:rsid w:val="008620DD"/>
    <w:rsid w:val="008627BB"/>
    <w:rsid w:val="00862832"/>
    <w:rsid w:val="008631B2"/>
    <w:rsid w:val="0086336C"/>
    <w:rsid w:val="008638CB"/>
    <w:rsid w:val="008638E5"/>
    <w:rsid w:val="00863D31"/>
    <w:rsid w:val="00864200"/>
    <w:rsid w:val="0086495D"/>
    <w:rsid w:val="00864B3A"/>
    <w:rsid w:val="008650E8"/>
    <w:rsid w:val="008655C6"/>
    <w:rsid w:val="008661F4"/>
    <w:rsid w:val="00866585"/>
    <w:rsid w:val="00866DE7"/>
    <w:rsid w:val="00867016"/>
    <w:rsid w:val="008670DF"/>
    <w:rsid w:val="00867A93"/>
    <w:rsid w:val="00867CF1"/>
    <w:rsid w:val="0087011B"/>
    <w:rsid w:val="0087011C"/>
    <w:rsid w:val="00870796"/>
    <w:rsid w:val="00870865"/>
    <w:rsid w:val="008709A5"/>
    <w:rsid w:val="00870CF2"/>
    <w:rsid w:val="00870E68"/>
    <w:rsid w:val="00871084"/>
    <w:rsid w:val="00871096"/>
    <w:rsid w:val="008710BC"/>
    <w:rsid w:val="0087120E"/>
    <w:rsid w:val="00871464"/>
    <w:rsid w:val="0087184D"/>
    <w:rsid w:val="0087196B"/>
    <w:rsid w:val="00871B99"/>
    <w:rsid w:val="00872097"/>
    <w:rsid w:val="0087220D"/>
    <w:rsid w:val="0087259C"/>
    <w:rsid w:val="0087283D"/>
    <w:rsid w:val="00872F1D"/>
    <w:rsid w:val="0087323E"/>
    <w:rsid w:val="0087324B"/>
    <w:rsid w:val="008733AB"/>
    <w:rsid w:val="008734F5"/>
    <w:rsid w:val="00873506"/>
    <w:rsid w:val="00873819"/>
    <w:rsid w:val="008739B8"/>
    <w:rsid w:val="00873A04"/>
    <w:rsid w:val="00873A90"/>
    <w:rsid w:val="00873E3B"/>
    <w:rsid w:val="00873FB3"/>
    <w:rsid w:val="00874425"/>
    <w:rsid w:val="00874D26"/>
    <w:rsid w:val="0087505C"/>
    <w:rsid w:val="008752D8"/>
    <w:rsid w:val="0087532E"/>
    <w:rsid w:val="00875918"/>
    <w:rsid w:val="00876171"/>
    <w:rsid w:val="0087649C"/>
    <w:rsid w:val="008766E6"/>
    <w:rsid w:val="00876C14"/>
    <w:rsid w:val="00876DF9"/>
    <w:rsid w:val="00877152"/>
    <w:rsid w:val="0087724A"/>
    <w:rsid w:val="008773F1"/>
    <w:rsid w:val="00877868"/>
    <w:rsid w:val="008778E6"/>
    <w:rsid w:val="008779D9"/>
    <w:rsid w:val="00877A05"/>
    <w:rsid w:val="00877F10"/>
    <w:rsid w:val="00880075"/>
    <w:rsid w:val="0088009E"/>
    <w:rsid w:val="008800E1"/>
    <w:rsid w:val="00880169"/>
    <w:rsid w:val="00880556"/>
    <w:rsid w:val="008805AF"/>
    <w:rsid w:val="00880676"/>
    <w:rsid w:val="00880780"/>
    <w:rsid w:val="0088093D"/>
    <w:rsid w:val="00880A58"/>
    <w:rsid w:val="00880E51"/>
    <w:rsid w:val="00881441"/>
    <w:rsid w:val="00881BA9"/>
    <w:rsid w:val="00882354"/>
    <w:rsid w:val="0088243A"/>
    <w:rsid w:val="008825CB"/>
    <w:rsid w:val="00882B93"/>
    <w:rsid w:val="00882C5E"/>
    <w:rsid w:val="00883537"/>
    <w:rsid w:val="00883A1D"/>
    <w:rsid w:val="00883C63"/>
    <w:rsid w:val="00883FCE"/>
    <w:rsid w:val="00884440"/>
    <w:rsid w:val="008846BB"/>
    <w:rsid w:val="008846CB"/>
    <w:rsid w:val="00884AF4"/>
    <w:rsid w:val="00884F68"/>
    <w:rsid w:val="008850CB"/>
    <w:rsid w:val="00885116"/>
    <w:rsid w:val="008855BE"/>
    <w:rsid w:val="008856CB"/>
    <w:rsid w:val="008856D9"/>
    <w:rsid w:val="008856F2"/>
    <w:rsid w:val="00885909"/>
    <w:rsid w:val="00885A95"/>
    <w:rsid w:val="00886062"/>
    <w:rsid w:val="0088664F"/>
    <w:rsid w:val="00886A9C"/>
    <w:rsid w:val="00886FB5"/>
    <w:rsid w:val="008871EB"/>
    <w:rsid w:val="00887207"/>
    <w:rsid w:val="008873FE"/>
    <w:rsid w:val="00887711"/>
    <w:rsid w:val="008878B8"/>
    <w:rsid w:val="00887C95"/>
    <w:rsid w:val="00887DA5"/>
    <w:rsid w:val="008902B3"/>
    <w:rsid w:val="00891511"/>
    <w:rsid w:val="008915F8"/>
    <w:rsid w:val="0089169B"/>
    <w:rsid w:val="00891938"/>
    <w:rsid w:val="00891AC7"/>
    <w:rsid w:val="00891AE0"/>
    <w:rsid w:val="00891BCB"/>
    <w:rsid w:val="008925A9"/>
    <w:rsid w:val="008928A6"/>
    <w:rsid w:val="00892AB2"/>
    <w:rsid w:val="00892D8E"/>
    <w:rsid w:val="00892FC7"/>
    <w:rsid w:val="0089319B"/>
    <w:rsid w:val="00893354"/>
    <w:rsid w:val="008937CE"/>
    <w:rsid w:val="008937E4"/>
    <w:rsid w:val="00893D03"/>
    <w:rsid w:val="00893EAD"/>
    <w:rsid w:val="00893FF2"/>
    <w:rsid w:val="00894593"/>
    <w:rsid w:val="00894C79"/>
    <w:rsid w:val="00894D6B"/>
    <w:rsid w:val="00894E77"/>
    <w:rsid w:val="008953B7"/>
    <w:rsid w:val="0089590B"/>
    <w:rsid w:val="00895A3B"/>
    <w:rsid w:val="00895FCA"/>
    <w:rsid w:val="00896550"/>
    <w:rsid w:val="0089698F"/>
    <w:rsid w:val="00896E0A"/>
    <w:rsid w:val="0089794F"/>
    <w:rsid w:val="00897AED"/>
    <w:rsid w:val="00897F4E"/>
    <w:rsid w:val="008A0053"/>
    <w:rsid w:val="008A0328"/>
    <w:rsid w:val="008A03CC"/>
    <w:rsid w:val="008A099A"/>
    <w:rsid w:val="008A0EBD"/>
    <w:rsid w:val="008A0FA4"/>
    <w:rsid w:val="008A11DB"/>
    <w:rsid w:val="008A1460"/>
    <w:rsid w:val="008A17A0"/>
    <w:rsid w:val="008A1C9F"/>
    <w:rsid w:val="008A1D12"/>
    <w:rsid w:val="008A20C6"/>
    <w:rsid w:val="008A2A14"/>
    <w:rsid w:val="008A2AA8"/>
    <w:rsid w:val="008A2B8E"/>
    <w:rsid w:val="008A2CB5"/>
    <w:rsid w:val="008A3025"/>
    <w:rsid w:val="008A3493"/>
    <w:rsid w:val="008A3576"/>
    <w:rsid w:val="008A3668"/>
    <w:rsid w:val="008A37BE"/>
    <w:rsid w:val="008A3944"/>
    <w:rsid w:val="008A3B98"/>
    <w:rsid w:val="008A3CE0"/>
    <w:rsid w:val="008A403B"/>
    <w:rsid w:val="008A40F9"/>
    <w:rsid w:val="008A43A9"/>
    <w:rsid w:val="008A451D"/>
    <w:rsid w:val="008A464A"/>
    <w:rsid w:val="008A4BD2"/>
    <w:rsid w:val="008A4C86"/>
    <w:rsid w:val="008A4E3D"/>
    <w:rsid w:val="008A536C"/>
    <w:rsid w:val="008A598A"/>
    <w:rsid w:val="008A5A56"/>
    <w:rsid w:val="008A5C49"/>
    <w:rsid w:val="008A5FC8"/>
    <w:rsid w:val="008A62CB"/>
    <w:rsid w:val="008A634A"/>
    <w:rsid w:val="008A6564"/>
    <w:rsid w:val="008A65D2"/>
    <w:rsid w:val="008A66DC"/>
    <w:rsid w:val="008A6810"/>
    <w:rsid w:val="008A6992"/>
    <w:rsid w:val="008A6C19"/>
    <w:rsid w:val="008A6DF2"/>
    <w:rsid w:val="008A7207"/>
    <w:rsid w:val="008A73E0"/>
    <w:rsid w:val="008A7848"/>
    <w:rsid w:val="008A7A6A"/>
    <w:rsid w:val="008A7AF3"/>
    <w:rsid w:val="008A7FAD"/>
    <w:rsid w:val="008B0113"/>
    <w:rsid w:val="008B0229"/>
    <w:rsid w:val="008B0381"/>
    <w:rsid w:val="008B05BB"/>
    <w:rsid w:val="008B064B"/>
    <w:rsid w:val="008B0D1C"/>
    <w:rsid w:val="008B0E29"/>
    <w:rsid w:val="008B0F89"/>
    <w:rsid w:val="008B111C"/>
    <w:rsid w:val="008B131C"/>
    <w:rsid w:val="008B1634"/>
    <w:rsid w:val="008B197A"/>
    <w:rsid w:val="008B199C"/>
    <w:rsid w:val="008B1CC8"/>
    <w:rsid w:val="008B1ED7"/>
    <w:rsid w:val="008B2B5B"/>
    <w:rsid w:val="008B3005"/>
    <w:rsid w:val="008B3312"/>
    <w:rsid w:val="008B33E9"/>
    <w:rsid w:val="008B3522"/>
    <w:rsid w:val="008B39CC"/>
    <w:rsid w:val="008B3E7A"/>
    <w:rsid w:val="008B3FF5"/>
    <w:rsid w:val="008B4140"/>
    <w:rsid w:val="008B445B"/>
    <w:rsid w:val="008B471C"/>
    <w:rsid w:val="008B474E"/>
    <w:rsid w:val="008B4AC2"/>
    <w:rsid w:val="008B4B15"/>
    <w:rsid w:val="008B4E42"/>
    <w:rsid w:val="008B4F99"/>
    <w:rsid w:val="008B508A"/>
    <w:rsid w:val="008B53C3"/>
    <w:rsid w:val="008B56FD"/>
    <w:rsid w:val="008B57F7"/>
    <w:rsid w:val="008B5AF6"/>
    <w:rsid w:val="008B618D"/>
    <w:rsid w:val="008B63B6"/>
    <w:rsid w:val="008B64BB"/>
    <w:rsid w:val="008B6640"/>
    <w:rsid w:val="008B67B8"/>
    <w:rsid w:val="008B67E3"/>
    <w:rsid w:val="008B6827"/>
    <w:rsid w:val="008B6D6D"/>
    <w:rsid w:val="008B7082"/>
    <w:rsid w:val="008B711E"/>
    <w:rsid w:val="008B7205"/>
    <w:rsid w:val="008B7435"/>
    <w:rsid w:val="008B7B57"/>
    <w:rsid w:val="008B7F79"/>
    <w:rsid w:val="008C0FB0"/>
    <w:rsid w:val="008C1154"/>
    <w:rsid w:val="008C1254"/>
    <w:rsid w:val="008C126F"/>
    <w:rsid w:val="008C194F"/>
    <w:rsid w:val="008C19AE"/>
    <w:rsid w:val="008C19C6"/>
    <w:rsid w:val="008C29B6"/>
    <w:rsid w:val="008C2DEC"/>
    <w:rsid w:val="008C2F93"/>
    <w:rsid w:val="008C3220"/>
    <w:rsid w:val="008C33EF"/>
    <w:rsid w:val="008C350D"/>
    <w:rsid w:val="008C35BF"/>
    <w:rsid w:val="008C3679"/>
    <w:rsid w:val="008C38D6"/>
    <w:rsid w:val="008C3929"/>
    <w:rsid w:val="008C39EC"/>
    <w:rsid w:val="008C3A70"/>
    <w:rsid w:val="008C3BE5"/>
    <w:rsid w:val="008C3C6E"/>
    <w:rsid w:val="008C3DF8"/>
    <w:rsid w:val="008C3EB0"/>
    <w:rsid w:val="008C43CA"/>
    <w:rsid w:val="008C4794"/>
    <w:rsid w:val="008C48BD"/>
    <w:rsid w:val="008C49D7"/>
    <w:rsid w:val="008C4AD3"/>
    <w:rsid w:val="008C4BC2"/>
    <w:rsid w:val="008C5176"/>
    <w:rsid w:val="008C52DB"/>
    <w:rsid w:val="008C57CB"/>
    <w:rsid w:val="008C585B"/>
    <w:rsid w:val="008C5E49"/>
    <w:rsid w:val="008C5E72"/>
    <w:rsid w:val="008C5F85"/>
    <w:rsid w:val="008C604B"/>
    <w:rsid w:val="008C6216"/>
    <w:rsid w:val="008C67E3"/>
    <w:rsid w:val="008C6ACF"/>
    <w:rsid w:val="008C6B6F"/>
    <w:rsid w:val="008C6F15"/>
    <w:rsid w:val="008C7095"/>
    <w:rsid w:val="008C7201"/>
    <w:rsid w:val="008C7947"/>
    <w:rsid w:val="008C7AB0"/>
    <w:rsid w:val="008C7AE0"/>
    <w:rsid w:val="008C7AFB"/>
    <w:rsid w:val="008D002D"/>
    <w:rsid w:val="008D00D4"/>
    <w:rsid w:val="008D018C"/>
    <w:rsid w:val="008D04F8"/>
    <w:rsid w:val="008D0742"/>
    <w:rsid w:val="008D07A9"/>
    <w:rsid w:val="008D0A3E"/>
    <w:rsid w:val="008D10CC"/>
    <w:rsid w:val="008D11F9"/>
    <w:rsid w:val="008D1373"/>
    <w:rsid w:val="008D14D4"/>
    <w:rsid w:val="008D1886"/>
    <w:rsid w:val="008D1B3D"/>
    <w:rsid w:val="008D1E0A"/>
    <w:rsid w:val="008D1E7A"/>
    <w:rsid w:val="008D2983"/>
    <w:rsid w:val="008D2BDF"/>
    <w:rsid w:val="008D34C5"/>
    <w:rsid w:val="008D3B70"/>
    <w:rsid w:val="008D3D48"/>
    <w:rsid w:val="008D3DFB"/>
    <w:rsid w:val="008D44F0"/>
    <w:rsid w:val="008D49EA"/>
    <w:rsid w:val="008D4AE4"/>
    <w:rsid w:val="008D4DFB"/>
    <w:rsid w:val="008D55AE"/>
    <w:rsid w:val="008D5BD6"/>
    <w:rsid w:val="008D5C92"/>
    <w:rsid w:val="008D6019"/>
    <w:rsid w:val="008D60F7"/>
    <w:rsid w:val="008D61E7"/>
    <w:rsid w:val="008D65D7"/>
    <w:rsid w:val="008D66CA"/>
    <w:rsid w:val="008D6CED"/>
    <w:rsid w:val="008D6D3C"/>
    <w:rsid w:val="008D6F3F"/>
    <w:rsid w:val="008D737B"/>
    <w:rsid w:val="008D76D8"/>
    <w:rsid w:val="008D79AE"/>
    <w:rsid w:val="008D7C9B"/>
    <w:rsid w:val="008D7D0D"/>
    <w:rsid w:val="008E0662"/>
    <w:rsid w:val="008E080B"/>
    <w:rsid w:val="008E0AD2"/>
    <w:rsid w:val="008E1374"/>
    <w:rsid w:val="008E1B90"/>
    <w:rsid w:val="008E1CE5"/>
    <w:rsid w:val="008E1F8C"/>
    <w:rsid w:val="008E23AD"/>
    <w:rsid w:val="008E2484"/>
    <w:rsid w:val="008E25AF"/>
    <w:rsid w:val="008E260D"/>
    <w:rsid w:val="008E29E1"/>
    <w:rsid w:val="008E2ADF"/>
    <w:rsid w:val="008E2BD2"/>
    <w:rsid w:val="008E2C1F"/>
    <w:rsid w:val="008E2C21"/>
    <w:rsid w:val="008E2F54"/>
    <w:rsid w:val="008E3088"/>
    <w:rsid w:val="008E30C1"/>
    <w:rsid w:val="008E37BE"/>
    <w:rsid w:val="008E37C3"/>
    <w:rsid w:val="008E38F0"/>
    <w:rsid w:val="008E3B68"/>
    <w:rsid w:val="008E442F"/>
    <w:rsid w:val="008E465F"/>
    <w:rsid w:val="008E46B1"/>
    <w:rsid w:val="008E4821"/>
    <w:rsid w:val="008E4A59"/>
    <w:rsid w:val="008E4C3C"/>
    <w:rsid w:val="008E4E9C"/>
    <w:rsid w:val="008E4F5D"/>
    <w:rsid w:val="008E522A"/>
    <w:rsid w:val="008E54F3"/>
    <w:rsid w:val="008E54F6"/>
    <w:rsid w:val="008E5793"/>
    <w:rsid w:val="008E5837"/>
    <w:rsid w:val="008E5BC5"/>
    <w:rsid w:val="008E5D70"/>
    <w:rsid w:val="008E5F14"/>
    <w:rsid w:val="008E60CD"/>
    <w:rsid w:val="008E6302"/>
    <w:rsid w:val="008E6423"/>
    <w:rsid w:val="008E65C6"/>
    <w:rsid w:val="008E6AD7"/>
    <w:rsid w:val="008E6B4E"/>
    <w:rsid w:val="008E6EBF"/>
    <w:rsid w:val="008E734D"/>
    <w:rsid w:val="008E7804"/>
    <w:rsid w:val="008E7955"/>
    <w:rsid w:val="008E7C32"/>
    <w:rsid w:val="008E7CAF"/>
    <w:rsid w:val="008F0885"/>
    <w:rsid w:val="008F0923"/>
    <w:rsid w:val="008F1C29"/>
    <w:rsid w:val="008F1CC8"/>
    <w:rsid w:val="008F2195"/>
    <w:rsid w:val="008F26FA"/>
    <w:rsid w:val="008F2C47"/>
    <w:rsid w:val="008F2D06"/>
    <w:rsid w:val="008F2E7E"/>
    <w:rsid w:val="008F30C5"/>
    <w:rsid w:val="008F31CF"/>
    <w:rsid w:val="008F33BC"/>
    <w:rsid w:val="008F3408"/>
    <w:rsid w:val="008F3E89"/>
    <w:rsid w:val="008F411F"/>
    <w:rsid w:val="008F43F9"/>
    <w:rsid w:val="008F488A"/>
    <w:rsid w:val="008F4C40"/>
    <w:rsid w:val="008F4FB9"/>
    <w:rsid w:val="008F52BF"/>
    <w:rsid w:val="008F5DAD"/>
    <w:rsid w:val="008F5FDD"/>
    <w:rsid w:val="008F682C"/>
    <w:rsid w:val="008F685F"/>
    <w:rsid w:val="008F6AC5"/>
    <w:rsid w:val="008F6B07"/>
    <w:rsid w:val="008F727D"/>
    <w:rsid w:val="008F7296"/>
    <w:rsid w:val="008F76B8"/>
    <w:rsid w:val="008F7CA9"/>
    <w:rsid w:val="008F7CD0"/>
    <w:rsid w:val="00900048"/>
    <w:rsid w:val="0090010A"/>
    <w:rsid w:val="00900183"/>
    <w:rsid w:val="0090050D"/>
    <w:rsid w:val="00900970"/>
    <w:rsid w:val="00901065"/>
    <w:rsid w:val="00901200"/>
    <w:rsid w:val="00901414"/>
    <w:rsid w:val="009019BD"/>
    <w:rsid w:val="009019CE"/>
    <w:rsid w:val="00901A44"/>
    <w:rsid w:val="009020F1"/>
    <w:rsid w:val="00902220"/>
    <w:rsid w:val="0090242C"/>
    <w:rsid w:val="00903028"/>
    <w:rsid w:val="00903236"/>
    <w:rsid w:val="009032DF"/>
    <w:rsid w:val="00903842"/>
    <w:rsid w:val="00903A7A"/>
    <w:rsid w:val="00903E7C"/>
    <w:rsid w:val="00903FFC"/>
    <w:rsid w:val="00904211"/>
    <w:rsid w:val="0090451D"/>
    <w:rsid w:val="009046CD"/>
    <w:rsid w:val="0090480A"/>
    <w:rsid w:val="00904EB3"/>
    <w:rsid w:val="00904F92"/>
    <w:rsid w:val="009050E0"/>
    <w:rsid w:val="009059E2"/>
    <w:rsid w:val="00905C0C"/>
    <w:rsid w:val="00905D1A"/>
    <w:rsid w:val="00906220"/>
    <w:rsid w:val="00906222"/>
    <w:rsid w:val="009066BD"/>
    <w:rsid w:val="009067DF"/>
    <w:rsid w:val="00906B62"/>
    <w:rsid w:val="00906DC3"/>
    <w:rsid w:val="00906DF6"/>
    <w:rsid w:val="00907256"/>
    <w:rsid w:val="00907353"/>
    <w:rsid w:val="0090778F"/>
    <w:rsid w:val="00907E43"/>
    <w:rsid w:val="009101F4"/>
    <w:rsid w:val="00910218"/>
    <w:rsid w:val="00910247"/>
    <w:rsid w:val="00910A5A"/>
    <w:rsid w:val="00910B00"/>
    <w:rsid w:val="00910B19"/>
    <w:rsid w:val="009113FA"/>
    <w:rsid w:val="009119D7"/>
    <w:rsid w:val="00911F4A"/>
    <w:rsid w:val="0091206B"/>
    <w:rsid w:val="0091213D"/>
    <w:rsid w:val="009124FD"/>
    <w:rsid w:val="00912645"/>
    <w:rsid w:val="0091298B"/>
    <w:rsid w:val="00912BB1"/>
    <w:rsid w:val="00912BE0"/>
    <w:rsid w:val="009131E8"/>
    <w:rsid w:val="00913227"/>
    <w:rsid w:val="0091327C"/>
    <w:rsid w:val="00913297"/>
    <w:rsid w:val="009133E4"/>
    <w:rsid w:val="00913915"/>
    <w:rsid w:val="00913C55"/>
    <w:rsid w:val="0091406B"/>
    <w:rsid w:val="009140E8"/>
    <w:rsid w:val="0091444A"/>
    <w:rsid w:val="00914D4D"/>
    <w:rsid w:val="00914EDC"/>
    <w:rsid w:val="00915513"/>
    <w:rsid w:val="00915958"/>
    <w:rsid w:val="00915BB1"/>
    <w:rsid w:val="00915BB6"/>
    <w:rsid w:val="00915FAC"/>
    <w:rsid w:val="009160ED"/>
    <w:rsid w:val="00916279"/>
    <w:rsid w:val="0091668F"/>
    <w:rsid w:val="0091679C"/>
    <w:rsid w:val="00916A02"/>
    <w:rsid w:val="00916A6B"/>
    <w:rsid w:val="00916B31"/>
    <w:rsid w:val="00916B32"/>
    <w:rsid w:val="00916EC7"/>
    <w:rsid w:val="00917154"/>
    <w:rsid w:val="009171B3"/>
    <w:rsid w:val="009171FD"/>
    <w:rsid w:val="00917263"/>
    <w:rsid w:val="00917350"/>
    <w:rsid w:val="00917685"/>
    <w:rsid w:val="009177EB"/>
    <w:rsid w:val="00917B6E"/>
    <w:rsid w:val="00917BDA"/>
    <w:rsid w:val="00920380"/>
    <w:rsid w:val="0092078C"/>
    <w:rsid w:val="009207D8"/>
    <w:rsid w:val="0092090A"/>
    <w:rsid w:val="00920955"/>
    <w:rsid w:val="00920B18"/>
    <w:rsid w:val="00920EA8"/>
    <w:rsid w:val="00921181"/>
    <w:rsid w:val="00921399"/>
    <w:rsid w:val="00921E5C"/>
    <w:rsid w:val="00922173"/>
    <w:rsid w:val="00922340"/>
    <w:rsid w:val="0092247E"/>
    <w:rsid w:val="0092271D"/>
    <w:rsid w:val="009229A0"/>
    <w:rsid w:val="0092359E"/>
    <w:rsid w:val="009237D8"/>
    <w:rsid w:val="00923895"/>
    <w:rsid w:val="00923C16"/>
    <w:rsid w:val="00923C5D"/>
    <w:rsid w:val="00924B03"/>
    <w:rsid w:val="00924D6B"/>
    <w:rsid w:val="0092540A"/>
    <w:rsid w:val="009256D8"/>
    <w:rsid w:val="00925790"/>
    <w:rsid w:val="00925CB4"/>
    <w:rsid w:val="00925E42"/>
    <w:rsid w:val="00925E45"/>
    <w:rsid w:val="00925ED1"/>
    <w:rsid w:val="00925FB5"/>
    <w:rsid w:val="00926552"/>
    <w:rsid w:val="0092661D"/>
    <w:rsid w:val="009268CE"/>
    <w:rsid w:val="00926ADE"/>
    <w:rsid w:val="00926C5A"/>
    <w:rsid w:val="00926CE5"/>
    <w:rsid w:val="00926DD5"/>
    <w:rsid w:val="00926DD8"/>
    <w:rsid w:val="00926E04"/>
    <w:rsid w:val="00926E0D"/>
    <w:rsid w:val="00927136"/>
    <w:rsid w:val="009276D4"/>
    <w:rsid w:val="00927A7E"/>
    <w:rsid w:val="00930010"/>
    <w:rsid w:val="009301CA"/>
    <w:rsid w:val="0093049E"/>
    <w:rsid w:val="009304A5"/>
    <w:rsid w:val="00930622"/>
    <w:rsid w:val="009307B8"/>
    <w:rsid w:val="009307ED"/>
    <w:rsid w:val="00930A29"/>
    <w:rsid w:val="009310C7"/>
    <w:rsid w:val="00931361"/>
    <w:rsid w:val="0093140D"/>
    <w:rsid w:val="00931735"/>
    <w:rsid w:val="00931770"/>
    <w:rsid w:val="009318DA"/>
    <w:rsid w:val="00931991"/>
    <w:rsid w:val="0093213F"/>
    <w:rsid w:val="00932303"/>
    <w:rsid w:val="0093240A"/>
    <w:rsid w:val="009337A5"/>
    <w:rsid w:val="009338F0"/>
    <w:rsid w:val="00933A27"/>
    <w:rsid w:val="00933A3D"/>
    <w:rsid w:val="00933D75"/>
    <w:rsid w:val="00933E92"/>
    <w:rsid w:val="009345EF"/>
    <w:rsid w:val="009348B0"/>
    <w:rsid w:val="009348EC"/>
    <w:rsid w:val="00934CCC"/>
    <w:rsid w:val="00935303"/>
    <w:rsid w:val="0093584D"/>
    <w:rsid w:val="009359B7"/>
    <w:rsid w:val="00935BD1"/>
    <w:rsid w:val="00935D4A"/>
    <w:rsid w:val="00935DB2"/>
    <w:rsid w:val="00935F07"/>
    <w:rsid w:val="0093610F"/>
    <w:rsid w:val="009367FB"/>
    <w:rsid w:val="00936843"/>
    <w:rsid w:val="0093684D"/>
    <w:rsid w:val="00936E36"/>
    <w:rsid w:val="00937586"/>
    <w:rsid w:val="00937CB7"/>
    <w:rsid w:val="0094018C"/>
    <w:rsid w:val="00940436"/>
    <w:rsid w:val="009405E7"/>
    <w:rsid w:val="00940F53"/>
    <w:rsid w:val="00940F81"/>
    <w:rsid w:val="00940FC9"/>
    <w:rsid w:val="00941005"/>
    <w:rsid w:val="00941BBF"/>
    <w:rsid w:val="009420C3"/>
    <w:rsid w:val="00942256"/>
    <w:rsid w:val="00942304"/>
    <w:rsid w:val="00942466"/>
    <w:rsid w:val="009424BB"/>
    <w:rsid w:val="00942583"/>
    <w:rsid w:val="00942605"/>
    <w:rsid w:val="00942D00"/>
    <w:rsid w:val="00942D53"/>
    <w:rsid w:val="00942FD9"/>
    <w:rsid w:val="00943200"/>
    <w:rsid w:val="009433ED"/>
    <w:rsid w:val="009433F2"/>
    <w:rsid w:val="009434EC"/>
    <w:rsid w:val="00943764"/>
    <w:rsid w:val="00943B6C"/>
    <w:rsid w:val="00943D27"/>
    <w:rsid w:val="00943ED5"/>
    <w:rsid w:val="00943F26"/>
    <w:rsid w:val="009440DE"/>
    <w:rsid w:val="009441C7"/>
    <w:rsid w:val="009442C7"/>
    <w:rsid w:val="00944409"/>
    <w:rsid w:val="009447DF"/>
    <w:rsid w:val="00944E76"/>
    <w:rsid w:val="009454B6"/>
    <w:rsid w:val="00945557"/>
    <w:rsid w:val="00945732"/>
    <w:rsid w:val="009458D2"/>
    <w:rsid w:val="0094590B"/>
    <w:rsid w:val="00945ACC"/>
    <w:rsid w:val="00945F0E"/>
    <w:rsid w:val="009462CD"/>
    <w:rsid w:val="00946338"/>
    <w:rsid w:val="009466D8"/>
    <w:rsid w:val="00946BE3"/>
    <w:rsid w:val="00946FF0"/>
    <w:rsid w:val="00947E73"/>
    <w:rsid w:val="0095006A"/>
    <w:rsid w:val="009501A1"/>
    <w:rsid w:val="009511AA"/>
    <w:rsid w:val="009511AC"/>
    <w:rsid w:val="0095196B"/>
    <w:rsid w:val="00951997"/>
    <w:rsid w:val="00951EC0"/>
    <w:rsid w:val="00951F4F"/>
    <w:rsid w:val="009520D8"/>
    <w:rsid w:val="0095233B"/>
    <w:rsid w:val="00952A66"/>
    <w:rsid w:val="00952E80"/>
    <w:rsid w:val="00952F88"/>
    <w:rsid w:val="009538D5"/>
    <w:rsid w:val="00953BAB"/>
    <w:rsid w:val="00953E75"/>
    <w:rsid w:val="009540C2"/>
    <w:rsid w:val="00954577"/>
    <w:rsid w:val="009545AA"/>
    <w:rsid w:val="00954C67"/>
    <w:rsid w:val="00954E04"/>
    <w:rsid w:val="00954EA4"/>
    <w:rsid w:val="00955290"/>
    <w:rsid w:val="0095537A"/>
    <w:rsid w:val="009553F5"/>
    <w:rsid w:val="00955544"/>
    <w:rsid w:val="00955B7C"/>
    <w:rsid w:val="00955DB0"/>
    <w:rsid w:val="00956048"/>
    <w:rsid w:val="0095656A"/>
    <w:rsid w:val="00956816"/>
    <w:rsid w:val="0095682D"/>
    <w:rsid w:val="0095692E"/>
    <w:rsid w:val="00956A0D"/>
    <w:rsid w:val="00956EAA"/>
    <w:rsid w:val="00957616"/>
    <w:rsid w:val="00957675"/>
    <w:rsid w:val="00957F6C"/>
    <w:rsid w:val="00957FB7"/>
    <w:rsid w:val="009605CD"/>
    <w:rsid w:val="00960863"/>
    <w:rsid w:val="0096096D"/>
    <w:rsid w:val="009610DE"/>
    <w:rsid w:val="0096163C"/>
    <w:rsid w:val="0096178B"/>
    <w:rsid w:val="00961AA8"/>
    <w:rsid w:val="0096228C"/>
    <w:rsid w:val="009623C5"/>
    <w:rsid w:val="009627F0"/>
    <w:rsid w:val="00962D67"/>
    <w:rsid w:val="00962F90"/>
    <w:rsid w:val="009631B2"/>
    <w:rsid w:val="00963B5A"/>
    <w:rsid w:val="00963B68"/>
    <w:rsid w:val="00964358"/>
    <w:rsid w:val="00964366"/>
    <w:rsid w:val="00964480"/>
    <w:rsid w:val="009645F5"/>
    <w:rsid w:val="00964667"/>
    <w:rsid w:val="009646DF"/>
    <w:rsid w:val="009648FD"/>
    <w:rsid w:val="0096494C"/>
    <w:rsid w:val="00964AF8"/>
    <w:rsid w:val="00964B73"/>
    <w:rsid w:val="00964B76"/>
    <w:rsid w:val="00964B8F"/>
    <w:rsid w:val="009654AE"/>
    <w:rsid w:val="00965A03"/>
    <w:rsid w:val="00966023"/>
    <w:rsid w:val="00966497"/>
    <w:rsid w:val="00966612"/>
    <w:rsid w:val="00966D8D"/>
    <w:rsid w:val="00966E80"/>
    <w:rsid w:val="00966F35"/>
    <w:rsid w:val="00967170"/>
    <w:rsid w:val="009672B9"/>
    <w:rsid w:val="00967336"/>
    <w:rsid w:val="009673D5"/>
    <w:rsid w:val="00967C60"/>
    <w:rsid w:val="00967F95"/>
    <w:rsid w:val="0097013B"/>
    <w:rsid w:val="00970BA3"/>
    <w:rsid w:val="0097114C"/>
    <w:rsid w:val="00971296"/>
    <w:rsid w:val="0097166B"/>
    <w:rsid w:val="00971AEC"/>
    <w:rsid w:val="00971CF4"/>
    <w:rsid w:val="00971F5F"/>
    <w:rsid w:val="009725C3"/>
    <w:rsid w:val="009728CB"/>
    <w:rsid w:val="0097295C"/>
    <w:rsid w:val="00973000"/>
    <w:rsid w:val="00973337"/>
    <w:rsid w:val="0097389C"/>
    <w:rsid w:val="00973906"/>
    <w:rsid w:val="00973A95"/>
    <w:rsid w:val="00973C24"/>
    <w:rsid w:val="00973D7D"/>
    <w:rsid w:val="00973DE0"/>
    <w:rsid w:val="00974059"/>
    <w:rsid w:val="009741D4"/>
    <w:rsid w:val="00974889"/>
    <w:rsid w:val="00974FAD"/>
    <w:rsid w:val="009750CE"/>
    <w:rsid w:val="0097530E"/>
    <w:rsid w:val="00975481"/>
    <w:rsid w:val="0097550E"/>
    <w:rsid w:val="009756A1"/>
    <w:rsid w:val="009757A2"/>
    <w:rsid w:val="009757E9"/>
    <w:rsid w:val="009757ED"/>
    <w:rsid w:val="00975DD5"/>
    <w:rsid w:val="00975F66"/>
    <w:rsid w:val="0097647D"/>
    <w:rsid w:val="00976671"/>
    <w:rsid w:val="00976694"/>
    <w:rsid w:val="0097686B"/>
    <w:rsid w:val="0097689A"/>
    <w:rsid w:val="0097725E"/>
    <w:rsid w:val="009774C2"/>
    <w:rsid w:val="009778DC"/>
    <w:rsid w:val="00977AA2"/>
    <w:rsid w:val="00977D13"/>
    <w:rsid w:val="00977F1D"/>
    <w:rsid w:val="00980E6F"/>
    <w:rsid w:val="00981373"/>
    <w:rsid w:val="009815E0"/>
    <w:rsid w:val="00981617"/>
    <w:rsid w:val="0098246D"/>
    <w:rsid w:val="00982601"/>
    <w:rsid w:val="00982F07"/>
    <w:rsid w:val="00983196"/>
    <w:rsid w:val="00983485"/>
    <w:rsid w:val="0098387F"/>
    <w:rsid w:val="00983D21"/>
    <w:rsid w:val="00984073"/>
    <w:rsid w:val="009841FE"/>
    <w:rsid w:val="009845F4"/>
    <w:rsid w:val="009846A2"/>
    <w:rsid w:val="00985315"/>
    <w:rsid w:val="00985612"/>
    <w:rsid w:val="00985787"/>
    <w:rsid w:val="00985802"/>
    <w:rsid w:val="00985EA6"/>
    <w:rsid w:val="00986013"/>
    <w:rsid w:val="0098641B"/>
    <w:rsid w:val="00986A03"/>
    <w:rsid w:val="00986AD6"/>
    <w:rsid w:val="00986D8D"/>
    <w:rsid w:val="00986F70"/>
    <w:rsid w:val="009871FC"/>
    <w:rsid w:val="00987871"/>
    <w:rsid w:val="00987CAC"/>
    <w:rsid w:val="00987F6C"/>
    <w:rsid w:val="0099093E"/>
    <w:rsid w:val="00990EB1"/>
    <w:rsid w:val="0099166A"/>
    <w:rsid w:val="00991A90"/>
    <w:rsid w:val="00991C0B"/>
    <w:rsid w:val="009928D4"/>
    <w:rsid w:val="00993170"/>
    <w:rsid w:val="009931F4"/>
    <w:rsid w:val="00993729"/>
    <w:rsid w:val="00993A8E"/>
    <w:rsid w:val="00993BAE"/>
    <w:rsid w:val="00993E46"/>
    <w:rsid w:val="00993F60"/>
    <w:rsid w:val="00994196"/>
    <w:rsid w:val="00994451"/>
    <w:rsid w:val="00994658"/>
    <w:rsid w:val="00994783"/>
    <w:rsid w:val="0099488C"/>
    <w:rsid w:val="00994A8D"/>
    <w:rsid w:val="00994CA8"/>
    <w:rsid w:val="00994CC8"/>
    <w:rsid w:val="00994CCE"/>
    <w:rsid w:val="00994F17"/>
    <w:rsid w:val="00995B76"/>
    <w:rsid w:val="009962A5"/>
    <w:rsid w:val="00996322"/>
    <w:rsid w:val="009963C7"/>
    <w:rsid w:val="00996813"/>
    <w:rsid w:val="0099686F"/>
    <w:rsid w:val="00996A48"/>
    <w:rsid w:val="00996C72"/>
    <w:rsid w:val="00997081"/>
    <w:rsid w:val="0099712B"/>
    <w:rsid w:val="00997249"/>
    <w:rsid w:val="0099760C"/>
    <w:rsid w:val="0099769F"/>
    <w:rsid w:val="00997937"/>
    <w:rsid w:val="00997A88"/>
    <w:rsid w:val="009A0416"/>
    <w:rsid w:val="009A07CE"/>
    <w:rsid w:val="009A0919"/>
    <w:rsid w:val="009A0A90"/>
    <w:rsid w:val="009A0CD4"/>
    <w:rsid w:val="009A0EA4"/>
    <w:rsid w:val="009A0FF7"/>
    <w:rsid w:val="009A1031"/>
    <w:rsid w:val="009A1F07"/>
    <w:rsid w:val="009A2739"/>
    <w:rsid w:val="009A2CD2"/>
    <w:rsid w:val="009A2F91"/>
    <w:rsid w:val="009A329C"/>
    <w:rsid w:val="009A33A0"/>
    <w:rsid w:val="009A3924"/>
    <w:rsid w:val="009A4014"/>
    <w:rsid w:val="009A41DB"/>
    <w:rsid w:val="009A4597"/>
    <w:rsid w:val="009A48A4"/>
    <w:rsid w:val="009A4A7E"/>
    <w:rsid w:val="009A4C83"/>
    <w:rsid w:val="009A4CBB"/>
    <w:rsid w:val="009A5795"/>
    <w:rsid w:val="009A58D3"/>
    <w:rsid w:val="009A5C82"/>
    <w:rsid w:val="009A5CF2"/>
    <w:rsid w:val="009A5D30"/>
    <w:rsid w:val="009A5F2A"/>
    <w:rsid w:val="009A6467"/>
    <w:rsid w:val="009A661A"/>
    <w:rsid w:val="009A6A1E"/>
    <w:rsid w:val="009A6A61"/>
    <w:rsid w:val="009A6A9A"/>
    <w:rsid w:val="009A6ABC"/>
    <w:rsid w:val="009A70C0"/>
    <w:rsid w:val="009A73AE"/>
    <w:rsid w:val="009A797B"/>
    <w:rsid w:val="009A7C57"/>
    <w:rsid w:val="009A7D8C"/>
    <w:rsid w:val="009B05B9"/>
    <w:rsid w:val="009B06A2"/>
    <w:rsid w:val="009B071F"/>
    <w:rsid w:val="009B0C55"/>
    <w:rsid w:val="009B0CEB"/>
    <w:rsid w:val="009B0E46"/>
    <w:rsid w:val="009B0EBF"/>
    <w:rsid w:val="009B1217"/>
    <w:rsid w:val="009B1322"/>
    <w:rsid w:val="009B1384"/>
    <w:rsid w:val="009B13D3"/>
    <w:rsid w:val="009B1460"/>
    <w:rsid w:val="009B16C9"/>
    <w:rsid w:val="009B176C"/>
    <w:rsid w:val="009B1775"/>
    <w:rsid w:val="009B19C1"/>
    <w:rsid w:val="009B1BBB"/>
    <w:rsid w:val="009B1C09"/>
    <w:rsid w:val="009B253F"/>
    <w:rsid w:val="009B28FD"/>
    <w:rsid w:val="009B2B2D"/>
    <w:rsid w:val="009B2B36"/>
    <w:rsid w:val="009B2D13"/>
    <w:rsid w:val="009B3030"/>
    <w:rsid w:val="009B30AA"/>
    <w:rsid w:val="009B3195"/>
    <w:rsid w:val="009B364C"/>
    <w:rsid w:val="009B36E5"/>
    <w:rsid w:val="009B3AA1"/>
    <w:rsid w:val="009B3B93"/>
    <w:rsid w:val="009B3E82"/>
    <w:rsid w:val="009B4027"/>
    <w:rsid w:val="009B4717"/>
    <w:rsid w:val="009B4869"/>
    <w:rsid w:val="009B48F4"/>
    <w:rsid w:val="009B4CBB"/>
    <w:rsid w:val="009B4D99"/>
    <w:rsid w:val="009B519C"/>
    <w:rsid w:val="009B529C"/>
    <w:rsid w:val="009B54CE"/>
    <w:rsid w:val="009B54D5"/>
    <w:rsid w:val="009B5717"/>
    <w:rsid w:val="009B5996"/>
    <w:rsid w:val="009B5D78"/>
    <w:rsid w:val="009B5DF5"/>
    <w:rsid w:val="009B5F4B"/>
    <w:rsid w:val="009B67FD"/>
    <w:rsid w:val="009B68C7"/>
    <w:rsid w:val="009B6CA7"/>
    <w:rsid w:val="009B700F"/>
    <w:rsid w:val="009B7082"/>
    <w:rsid w:val="009B71D8"/>
    <w:rsid w:val="009B738F"/>
    <w:rsid w:val="009B78B2"/>
    <w:rsid w:val="009B7979"/>
    <w:rsid w:val="009B7AAF"/>
    <w:rsid w:val="009B7ACC"/>
    <w:rsid w:val="009B7C89"/>
    <w:rsid w:val="009B7E02"/>
    <w:rsid w:val="009C0140"/>
    <w:rsid w:val="009C01A0"/>
    <w:rsid w:val="009C0238"/>
    <w:rsid w:val="009C055F"/>
    <w:rsid w:val="009C07D2"/>
    <w:rsid w:val="009C0852"/>
    <w:rsid w:val="009C1002"/>
    <w:rsid w:val="009C141C"/>
    <w:rsid w:val="009C17B6"/>
    <w:rsid w:val="009C1811"/>
    <w:rsid w:val="009C19B8"/>
    <w:rsid w:val="009C1B58"/>
    <w:rsid w:val="009C1B6B"/>
    <w:rsid w:val="009C1E96"/>
    <w:rsid w:val="009C1EA4"/>
    <w:rsid w:val="009C27BE"/>
    <w:rsid w:val="009C2846"/>
    <w:rsid w:val="009C289D"/>
    <w:rsid w:val="009C2A45"/>
    <w:rsid w:val="009C34DE"/>
    <w:rsid w:val="009C3783"/>
    <w:rsid w:val="009C3AFE"/>
    <w:rsid w:val="009C40CC"/>
    <w:rsid w:val="009C41A6"/>
    <w:rsid w:val="009C41E0"/>
    <w:rsid w:val="009C425A"/>
    <w:rsid w:val="009C48CD"/>
    <w:rsid w:val="009C4E2C"/>
    <w:rsid w:val="009C4E81"/>
    <w:rsid w:val="009C553C"/>
    <w:rsid w:val="009C5651"/>
    <w:rsid w:val="009C5823"/>
    <w:rsid w:val="009C6042"/>
    <w:rsid w:val="009C60EE"/>
    <w:rsid w:val="009C6193"/>
    <w:rsid w:val="009C62D0"/>
    <w:rsid w:val="009C64B6"/>
    <w:rsid w:val="009C6657"/>
    <w:rsid w:val="009C6B01"/>
    <w:rsid w:val="009C6BAF"/>
    <w:rsid w:val="009C6E17"/>
    <w:rsid w:val="009C6E2C"/>
    <w:rsid w:val="009C745A"/>
    <w:rsid w:val="009C76F2"/>
    <w:rsid w:val="009C77F8"/>
    <w:rsid w:val="009C7807"/>
    <w:rsid w:val="009C7B29"/>
    <w:rsid w:val="009C7C21"/>
    <w:rsid w:val="009C7F73"/>
    <w:rsid w:val="009C7F7B"/>
    <w:rsid w:val="009D049F"/>
    <w:rsid w:val="009D161E"/>
    <w:rsid w:val="009D1843"/>
    <w:rsid w:val="009D1C60"/>
    <w:rsid w:val="009D1D1A"/>
    <w:rsid w:val="009D1F5B"/>
    <w:rsid w:val="009D2068"/>
    <w:rsid w:val="009D227C"/>
    <w:rsid w:val="009D2473"/>
    <w:rsid w:val="009D2819"/>
    <w:rsid w:val="009D2A70"/>
    <w:rsid w:val="009D2BE3"/>
    <w:rsid w:val="009D2CEB"/>
    <w:rsid w:val="009D2E0F"/>
    <w:rsid w:val="009D307A"/>
    <w:rsid w:val="009D3384"/>
    <w:rsid w:val="009D33F1"/>
    <w:rsid w:val="009D360F"/>
    <w:rsid w:val="009D3766"/>
    <w:rsid w:val="009D3907"/>
    <w:rsid w:val="009D3AB5"/>
    <w:rsid w:val="009D3B0F"/>
    <w:rsid w:val="009D3D8F"/>
    <w:rsid w:val="009D3D91"/>
    <w:rsid w:val="009D42AC"/>
    <w:rsid w:val="009D43EA"/>
    <w:rsid w:val="009D45A1"/>
    <w:rsid w:val="009D4752"/>
    <w:rsid w:val="009D47E9"/>
    <w:rsid w:val="009D499C"/>
    <w:rsid w:val="009D5166"/>
    <w:rsid w:val="009D55FE"/>
    <w:rsid w:val="009D597E"/>
    <w:rsid w:val="009D5A58"/>
    <w:rsid w:val="009D5C07"/>
    <w:rsid w:val="009D5F74"/>
    <w:rsid w:val="009D6321"/>
    <w:rsid w:val="009D6613"/>
    <w:rsid w:val="009D6C49"/>
    <w:rsid w:val="009D6FED"/>
    <w:rsid w:val="009D70D6"/>
    <w:rsid w:val="009D7192"/>
    <w:rsid w:val="009D7466"/>
    <w:rsid w:val="009D7A43"/>
    <w:rsid w:val="009D7DC4"/>
    <w:rsid w:val="009E03D1"/>
    <w:rsid w:val="009E04EC"/>
    <w:rsid w:val="009E0F9C"/>
    <w:rsid w:val="009E11D2"/>
    <w:rsid w:val="009E1359"/>
    <w:rsid w:val="009E153B"/>
    <w:rsid w:val="009E1795"/>
    <w:rsid w:val="009E1D18"/>
    <w:rsid w:val="009E214F"/>
    <w:rsid w:val="009E22E2"/>
    <w:rsid w:val="009E2641"/>
    <w:rsid w:val="009E2B2B"/>
    <w:rsid w:val="009E30A1"/>
    <w:rsid w:val="009E32F4"/>
    <w:rsid w:val="009E3656"/>
    <w:rsid w:val="009E3A39"/>
    <w:rsid w:val="009E3BCA"/>
    <w:rsid w:val="009E3CC8"/>
    <w:rsid w:val="009E3DCF"/>
    <w:rsid w:val="009E4467"/>
    <w:rsid w:val="009E47D7"/>
    <w:rsid w:val="009E4C6E"/>
    <w:rsid w:val="009E4C78"/>
    <w:rsid w:val="009E50DC"/>
    <w:rsid w:val="009E5ECF"/>
    <w:rsid w:val="009E6947"/>
    <w:rsid w:val="009E6ECF"/>
    <w:rsid w:val="009E76A9"/>
    <w:rsid w:val="009E7D68"/>
    <w:rsid w:val="009E7DF9"/>
    <w:rsid w:val="009F07E3"/>
    <w:rsid w:val="009F0831"/>
    <w:rsid w:val="009F12BD"/>
    <w:rsid w:val="009F195C"/>
    <w:rsid w:val="009F1A5B"/>
    <w:rsid w:val="009F24DE"/>
    <w:rsid w:val="009F2536"/>
    <w:rsid w:val="009F26F6"/>
    <w:rsid w:val="009F2913"/>
    <w:rsid w:val="009F2F2F"/>
    <w:rsid w:val="009F2FE0"/>
    <w:rsid w:val="009F345E"/>
    <w:rsid w:val="009F35D9"/>
    <w:rsid w:val="009F3627"/>
    <w:rsid w:val="009F366F"/>
    <w:rsid w:val="009F36A2"/>
    <w:rsid w:val="009F39FD"/>
    <w:rsid w:val="009F3B40"/>
    <w:rsid w:val="009F40AE"/>
    <w:rsid w:val="009F417D"/>
    <w:rsid w:val="009F4353"/>
    <w:rsid w:val="009F4A62"/>
    <w:rsid w:val="009F4B20"/>
    <w:rsid w:val="009F4CDA"/>
    <w:rsid w:val="009F4DB5"/>
    <w:rsid w:val="009F52BE"/>
    <w:rsid w:val="009F5637"/>
    <w:rsid w:val="009F5863"/>
    <w:rsid w:val="009F5899"/>
    <w:rsid w:val="009F5C57"/>
    <w:rsid w:val="009F65C9"/>
    <w:rsid w:val="009F660A"/>
    <w:rsid w:val="009F6616"/>
    <w:rsid w:val="009F6672"/>
    <w:rsid w:val="009F68A6"/>
    <w:rsid w:val="009F6931"/>
    <w:rsid w:val="009F6C93"/>
    <w:rsid w:val="009F72C7"/>
    <w:rsid w:val="009F730C"/>
    <w:rsid w:val="009F7405"/>
    <w:rsid w:val="009F79FD"/>
    <w:rsid w:val="00A004D7"/>
    <w:rsid w:val="00A008A5"/>
    <w:rsid w:val="00A00992"/>
    <w:rsid w:val="00A00AE6"/>
    <w:rsid w:val="00A00D72"/>
    <w:rsid w:val="00A00DE3"/>
    <w:rsid w:val="00A00F6E"/>
    <w:rsid w:val="00A011BB"/>
    <w:rsid w:val="00A01383"/>
    <w:rsid w:val="00A016DD"/>
    <w:rsid w:val="00A019D8"/>
    <w:rsid w:val="00A01A8D"/>
    <w:rsid w:val="00A01C32"/>
    <w:rsid w:val="00A01FAF"/>
    <w:rsid w:val="00A02218"/>
    <w:rsid w:val="00A0234E"/>
    <w:rsid w:val="00A024DD"/>
    <w:rsid w:val="00A02672"/>
    <w:rsid w:val="00A02DBB"/>
    <w:rsid w:val="00A02F5E"/>
    <w:rsid w:val="00A0390A"/>
    <w:rsid w:val="00A0396B"/>
    <w:rsid w:val="00A0396D"/>
    <w:rsid w:val="00A03973"/>
    <w:rsid w:val="00A03CF8"/>
    <w:rsid w:val="00A040E7"/>
    <w:rsid w:val="00A04483"/>
    <w:rsid w:val="00A0456D"/>
    <w:rsid w:val="00A04681"/>
    <w:rsid w:val="00A0496D"/>
    <w:rsid w:val="00A04980"/>
    <w:rsid w:val="00A04D64"/>
    <w:rsid w:val="00A0507B"/>
    <w:rsid w:val="00A05613"/>
    <w:rsid w:val="00A056DC"/>
    <w:rsid w:val="00A05E92"/>
    <w:rsid w:val="00A0635C"/>
    <w:rsid w:val="00A06468"/>
    <w:rsid w:val="00A06D74"/>
    <w:rsid w:val="00A06E00"/>
    <w:rsid w:val="00A06E0F"/>
    <w:rsid w:val="00A07011"/>
    <w:rsid w:val="00A07141"/>
    <w:rsid w:val="00A073A7"/>
    <w:rsid w:val="00A07408"/>
    <w:rsid w:val="00A07694"/>
    <w:rsid w:val="00A078A9"/>
    <w:rsid w:val="00A07E6D"/>
    <w:rsid w:val="00A100A0"/>
    <w:rsid w:val="00A101E1"/>
    <w:rsid w:val="00A102AC"/>
    <w:rsid w:val="00A10CE7"/>
    <w:rsid w:val="00A10DAB"/>
    <w:rsid w:val="00A10F41"/>
    <w:rsid w:val="00A112B1"/>
    <w:rsid w:val="00A1130D"/>
    <w:rsid w:val="00A11513"/>
    <w:rsid w:val="00A11552"/>
    <w:rsid w:val="00A118E0"/>
    <w:rsid w:val="00A119CE"/>
    <w:rsid w:val="00A11DAB"/>
    <w:rsid w:val="00A12104"/>
    <w:rsid w:val="00A12634"/>
    <w:rsid w:val="00A12792"/>
    <w:rsid w:val="00A127FB"/>
    <w:rsid w:val="00A12903"/>
    <w:rsid w:val="00A129E4"/>
    <w:rsid w:val="00A12A91"/>
    <w:rsid w:val="00A12F0A"/>
    <w:rsid w:val="00A13032"/>
    <w:rsid w:val="00A1331B"/>
    <w:rsid w:val="00A134B4"/>
    <w:rsid w:val="00A13529"/>
    <w:rsid w:val="00A13ABC"/>
    <w:rsid w:val="00A13B44"/>
    <w:rsid w:val="00A13C5D"/>
    <w:rsid w:val="00A13CD4"/>
    <w:rsid w:val="00A13E40"/>
    <w:rsid w:val="00A14259"/>
    <w:rsid w:val="00A142B8"/>
    <w:rsid w:val="00A14324"/>
    <w:rsid w:val="00A1441E"/>
    <w:rsid w:val="00A1445F"/>
    <w:rsid w:val="00A147CA"/>
    <w:rsid w:val="00A149A9"/>
    <w:rsid w:val="00A151AF"/>
    <w:rsid w:val="00A156D1"/>
    <w:rsid w:val="00A15769"/>
    <w:rsid w:val="00A1595B"/>
    <w:rsid w:val="00A15C5A"/>
    <w:rsid w:val="00A162BB"/>
    <w:rsid w:val="00A16319"/>
    <w:rsid w:val="00A16B90"/>
    <w:rsid w:val="00A1704B"/>
    <w:rsid w:val="00A1752D"/>
    <w:rsid w:val="00A175F7"/>
    <w:rsid w:val="00A1788C"/>
    <w:rsid w:val="00A17DEC"/>
    <w:rsid w:val="00A17E66"/>
    <w:rsid w:val="00A20968"/>
    <w:rsid w:val="00A20FAF"/>
    <w:rsid w:val="00A21BD0"/>
    <w:rsid w:val="00A21C54"/>
    <w:rsid w:val="00A21C77"/>
    <w:rsid w:val="00A21E2A"/>
    <w:rsid w:val="00A2220B"/>
    <w:rsid w:val="00A22262"/>
    <w:rsid w:val="00A22803"/>
    <w:rsid w:val="00A22E13"/>
    <w:rsid w:val="00A22EBE"/>
    <w:rsid w:val="00A23129"/>
    <w:rsid w:val="00A231C2"/>
    <w:rsid w:val="00A23849"/>
    <w:rsid w:val="00A23A80"/>
    <w:rsid w:val="00A23BB0"/>
    <w:rsid w:val="00A23C73"/>
    <w:rsid w:val="00A23D4C"/>
    <w:rsid w:val="00A23ED3"/>
    <w:rsid w:val="00A23FF6"/>
    <w:rsid w:val="00A2411C"/>
    <w:rsid w:val="00A247AA"/>
    <w:rsid w:val="00A24DC6"/>
    <w:rsid w:val="00A2563F"/>
    <w:rsid w:val="00A25761"/>
    <w:rsid w:val="00A257E9"/>
    <w:rsid w:val="00A259DF"/>
    <w:rsid w:val="00A25A83"/>
    <w:rsid w:val="00A25CBD"/>
    <w:rsid w:val="00A261F5"/>
    <w:rsid w:val="00A263A4"/>
    <w:rsid w:val="00A265F8"/>
    <w:rsid w:val="00A26620"/>
    <w:rsid w:val="00A267C3"/>
    <w:rsid w:val="00A26968"/>
    <w:rsid w:val="00A26A55"/>
    <w:rsid w:val="00A274F2"/>
    <w:rsid w:val="00A27759"/>
    <w:rsid w:val="00A27ADB"/>
    <w:rsid w:val="00A27CE8"/>
    <w:rsid w:val="00A300F3"/>
    <w:rsid w:val="00A301C1"/>
    <w:rsid w:val="00A301DC"/>
    <w:rsid w:val="00A30B3F"/>
    <w:rsid w:val="00A30B66"/>
    <w:rsid w:val="00A30B6C"/>
    <w:rsid w:val="00A315C2"/>
    <w:rsid w:val="00A31DE1"/>
    <w:rsid w:val="00A32363"/>
    <w:rsid w:val="00A32780"/>
    <w:rsid w:val="00A32B18"/>
    <w:rsid w:val="00A32D42"/>
    <w:rsid w:val="00A32DB0"/>
    <w:rsid w:val="00A3310D"/>
    <w:rsid w:val="00A331D1"/>
    <w:rsid w:val="00A334D3"/>
    <w:rsid w:val="00A33551"/>
    <w:rsid w:val="00A33E8C"/>
    <w:rsid w:val="00A33F0C"/>
    <w:rsid w:val="00A33FD1"/>
    <w:rsid w:val="00A33FE5"/>
    <w:rsid w:val="00A3418F"/>
    <w:rsid w:val="00A344A4"/>
    <w:rsid w:val="00A34907"/>
    <w:rsid w:val="00A356B5"/>
    <w:rsid w:val="00A35C27"/>
    <w:rsid w:val="00A35C4E"/>
    <w:rsid w:val="00A35D27"/>
    <w:rsid w:val="00A35DDB"/>
    <w:rsid w:val="00A35FF6"/>
    <w:rsid w:val="00A3624D"/>
    <w:rsid w:val="00A363FC"/>
    <w:rsid w:val="00A3653B"/>
    <w:rsid w:val="00A365EB"/>
    <w:rsid w:val="00A36748"/>
    <w:rsid w:val="00A36BD9"/>
    <w:rsid w:val="00A36DD9"/>
    <w:rsid w:val="00A36EE5"/>
    <w:rsid w:val="00A36F50"/>
    <w:rsid w:val="00A37099"/>
    <w:rsid w:val="00A3722F"/>
    <w:rsid w:val="00A374FB"/>
    <w:rsid w:val="00A37731"/>
    <w:rsid w:val="00A378E7"/>
    <w:rsid w:val="00A37BBC"/>
    <w:rsid w:val="00A37CFD"/>
    <w:rsid w:val="00A37E3C"/>
    <w:rsid w:val="00A4008E"/>
    <w:rsid w:val="00A40157"/>
    <w:rsid w:val="00A4021D"/>
    <w:rsid w:val="00A4081F"/>
    <w:rsid w:val="00A40FF2"/>
    <w:rsid w:val="00A41095"/>
    <w:rsid w:val="00A410ED"/>
    <w:rsid w:val="00A4133F"/>
    <w:rsid w:val="00A42770"/>
    <w:rsid w:val="00A4279B"/>
    <w:rsid w:val="00A428E6"/>
    <w:rsid w:val="00A42F1E"/>
    <w:rsid w:val="00A430E4"/>
    <w:rsid w:val="00A433B2"/>
    <w:rsid w:val="00A433E7"/>
    <w:rsid w:val="00A433EF"/>
    <w:rsid w:val="00A43619"/>
    <w:rsid w:val="00A43770"/>
    <w:rsid w:val="00A43A2D"/>
    <w:rsid w:val="00A43DB4"/>
    <w:rsid w:val="00A43E55"/>
    <w:rsid w:val="00A43F7B"/>
    <w:rsid w:val="00A43FD4"/>
    <w:rsid w:val="00A44480"/>
    <w:rsid w:val="00A4497C"/>
    <w:rsid w:val="00A44CA2"/>
    <w:rsid w:val="00A44E10"/>
    <w:rsid w:val="00A44E31"/>
    <w:rsid w:val="00A44E66"/>
    <w:rsid w:val="00A4525C"/>
    <w:rsid w:val="00A453C6"/>
    <w:rsid w:val="00A45418"/>
    <w:rsid w:val="00A45454"/>
    <w:rsid w:val="00A455F4"/>
    <w:rsid w:val="00A456C9"/>
    <w:rsid w:val="00A45BA5"/>
    <w:rsid w:val="00A45CE7"/>
    <w:rsid w:val="00A45E70"/>
    <w:rsid w:val="00A45F43"/>
    <w:rsid w:val="00A46397"/>
    <w:rsid w:val="00A46606"/>
    <w:rsid w:val="00A46C51"/>
    <w:rsid w:val="00A46E0A"/>
    <w:rsid w:val="00A46F4A"/>
    <w:rsid w:val="00A47018"/>
    <w:rsid w:val="00A4775B"/>
    <w:rsid w:val="00A47772"/>
    <w:rsid w:val="00A479B7"/>
    <w:rsid w:val="00A47A4D"/>
    <w:rsid w:val="00A47D97"/>
    <w:rsid w:val="00A47E01"/>
    <w:rsid w:val="00A5070C"/>
    <w:rsid w:val="00A50FCD"/>
    <w:rsid w:val="00A51053"/>
    <w:rsid w:val="00A51512"/>
    <w:rsid w:val="00A5171C"/>
    <w:rsid w:val="00A51E37"/>
    <w:rsid w:val="00A52159"/>
    <w:rsid w:val="00A5224D"/>
    <w:rsid w:val="00A5311C"/>
    <w:rsid w:val="00A53F51"/>
    <w:rsid w:val="00A54206"/>
    <w:rsid w:val="00A5422B"/>
    <w:rsid w:val="00A543D5"/>
    <w:rsid w:val="00A54964"/>
    <w:rsid w:val="00A54E71"/>
    <w:rsid w:val="00A55421"/>
    <w:rsid w:val="00A554B7"/>
    <w:rsid w:val="00A55A2E"/>
    <w:rsid w:val="00A5661F"/>
    <w:rsid w:val="00A5662E"/>
    <w:rsid w:val="00A57036"/>
    <w:rsid w:val="00A57263"/>
    <w:rsid w:val="00A5734A"/>
    <w:rsid w:val="00A57AA7"/>
    <w:rsid w:val="00A57EEA"/>
    <w:rsid w:val="00A57F28"/>
    <w:rsid w:val="00A57F56"/>
    <w:rsid w:val="00A6004C"/>
    <w:rsid w:val="00A60494"/>
    <w:rsid w:val="00A607E6"/>
    <w:rsid w:val="00A60A81"/>
    <w:rsid w:val="00A60EEA"/>
    <w:rsid w:val="00A61016"/>
    <w:rsid w:val="00A615DB"/>
    <w:rsid w:val="00A61820"/>
    <w:rsid w:val="00A61A4D"/>
    <w:rsid w:val="00A61EF3"/>
    <w:rsid w:val="00A61F0D"/>
    <w:rsid w:val="00A6225A"/>
    <w:rsid w:val="00A6265C"/>
    <w:rsid w:val="00A629BE"/>
    <w:rsid w:val="00A631BB"/>
    <w:rsid w:val="00A63465"/>
    <w:rsid w:val="00A636CA"/>
    <w:rsid w:val="00A63CC4"/>
    <w:rsid w:val="00A63EB3"/>
    <w:rsid w:val="00A6407C"/>
    <w:rsid w:val="00A64519"/>
    <w:rsid w:val="00A64589"/>
    <w:rsid w:val="00A6463B"/>
    <w:rsid w:val="00A649E2"/>
    <w:rsid w:val="00A64B35"/>
    <w:rsid w:val="00A64C44"/>
    <w:rsid w:val="00A651BC"/>
    <w:rsid w:val="00A65227"/>
    <w:rsid w:val="00A6552A"/>
    <w:rsid w:val="00A6571E"/>
    <w:rsid w:val="00A65AAA"/>
    <w:rsid w:val="00A65D1F"/>
    <w:rsid w:val="00A6612A"/>
    <w:rsid w:val="00A661FC"/>
    <w:rsid w:val="00A6649E"/>
    <w:rsid w:val="00A667C4"/>
    <w:rsid w:val="00A66924"/>
    <w:rsid w:val="00A66A62"/>
    <w:rsid w:val="00A66AF7"/>
    <w:rsid w:val="00A6713C"/>
    <w:rsid w:val="00A67610"/>
    <w:rsid w:val="00A67930"/>
    <w:rsid w:val="00A67B39"/>
    <w:rsid w:val="00A67D0B"/>
    <w:rsid w:val="00A67D7E"/>
    <w:rsid w:val="00A701C6"/>
    <w:rsid w:val="00A702BD"/>
    <w:rsid w:val="00A70918"/>
    <w:rsid w:val="00A70C5C"/>
    <w:rsid w:val="00A710A6"/>
    <w:rsid w:val="00A7135C"/>
    <w:rsid w:val="00A715BC"/>
    <w:rsid w:val="00A71834"/>
    <w:rsid w:val="00A71896"/>
    <w:rsid w:val="00A7195E"/>
    <w:rsid w:val="00A71C32"/>
    <w:rsid w:val="00A71D0F"/>
    <w:rsid w:val="00A72276"/>
    <w:rsid w:val="00A7264A"/>
    <w:rsid w:val="00A72678"/>
    <w:rsid w:val="00A72774"/>
    <w:rsid w:val="00A72903"/>
    <w:rsid w:val="00A730EA"/>
    <w:rsid w:val="00A7351D"/>
    <w:rsid w:val="00A73B43"/>
    <w:rsid w:val="00A744EC"/>
    <w:rsid w:val="00A745AC"/>
    <w:rsid w:val="00A745C5"/>
    <w:rsid w:val="00A74653"/>
    <w:rsid w:val="00A74809"/>
    <w:rsid w:val="00A74969"/>
    <w:rsid w:val="00A75377"/>
    <w:rsid w:val="00A75650"/>
    <w:rsid w:val="00A759AF"/>
    <w:rsid w:val="00A75CF6"/>
    <w:rsid w:val="00A75E84"/>
    <w:rsid w:val="00A75F58"/>
    <w:rsid w:val="00A75FB2"/>
    <w:rsid w:val="00A762F5"/>
    <w:rsid w:val="00A768AF"/>
    <w:rsid w:val="00A76E2E"/>
    <w:rsid w:val="00A7734E"/>
    <w:rsid w:val="00A774DC"/>
    <w:rsid w:val="00A7758A"/>
    <w:rsid w:val="00A775B6"/>
    <w:rsid w:val="00A77D21"/>
    <w:rsid w:val="00A77D9E"/>
    <w:rsid w:val="00A77E6D"/>
    <w:rsid w:val="00A802F2"/>
    <w:rsid w:val="00A8050C"/>
    <w:rsid w:val="00A80679"/>
    <w:rsid w:val="00A8135E"/>
    <w:rsid w:val="00A81408"/>
    <w:rsid w:val="00A81441"/>
    <w:rsid w:val="00A818D2"/>
    <w:rsid w:val="00A81AE3"/>
    <w:rsid w:val="00A81B0E"/>
    <w:rsid w:val="00A820A1"/>
    <w:rsid w:val="00A8212A"/>
    <w:rsid w:val="00A821A8"/>
    <w:rsid w:val="00A82269"/>
    <w:rsid w:val="00A827A2"/>
    <w:rsid w:val="00A82892"/>
    <w:rsid w:val="00A83137"/>
    <w:rsid w:val="00A8323B"/>
    <w:rsid w:val="00A83B00"/>
    <w:rsid w:val="00A83CFA"/>
    <w:rsid w:val="00A83F42"/>
    <w:rsid w:val="00A84100"/>
    <w:rsid w:val="00A84158"/>
    <w:rsid w:val="00A842BF"/>
    <w:rsid w:val="00A847F2"/>
    <w:rsid w:val="00A849CA"/>
    <w:rsid w:val="00A84AC6"/>
    <w:rsid w:val="00A84D82"/>
    <w:rsid w:val="00A85152"/>
    <w:rsid w:val="00A8554A"/>
    <w:rsid w:val="00A85A11"/>
    <w:rsid w:val="00A85A31"/>
    <w:rsid w:val="00A85DAF"/>
    <w:rsid w:val="00A85E3C"/>
    <w:rsid w:val="00A85FAA"/>
    <w:rsid w:val="00A86166"/>
    <w:rsid w:val="00A86233"/>
    <w:rsid w:val="00A86678"/>
    <w:rsid w:val="00A86CC0"/>
    <w:rsid w:val="00A86DF2"/>
    <w:rsid w:val="00A86F4C"/>
    <w:rsid w:val="00A86FE7"/>
    <w:rsid w:val="00A8725F"/>
    <w:rsid w:val="00A87492"/>
    <w:rsid w:val="00A87655"/>
    <w:rsid w:val="00A87740"/>
    <w:rsid w:val="00A87DCF"/>
    <w:rsid w:val="00A87F10"/>
    <w:rsid w:val="00A90A35"/>
    <w:rsid w:val="00A90AA2"/>
    <w:rsid w:val="00A91445"/>
    <w:rsid w:val="00A9156E"/>
    <w:rsid w:val="00A9158A"/>
    <w:rsid w:val="00A91703"/>
    <w:rsid w:val="00A9178A"/>
    <w:rsid w:val="00A9186E"/>
    <w:rsid w:val="00A91C00"/>
    <w:rsid w:val="00A921EB"/>
    <w:rsid w:val="00A9238C"/>
    <w:rsid w:val="00A923D8"/>
    <w:rsid w:val="00A92448"/>
    <w:rsid w:val="00A92573"/>
    <w:rsid w:val="00A929AF"/>
    <w:rsid w:val="00A93051"/>
    <w:rsid w:val="00A93235"/>
    <w:rsid w:val="00A936C4"/>
    <w:rsid w:val="00A93DE6"/>
    <w:rsid w:val="00A93F5C"/>
    <w:rsid w:val="00A942F9"/>
    <w:rsid w:val="00A942FC"/>
    <w:rsid w:val="00A94A94"/>
    <w:rsid w:val="00A94EB7"/>
    <w:rsid w:val="00A953D9"/>
    <w:rsid w:val="00A95503"/>
    <w:rsid w:val="00A95A36"/>
    <w:rsid w:val="00A95AC5"/>
    <w:rsid w:val="00A95B7B"/>
    <w:rsid w:val="00A95CB0"/>
    <w:rsid w:val="00A96052"/>
    <w:rsid w:val="00A96107"/>
    <w:rsid w:val="00A9621C"/>
    <w:rsid w:val="00A963A2"/>
    <w:rsid w:val="00A96492"/>
    <w:rsid w:val="00A96505"/>
    <w:rsid w:val="00A965CA"/>
    <w:rsid w:val="00A9672A"/>
    <w:rsid w:val="00A967DB"/>
    <w:rsid w:val="00A9720C"/>
    <w:rsid w:val="00A97492"/>
    <w:rsid w:val="00A974BF"/>
    <w:rsid w:val="00A979E3"/>
    <w:rsid w:val="00A97AC5"/>
    <w:rsid w:val="00A97F30"/>
    <w:rsid w:val="00A97FFD"/>
    <w:rsid w:val="00AA0423"/>
    <w:rsid w:val="00AA046F"/>
    <w:rsid w:val="00AA056F"/>
    <w:rsid w:val="00AA0672"/>
    <w:rsid w:val="00AA0B97"/>
    <w:rsid w:val="00AA0DBE"/>
    <w:rsid w:val="00AA1655"/>
    <w:rsid w:val="00AA1A7C"/>
    <w:rsid w:val="00AA2169"/>
    <w:rsid w:val="00AA238C"/>
    <w:rsid w:val="00AA24B8"/>
    <w:rsid w:val="00AA2869"/>
    <w:rsid w:val="00AA28ED"/>
    <w:rsid w:val="00AA2D3E"/>
    <w:rsid w:val="00AA308E"/>
    <w:rsid w:val="00AA3288"/>
    <w:rsid w:val="00AA328A"/>
    <w:rsid w:val="00AA33D7"/>
    <w:rsid w:val="00AA34A7"/>
    <w:rsid w:val="00AA353E"/>
    <w:rsid w:val="00AA3A1D"/>
    <w:rsid w:val="00AA4189"/>
    <w:rsid w:val="00AA43C0"/>
    <w:rsid w:val="00AA455D"/>
    <w:rsid w:val="00AA48B6"/>
    <w:rsid w:val="00AA4B36"/>
    <w:rsid w:val="00AA4B43"/>
    <w:rsid w:val="00AA4CDB"/>
    <w:rsid w:val="00AA4D2E"/>
    <w:rsid w:val="00AA51B3"/>
    <w:rsid w:val="00AA57D9"/>
    <w:rsid w:val="00AA592F"/>
    <w:rsid w:val="00AA5C90"/>
    <w:rsid w:val="00AA5F24"/>
    <w:rsid w:val="00AA5FCA"/>
    <w:rsid w:val="00AA602E"/>
    <w:rsid w:val="00AA631B"/>
    <w:rsid w:val="00AA6475"/>
    <w:rsid w:val="00AA6A0C"/>
    <w:rsid w:val="00AA6AAF"/>
    <w:rsid w:val="00AA6C7A"/>
    <w:rsid w:val="00AA6DDB"/>
    <w:rsid w:val="00AA6EF2"/>
    <w:rsid w:val="00AA7656"/>
    <w:rsid w:val="00AA78AB"/>
    <w:rsid w:val="00AA799D"/>
    <w:rsid w:val="00AA7C71"/>
    <w:rsid w:val="00AA7E42"/>
    <w:rsid w:val="00AB009B"/>
    <w:rsid w:val="00AB046A"/>
    <w:rsid w:val="00AB05C9"/>
    <w:rsid w:val="00AB0A6D"/>
    <w:rsid w:val="00AB0BDE"/>
    <w:rsid w:val="00AB1163"/>
    <w:rsid w:val="00AB142A"/>
    <w:rsid w:val="00AB1779"/>
    <w:rsid w:val="00AB194F"/>
    <w:rsid w:val="00AB2005"/>
    <w:rsid w:val="00AB23D4"/>
    <w:rsid w:val="00AB27A9"/>
    <w:rsid w:val="00AB27DD"/>
    <w:rsid w:val="00AB2838"/>
    <w:rsid w:val="00AB2998"/>
    <w:rsid w:val="00AB2B6A"/>
    <w:rsid w:val="00AB2B8F"/>
    <w:rsid w:val="00AB2C57"/>
    <w:rsid w:val="00AB2DDD"/>
    <w:rsid w:val="00AB2E29"/>
    <w:rsid w:val="00AB3082"/>
    <w:rsid w:val="00AB3195"/>
    <w:rsid w:val="00AB3230"/>
    <w:rsid w:val="00AB329A"/>
    <w:rsid w:val="00AB3384"/>
    <w:rsid w:val="00AB3414"/>
    <w:rsid w:val="00AB36EF"/>
    <w:rsid w:val="00AB38A8"/>
    <w:rsid w:val="00AB3AE5"/>
    <w:rsid w:val="00AB3EDF"/>
    <w:rsid w:val="00AB41B7"/>
    <w:rsid w:val="00AB41C8"/>
    <w:rsid w:val="00AB41E0"/>
    <w:rsid w:val="00AB4267"/>
    <w:rsid w:val="00AB455B"/>
    <w:rsid w:val="00AB46B7"/>
    <w:rsid w:val="00AB4721"/>
    <w:rsid w:val="00AB4BD2"/>
    <w:rsid w:val="00AB4FF8"/>
    <w:rsid w:val="00AB52C0"/>
    <w:rsid w:val="00AB53C5"/>
    <w:rsid w:val="00AB5756"/>
    <w:rsid w:val="00AB59CA"/>
    <w:rsid w:val="00AB5E03"/>
    <w:rsid w:val="00AB5F8E"/>
    <w:rsid w:val="00AB6056"/>
    <w:rsid w:val="00AB62D0"/>
    <w:rsid w:val="00AB6412"/>
    <w:rsid w:val="00AB650A"/>
    <w:rsid w:val="00AB6779"/>
    <w:rsid w:val="00AB684D"/>
    <w:rsid w:val="00AB6857"/>
    <w:rsid w:val="00AB6FEC"/>
    <w:rsid w:val="00AB6FF3"/>
    <w:rsid w:val="00AB709E"/>
    <w:rsid w:val="00AB721B"/>
    <w:rsid w:val="00AB72DB"/>
    <w:rsid w:val="00AB7459"/>
    <w:rsid w:val="00AB787D"/>
    <w:rsid w:val="00AB79D9"/>
    <w:rsid w:val="00AB79E5"/>
    <w:rsid w:val="00AB7A9C"/>
    <w:rsid w:val="00AC0CCF"/>
    <w:rsid w:val="00AC11D6"/>
    <w:rsid w:val="00AC1A6E"/>
    <w:rsid w:val="00AC1B44"/>
    <w:rsid w:val="00AC1CC8"/>
    <w:rsid w:val="00AC1CF9"/>
    <w:rsid w:val="00AC251F"/>
    <w:rsid w:val="00AC2644"/>
    <w:rsid w:val="00AC28CD"/>
    <w:rsid w:val="00AC2AFD"/>
    <w:rsid w:val="00AC2C9A"/>
    <w:rsid w:val="00AC2CEB"/>
    <w:rsid w:val="00AC2D86"/>
    <w:rsid w:val="00AC304E"/>
    <w:rsid w:val="00AC3360"/>
    <w:rsid w:val="00AC336F"/>
    <w:rsid w:val="00AC346A"/>
    <w:rsid w:val="00AC3DD6"/>
    <w:rsid w:val="00AC3FDF"/>
    <w:rsid w:val="00AC432C"/>
    <w:rsid w:val="00AC4BF9"/>
    <w:rsid w:val="00AC4EBB"/>
    <w:rsid w:val="00AC51A2"/>
    <w:rsid w:val="00AC5220"/>
    <w:rsid w:val="00AC526F"/>
    <w:rsid w:val="00AC573C"/>
    <w:rsid w:val="00AC5D83"/>
    <w:rsid w:val="00AC6010"/>
    <w:rsid w:val="00AC6792"/>
    <w:rsid w:val="00AC6C8F"/>
    <w:rsid w:val="00AC7593"/>
    <w:rsid w:val="00AC7A86"/>
    <w:rsid w:val="00AC7D27"/>
    <w:rsid w:val="00AD00C8"/>
    <w:rsid w:val="00AD06EE"/>
    <w:rsid w:val="00AD0A20"/>
    <w:rsid w:val="00AD2112"/>
    <w:rsid w:val="00AD279E"/>
    <w:rsid w:val="00AD29CB"/>
    <w:rsid w:val="00AD2AE6"/>
    <w:rsid w:val="00AD2CE5"/>
    <w:rsid w:val="00AD2E2A"/>
    <w:rsid w:val="00AD2EF2"/>
    <w:rsid w:val="00AD30DC"/>
    <w:rsid w:val="00AD3110"/>
    <w:rsid w:val="00AD39AF"/>
    <w:rsid w:val="00AD485B"/>
    <w:rsid w:val="00AD5025"/>
    <w:rsid w:val="00AD51AC"/>
    <w:rsid w:val="00AD555C"/>
    <w:rsid w:val="00AD59A8"/>
    <w:rsid w:val="00AD5AC7"/>
    <w:rsid w:val="00AD5C73"/>
    <w:rsid w:val="00AD5CF2"/>
    <w:rsid w:val="00AD5E5D"/>
    <w:rsid w:val="00AD61E0"/>
    <w:rsid w:val="00AD65AD"/>
    <w:rsid w:val="00AD6706"/>
    <w:rsid w:val="00AD673E"/>
    <w:rsid w:val="00AD6891"/>
    <w:rsid w:val="00AD6CC8"/>
    <w:rsid w:val="00AD6CD4"/>
    <w:rsid w:val="00AD7617"/>
    <w:rsid w:val="00AD7622"/>
    <w:rsid w:val="00AD7721"/>
    <w:rsid w:val="00AD78B8"/>
    <w:rsid w:val="00AD7B22"/>
    <w:rsid w:val="00AD7C81"/>
    <w:rsid w:val="00AD7CF6"/>
    <w:rsid w:val="00AD7DBF"/>
    <w:rsid w:val="00AD7F6B"/>
    <w:rsid w:val="00AD7F8E"/>
    <w:rsid w:val="00AD7FA4"/>
    <w:rsid w:val="00AE022B"/>
    <w:rsid w:val="00AE056B"/>
    <w:rsid w:val="00AE05A5"/>
    <w:rsid w:val="00AE06B0"/>
    <w:rsid w:val="00AE07DF"/>
    <w:rsid w:val="00AE089C"/>
    <w:rsid w:val="00AE0D5C"/>
    <w:rsid w:val="00AE0EDF"/>
    <w:rsid w:val="00AE1805"/>
    <w:rsid w:val="00AE194B"/>
    <w:rsid w:val="00AE1999"/>
    <w:rsid w:val="00AE1A63"/>
    <w:rsid w:val="00AE1AD5"/>
    <w:rsid w:val="00AE1CF1"/>
    <w:rsid w:val="00AE1D63"/>
    <w:rsid w:val="00AE265F"/>
    <w:rsid w:val="00AE2669"/>
    <w:rsid w:val="00AE2739"/>
    <w:rsid w:val="00AE27F0"/>
    <w:rsid w:val="00AE2C3D"/>
    <w:rsid w:val="00AE3442"/>
    <w:rsid w:val="00AE354D"/>
    <w:rsid w:val="00AE3633"/>
    <w:rsid w:val="00AE452C"/>
    <w:rsid w:val="00AE4B69"/>
    <w:rsid w:val="00AE4C92"/>
    <w:rsid w:val="00AE4D3A"/>
    <w:rsid w:val="00AE4D4F"/>
    <w:rsid w:val="00AE4DC1"/>
    <w:rsid w:val="00AE4EE1"/>
    <w:rsid w:val="00AE5029"/>
    <w:rsid w:val="00AE5401"/>
    <w:rsid w:val="00AE54CF"/>
    <w:rsid w:val="00AE570B"/>
    <w:rsid w:val="00AE57FC"/>
    <w:rsid w:val="00AE5823"/>
    <w:rsid w:val="00AE5B02"/>
    <w:rsid w:val="00AE5C3B"/>
    <w:rsid w:val="00AE64E9"/>
    <w:rsid w:val="00AE69FB"/>
    <w:rsid w:val="00AE6A65"/>
    <w:rsid w:val="00AE7243"/>
    <w:rsid w:val="00AE766B"/>
    <w:rsid w:val="00AE7970"/>
    <w:rsid w:val="00AE7E40"/>
    <w:rsid w:val="00AF013E"/>
    <w:rsid w:val="00AF07A4"/>
    <w:rsid w:val="00AF08F5"/>
    <w:rsid w:val="00AF0ACB"/>
    <w:rsid w:val="00AF0EB3"/>
    <w:rsid w:val="00AF111E"/>
    <w:rsid w:val="00AF160A"/>
    <w:rsid w:val="00AF1636"/>
    <w:rsid w:val="00AF1915"/>
    <w:rsid w:val="00AF1980"/>
    <w:rsid w:val="00AF1BAD"/>
    <w:rsid w:val="00AF1C98"/>
    <w:rsid w:val="00AF23A2"/>
    <w:rsid w:val="00AF24F5"/>
    <w:rsid w:val="00AF25ED"/>
    <w:rsid w:val="00AF2938"/>
    <w:rsid w:val="00AF2A49"/>
    <w:rsid w:val="00AF2EDE"/>
    <w:rsid w:val="00AF30F9"/>
    <w:rsid w:val="00AF31CB"/>
    <w:rsid w:val="00AF32C5"/>
    <w:rsid w:val="00AF3803"/>
    <w:rsid w:val="00AF3AE3"/>
    <w:rsid w:val="00AF3FD9"/>
    <w:rsid w:val="00AF416B"/>
    <w:rsid w:val="00AF425C"/>
    <w:rsid w:val="00AF42D9"/>
    <w:rsid w:val="00AF4889"/>
    <w:rsid w:val="00AF4C45"/>
    <w:rsid w:val="00AF4E14"/>
    <w:rsid w:val="00AF5021"/>
    <w:rsid w:val="00AF51C1"/>
    <w:rsid w:val="00AF589F"/>
    <w:rsid w:val="00AF5A79"/>
    <w:rsid w:val="00AF5ED9"/>
    <w:rsid w:val="00AF5F51"/>
    <w:rsid w:val="00AF6112"/>
    <w:rsid w:val="00AF611C"/>
    <w:rsid w:val="00AF667D"/>
    <w:rsid w:val="00AF68AC"/>
    <w:rsid w:val="00AF6A1A"/>
    <w:rsid w:val="00AF6C3E"/>
    <w:rsid w:val="00AF6C53"/>
    <w:rsid w:val="00AF6E8A"/>
    <w:rsid w:val="00AF6EDD"/>
    <w:rsid w:val="00AF7124"/>
    <w:rsid w:val="00AF7347"/>
    <w:rsid w:val="00AF742C"/>
    <w:rsid w:val="00AF745D"/>
    <w:rsid w:val="00AF7659"/>
    <w:rsid w:val="00AF7942"/>
    <w:rsid w:val="00AF7BBC"/>
    <w:rsid w:val="00AF7D1F"/>
    <w:rsid w:val="00AF7F5C"/>
    <w:rsid w:val="00B0028E"/>
    <w:rsid w:val="00B00713"/>
    <w:rsid w:val="00B007D8"/>
    <w:rsid w:val="00B011C5"/>
    <w:rsid w:val="00B01360"/>
    <w:rsid w:val="00B016D5"/>
    <w:rsid w:val="00B016EE"/>
    <w:rsid w:val="00B01806"/>
    <w:rsid w:val="00B0194A"/>
    <w:rsid w:val="00B01A48"/>
    <w:rsid w:val="00B01C18"/>
    <w:rsid w:val="00B02AB9"/>
    <w:rsid w:val="00B02BBE"/>
    <w:rsid w:val="00B02ED5"/>
    <w:rsid w:val="00B030AB"/>
    <w:rsid w:val="00B03381"/>
    <w:rsid w:val="00B035CB"/>
    <w:rsid w:val="00B03993"/>
    <w:rsid w:val="00B0420B"/>
    <w:rsid w:val="00B042C5"/>
    <w:rsid w:val="00B045BA"/>
    <w:rsid w:val="00B04909"/>
    <w:rsid w:val="00B04937"/>
    <w:rsid w:val="00B04D71"/>
    <w:rsid w:val="00B04DDC"/>
    <w:rsid w:val="00B04F03"/>
    <w:rsid w:val="00B04F4F"/>
    <w:rsid w:val="00B05212"/>
    <w:rsid w:val="00B058D4"/>
    <w:rsid w:val="00B05A2E"/>
    <w:rsid w:val="00B05BCD"/>
    <w:rsid w:val="00B05BF0"/>
    <w:rsid w:val="00B05C5B"/>
    <w:rsid w:val="00B05EDA"/>
    <w:rsid w:val="00B06007"/>
    <w:rsid w:val="00B06021"/>
    <w:rsid w:val="00B0619A"/>
    <w:rsid w:val="00B0652E"/>
    <w:rsid w:val="00B06731"/>
    <w:rsid w:val="00B06A4D"/>
    <w:rsid w:val="00B06D56"/>
    <w:rsid w:val="00B071C3"/>
    <w:rsid w:val="00B075F6"/>
    <w:rsid w:val="00B077A8"/>
    <w:rsid w:val="00B07D60"/>
    <w:rsid w:val="00B07EC7"/>
    <w:rsid w:val="00B1019B"/>
    <w:rsid w:val="00B102BD"/>
    <w:rsid w:val="00B10304"/>
    <w:rsid w:val="00B103D8"/>
    <w:rsid w:val="00B1048C"/>
    <w:rsid w:val="00B106BF"/>
    <w:rsid w:val="00B10BB7"/>
    <w:rsid w:val="00B10D68"/>
    <w:rsid w:val="00B10FA2"/>
    <w:rsid w:val="00B11298"/>
    <w:rsid w:val="00B11307"/>
    <w:rsid w:val="00B11363"/>
    <w:rsid w:val="00B113D9"/>
    <w:rsid w:val="00B11620"/>
    <w:rsid w:val="00B116E8"/>
    <w:rsid w:val="00B1190C"/>
    <w:rsid w:val="00B11C5C"/>
    <w:rsid w:val="00B11DE6"/>
    <w:rsid w:val="00B11F35"/>
    <w:rsid w:val="00B11F73"/>
    <w:rsid w:val="00B121D0"/>
    <w:rsid w:val="00B12697"/>
    <w:rsid w:val="00B1274D"/>
    <w:rsid w:val="00B128B1"/>
    <w:rsid w:val="00B12944"/>
    <w:rsid w:val="00B12F72"/>
    <w:rsid w:val="00B13362"/>
    <w:rsid w:val="00B1358C"/>
    <w:rsid w:val="00B135CA"/>
    <w:rsid w:val="00B13990"/>
    <w:rsid w:val="00B13B46"/>
    <w:rsid w:val="00B13C65"/>
    <w:rsid w:val="00B13DEA"/>
    <w:rsid w:val="00B13EF3"/>
    <w:rsid w:val="00B141B6"/>
    <w:rsid w:val="00B1448D"/>
    <w:rsid w:val="00B14770"/>
    <w:rsid w:val="00B148AB"/>
    <w:rsid w:val="00B149A6"/>
    <w:rsid w:val="00B14FAF"/>
    <w:rsid w:val="00B14FBC"/>
    <w:rsid w:val="00B15477"/>
    <w:rsid w:val="00B155B8"/>
    <w:rsid w:val="00B1583F"/>
    <w:rsid w:val="00B15854"/>
    <w:rsid w:val="00B15965"/>
    <w:rsid w:val="00B15F40"/>
    <w:rsid w:val="00B15F51"/>
    <w:rsid w:val="00B1636E"/>
    <w:rsid w:val="00B1637B"/>
    <w:rsid w:val="00B1659A"/>
    <w:rsid w:val="00B16A1A"/>
    <w:rsid w:val="00B16A93"/>
    <w:rsid w:val="00B16B54"/>
    <w:rsid w:val="00B16FA6"/>
    <w:rsid w:val="00B17376"/>
    <w:rsid w:val="00B17530"/>
    <w:rsid w:val="00B17C15"/>
    <w:rsid w:val="00B2148F"/>
    <w:rsid w:val="00B215DC"/>
    <w:rsid w:val="00B2193D"/>
    <w:rsid w:val="00B2197F"/>
    <w:rsid w:val="00B21BC3"/>
    <w:rsid w:val="00B21CCE"/>
    <w:rsid w:val="00B21DB0"/>
    <w:rsid w:val="00B22000"/>
    <w:rsid w:val="00B220BD"/>
    <w:rsid w:val="00B2223E"/>
    <w:rsid w:val="00B225BF"/>
    <w:rsid w:val="00B227D0"/>
    <w:rsid w:val="00B23051"/>
    <w:rsid w:val="00B230F8"/>
    <w:rsid w:val="00B23186"/>
    <w:rsid w:val="00B23226"/>
    <w:rsid w:val="00B23355"/>
    <w:rsid w:val="00B2337F"/>
    <w:rsid w:val="00B234C7"/>
    <w:rsid w:val="00B23746"/>
    <w:rsid w:val="00B241D9"/>
    <w:rsid w:val="00B244BD"/>
    <w:rsid w:val="00B247DE"/>
    <w:rsid w:val="00B24BF0"/>
    <w:rsid w:val="00B24C85"/>
    <w:rsid w:val="00B24E7D"/>
    <w:rsid w:val="00B24FD7"/>
    <w:rsid w:val="00B2503D"/>
    <w:rsid w:val="00B251E7"/>
    <w:rsid w:val="00B256DB"/>
    <w:rsid w:val="00B2575C"/>
    <w:rsid w:val="00B25B2F"/>
    <w:rsid w:val="00B25DB5"/>
    <w:rsid w:val="00B25F83"/>
    <w:rsid w:val="00B25FB3"/>
    <w:rsid w:val="00B2633F"/>
    <w:rsid w:val="00B26629"/>
    <w:rsid w:val="00B27048"/>
    <w:rsid w:val="00B2716B"/>
    <w:rsid w:val="00B272A1"/>
    <w:rsid w:val="00B276FF"/>
    <w:rsid w:val="00B278A3"/>
    <w:rsid w:val="00B27F24"/>
    <w:rsid w:val="00B27FEB"/>
    <w:rsid w:val="00B30124"/>
    <w:rsid w:val="00B30296"/>
    <w:rsid w:val="00B3059C"/>
    <w:rsid w:val="00B3061D"/>
    <w:rsid w:val="00B30764"/>
    <w:rsid w:val="00B3084C"/>
    <w:rsid w:val="00B3096E"/>
    <w:rsid w:val="00B309B9"/>
    <w:rsid w:val="00B30AAA"/>
    <w:rsid w:val="00B30DB1"/>
    <w:rsid w:val="00B310DA"/>
    <w:rsid w:val="00B31C28"/>
    <w:rsid w:val="00B3213D"/>
    <w:rsid w:val="00B321C6"/>
    <w:rsid w:val="00B321FE"/>
    <w:rsid w:val="00B32A77"/>
    <w:rsid w:val="00B32AD2"/>
    <w:rsid w:val="00B32CA7"/>
    <w:rsid w:val="00B32E0E"/>
    <w:rsid w:val="00B32FD8"/>
    <w:rsid w:val="00B33038"/>
    <w:rsid w:val="00B33151"/>
    <w:rsid w:val="00B33336"/>
    <w:rsid w:val="00B335C9"/>
    <w:rsid w:val="00B33866"/>
    <w:rsid w:val="00B338CB"/>
    <w:rsid w:val="00B33ADD"/>
    <w:rsid w:val="00B3432B"/>
    <w:rsid w:val="00B34540"/>
    <w:rsid w:val="00B3454F"/>
    <w:rsid w:val="00B3471C"/>
    <w:rsid w:val="00B34A58"/>
    <w:rsid w:val="00B34B6C"/>
    <w:rsid w:val="00B34C97"/>
    <w:rsid w:val="00B34CB6"/>
    <w:rsid w:val="00B34F02"/>
    <w:rsid w:val="00B354CA"/>
    <w:rsid w:val="00B356EB"/>
    <w:rsid w:val="00B35E66"/>
    <w:rsid w:val="00B36567"/>
    <w:rsid w:val="00B366E4"/>
    <w:rsid w:val="00B36A48"/>
    <w:rsid w:val="00B36F5E"/>
    <w:rsid w:val="00B37258"/>
    <w:rsid w:val="00B377DF"/>
    <w:rsid w:val="00B37C55"/>
    <w:rsid w:val="00B37D43"/>
    <w:rsid w:val="00B37FB6"/>
    <w:rsid w:val="00B4011C"/>
    <w:rsid w:val="00B40284"/>
    <w:rsid w:val="00B40357"/>
    <w:rsid w:val="00B4052B"/>
    <w:rsid w:val="00B40A00"/>
    <w:rsid w:val="00B40B1E"/>
    <w:rsid w:val="00B40BC3"/>
    <w:rsid w:val="00B40D63"/>
    <w:rsid w:val="00B40D86"/>
    <w:rsid w:val="00B41157"/>
    <w:rsid w:val="00B41E3E"/>
    <w:rsid w:val="00B41EE9"/>
    <w:rsid w:val="00B41F59"/>
    <w:rsid w:val="00B42103"/>
    <w:rsid w:val="00B4234D"/>
    <w:rsid w:val="00B42563"/>
    <w:rsid w:val="00B427E9"/>
    <w:rsid w:val="00B42D93"/>
    <w:rsid w:val="00B434C1"/>
    <w:rsid w:val="00B43615"/>
    <w:rsid w:val="00B437CB"/>
    <w:rsid w:val="00B43B59"/>
    <w:rsid w:val="00B43EC7"/>
    <w:rsid w:val="00B44642"/>
    <w:rsid w:val="00B44707"/>
    <w:rsid w:val="00B44AA3"/>
    <w:rsid w:val="00B44B3A"/>
    <w:rsid w:val="00B44BCC"/>
    <w:rsid w:val="00B44D33"/>
    <w:rsid w:val="00B44FC5"/>
    <w:rsid w:val="00B4528C"/>
    <w:rsid w:val="00B45452"/>
    <w:rsid w:val="00B45777"/>
    <w:rsid w:val="00B458CB"/>
    <w:rsid w:val="00B45F3D"/>
    <w:rsid w:val="00B46756"/>
    <w:rsid w:val="00B46766"/>
    <w:rsid w:val="00B47231"/>
    <w:rsid w:val="00B472B0"/>
    <w:rsid w:val="00B47805"/>
    <w:rsid w:val="00B4790F"/>
    <w:rsid w:val="00B4794C"/>
    <w:rsid w:val="00B47993"/>
    <w:rsid w:val="00B501FE"/>
    <w:rsid w:val="00B502F3"/>
    <w:rsid w:val="00B5032B"/>
    <w:rsid w:val="00B504BA"/>
    <w:rsid w:val="00B505FD"/>
    <w:rsid w:val="00B507C5"/>
    <w:rsid w:val="00B50E7F"/>
    <w:rsid w:val="00B51A48"/>
    <w:rsid w:val="00B51EEB"/>
    <w:rsid w:val="00B521BC"/>
    <w:rsid w:val="00B52257"/>
    <w:rsid w:val="00B52992"/>
    <w:rsid w:val="00B52A9E"/>
    <w:rsid w:val="00B52AE1"/>
    <w:rsid w:val="00B52B66"/>
    <w:rsid w:val="00B52D49"/>
    <w:rsid w:val="00B52FF6"/>
    <w:rsid w:val="00B53091"/>
    <w:rsid w:val="00B5309E"/>
    <w:rsid w:val="00B530A2"/>
    <w:rsid w:val="00B53506"/>
    <w:rsid w:val="00B536AB"/>
    <w:rsid w:val="00B53750"/>
    <w:rsid w:val="00B53772"/>
    <w:rsid w:val="00B538A8"/>
    <w:rsid w:val="00B53A78"/>
    <w:rsid w:val="00B53C52"/>
    <w:rsid w:val="00B53C77"/>
    <w:rsid w:val="00B53D90"/>
    <w:rsid w:val="00B53E8F"/>
    <w:rsid w:val="00B53EC0"/>
    <w:rsid w:val="00B5420F"/>
    <w:rsid w:val="00B5429E"/>
    <w:rsid w:val="00B54454"/>
    <w:rsid w:val="00B547A2"/>
    <w:rsid w:val="00B54828"/>
    <w:rsid w:val="00B54B46"/>
    <w:rsid w:val="00B54CFA"/>
    <w:rsid w:val="00B54D93"/>
    <w:rsid w:val="00B551DE"/>
    <w:rsid w:val="00B552CD"/>
    <w:rsid w:val="00B553B9"/>
    <w:rsid w:val="00B553EF"/>
    <w:rsid w:val="00B55578"/>
    <w:rsid w:val="00B55645"/>
    <w:rsid w:val="00B558A5"/>
    <w:rsid w:val="00B55C73"/>
    <w:rsid w:val="00B560CC"/>
    <w:rsid w:val="00B563DA"/>
    <w:rsid w:val="00B56745"/>
    <w:rsid w:val="00B56B3D"/>
    <w:rsid w:val="00B5724C"/>
    <w:rsid w:val="00B575B9"/>
    <w:rsid w:val="00B57623"/>
    <w:rsid w:val="00B576EB"/>
    <w:rsid w:val="00B57761"/>
    <w:rsid w:val="00B57C21"/>
    <w:rsid w:val="00B60472"/>
    <w:rsid w:val="00B60D7E"/>
    <w:rsid w:val="00B6128B"/>
    <w:rsid w:val="00B6140E"/>
    <w:rsid w:val="00B614DE"/>
    <w:rsid w:val="00B61C63"/>
    <w:rsid w:val="00B61ED1"/>
    <w:rsid w:val="00B61EE0"/>
    <w:rsid w:val="00B61F6E"/>
    <w:rsid w:val="00B621A6"/>
    <w:rsid w:val="00B6252A"/>
    <w:rsid w:val="00B627C2"/>
    <w:rsid w:val="00B62A17"/>
    <w:rsid w:val="00B62AC9"/>
    <w:rsid w:val="00B63110"/>
    <w:rsid w:val="00B63894"/>
    <w:rsid w:val="00B63E71"/>
    <w:rsid w:val="00B64423"/>
    <w:rsid w:val="00B645ED"/>
    <w:rsid w:val="00B64672"/>
    <w:rsid w:val="00B64679"/>
    <w:rsid w:val="00B6482B"/>
    <w:rsid w:val="00B64BD7"/>
    <w:rsid w:val="00B64DE5"/>
    <w:rsid w:val="00B64EF4"/>
    <w:rsid w:val="00B65642"/>
    <w:rsid w:val="00B65765"/>
    <w:rsid w:val="00B657FE"/>
    <w:rsid w:val="00B65A27"/>
    <w:rsid w:val="00B65D4E"/>
    <w:rsid w:val="00B66345"/>
    <w:rsid w:val="00B6672D"/>
    <w:rsid w:val="00B66E28"/>
    <w:rsid w:val="00B676FC"/>
    <w:rsid w:val="00B67738"/>
    <w:rsid w:val="00B67830"/>
    <w:rsid w:val="00B67875"/>
    <w:rsid w:val="00B6792F"/>
    <w:rsid w:val="00B67DDF"/>
    <w:rsid w:val="00B706F5"/>
    <w:rsid w:val="00B7070D"/>
    <w:rsid w:val="00B707F5"/>
    <w:rsid w:val="00B7089D"/>
    <w:rsid w:val="00B70AD5"/>
    <w:rsid w:val="00B70AF4"/>
    <w:rsid w:val="00B70B75"/>
    <w:rsid w:val="00B70D3D"/>
    <w:rsid w:val="00B7115C"/>
    <w:rsid w:val="00B712F2"/>
    <w:rsid w:val="00B7134E"/>
    <w:rsid w:val="00B7162A"/>
    <w:rsid w:val="00B716DB"/>
    <w:rsid w:val="00B718B1"/>
    <w:rsid w:val="00B71A14"/>
    <w:rsid w:val="00B71AFB"/>
    <w:rsid w:val="00B71B43"/>
    <w:rsid w:val="00B71BA2"/>
    <w:rsid w:val="00B72029"/>
    <w:rsid w:val="00B72631"/>
    <w:rsid w:val="00B72A9C"/>
    <w:rsid w:val="00B72AA7"/>
    <w:rsid w:val="00B72C36"/>
    <w:rsid w:val="00B72EA3"/>
    <w:rsid w:val="00B72FEA"/>
    <w:rsid w:val="00B73162"/>
    <w:rsid w:val="00B73744"/>
    <w:rsid w:val="00B73824"/>
    <w:rsid w:val="00B73C69"/>
    <w:rsid w:val="00B74E11"/>
    <w:rsid w:val="00B752D5"/>
    <w:rsid w:val="00B75489"/>
    <w:rsid w:val="00B761E0"/>
    <w:rsid w:val="00B7677D"/>
    <w:rsid w:val="00B77FF9"/>
    <w:rsid w:val="00B80199"/>
    <w:rsid w:val="00B8030D"/>
    <w:rsid w:val="00B80541"/>
    <w:rsid w:val="00B80582"/>
    <w:rsid w:val="00B80617"/>
    <w:rsid w:val="00B80AEB"/>
    <w:rsid w:val="00B8121D"/>
    <w:rsid w:val="00B81259"/>
    <w:rsid w:val="00B813DA"/>
    <w:rsid w:val="00B815F3"/>
    <w:rsid w:val="00B817CB"/>
    <w:rsid w:val="00B81B38"/>
    <w:rsid w:val="00B81F2A"/>
    <w:rsid w:val="00B8209D"/>
    <w:rsid w:val="00B82435"/>
    <w:rsid w:val="00B8270E"/>
    <w:rsid w:val="00B8287F"/>
    <w:rsid w:val="00B82EDB"/>
    <w:rsid w:val="00B82FD5"/>
    <w:rsid w:val="00B83F9F"/>
    <w:rsid w:val="00B84462"/>
    <w:rsid w:val="00B84713"/>
    <w:rsid w:val="00B84E86"/>
    <w:rsid w:val="00B84EAA"/>
    <w:rsid w:val="00B852A4"/>
    <w:rsid w:val="00B85381"/>
    <w:rsid w:val="00B8544F"/>
    <w:rsid w:val="00B85960"/>
    <w:rsid w:val="00B85A60"/>
    <w:rsid w:val="00B868FD"/>
    <w:rsid w:val="00B86CFA"/>
    <w:rsid w:val="00B87284"/>
    <w:rsid w:val="00B872A3"/>
    <w:rsid w:val="00B872BF"/>
    <w:rsid w:val="00B8768C"/>
    <w:rsid w:val="00B8779D"/>
    <w:rsid w:val="00B87D0C"/>
    <w:rsid w:val="00B87EE5"/>
    <w:rsid w:val="00B9043C"/>
    <w:rsid w:val="00B90690"/>
    <w:rsid w:val="00B9082F"/>
    <w:rsid w:val="00B909FA"/>
    <w:rsid w:val="00B90E71"/>
    <w:rsid w:val="00B90F41"/>
    <w:rsid w:val="00B9130F"/>
    <w:rsid w:val="00B91704"/>
    <w:rsid w:val="00B917B4"/>
    <w:rsid w:val="00B92411"/>
    <w:rsid w:val="00B924A5"/>
    <w:rsid w:val="00B93B26"/>
    <w:rsid w:val="00B93C23"/>
    <w:rsid w:val="00B93D3D"/>
    <w:rsid w:val="00B940C5"/>
    <w:rsid w:val="00B9412F"/>
    <w:rsid w:val="00B94414"/>
    <w:rsid w:val="00B95124"/>
    <w:rsid w:val="00B955B8"/>
    <w:rsid w:val="00B95BDA"/>
    <w:rsid w:val="00B95F84"/>
    <w:rsid w:val="00B95F9E"/>
    <w:rsid w:val="00B96269"/>
    <w:rsid w:val="00B96EE6"/>
    <w:rsid w:val="00B96FAD"/>
    <w:rsid w:val="00B97090"/>
    <w:rsid w:val="00B97589"/>
    <w:rsid w:val="00B977E3"/>
    <w:rsid w:val="00BA06A0"/>
    <w:rsid w:val="00BA0A27"/>
    <w:rsid w:val="00BA0B8D"/>
    <w:rsid w:val="00BA0C83"/>
    <w:rsid w:val="00BA0DE2"/>
    <w:rsid w:val="00BA10E3"/>
    <w:rsid w:val="00BA171D"/>
    <w:rsid w:val="00BA1A43"/>
    <w:rsid w:val="00BA1B11"/>
    <w:rsid w:val="00BA1D0A"/>
    <w:rsid w:val="00BA1D89"/>
    <w:rsid w:val="00BA1EC6"/>
    <w:rsid w:val="00BA2123"/>
    <w:rsid w:val="00BA2135"/>
    <w:rsid w:val="00BA246B"/>
    <w:rsid w:val="00BA26F3"/>
    <w:rsid w:val="00BA27AC"/>
    <w:rsid w:val="00BA2C14"/>
    <w:rsid w:val="00BA2FB7"/>
    <w:rsid w:val="00BA32C5"/>
    <w:rsid w:val="00BA3F78"/>
    <w:rsid w:val="00BA405F"/>
    <w:rsid w:val="00BA47C5"/>
    <w:rsid w:val="00BA4CC8"/>
    <w:rsid w:val="00BA52F4"/>
    <w:rsid w:val="00BA53F1"/>
    <w:rsid w:val="00BA5A56"/>
    <w:rsid w:val="00BA5B96"/>
    <w:rsid w:val="00BA5D02"/>
    <w:rsid w:val="00BA654C"/>
    <w:rsid w:val="00BA6866"/>
    <w:rsid w:val="00BA7089"/>
    <w:rsid w:val="00BA709E"/>
    <w:rsid w:val="00BA74CC"/>
    <w:rsid w:val="00BA76A8"/>
    <w:rsid w:val="00BA7762"/>
    <w:rsid w:val="00BB012C"/>
    <w:rsid w:val="00BB02D3"/>
    <w:rsid w:val="00BB0337"/>
    <w:rsid w:val="00BB06F7"/>
    <w:rsid w:val="00BB0712"/>
    <w:rsid w:val="00BB0ACA"/>
    <w:rsid w:val="00BB0FDB"/>
    <w:rsid w:val="00BB123A"/>
    <w:rsid w:val="00BB1676"/>
    <w:rsid w:val="00BB18A4"/>
    <w:rsid w:val="00BB1E49"/>
    <w:rsid w:val="00BB1EE9"/>
    <w:rsid w:val="00BB26FA"/>
    <w:rsid w:val="00BB27A0"/>
    <w:rsid w:val="00BB2C50"/>
    <w:rsid w:val="00BB2D03"/>
    <w:rsid w:val="00BB2F8F"/>
    <w:rsid w:val="00BB3103"/>
    <w:rsid w:val="00BB3580"/>
    <w:rsid w:val="00BB37B9"/>
    <w:rsid w:val="00BB3E71"/>
    <w:rsid w:val="00BB3E94"/>
    <w:rsid w:val="00BB416F"/>
    <w:rsid w:val="00BB477A"/>
    <w:rsid w:val="00BB4FBB"/>
    <w:rsid w:val="00BB53F0"/>
    <w:rsid w:val="00BB542B"/>
    <w:rsid w:val="00BB5AF6"/>
    <w:rsid w:val="00BB5D69"/>
    <w:rsid w:val="00BB5E3C"/>
    <w:rsid w:val="00BB6321"/>
    <w:rsid w:val="00BB6791"/>
    <w:rsid w:val="00BB6812"/>
    <w:rsid w:val="00BB69C9"/>
    <w:rsid w:val="00BB6A0F"/>
    <w:rsid w:val="00BB6E37"/>
    <w:rsid w:val="00BB6F11"/>
    <w:rsid w:val="00BB70CB"/>
    <w:rsid w:val="00BB74D9"/>
    <w:rsid w:val="00BB77CF"/>
    <w:rsid w:val="00BB7870"/>
    <w:rsid w:val="00BB7C67"/>
    <w:rsid w:val="00BC00FB"/>
    <w:rsid w:val="00BC0BBF"/>
    <w:rsid w:val="00BC147D"/>
    <w:rsid w:val="00BC14CF"/>
    <w:rsid w:val="00BC1F6B"/>
    <w:rsid w:val="00BC2035"/>
    <w:rsid w:val="00BC245D"/>
    <w:rsid w:val="00BC24AC"/>
    <w:rsid w:val="00BC267C"/>
    <w:rsid w:val="00BC2B1D"/>
    <w:rsid w:val="00BC2E4C"/>
    <w:rsid w:val="00BC2F82"/>
    <w:rsid w:val="00BC3742"/>
    <w:rsid w:val="00BC3770"/>
    <w:rsid w:val="00BC3B05"/>
    <w:rsid w:val="00BC3BD2"/>
    <w:rsid w:val="00BC4152"/>
    <w:rsid w:val="00BC417E"/>
    <w:rsid w:val="00BC44B8"/>
    <w:rsid w:val="00BC4540"/>
    <w:rsid w:val="00BC46AD"/>
    <w:rsid w:val="00BC475F"/>
    <w:rsid w:val="00BC491A"/>
    <w:rsid w:val="00BC4AD9"/>
    <w:rsid w:val="00BC4DBE"/>
    <w:rsid w:val="00BC5001"/>
    <w:rsid w:val="00BC521D"/>
    <w:rsid w:val="00BC540C"/>
    <w:rsid w:val="00BC559F"/>
    <w:rsid w:val="00BC55FF"/>
    <w:rsid w:val="00BC5890"/>
    <w:rsid w:val="00BC59EB"/>
    <w:rsid w:val="00BC5D16"/>
    <w:rsid w:val="00BC62AC"/>
    <w:rsid w:val="00BC6496"/>
    <w:rsid w:val="00BC667D"/>
    <w:rsid w:val="00BC671F"/>
    <w:rsid w:val="00BC682C"/>
    <w:rsid w:val="00BC6A53"/>
    <w:rsid w:val="00BC6C86"/>
    <w:rsid w:val="00BC6D56"/>
    <w:rsid w:val="00BC76CC"/>
    <w:rsid w:val="00BC79D0"/>
    <w:rsid w:val="00BC7B5C"/>
    <w:rsid w:val="00BC7F36"/>
    <w:rsid w:val="00BD00C2"/>
    <w:rsid w:val="00BD0542"/>
    <w:rsid w:val="00BD076E"/>
    <w:rsid w:val="00BD07CB"/>
    <w:rsid w:val="00BD07E1"/>
    <w:rsid w:val="00BD0833"/>
    <w:rsid w:val="00BD0844"/>
    <w:rsid w:val="00BD0B96"/>
    <w:rsid w:val="00BD0F3F"/>
    <w:rsid w:val="00BD0F9D"/>
    <w:rsid w:val="00BD1274"/>
    <w:rsid w:val="00BD1301"/>
    <w:rsid w:val="00BD14A5"/>
    <w:rsid w:val="00BD1A26"/>
    <w:rsid w:val="00BD1A70"/>
    <w:rsid w:val="00BD1EFD"/>
    <w:rsid w:val="00BD1F6E"/>
    <w:rsid w:val="00BD233A"/>
    <w:rsid w:val="00BD2638"/>
    <w:rsid w:val="00BD26BB"/>
    <w:rsid w:val="00BD272B"/>
    <w:rsid w:val="00BD2744"/>
    <w:rsid w:val="00BD2920"/>
    <w:rsid w:val="00BD2BFC"/>
    <w:rsid w:val="00BD2EC4"/>
    <w:rsid w:val="00BD2ECE"/>
    <w:rsid w:val="00BD3333"/>
    <w:rsid w:val="00BD34F3"/>
    <w:rsid w:val="00BD38C8"/>
    <w:rsid w:val="00BD4147"/>
    <w:rsid w:val="00BD437F"/>
    <w:rsid w:val="00BD46A9"/>
    <w:rsid w:val="00BD579B"/>
    <w:rsid w:val="00BD5CBC"/>
    <w:rsid w:val="00BD604E"/>
    <w:rsid w:val="00BD6112"/>
    <w:rsid w:val="00BD6AD1"/>
    <w:rsid w:val="00BD6D6A"/>
    <w:rsid w:val="00BD6DA0"/>
    <w:rsid w:val="00BD6E11"/>
    <w:rsid w:val="00BD724E"/>
    <w:rsid w:val="00BD79FD"/>
    <w:rsid w:val="00BD7A31"/>
    <w:rsid w:val="00BE0314"/>
    <w:rsid w:val="00BE0AA7"/>
    <w:rsid w:val="00BE0C21"/>
    <w:rsid w:val="00BE0DAE"/>
    <w:rsid w:val="00BE0EFE"/>
    <w:rsid w:val="00BE105D"/>
    <w:rsid w:val="00BE11C3"/>
    <w:rsid w:val="00BE1365"/>
    <w:rsid w:val="00BE153D"/>
    <w:rsid w:val="00BE1B3E"/>
    <w:rsid w:val="00BE1BE7"/>
    <w:rsid w:val="00BE23BA"/>
    <w:rsid w:val="00BE2733"/>
    <w:rsid w:val="00BE2885"/>
    <w:rsid w:val="00BE28BD"/>
    <w:rsid w:val="00BE3B88"/>
    <w:rsid w:val="00BE3CC8"/>
    <w:rsid w:val="00BE3D93"/>
    <w:rsid w:val="00BE3EFE"/>
    <w:rsid w:val="00BE4043"/>
    <w:rsid w:val="00BE4053"/>
    <w:rsid w:val="00BE40EF"/>
    <w:rsid w:val="00BE40F6"/>
    <w:rsid w:val="00BE459E"/>
    <w:rsid w:val="00BE4B6E"/>
    <w:rsid w:val="00BE51E5"/>
    <w:rsid w:val="00BE5667"/>
    <w:rsid w:val="00BE5A2A"/>
    <w:rsid w:val="00BE5BF9"/>
    <w:rsid w:val="00BE645B"/>
    <w:rsid w:val="00BE6895"/>
    <w:rsid w:val="00BE69F5"/>
    <w:rsid w:val="00BE6C2E"/>
    <w:rsid w:val="00BE6C44"/>
    <w:rsid w:val="00BE6D0F"/>
    <w:rsid w:val="00BE7278"/>
    <w:rsid w:val="00BE74D6"/>
    <w:rsid w:val="00BE7536"/>
    <w:rsid w:val="00BE78DF"/>
    <w:rsid w:val="00BE7D5B"/>
    <w:rsid w:val="00BE7DF7"/>
    <w:rsid w:val="00BE7F2D"/>
    <w:rsid w:val="00BE7F8B"/>
    <w:rsid w:val="00BF0142"/>
    <w:rsid w:val="00BF028F"/>
    <w:rsid w:val="00BF031A"/>
    <w:rsid w:val="00BF05FA"/>
    <w:rsid w:val="00BF0630"/>
    <w:rsid w:val="00BF0975"/>
    <w:rsid w:val="00BF09CA"/>
    <w:rsid w:val="00BF0E5E"/>
    <w:rsid w:val="00BF0F47"/>
    <w:rsid w:val="00BF10FE"/>
    <w:rsid w:val="00BF1148"/>
    <w:rsid w:val="00BF140B"/>
    <w:rsid w:val="00BF15D0"/>
    <w:rsid w:val="00BF16CD"/>
    <w:rsid w:val="00BF195C"/>
    <w:rsid w:val="00BF1A87"/>
    <w:rsid w:val="00BF1B05"/>
    <w:rsid w:val="00BF1CAA"/>
    <w:rsid w:val="00BF1FAC"/>
    <w:rsid w:val="00BF2154"/>
    <w:rsid w:val="00BF2248"/>
    <w:rsid w:val="00BF258E"/>
    <w:rsid w:val="00BF2850"/>
    <w:rsid w:val="00BF2C1D"/>
    <w:rsid w:val="00BF2D5F"/>
    <w:rsid w:val="00BF2EE0"/>
    <w:rsid w:val="00BF2FA6"/>
    <w:rsid w:val="00BF37E8"/>
    <w:rsid w:val="00BF3959"/>
    <w:rsid w:val="00BF42C3"/>
    <w:rsid w:val="00BF43B1"/>
    <w:rsid w:val="00BF48F6"/>
    <w:rsid w:val="00BF5389"/>
    <w:rsid w:val="00BF5776"/>
    <w:rsid w:val="00BF5C41"/>
    <w:rsid w:val="00BF5F33"/>
    <w:rsid w:val="00BF6269"/>
    <w:rsid w:val="00BF6352"/>
    <w:rsid w:val="00BF639C"/>
    <w:rsid w:val="00BF6606"/>
    <w:rsid w:val="00BF67FE"/>
    <w:rsid w:val="00BF6AED"/>
    <w:rsid w:val="00BF6E8C"/>
    <w:rsid w:val="00BF6F3B"/>
    <w:rsid w:val="00BF7056"/>
    <w:rsid w:val="00BF75F7"/>
    <w:rsid w:val="00BF77BB"/>
    <w:rsid w:val="00BF7BEE"/>
    <w:rsid w:val="00C0010B"/>
    <w:rsid w:val="00C00260"/>
    <w:rsid w:val="00C0061C"/>
    <w:rsid w:val="00C00896"/>
    <w:rsid w:val="00C016B4"/>
    <w:rsid w:val="00C018AF"/>
    <w:rsid w:val="00C01BD1"/>
    <w:rsid w:val="00C01E29"/>
    <w:rsid w:val="00C01F73"/>
    <w:rsid w:val="00C02359"/>
    <w:rsid w:val="00C02AF3"/>
    <w:rsid w:val="00C031F0"/>
    <w:rsid w:val="00C032EC"/>
    <w:rsid w:val="00C03396"/>
    <w:rsid w:val="00C03568"/>
    <w:rsid w:val="00C036E1"/>
    <w:rsid w:val="00C03703"/>
    <w:rsid w:val="00C03804"/>
    <w:rsid w:val="00C039F1"/>
    <w:rsid w:val="00C03DD8"/>
    <w:rsid w:val="00C03F42"/>
    <w:rsid w:val="00C04084"/>
    <w:rsid w:val="00C0441D"/>
    <w:rsid w:val="00C04ED6"/>
    <w:rsid w:val="00C05083"/>
    <w:rsid w:val="00C050EB"/>
    <w:rsid w:val="00C05684"/>
    <w:rsid w:val="00C05790"/>
    <w:rsid w:val="00C05A46"/>
    <w:rsid w:val="00C0616E"/>
    <w:rsid w:val="00C06295"/>
    <w:rsid w:val="00C064D6"/>
    <w:rsid w:val="00C064EF"/>
    <w:rsid w:val="00C06667"/>
    <w:rsid w:val="00C06669"/>
    <w:rsid w:val="00C068B6"/>
    <w:rsid w:val="00C06D62"/>
    <w:rsid w:val="00C06E46"/>
    <w:rsid w:val="00C06F7D"/>
    <w:rsid w:val="00C07152"/>
    <w:rsid w:val="00C076CC"/>
    <w:rsid w:val="00C07BBA"/>
    <w:rsid w:val="00C07C96"/>
    <w:rsid w:val="00C10305"/>
    <w:rsid w:val="00C10552"/>
    <w:rsid w:val="00C105E3"/>
    <w:rsid w:val="00C10AAE"/>
    <w:rsid w:val="00C10BEE"/>
    <w:rsid w:val="00C10CFA"/>
    <w:rsid w:val="00C10E82"/>
    <w:rsid w:val="00C10F07"/>
    <w:rsid w:val="00C111DD"/>
    <w:rsid w:val="00C11299"/>
    <w:rsid w:val="00C117C2"/>
    <w:rsid w:val="00C11F7B"/>
    <w:rsid w:val="00C12064"/>
    <w:rsid w:val="00C12842"/>
    <w:rsid w:val="00C12D6A"/>
    <w:rsid w:val="00C136E0"/>
    <w:rsid w:val="00C13C11"/>
    <w:rsid w:val="00C1401D"/>
    <w:rsid w:val="00C14056"/>
    <w:rsid w:val="00C144CB"/>
    <w:rsid w:val="00C14ACA"/>
    <w:rsid w:val="00C14B84"/>
    <w:rsid w:val="00C150C5"/>
    <w:rsid w:val="00C150CB"/>
    <w:rsid w:val="00C15456"/>
    <w:rsid w:val="00C15469"/>
    <w:rsid w:val="00C157BD"/>
    <w:rsid w:val="00C15B1E"/>
    <w:rsid w:val="00C15EF8"/>
    <w:rsid w:val="00C15FC6"/>
    <w:rsid w:val="00C161FE"/>
    <w:rsid w:val="00C16253"/>
    <w:rsid w:val="00C16BB8"/>
    <w:rsid w:val="00C16CCC"/>
    <w:rsid w:val="00C1710B"/>
    <w:rsid w:val="00C17114"/>
    <w:rsid w:val="00C17232"/>
    <w:rsid w:val="00C1768B"/>
    <w:rsid w:val="00C177D3"/>
    <w:rsid w:val="00C1798C"/>
    <w:rsid w:val="00C17C15"/>
    <w:rsid w:val="00C17F1D"/>
    <w:rsid w:val="00C203F9"/>
    <w:rsid w:val="00C2046A"/>
    <w:rsid w:val="00C20780"/>
    <w:rsid w:val="00C20F85"/>
    <w:rsid w:val="00C20FCE"/>
    <w:rsid w:val="00C2148C"/>
    <w:rsid w:val="00C21849"/>
    <w:rsid w:val="00C21A55"/>
    <w:rsid w:val="00C21A87"/>
    <w:rsid w:val="00C21D1D"/>
    <w:rsid w:val="00C21F99"/>
    <w:rsid w:val="00C22517"/>
    <w:rsid w:val="00C228FE"/>
    <w:rsid w:val="00C22B99"/>
    <w:rsid w:val="00C22D15"/>
    <w:rsid w:val="00C22F00"/>
    <w:rsid w:val="00C22FD0"/>
    <w:rsid w:val="00C2320C"/>
    <w:rsid w:val="00C234AD"/>
    <w:rsid w:val="00C23633"/>
    <w:rsid w:val="00C23983"/>
    <w:rsid w:val="00C23A13"/>
    <w:rsid w:val="00C23C74"/>
    <w:rsid w:val="00C23C9F"/>
    <w:rsid w:val="00C23E1C"/>
    <w:rsid w:val="00C24415"/>
    <w:rsid w:val="00C247E4"/>
    <w:rsid w:val="00C249AF"/>
    <w:rsid w:val="00C24A1A"/>
    <w:rsid w:val="00C24B6F"/>
    <w:rsid w:val="00C2509E"/>
    <w:rsid w:val="00C2528C"/>
    <w:rsid w:val="00C2551A"/>
    <w:rsid w:val="00C25654"/>
    <w:rsid w:val="00C2592B"/>
    <w:rsid w:val="00C259CE"/>
    <w:rsid w:val="00C25C12"/>
    <w:rsid w:val="00C26035"/>
    <w:rsid w:val="00C2667B"/>
    <w:rsid w:val="00C26CE0"/>
    <w:rsid w:val="00C26DDE"/>
    <w:rsid w:val="00C26E79"/>
    <w:rsid w:val="00C2748B"/>
    <w:rsid w:val="00C27646"/>
    <w:rsid w:val="00C27751"/>
    <w:rsid w:val="00C27D5D"/>
    <w:rsid w:val="00C27E2F"/>
    <w:rsid w:val="00C3012D"/>
    <w:rsid w:val="00C3083E"/>
    <w:rsid w:val="00C308ED"/>
    <w:rsid w:val="00C30C2F"/>
    <w:rsid w:val="00C30D67"/>
    <w:rsid w:val="00C30EC2"/>
    <w:rsid w:val="00C30F35"/>
    <w:rsid w:val="00C312BC"/>
    <w:rsid w:val="00C3138F"/>
    <w:rsid w:val="00C3178B"/>
    <w:rsid w:val="00C31CC8"/>
    <w:rsid w:val="00C31F4F"/>
    <w:rsid w:val="00C3250F"/>
    <w:rsid w:val="00C32E63"/>
    <w:rsid w:val="00C33011"/>
    <w:rsid w:val="00C33024"/>
    <w:rsid w:val="00C330CC"/>
    <w:rsid w:val="00C33572"/>
    <w:rsid w:val="00C3358F"/>
    <w:rsid w:val="00C33667"/>
    <w:rsid w:val="00C33921"/>
    <w:rsid w:val="00C339E9"/>
    <w:rsid w:val="00C33E72"/>
    <w:rsid w:val="00C341B8"/>
    <w:rsid w:val="00C342C4"/>
    <w:rsid w:val="00C3445F"/>
    <w:rsid w:val="00C34561"/>
    <w:rsid w:val="00C3484F"/>
    <w:rsid w:val="00C34942"/>
    <w:rsid w:val="00C34C4C"/>
    <w:rsid w:val="00C34C99"/>
    <w:rsid w:val="00C34F7F"/>
    <w:rsid w:val="00C3525C"/>
    <w:rsid w:val="00C35BB5"/>
    <w:rsid w:val="00C35BEF"/>
    <w:rsid w:val="00C35DCB"/>
    <w:rsid w:val="00C35DFD"/>
    <w:rsid w:val="00C36010"/>
    <w:rsid w:val="00C36534"/>
    <w:rsid w:val="00C36917"/>
    <w:rsid w:val="00C369CD"/>
    <w:rsid w:val="00C36A38"/>
    <w:rsid w:val="00C36AAA"/>
    <w:rsid w:val="00C36D52"/>
    <w:rsid w:val="00C37777"/>
    <w:rsid w:val="00C3793A"/>
    <w:rsid w:val="00C3796F"/>
    <w:rsid w:val="00C379C2"/>
    <w:rsid w:val="00C37F2F"/>
    <w:rsid w:val="00C37F4F"/>
    <w:rsid w:val="00C4004A"/>
    <w:rsid w:val="00C400D1"/>
    <w:rsid w:val="00C4041D"/>
    <w:rsid w:val="00C4079C"/>
    <w:rsid w:val="00C407D3"/>
    <w:rsid w:val="00C40987"/>
    <w:rsid w:val="00C40B79"/>
    <w:rsid w:val="00C40CE3"/>
    <w:rsid w:val="00C4104C"/>
    <w:rsid w:val="00C41729"/>
    <w:rsid w:val="00C41A8A"/>
    <w:rsid w:val="00C41AB1"/>
    <w:rsid w:val="00C41D63"/>
    <w:rsid w:val="00C41E6E"/>
    <w:rsid w:val="00C42429"/>
    <w:rsid w:val="00C426AB"/>
    <w:rsid w:val="00C429E3"/>
    <w:rsid w:val="00C429FC"/>
    <w:rsid w:val="00C42CAC"/>
    <w:rsid w:val="00C42D69"/>
    <w:rsid w:val="00C42D6A"/>
    <w:rsid w:val="00C42F43"/>
    <w:rsid w:val="00C4304D"/>
    <w:rsid w:val="00C43066"/>
    <w:rsid w:val="00C43598"/>
    <w:rsid w:val="00C43A6A"/>
    <w:rsid w:val="00C4417D"/>
    <w:rsid w:val="00C45611"/>
    <w:rsid w:val="00C45783"/>
    <w:rsid w:val="00C45A57"/>
    <w:rsid w:val="00C46093"/>
    <w:rsid w:val="00C46227"/>
    <w:rsid w:val="00C4656B"/>
    <w:rsid w:val="00C46777"/>
    <w:rsid w:val="00C467AE"/>
    <w:rsid w:val="00C46AB3"/>
    <w:rsid w:val="00C46BC9"/>
    <w:rsid w:val="00C46D5F"/>
    <w:rsid w:val="00C47328"/>
    <w:rsid w:val="00C474DD"/>
    <w:rsid w:val="00C47769"/>
    <w:rsid w:val="00C47918"/>
    <w:rsid w:val="00C47B27"/>
    <w:rsid w:val="00C47BEB"/>
    <w:rsid w:val="00C47D97"/>
    <w:rsid w:val="00C47E96"/>
    <w:rsid w:val="00C50096"/>
    <w:rsid w:val="00C501CC"/>
    <w:rsid w:val="00C507B9"/>
    <w:rsid w:val="00C50A51"/>
    <w:rsid w:val="00C50C34"/>
    <w:rsid w:val="00C50ED9"/>
    <w:rsid w:val="00C50FD7"/>
    <w:rsid w:val="00C51572"/>
    <w:rsid w:val="00C515EB"/>
    <w:rsid w:val="00C515F9"/>
    <w:rsid w:val="00C517C2"/>
    <w:rsid w:val="00C51AFE"/>
    <w:rsid w:val="00C52047"/>
    <w:rsid w:val="00C5209C"/>
    <w:rsid w:val="00C5262A"/>
    <w:rsid w:val="00C52DCF"/>
    <w:rsid w:val="00C52F7C"/>
    <w:rsid w:val="00C5311A"/>
    <w:rsid w:val="00C534B3"/>
    <w:rsid w:val="00C53700"/>
    <w:rsid w:val="00C53849"/>
    <w:rsid w:val="00C53E39"/>
    <w:rsid w:val="00C53F6F"/>
    <w:rsid w:val="00C5474F"/>
    <w:rsid w:val="00C54C3D"/>
    <w:rsid w:val="00C54CCD"/>
    <w:rsid w:val="00C54F48"/>
    <w:rsid w:val="00C550C8"/>
    <w:rsid w:val="00C553B9"/>
    <w:rsid w:val="00C557C9"/>
    <w:rsid w:val="00C55BEC"/>
    <w:rsid w:val="00C564DC"/>
    <w:rsid w:val="00C5650C"/>
    <w:rsid w:val="00C56878"/>
    <w:rsid w:val="00C56C91"/>
    <w:rsid w:val="00C57532"/>
    <w:rsid w:val="00C5753E"/>
    <w:rsid w:val="00C578D9"/>
    <w:rsid w:val="00C578FC"/>
    <w:rsid w:val="00C579ED"/>
    <w:rsid w:val="00C579EE"/>
    <w:rsid w:val="00C600BC"/>
    <w:rsid w:val="00C605E1"/>
    <w:rsid w:val="00C609AB"/>
    <w:rsid w:val="00C60DEB"/>
    <w:rsid w:val="00C60E74"/>
    <w:rsid w:val="00C60E96"/>
    <w:rsid w:val="00C61097"/>
    <w:rsid w:val="00C6118C"/>
    <w:rsid w:val="00C61288"/>
    <w:rsid w:val="00C61452"/>
    <w:rsid w:val="00C616C5"/>
    <w:rsid w:val="00C618E0"/>
    <w:rsid w:val="00C61902"/>
    <w:rsid w:val="00C62388"/>
    <w:rsid w:val="00C623F3"/>
    <w:rsid w:val="00C624D7"/>
    <w:rsid w:val="00C62588"/>
    <w:rsid w:val="00C6271C"/>
    <w:rsid w:val="00C62A35"/>
    <w:rsid w:val="00C62C4D"/>
    <w:rsid w:val="00C62CD6"/>
    <w:rsid w:val="00C62F7D"/>
    <w:rsid w:val="00C630F8"/>
    <w:rsid w:val="00C63913"/>
    <w:rsid w:val="00C6396C"/>
    <w:rsid w:val="00C63A31"/>
    <w:rsid w:val="00C63B89"/>
    <w:rsid w:val="00C63C25"/>
    <w:rsid w:val="00C63EE0"/>
    <w:rsid w:val="00C63F0C"/>
    <w:rsid w:val="00C6409A"/>
    <w:rsid w:val="00C64BBD"/>
    <w:rsid w:val="00C64D9B"/>
    <w:rsid w:val="00C650C4"/>
    <w:rsid w:val="00C65B91"/>
    <w:rsid w:val="00C65C2D"/>
    <w:rsid w:val="00C662F8"/>
    <w:rsid w:val="00C66480"/>
    <w:rsid w:val="00C6668A"/>
    <w:rsid w:val="00C66D75"/>
    <w:rsid w:val="00C67253"/>
    <w:rsid w:val="00C67A71"/>
    <w:rsid w:val="00C67B6D"/>
    <w:rsid w:val="00C67F34"/>
    <w:rsid w:val="00C7016A"/>
    <w:rsid w:val="00C703D1"/>
    <w:rsid w:val="00C7054A"/>
    <w:rsid w:val="00C706FF"/>
    <w:rsid w:val="00C70753"/>
    <w:rsid w:val="00C7078B"/>
    <w:rsid w:val="00C7079D"/>
    <w:rsid w:val="00C70E15"/>
    <w:rsid w:val="00C70EB7"/>
    <w:rsid w:val="00C71021"/>
    <w:rsid w:val="00C712BC"/>
    <w:rsid w:val="00C712D2"/>
    <w:rsid w:val="00C71353"/>
    <w:rsid w:val="00C71EC8"/>
    <w:rsid w:val="00C722B9"/>
    <w:rsid w:val="00C7244E"/>
    <w:rsid w:val="00C72A19"/>
    <w:rsid w:val="00C731DE"/>
    <w:rsid w:val="00C734E8"/>
    <w:rsid w:val="00C736E2"/>
    <w:rsid w:val="00C73871"/>
    <w:rsid w:val="00C7390F"/>
    <w:rsid w:val="00C73960"/>
    <w:rsid w:val="00C73C20"/>
    <w:rsid w:val="00C73D23"/>
    <w:rsid w:val="00C73EDB"/>
    <w:rsid w:val="00C74693"/>
    <w:rsid w:val="00C751F2"/>
    <w:rsid w:val="00C75214"/>
    <w:rsid w:val="00C753EB"/>
    <w:rsid w:val="00C75555"/>
    <w:rsid w:val="00C75727"/>
    <w:rsid w:val="00C7587C"/>
    <w:rsid w:val="00C7650D"/>
    <w:rsid w:val="00C7672A"/>
    <w:rsid w:val="00C76F60"/>
    <w:rsid w:val="00C7714E"/>
    <w:rsid w:val="00C77525"/>
    <w:rsid w:val="00C77E5F"/>
    <w:rsid w:val="00C77F24"/>
    <w:rsid w:val="00C803C1"/>
    <w:rsid w:val="00C80412"/>
    <w:rsid w:val="00C805AA"/>
    <w:rsid w:val="00C80905"/>
    <w:rsid w:val="00C80A44"/>
    <w:rsid w:val="00C81936"/>
    <w:rsid w:val="00C81945"/>
    <w:rsid w:val="00C81A40"/>
    <w:rsid w:val="00C81CA9"/>
    <w:rsid w:val="00C81DC5"/>
    <w:rsid w:val="00C821B8"/>
    <w:rsid w:val="00C822E5"/>
    <w:rsid w:val="00C826CE"/>
    <w:rsid w:val="00C8281B"/>
    <w:rsid w:val="00C82B54"/>
    <w:rsid w:val="00C82B9B"/>
    <w:rsid w:val="00C82CD9"/>
    <w:rsid w:val="00C83038"/>
    <w:rsid w:val="00C83A29"/>
    <w:rsid w:val="00C83AEA"/>
    <w:rsid w:val="00C83E06"/>
    <w:rsid w:val="00C83E41"/>
    <w:rsid w:val="00C843B6"/>
    <w:rsid w:val="00C84418"/>
    <w:rsid w:val="00C84857"/>
    <w:rsid w:val="00C84AD2"/>
    <w:rsid w:val="00C84DE0"/>
    <w:rsid w:val="00C856BD"/>
    <w:rsid w:val="00C858C6"/>
    <w:rsid w:val="00C85ECA"/>
    <w:rsid w:val="00C860E5"/>
    <w:rsid w:val="00C86168"/>
    <w:rsid w:val="00C863DA"/>
    <w:rsid w:val="00C86750"/>
    <w:rsid w:val="00C86B1E"/>
    <w:rsid w:val="00C86EEA"/>
    <w:rsid w:val="00C870CE"/>
    <w:rsid w:val="00C8722C"/>
    <w:rsid w:val="00C872E0"/>
    <w:rsid w:val="00C9023C"/>
    <w:rsid w:val="00C9031E"/>
    <w:rsid w:val="00C90343"/>
    <w:rsid w:val="00C906D9"/>
    <w:rsid w:val="00C908C0"/>
    <w:rsid w:val="00C90F3B"/>
    <w:rsid w:val="00C91686"/>
    <w:rsid w:val="00C91BB1"/>
    <w:rsid w:val="00C922E0"/>
    <w:rsid w:val="00C92708"/>
    <w:rsid w:val="00C92898"/>
    <w:rsid w:val="00C92CCE"/>
    <w:rsid w:val="00C92D88"/>
    <w:rsid w:val="00C92DA8"/>
    <w:rsid w:val="00C93022"/>
    <w:rsid w:val="00C93975"/>
    <w:rsid w:val="00C9397A"/>
    <w:rsid w:val="00C93C05"/>
    <w:rsid w:val="00C93C7B"/>
    <w:rsid w:val="00C9460E"/>
    <w:rsid w:val="00C9464C"/>
    <w:rsid w:val="00C947E0"/>
    <w:rsid w:val="00C952BC"/>
    <w:rsid w:val="00C95502"/>
    <w:rsid w:val="00C961F8"/>
    <w:rsid w:val="00C962BB"/>
    <w:rsid w:val="00C96332"/>
    <w:rsid w:val="00C96409"/>
    <w:rsid w:val="00C965AE"/>
    <w:rsid w:val="00C96625"/>
    <w:rsid w:val="00C966BF"/>
    <w:rsid w:val="00C96EA1"/>
    <w:rsid w:val="00C97135"/>
    <w:rsid w:val="00C972D2"/>
    <w:rsid w:val="00C9769D"/>
    <w:rsid w:val="00C97AB2"/>
    <w:rsid w:val="00C97F37"/>
    <w:rsid w:val="00C97FB8"/>
    <w:rsid w:val="00CA0215"/>
    <w:rsid w:val="00CA02C6"/>
    <w:rsid w:val="00CA03AB"/>
    <w:rsid w:val="00CA0404"/>
    <w:rsid w:val="00CA069A"/>
    <w:rsid w:val="00CA098A"/>
    <w:rsid w:val="00CA0B7D"/>
    <w:rsid w:val="00CA0E32"/>
    <w:rsid w:val="00CA0F61"/>
    <w:rsid w:val="00CA1010"/>
    <w:rsid w:val="00CA1060"/>
    <w:rsid w:val="00CA12DF"/>
    <w:rsid w:val="00CA1564"/>
    <w:rsid w:val="00CA25ED"/>
    <w:rsid w:val="00CA2676"/>
    <w:rsid w:val="00CA3090"/>
    <w:rsid w:val="00CA3319"/>
    <w:rsid w:val="00CA33F1"/>
    <w:rsid w:val="00CA35FB"/>
    <w:rsid w:val="00CA3816"/>
    <w:rsid w:val="00CA3B15"/>
    <w:rsid w:val="00CA3FB4"/>
    <w:rsid w:val="00CA43B5"/>
    <w:rsid w:val="00CA4627"/>
    <w:rsid w:val="00CA470B"/>
    <w:rsid w:val="00CA4A52"/>
    <w:rsid w:val="00CA4A95"/>
    <w:rsid w:val="00CA500C"/>
    <w:rsid w:val="00CA555A"/>
    <w:rsid w:val="00CA5B2D"/>
    <w:rsid w:val="00CA5B77"/>
    <w:rsid w:val="00CA6467"/>
    <w:rsid w:val="00CA69A2"/>
    <w:rsid w:val="00CA6C8D"/>
    <w:rsid w:val="00CA6DF9"/>
    <w:rsid w:val="00CA6E49"/>
    <w:rsid w:val="00CA71FD"/>
    <w:rsid w:val="00CA7256"/>
    <w:rsid w:val="00CA7319"/>
    <w:rsid w:val="00CA75A8"/>
    <w:rsid w:val="00CB03B7"/>
    <w:rsid w:val="00CB0626"/>
    <w:rsid w:val="00CB0A52"/>
    <w:rsid w:val="00CB0B32"/>
    <w:rsid w:val="00CB199F"/>
    <w:rsid w:val="00CB1BDF"/>
    <w:rsid w:val="00CB1C4A"/>
    <w:rsid w:val="00CB1C88"/>
    <w:rsid w:val="00CB1D05"/>
    <w:rsid w:val="00CB20CA"/>
    <w:rsid w:val="00CB20E3"/>
    <w:rsid w:val="00CB2157"/>
    <w:rsid w:val="00CB2355"/>
    <w:rsid w:val="00CB2CBC"/>
    <w:rsid w:val="00CB3410"/>
    <w:rsid w:val="00CB38FB"/>
    <w:rsid w:val="00CB3D3E"/>
    <w:rsid w:val="00CB3FE2"/>
    <w:rsid w:val="00CB43C1"/>
    <w:rsid w:val="00CB451D"/>
    <w:rsid w:val="00CB4E70"/>
    <w:rsid w:val="00CB4F52"/>
    <w:rsid w:val="00CB5084"/>
    <w:rsid w:val="00CB59C7"/>
    <w:rsid w:val="00CB5B54"/>
    <w:rsid w:val="00CB5C71"/>
    <w:rsid w:val="00CB601C"/>
    <w:rsid w:val="00CB62AA"/>
    <w:rsid w:val="00CB6311"/>
    <w:rsid w:val="00CB63C4"/>
    <w:rsid w:val="00CB6433"/>
    <w:rsid w:val="00CB648B"/>
    <w:rsid w:val="00CB66FA"/>
    <w:rsid w:val="00CB6BB7"/>
    <w:rsid w:val="00CB6E7D"/>
    <w:rsid w:val="00CB6F52"/>
    <w:rsid w:val="00CB72A6"/>
    <w:rsid w:val="00CB74C9"/>
    <w:rsid w:val="00CB78C6"/>
    <w:rsid w:val="00CB7973"/>
    <w:rsid w:val="00CB7ADD"/>
    <w:rsid w:val="00CB7D71"/>
    <w:rsid w:val="00CC01F6"/>
    <w:rsid w:val="00CC040E"/>
    <w:rsid w:val="00CC0616"/>
    <w:rsid w:val="00CC07B3"/>
    <w:rsid w:val="00CC0A09"/>
    <w:rsid w:val="00CC135E"/>
    <w:rsid w:val="00CC141A"/>
    <w:rsid w:val="00CC150A"/>
    <w:rsid w:val="00CC1A1E"/>
    <w:rsid w:val="00CC1AE4"/>
    <w:rsid w:val="00CC1C78"/>
    <w:rsid w:val="00CC1DD3"/>
    <w:rsid w:val="00CC1E54"/>
    <w:rsid w:val="00CC24A7"/>
    <w:rsid w:val="00CC2AD0"/>
    <w:rsid w:val="00CC3268"/>
    <w:rsid w:val="00CC37F3"/>
    <w:rsid w:val="00CC3B2F"/>
    <w:rsid w:val="00CC3E75"/>
    <w:rsid w:val="00CC3EAA"/>
    <w:rsid w:val="00CC481E"/>
    <w:rsid w:val="00CC48F7"/>
    <w:rsid w:val="00CC4B0F"/>
    <w:rsid w:val="00CC4B4D"/>
    <w:rsid w:val="00CC4C61"/>
    <w:rsid w:val="00CC4FAA"/>
    <w:rsid w:val="00CC54CA"/>
    <w:rsid w:val="00CC5685"/>
    <w:rsid w:val="00CC57F5"/>
    <w:rsid w:val="00CC5A5B"/>
    <w:rsid w:val="00CC5B36"/>
    <w:rsid w:val="00CC5CEF"/>
    <w:rsid w:val="00CC6614"/>
    <w:rsid w:val="00CC670D"/>
    <w:rsid w:val="00CC680B"/>
    <w:rsid w:val="00CC6B22"/>
    <w:rsid w:val="00CC6C33"/>
    <w:rsid w:val="00CC7159"/>
    <w:rsid w:val="00CC742B"/>
    <w:rsid w:val="00CC7975"/>
    <w:rsid w:val="00CC79E5"/>
    <w:rsid w:val="00CC7B88"/>
    <w:rsid w:val="00CC7C70"/>
    <w:rsid w:val="00CC7C95"/>
    <w:rsid w:val="00CC7DEC"/>
    <w:rsid w:val="00CC7DF4"/>
    <w:rsid w:val="00CC7EB1"/>
    <w:rsid w:val="00CD00C3"/>
    <w:rsid w:val="00CD020A"/>
    <w:rsid w:val="00CD05B2"/>
    <w:rsid w:val="00CD06D0"/>
    <w:rsid w:val="00CD0771"/>
    <w:rsid w:val="00CD1188"/>
    <w:rsid w:val="00CD1720"/>
    <w:rsid w:val="00CD198D"/>
    <w:rsid w:val="00CD1E15"/>
    <w:rsid w:val="00CD23DD"/>
    <w:rsid w:val="00CD2775"/>
    <w:rsid w:val="00CD29E4"/>
    <w:rsid w:val="00CD2DAA"/>
    <w:rsid w:val="00CD2DD1"/>
    <w:rsid w:val="00CD3212"/>
    <w:rsid w:val="00CD3256"/>
    <w:rsid w:val="00CD3284"/>
    <w:rsid w:val="00CD3D20"/>
    <w:rsid w:val="00CD3D4C"/>
    <w:rsid w:val="00CD41B4"/>
    <w:rsid w:val="00CD452A"/>
    <w:rsid w:val="00CD46E0"/>
    <w:rsid w:val="00CD4928"/>
    <w:rsid w:val="00CD4E83"/>
    <w:rsid w:val="00CD55D8"/>
    <w:rsid w:val="00CD5616"/>
    <w:rsid w:val="00CD6180"/>
    <w:rsid w:val="00CD61A4"/>
    <w:rsid w:val="00CD68BC"/>
    <w:rsid w:val="00CD72C6"/>
    <w:rsid w:val="00CD736E"/>
    <w:rsid w:val="00CD7385"/>
    <w:rsid w:val="00CD745B"/>
    <w:rsid w:val="00CD7570"/>
    <w:rsid w:val="00CD7802"/>
    <w:rsid w:val="00CD783B"/>
    <w:rsid w:val="00CD7D5D"/>
    <w:rsid w:val="00CE01FC"/>
    <w:rsid w:val="00CE03BD"/>
    <w:rsid w:val="00CE1164"/>
    <w:rsid w:val="00CE16F6"/>
    <w:rsid w:val="00CE17BD"/>
    <w:rsid w:val="00CE1D43"/>
    <w:rsid w:val="00CE1D4A"/>
    <w:rsid w:val="00CE1FF4"/>
    <w:rsid w:val="00CE229B"/>
    <w:rsid w:val="00CE2B6B"/>
    <w:rsid w:val="00CE2EA0"/>
    <w:rsid w:val="00CE3128"/>
    <w:rsid w:val="00CE32FB"/>
    <w:rsid w:val="00CE3694"/>
    <w:rsid w:val="00CE371B"/>
    <w:rsid w:val="00CE4159"/>
    <w:rsid w:val="00CE4324"/>
    <w:rsid w:val="00CE4608"/>
    <w:rsid w:val="00CE4F6C"/>
    <w:rsid w:val="00CE5075"/>
    <w:rsid w:val="00CE5131"/>
    <w:rsid w:val="00CE5791"/>
    <w:rsid w:val="00CE5846"/>
    <w:rsid w:val="00CE5A39"/>
    <w:rsid w:val="00CE602C"/>
    <w:rsid w:val="00CE678A"/>
    <w:rsid w:val="00CE6D30"/>
    <w:rsid w:val="00CE70C8"/>
    <w:rsid w:val="00CE713F"/>
    <w:rsid w:val="00CE781E"/>
    <w:rsid w:val="00CE7888"/>
    <w:rsid w:val="00CE7A72"/>
    <w:rsid w:val="00CE7AB0"/>
    <w:rsid w:val="00CE7BAD"/>
    <w:rsid w:val="00CF0475"/>
    <w:rsid w:val="00CF0501"/>
    <w:rsid w:val="00CF07B5"/>
    <w:rsid w:val="00CF0BE9"/>
    <w:rsid w:val="00CF0BF9"/>
    <w:rsid w:val="00CF0D48"/>
    <w:rsid w:val="00CF10B0"/>
    <w:rsid w:val="00CF19C7"/>
    <w:rsid w:val="00CF20B2"/>
    <w:rsid w:val="00CF2459"/>
    <w:rsid w:val="00CF24EB"/>
    <w:rsid w:val="00CF33B2"/>
    <w:rsid w:val="00CF3577"/>
    <w:rsid w:val="00CF357F"/>
    <w:rsid w:val="00CF3C74"/>
    <w:rsid w:val="00CF3E17"/>
    <w:rsid w:val="00CF412F"/>
    <w:rsid w:val="00CF4D07"/>
    <w:rsid w:val="00CF4D6D"/>
    <w:rsid w:val="00CF52CD"/>
    <w:rsid w:val="00CF548D"/>
    <w:rsid w:val="00CF55A8"/>
    <w:rsid w:val="00CF55D8"/>
    <w:rsid w:val="00CF56E4"/>
    <w:rsid w:val="00CF5947"/>
    <w:rsid w:val="00CF5ADB"/>
    <w:rsid w:val="00CF5CDA"/>
    <w:rsid w:val="00CF5DA4"/>
    <w:rsid w:val="00CF5DBC"/>
    <w:rsid w:val="00CF5E49"/>
    <w:rsid w:val="00CF641D"/>
    <w:rsid w:val="00CF6630"/>
    <w:rsid w:val="00CF6692"/>
    <w:rsid w:val="00CF66DE"/>
    <w:rsid w:val="00CF66E4"/>
    <w:rsid w:val="00CF6823"/>
    <w:rsid w:val="00CF696E"/>
    <w:rsid w:val="00CF6A13"/>
    <w:rsid w:val="00CF6D23"/>
    <w:rsid w:val="00CF73AF"/>
    <w:rsid w:val="00CF75FA"/>
    <w:rsid w:val="00CF7615"/>
    <w:rsid w:val="00CF7866"/>
    <w:rsid w:val="00CF7CD4"/>
    <w:rsid w:val="00CF7D15"/>
    <w:rsid w:val="00CF7EFA"/>
    <w:rsid w:val="00D0006C"/>
    <w:rsid w:val="00D001D2"/>
    <w:rsid w:val="00D00871"/>
    <w:rsid w:val="00D0089B"/>
    <w:rsid w:val="00D0111F"/>
    <w:rsid w:val="00D01272"/>
    <w:rsid w:val="00D014B5"/>
    <w:rsid w:val="00D01B8E"/>
    <w:rsid w:val="00D01BC0"/>
    <w:rsid w:val="00D02101"/>
    <w:rsid w:val="00D0248A"/>
    <w:rsid w:val="00D024F5"/>
    <w:rsid w:val="00D02787"/>
    <w:rsid w:val="00D029BB"/>
    <w:rsid w:val="00D02B1A"/>
    <w:rsid w:val="00D0362C"/>
    <w:rsid w:val="00D036CF"/>
    <w:rsid w:val="00D03747"/>
    <w:rsid w:val="00D0393B"/>
    <w:rsid w:val="00D03BD2"/>
    <w:rsid w:val="00D03C99"/>
    <w:rsid w:val="00D0403D"/>
    <w:rsid w:val="00D041C0"/>
    <w:rsid w:val="00D04355"/>
    <w:rsid w:val="00D04478"/>
    <w:rsid w:val="00D04882"/>
    <w:rsid w:val="00D04A9E"/>
    <w:rsid w:val="00D0551C"/>
    <w:rsid w:val="00D055D6"/>
    <w:rsid w:val="00D056C1"/>
    <w:rsid w:val="00D05A1D"/>
    <w:rsid w:val="00D05F1A"/>
    <w:rsid w:val="00D06235"/>
    <w:rsid w:val="00D06406"/>
    <w:rsid w:val="00D064CC"/>
    <w:rsid w:val="00D067AE"/>
    <w:rsid w:val="00D06964"/>
    <w:rsid w:val="00D06A91"/>
    <w:rsid w:val="00D06E35"/>
    <w:rsid w:val="00D07199"/>
    <w:rsid w:val="00D07355"/>
    <w:rsid w:val="00D07621"/>
    <w:rsid w:val="00D076B9"/>
    <w:rsid w:val="00D079F0"/>
    <w:rsid w:val="00D07AEB"/>
    <w:rsid w:val="00D07D0C"/>
    <w:rsid w:val="00D1069C"/>
    <w:rsid w:val="00D106F1"/>
    <w:rsid w:val="00D10A0C"/>
    <w:rsid w:val="00D10B7D"/>
    <w:rsid w:val="00D10DE1"/>
    <w:rsid w:val="00D10DE3"/>
    <w:rsid w:val="00D10E2C"/>
    <w:rsid w:val="00D10F57"/>
    <w:rsid w:val="00D113F0"/>
    <w:rsid w:val="00D11456"/>
    <w:rsid w:val="00D117A8"/>
    <w:rsid w:val="00D11A2A"/>
    <w:rsid w:val="00D11B75"/>
    <w:rsid w:val="00D11C84"/>
    <w:rsid w:val="00D124D5"/>
    <w:rsid w:val="00D124EC"/>
    <w:rsid w:val="00D12AD1"/>
    <w:rsid w:val="00D12C6C"/>
    <w:rsid w:val="00D12D91"/>
    <w:rsid w:val="00D133D3"/>
    <w:rsid w:val="00D13548"/>
    <w:rsid w:val="00D13563"/>
    <w:rsid w:val="00D135BA"/>
    <w:rsid w:val="00D13714"/>
    <w:rsid w:val="00D13CFB"/>
    <w:rsid w:val="00D13D84"/>
    <w:rsid w:val="00D141CE"/>
    <w:rsid w:val="00D1435F"/>
    <w:rsid w:val="00D1440F"/>
    <w:rsid w:val="00D14893"/>
    <w:rsid w:val="00D14A91"/>
    <w:rsid w:val="00D14FC5"/>
    <w:rsid w:val="00D155AF"/>
    <w:rsid w:val="00D1586A"/>
    <w:rsid w:val="00D15999"/>
    <w:rsid w:val="00D159F9"/>
    <w:rsid w:val="00D15B13"/>
    <w:rsid w:val="00D16192"/>
    <w:rsid w:val="00D16668"/>
    <w:rsid w:val="00D16E6B"/>
    <w:rsid w:val="00D17613"/>
    <w:rsid w:val="00D17B4F"/>
    <w:rsid w:val="00D17CEE"/>
    <w:rsid w:val="00D20024"/>
    <w:rsid w:val="00D20412"/>
    <w:rsid w:val="00D2067D"/>
    <w:rsid w:val="00D20A82"/>
    <w:rsid w:val="00D2138B"/>
    <w:rsid w:val="00D216B1"/>
    <w:rsid w:val="00D21844"/>
    <w:rsid w:val="00D221FB"/>
    <w:rsid w:val="00D22277"/>
    <w:rsid w:val="00D222E0"/>
    <w:rsid w:val="00D223EC"/>
    <w:rsid w:val="00D22430"/>
    <w:rsid w:val="00D22850"/>
    <w:rsid w:val="00D237C7"/>
    <w:rsid w:val="00D23BAB"/>
    <w:rsid w:val="00D24480"/>
    <w:rsid w:val="00D24651"/>
    <w:rsid w:val="00D248FA"/>
    <w:rsid w:val="00D249C1"/>
    <w:rsid w:val="00D2511A"/>
    <w:rsid w:val="00D25374"/>
    <w:rsid w:val="00D255A5"/>
    <w:rsid w:val="00D25845"/>
    <w:rsid w:val="00D25884"/>
    <w:rsid w:val="00D25976"/>
    <w:rsid w:val="00D25B77"/>
    <w:rsid w:val="00D25C48"/>
    <w:rsid w:val="00D25E38"/>
    <w:rsid w:val="00D25F6B"/>
    <w:rsid w:val="00D261BE"/>
    <w:rsid w:val="00D268AB"/>
    <w:rsid w:val="00D26A14"/>
    <w:rsid w:val="00D26D98"/>
    <w:rsid w:val="00D26DEB"/>
    <w:rsid w:val="00D26DFE"/>
    <w:rsid w:val="00D26EF4"/>
    <w:rsid w:val="00D2703A"/>
    <w:rsid w:val="00D270A7"/>
    <w:rsid w:val="00D27352"/>
    <w:rsid w:val="00D27852"/>
    <w:rsid w:val="00D279E5"/>
    <w:rsid w:val="00D27CB9"/>
    <w:rsid w:val="00D27CEC"/>
    <w:rsid w:val="00D27E6F"/>
    <w:rsid w:val="00D30099"/>
    <w:rsid w:val="00D30280"/>
    <w:rsid w:val="00D3031D"/>
    <w:rsid w:val="00D30383"/>
    <w:rsid w:val="00D30397"/>
    <w:rsid w:val="00D3063C"/>
    <w:rsid w:val="00D30648"/>
    <w:rsid w:val="00D30AC5"/>
    <w:rsid w:val="00D30EAD"/>
    <w:rsid w:val="00D310FA"/>
    <w:rsid w:val="00D312D5"/>
    <w:rsid w:val="00D315EE"/>
    <w:rsid w:val="00D31787"/>
    <w:rsid w:val="00D318EA"/>
    <w:rsid w:val="00D31925"/>
    <w:rsid w:val="00D31AB9"/>
    <w:rsid w:val="00D32206"/>
    <w:rsid w:val="00D325CD"/>
    <w:rsid w:val="00D32A83"/>
    <w:rsid w:val="00D32B7D"/>
    <w:rsid w:val="00D32F51"/>
    <w:rsid w:val="00D338A4"/>
    <w:rsid w:val="00D33AE0"/>
    <w:rsid w:val="00D33D6E"/>
    <w:rsid w:val="00D33DB8"/>
    <w:rsid w:val="00D3457C"/>
    <w:rsid w:val="00D345E8"/>
    <w:rsid w:val="00D3516C"/>
    <w:rsid w:val="00D35242"/>
    <w:rsid w:val="00D3529B"/>
    <w:rsid w:val="00D35A42"/>
    <w:rsid w:val="00D35C8E"/>
    <w:rsid w:val="00D35E07"/>
    <w:rsid w:val="00D35F69"/>
    <w:rsid w:val="00D360AF"/>
    <w:rsid w:val="00D3634D"/>
    <w:rsid w:val="00D365BF"/>
    <w:rsid w:val="00D367AC"/>
    <w:rsid w:val="00D36F18"/>
    <w:rsid w:val="00D36F47"/>
    <w:rsid w:val="00D36F66"/>
    <w:rsid w:val="00D36FB6"/>
    <w:rsid w:val="00D37111"/>
    <w:rsid w:val="00D371C9"/>
    <w:rsid w:val="00D37327"/>
    <w:rsid w:val="00D3756E"/>
    <w:rsid w:val="00D37653"/>
    <w:rsid w:val="00D37726"/>
    <w:rsid w:val="00D3783D"/>
    <w:rsid w:val="00D3783F"/>
    <w:rsid w:val="00D37F2E"/>
    <w:rsid w:val="00D402AD"/>
    <w:rsid w:val="00D406A6"/>
    <w:rsid w:val="00D409D0"/>
    <w:rsid w:val="00D40BC4"/>
    <w:rsid w:val="00D40D4B"/>
    <w:rsid w:val="00D40DD7"/>
    <w:rsid w:val="00D40E2C"/>
    <w:rsid w:val="00D40FE8"/>
    <w:rsid w:val="00D4146D"/>
    <w:rsid w:val="00D414AA"/>
    <w:rsid w:val="00D41640"/>
    <w:rsid w:val="00D41871"/>
    <w:rsid w:val="00D418F1"/>
    <w:rsid w:val="00D41B40"/>
    <w:rsid w:val="00D41F94"/>
    <w:rsid w:val="00D42261"/>
    <w:rsid w:val="00D422C5"/>
    <w:rsid w:val="00D42E2E"/>
    <w:rsid w:val="00D42FE4"/>
    <w:rsid w:val="00D433A9"/>
    <w:rsid w:val="00D43881"/>
    <w:rsid w:val="00D43A41"/>
    <w:rsid w:val="00D444E7"/>
    <w:rsid w:val="00D44B89"/>
    <w:rsid w:val="00D44CA9"/>
    <w:rsid w:val="00D44CF8"/>
    <w:rsid w:val="00D4522F"/>
    <w:rsid w:val="00D4524F"/>
    <w:rsid w:val="00D4540E"/>
    <w:rsid w:val="00D45A67"/>
    <w:rsid w:val="00D45D2C"/>
    <w:rsid w:val="00D461D4"/>
    <w:rsid w:val="00D463D9"/>
    <w:rsid w:val="00D46434"/>
    <w:rsid w:val="00D47033"/>
    <w:rsid w:val="00D47834"/>
    <w:rsid w:val="00D47A66"/>
    <w:rsid w:val="00D47ABF"/>
    <w:rsid w:val="00D47F73"/>
    <w:rsid w:val="00D5052F"/>
    <w:rsid w:val="00D5071E"/>
    <w:rsid w:val="00D50B96"/>
    <w:rsid w:val="00D50CED"/>
    <w:rsid w:val="00D5117A"/>
    <w:rsid w:val="00D5117D"/>
    <w:rsid w:val="00D51340"/>
    <w:rsid w:val="00D515D5"/>
    <w:rsid w:val="00D51640"/>
    <w:rsid w:val="00D516A4"/>
    <w:rsid w:val="00D51D4C"/>
    <w:rsid w:val="00D51EBA"/>
    <w:rsid w:val="00D51F8D"/>
    <w:rsid w:val="00D527F8"/>
    <w:rsid w:val="00D52962"/>
    <w:rsid w:val="00D52D41"/>
    <w:rsid w:val="00D537CB"/>
    <w:rsid w:val="00D53906"/>
    <w:rsid w:val="00D53967"/>
    <w:rsid w:val="00D53A2B"/>
    <w:rsid w:val="00D5411C"/>
    <w:rsid w:val="00D54129"/>
    <w:rsid w:val="00D543C8"/>
    <w:rsid w:val="00D54720"/>
    <w:rsid w:val="00D54769"/>
    <w:rsid w:val="00D547E8"/>
    <w:rsid w:val="00D54B91"/>
    <w:rsid w:val="00D54D0F"/>
    <w:rsid w:val="00D54FBD"/>
    <w:rsid w:val="00D553C0"/>
    <w:rsid w:val="00D5587D"/>
    <w:rsid w:val="00D55C4E"/>
    <w:rsid w:val="00D562F9"/>
    <w:rsid w:val="00D565A9"/>
    <w:rsid w:val="00D56C95"/>
    <w:rsid w:val="00D56D1D"/>
    <w:rsid w:val="00D56F74"/>
    <w:rsid w:val="00D571C6"/>
    <w:rsid w:val="00D57A8E"/>
    <w:rsid w:val="00D57D1D"/>
    <w:rsid w:val="00D57EB7"/>
    <w:rsid w:val="00D600D0"/>
    <w:rsid w:val="00D601DA"/>
    <w:rsid w:val="00D6079E"/>
    <w:rsid w:val="00D607B1"/>
    <w:rsid w:val="00D60928"/>
    <w:rsid w:val="00D60BE0"/>
    <w:rsid w:val="00D60E89"/>
    <w:rsid w:val="00D61884"/>
    <w:rsid w:val="00D61CD3"/>
    <w:rsid w:val="00D61D41"/>
    <w:rsid w:val="00D61F5A"/>
    <w:rsid w:val="00D621C4"/>
    <w:rsid w:val="00D623CD"/>
    <w:rsid w:val="00D623FD"/>
    <w:rsid w:val="00D62630"/>
    <w:rsid w:val="00D62746"/>
    <w:rsid w:val="00D62918"/>
    <w:rsid w:val="00D6293D"/>
    <w:rsid w:val="00D6322B"/>
    <w:rsid w:val="00D6333E"/>
    <w:rsid w:val="00D63530"/>
    <w:rsid w:val="00D635B9"/>
    <w:rsid w:val="00D636B7"/>
    <w:rsid w:val="00D63873"/>
    <w:rsid w:val="00D63F83"/>
    <w:rsid w:val="00D64026"/>
    <w:rsid w:val="00D6415A"/>
    <w:rsid w:val="00D64684"/>
    <w:rsid w:val="00D64ADC"/>
    <w:rsid w:val="00D64E8C"/>
    <w:rsid w:val="00D64F39"/>
    <w:rsid w:val="00D64FE6"/>
    <w:rsid w:val="00D654CD"/>
    <w:rsid w:val="00D65607"/>
    <w:rsid w:val="00D65ABE"/>
    <w:rsid w:val="00D65D70"/>
    <w:rsid w:val="00D660D6"/>
    <w:rsid w:val="00D6637F"/>
    <w:rsid w:val="00D664EC"/>
    <w:rsid w:val="00D665E1"/>
    <w:rsid w:val="00D66BAD"/>
    <w:rsid w:val="00D66CB7"/>
    <w:rsid w:val="00D66EEE"/>
    <w:rsid w:val="00D67084"/>
    <w:rsid w:val="00D67443"/>
    <w:rsid w:val="00D67633"/>
    <w:rsid w:val="00D678DC"/>
    <w:rsid w:val="00D67DED"/>
    <w:rsid w:val="00D67E57"/>
    <w:rsid w:val="00D67EF4"/>
    <w:rsid w:val="00D7031F"/>
    <w:rsid w:val="00D70A62"/>
    <w:rsid w:val="00D70ABA"/>
    <w:rsid w:val="00D70D14"/>
    <w:rsid w:val="00D70D83"/>
    <w:rsid w:val="00D71277"/>
    <w:rsid w:val="00D71352"/>
    <w:rsid w:val="00D7161B"/>
    <w:rsid w:val="00D71780"/>
    <w:rsid w:val="00D71E6E"/>
    <w:rsid w:val="00D720D5"/>
    <w:rsid w:val="00D7266B"/>
    <w:rsid w:val="00D729B8"/>
    <w:rsid w:val="00D72A6B"/>
    <w:rsid w:val="00D72A78"/>
    <w:rsid w:val="00D72DF3"/>
    <w:rsid w:val="00D72F45"/>
    <w:rsid w:val="00D73227"/>
    <w:rsid w:val="00D734DB"/>
    <w:rsid w:val="00D7383A"/>
    <w:rsid w:val="00D73A40"/>
    <w:rsid w:val="00D73CBE"/>
    <w:rsid w:val="00D74350"/>
    <w:rsid w:val="00D743A2"/>
    <w:rsid w:val="00D745DA"/>
    <w:rsid w:val="00D74BE2"/>
    <w:rsid w:val="00D74FA8"/>
    <w:rsid w:val="00D75456"/>
    <w:rsid w:val="00D75581"/>
    <w:rsid w:val="00D7580E"/>
    <w:rsid w:val="00D761B6"/>
    <w:rsid w:val="00D76262"/>
    <w:rsid w:val="00D765E6"/>
    <w:rsid w:val="00D76733"/>
    <w:rsid w:val="00D768E1"/>
    <w:rsid w:val="00D77404"/>
    <w:rsid w:val="00D779A7"/>
    <w:rsid w:val="00D801B1"/>
    <w:rsid w:val="00D8022A"/>
    <w:rsid w:val="00D806FC"/>
    <w:rsid w:val="00D8085B"/>
    <w:rsid w:val="00D80C18"/>
    <w:rsid w:val="00D8120D"/>
    <w:rsid w:val="00D81522"/>
    <w:rsid w:val="00D81562"/>
    <w:rsid w:val="00D81653"/>
    <w:rsid w:val="00D8243C"/>
    <w:rsid w:val="00D8247A"/>
    <w:rsid w:val="00D8291E"/>
    <w:rsid w:val="00D82B3B"/>
    <w:rsid w:val="00D8358A"/>
    <w:rsid w:val="00D8377D"/>
    <w:rsid w:val="00D83A8A"/>
    <w:rsid w:val="00D83DC5"/>
    <w:rsid w:val="00D840B9"/>
    <w:rsid w:val="00D841B6"/>
    <w:rsid w:val="00D844D3"/>
    <w:rsid w:val="00D849E8"/>
    <w:rsid w:val="00D85282"/>
    <w:rsid w:val="00D8530E"/>
    <w:rsid w:val="00D85377"/>
    <w:rsid w:val="00D85405"/>
    <w:rsid w:val="00D85702"/>
    <w:rsid w:val="00D857AD"/>
    <w:rsid w:val="00D85A7D"/>
    <w:rsid w:val="00D85CE9"/>
    <w:rsid w:val="00D85CEA"/>
    <w:rsid w:val="00D86262"/>
    <w:rsid w:val="00D864B5"/>
    <w:rsid w:val="00D86877"/>
    <w:rsid w:val="00D870C5"/>
    <w:rsid w:val="00D87744"/>
    <w:rsid w:val="00D87DAF"/>
    <w:rsid w:val="00D87DBC"/>
    <w:rsid w:val="00D87F87"/>
    <w:rsid w:val="00D903BD"/>
    <w:rsid w:val="00D905BA"/>
    <w:rsid w:val="00D9061B"/>
    <w:rsid w:val="00D90689"/>
    <w:rsid w:val="00D90ACD"/>
    <w:rsid w:val="00D90F8C"/>
    <w:rsid w:val="00D911D5"/>
    <w:rsid w:val="00D9127D"/>
    <w:rsid w:val="00D9164C"/>
    <w:rsid w:val="00D91802"/>
    <w:rsid w:val="00D91934"/>
    <w:rsid w:val="00D91C9B"/>
    <w:rsid w:val="00D91F0E"/>
    <w:rsid w:val="00D91F15"/>
    <w:rsid w:val="00D925C4"/>
    <w:rsid w:val="00D927D9"/>
    <w:rsid w:val="00D92A8D"/>
    <w:rsid w:val="00D92CF9"/>
    <w:rsid w:val="00D92FCA"/>
    <w:rsid w:val="00D930A9"/>
    <w:rsid w:val="00D93150"/>
    <w:rsid w:val="00D93276"/>
    <w:rsid w:val="00D93472"/>
    <w:rsid w:val="00D9347B"/>
    <w:rsid w:val="00D93A98"/>
    <w:rsid w:val="00D93BAA"/>
    <w:rsid w:val="00D94265"/>
    <w:rsid w:val="00D9431B"/>
    <w:rsid w:val="00D944BD"/>
    <w:rsid w:val="00D95183"/>
    <w:rsid w:val="00D9565D"/>
    <w:rsid w:val="00D95730"/>
    <w:rsid w:val="00D95859"/>
    <w:rsid w:val="00D959A1"/>
    <w:rsid w:val="00D95C5F"/>
    <w:rsid w:val="00D95D82"/>
    <w:rsid w:val="00D96285"/>
    <w:rsid w:val="00D96FCD"/>
    <w:rsid w:val="00D9759A"/>
    <w:rsid w:val="00D97947"/>
    <w:rsid w:val="00D979E3"/>
    <w:rsid w:val="00DA00FA"/>
    <w:rsid w:val="00DA05DF"/>
    <w:rsid w:val="00DA05E9"/>
    <w:rsid w:val="00DA07A3"/>
    <w:rsid w:val="00DA0BEA"/>
    <w:rsid w:val="00DA0CA9"/>
    <w:rsid w:val="00DA0E74"/>
    <w:rsid w:val="00DA11EB"/>
    <w:rsid w:val="00DA1304"/>
    <w:rsid w:val="00DA168F"/>
    <w:rsid w:val="00DA2184"/>
    <w:rsid w:val="00DA2342"/>
    <w:rsid w:val="00DA237B"/>
    <w:rsid w:val="00DA26A5"/>
    <w:rsid w:val="00DA2710"/>
    <w:rsid w:val="00DA2867"/>
    <w:rsid w:val="00DA2C6F"/>
    <w:rsid w:val="00DA2CCD"/>
    <w:rsid w:val="00DA2E40"/>
    <w:rsid w:val="00DA2F1C"/>
    <w:rsid w:val="00DA2F68"/>
    <w:rsid w:val="00DA3050"/>
    <w:rsid w:val="00DA385D"/>
    <w:rsid w:val="00DA3879"/>
    <w:rsid w:val="00DA3907"/>
    <w:rsid w:val="00DA3C1B"/>
    <w:rsid w:val="00DA3F93"/>
    <w:rsid w:val="00DA4052"/>
    <w:rsid w:val="00DA4146"/>
    <w:rsid w:val="00DA492A"/>
    <w:rsid w:val="00DA54E2"/>
    <w:rsid w:val="00DA55DB"/>
    <w:rsid w:val="00DA5636"/>
    <w:rsid w:val="00DA5657"/>
    <w:rsid w:val="00DA5712"/>
    <w:rsid w:val="00DA58D1"/>
    <w:rsid w:val="00DA61F8"/>
    <w:rsid w:val="00DA63D0"/>
    <w:rsid w:val="00DA676D"/>
    <w:rsid w:val="00DA67AD"/>
    <w:rsid w:val="00DA6BFC"/>
    <w:rsid w:val="00DA7C62"/>
    <w:rsid w:val="00DB013F"/>
    <w:rsid w:val="00DB0150"/>
    <w:rsid w:val="00DB01D3"/>
    <w:rsid w:val="00DB04DB"/>
    <w:rsid w:val="00DB0931"/>
    <w:rsid w:val="00DB0B0A"/>
    <w:rsid w:val="00DB1088"/>
    <w:rsid w:val="00DB1108"/>
    <w:rsid w:val="00DB1139"/>
    <w:rsid w:val="00DB1185"/>
    <w:rsid w:val="00DB1200"/>
    <w:rsid w:val="00DB120A"/>
    <w:rsid w:val="00DB15CD"/>
    <w:rsid w:val="00DB175D"/>
    <w:rsid w:val="00DB2031"/>
    <w:rsid w:val="00DB2212"/>
    <w:rsid w:val="00DB255E"/>
    <w:rsid w:val="00DB2573"/>
    <w:rsid w:val="00DB2690"/>
    <w:rsid w:val="00DB2B51"/>
    <w:rsid w:val="00DB34A0"/>
    <w:rsid w:val="00DB35D5"/>
    <w:rsid w:val="00DB3605"/>
    <w:rsid w:val="00DB39D0"/>
    <w:rsid w:val="00DB3DD4"/>
    <w:rsid w:val="00DB430C"/>
    <w:rsid w:val="00DB4403"/>
    <w:rsid w:val="00DB4492"/>
    <w:rsid w:val="00DB4653"/>
    <w:rsid w:val="00DB46A2"/>
    <w:rsid w:val="00DB4A6E"/>
    <w:rsid w:val="00DB4AC8"/>
    <w:rsid w:val="00DB4F51"/>
    <w:rsid w:val="00DB52E7"/>
    <w:rsid w:val="00DB5355"/>
    <w:rsid w:val="00DB5407"/>
    <w:rsid w:val="00DB5589"/>
    <w:rsid w:val="00DB59B0"/>
    <w:rsid w:val="00DB6729"/>
    <w:rsid w:val="00DB68BB"/>
    <w:rsid w:val="00DB68BC"/>
    <w:rsid w:val="00DB68E1"/>
    <w:rsid w:val="00DB6A62"/>
    <w:rsid w:val="00DB6CFC"/>
    <w:rsid w:val="00DB7280"/>
    <w:rsid w:val="00DB738B"/>
    <w:rsid w:val="00DB7616"/>
    <w:rsid w:val="00DB7636"/>
    <w:rsid w:val="00DB791F"/>
    <w:rsid w:val="00DB7980"/>
    <w:rsid w:val="00DC0274"/>
    <w:rsid w:val="00DC0ED2"/>
    <w:rsid w:val="00DC121D"/>
    <w:rsid w:val="00DC1BB0"/>
    <w:rsid w:val="00DC1DE9"/>
    <w:rsid w:val="00DC1E40"/>
    <w:rsid w:val="00DC21B1"/>
    <w:rsid w:val="00DC246C"/>
    <w:rsid w:val="00DC248C"/>
    <w:rsid w:val="00DC2B24"/>
    <w:rsid w:val="00DC2BD4"/>
    <w:rsid w:val="00DC2E54"/>
    <w:rsid w:val="00DC3057"/>
    <w:rsid w:val="00DC3202"/>
    <w:rsid w:val="00DC3270"/>
    <w:rsid w:val="00DC36BB"/>
    <w:rsid w:val="00DC38A4"/>
    <w:rsid w:val="00DC3BA3"/>
    <w:rsid w:val="00DC4233"/>
    <w:rsid w:val="00DC434C"/>
    <w:rsid w:val="00DC447D"/>
    <w:rsid w:val="00DC4597"/>
    <w:rsid w:val="00DC5832"/>
    <w:rsid w:val="00DC5C5E"/>
    <w:rsid w:val="00DC5D0D"/>
    <w:rsid w:val="00DC6028"/>
    <w:rsid w:val="00DC6556"/>
    <w:rsid w:val="00DC6773"/>
    <w:rsid w:val="00DC6CF5"/>
    <w:rsid w:val="00DC73EC"/>
    <w:rsid w:val="00DC7801"/>
    <w:rsid w:val="00DC7994"/>
    <w:rsid w:val="00DC7DE9"/>
    <w:rsid w:val="00DD0793"/>
    <w:rsid w:val="00DD08C1"/>
    <w:rsid w:val="00DD117B"/>
    <w:rsid w:val="00DD128D"/>
    <w:rsid w:val="00DD12C3"/>
    <w:rsid w:val="00DD13A1"/>
    <w:rsid w:val="00DD171D"/>
    <w:rsid w:val="00DD1A98"/>
    <w:rsid w:val="00DD1C19"/>
    <w:rsid w:val="00DD1D9A"/>
    <w:rsid w:val="00DD1F59"/>
    <w:rsid w:val="00DD20B1"/>
    <w:rsid w:val="00DD2265"/>
    <w:rsid w:val="00DD2418"/>
    <w:rsid w:val="00DD2474"/>
    <w:rsid w:val="00DD2B69"/>
    <w:rsid w:val="00DD2FAF"/>
    <w:rsid w:val="00DD3145"/>
    <w:rsid w:val="00DD31D5"/>
    <w:rsid w:val="00DD36D8"/>
    <w:rsid w:val="00DD36DF"/>
    <w:rsid w:val="00DD372F"/>
    <w:rsid w:val="00DD37AE"/>
    <w:rsid w:val="00DD39B6"/>
    <w:rsid w:val="00DD3BB8"/>
    <w:rsid w:val="00DD3F53"/>
    <w:rsid w:val="00DD3FA3"/>
    <w:rsid w:val="00DD4196"/>
    <w:rsid w:val="00DD451A"/>
    <w:rsid w:val="00DD45A2"/>
    <w:rsid w:val="00DD54DA"/>
    <w:rsid w:val="00DD5884"/>
    <w:rsid w:val="00DD5C56"/>
    <w:rsid w:val="00DD5E84"/>
    <w:rsid w:val="00DD60F2"/>
    <w:rsid w:val="00DD65F1"/>
    <w:rsid w:val="00DD6BC8"/>
    <w:rsid w:val="00DD6F3B"/>
    <w:rsid w:val="00DD700B"/>
    <w:rsid w:val="00DD776C"/>
    <w:rsid w:val="00DD7791"/>
    <w:rsid w:val="00DD794F"/>
    <w:rsid w:val="00DD7C1F"/>
    <w:rsid w:val="00DD7EAC"/>
    <w:rsid w:val="00DE02B9"/>
    <w:rsid w:val="00DE05DB"/>
    <w:rsid w:val="00DE0694"/>
    <w:rsid w:val="00DE09EC"/>
    <w:rsid w:val="00DE0D0F"/>
    <w:rsid w:val="00DE0D3B"/>
    <w:rsid w:val="00DE0FCD"/>
    <w:rsid w:val="00DE13C4"/>
    <w:rsid w:val="00DE16B7"/>
    <w:rsid w:val="00DE1944"/>
    <w:rsid w:val="00DE1993"/>
    <w:rsid w:val="00DE19F0"/>
    <w:rsid w:val="00DE1C42"/>
    <w:rsid w:val="00DE1FCB"/>
    <w:rsid w:val="00DE2159"/>
    <w:rsid w:val="00DE22B3"/>
    <w:rsid w:val="00DE2469"/>
    <w:rsid w:val="00DE250C"/>
    <w:rsid w:val="00DE2762"/>
    <w:rsid w:val="00DE27ED"/>
    <w:rsid w:val="00DE30EC"/>
    <w:rsid w:val="00DE35DF"/>
    <w:rsid w:val="00DE3897"/>
    <w:rsid w:val="00DE3AE7"/>
    <w:rsid w:val="00DE4210"/>
    <w:rsid w:val="00DE46DD"/>
    <w:rsid w:val="00DE493D"/>
    <w:rsid w:val="00DE4941"/>
    <w:rsid w:val="00DE4D25"/>
    <w:rsid w:val="00DE4FB7"/>
    <w:rsid w:val="00DE5745"/>
    <w:rsid w:val="00DE581F"/>
    <w:rsid w:val="00DE5D0D"/>
    <w:rsid w:val="00DE5EF0"/>
    <w:rsid w:val="00DE5F9C"/>
    <w:rsid w:val="00DE638F"/>
    <w:rsid w:val="00DE6518"/>
    <w:rsid w:val="00DE6590"/>
    <w:rsid w:val="00DE6762"/>
    <w:rsid w:val="00DE6774"/>
    <w:rsid w:val="00DE68FF"/>
    <w:rsid w:val="00DE69DC"/>
    <w:rsid w:val="00DE6E79"/>
    <w:rsid w:val="00DE6ECA"/>
    <w:rsid w:val="00DE7581"/>
    <w:rsid w:val="00DE7C52"/>
    <w:rsid w:val="00DE7DB8"/>
    <w:rsid w:val="00DE7DCC"/>
    <w:rsid w:val="00DF0822"/>
    <w:rsid w:val="00DF1158"/>
    <w:rsid w:val="00DF11E3"/>
    <w:rsid w:val="00DF16B6"/>
    <w:rsid w:val="00DF1740"/>
    <w:rsid w:val="00DF18C7"/>
    <w:rsid w:val="00DF1AC4"/>
    <w:rsid w:val="00DF1CC1"/>
    <w:rsid w:val="00DF2395"/>
    <w:rsid w:val="00DF2580"/>
    <w:rsid w:val="00DF2BD2"/>
    <w:rsid w:val="00DF2D4B"/>
    <w:rsid w:val="00DF2F12"/>
    <w:rsid w:val="00DF2F8C"/>
    <w:rsid w:val="00DF2FF0"/>
    <w:rsid w:val="00DF307D"/>
    <w:rsid w:val="00DF30FF"/>
    <w:rsid w:val="00DF3314"/>
    <w:rsid w:val="00DF337B"/>
    <w:rsid w:val="00DF376E"/>
    <w:rsid w:val="00DF3872"/>
    <w:rsid w:val="00DF3DBE"/>
    <w:rsid w:val="00DF3E32"/>
    <w:rsid w:val="00DF3E7C"/>
    <w:rsid w:val="00DF407F"/>
    <w:rsid w:val="00DF4260"/>
    <w:rsid w:val="00DF43FB"/>
    <w:rsid w:val="00DF538F"/>
    <w:rsid w:val="00DF56C5"/>
    <w:rsid w:val="00DF5E32"/>
    <w:rsid w:val="00DF6195"/>
    <w:rsid w:val="00DF62E2"/>
    <w:rsid w:val="00DF6559"/>
    <w:rsid w:val="00DF667F"/>
    <w:rsid w:val="00DF68AD"/>
    <w:rsid w:val="00DF6A51"/>
    <w:rsid w:val="00DF76C1"/>
    <w:rsid w:val="00DF781E"/>
    <w:rsid w:val="00DF7B1C"/>
    <w:rsid w:val="00DF7D3E"/>
    <w:rsid w:val="00E0035C"/>
    <w:rsid w:val="00E00702"/>
    <w:rsid w:val="00E00732"/>
    <w:rsid w:val="00E0093E"/>
    <w:rsid w:val="00E009FE"/>
    <w:rsid w:val="00E00D72"/>
    <w:rsid w:val="00E00EF9"/>
    <w:rsid w:val="00E01448"/>
    <w:rsid w:val="00E0199F"/>
    <w:rsid w:val="00E01C17"/>
    <w:rsid w:val="00E01EB8"/>
    <w:rsid w:val="00E022AC"/>
    <w:rsid w:val="00E0294C"/>
    <w:rsid w:val="00E02D91"/>
    <w:rsid w:val="00E03338"/>
    <w:rsid w:val="00E037FE"/>
    <w:rsid w:val="00E0387D"/>
    <w:rsid w:val="00E038B0"/>
    <w:rsid w:val="00E050B7"/>
    <w:rsid w:val="00E052C5"/>
    <w:rsid w:val="00E0541C"/>
    <w:rsid w:val="00E05997"/>
    <w:rsid w:val="00E05A1A"/>
    <w:rsid w:val="00E05AC3"/>
    <w:rsid w:val="00E05B20"/>
    <w:rsid w:val="00E05FBB"/>
    <w:rsid w:val="00E0604F"/>
    <w:rsid w:val="00E061C6"/>
    <w:rsid w:val="00E06253"/>
    <w:rsid w:val="00E06277"/>
    <w:rsid w:val="00E064F6"/>
    <w:rsid w:val="00E06989"/>
    <w:rsid w:val="00E06A7C"/>
    <w:rsid w:val="00E06F31"/>
    <w:rsid w:val="00E07156"/>
    <w:rsid w:val="00E07247"/>
    <w:rsid w:val="00E07C7C"/>
    <w:rsid w:val="00E10B7B"/>
    <w:rsid w:val="00E10F36"/>
    <w:rsid w:val="00E11049"/>
    <w:rsid w:val="00E1128D"/>
    <w:rsid w:val="00E11301"/>
    <w:rsid w:val="00E116F2"/>
    <w:rsid w:val="00E11837"/>
    <w:rsid w:val="00E11A84"/>
    <w:rsid w:val="00E11F98"/>
    <w:rsid w:val="00E11FD3"/>
    <w:rsid w:val="00E11FF0"/>
    <w:rsid w:val="00E12191"/>
    <w:rsid w:val="00E12368"/>
    <w:rsid w:val="00E1301F"/>
    <w:rsid w:val="00E13215"/>
    <w:rsid w:val="00E136B8"/>
    <w:rsid w:val="00E13BF3"/>
    <w:rsid w:val="00E14269"/>
    <w:rsid w:val="00E142FF"/>
    <w:rsid w:val="00E14426"/>
    <w:rsid w:val="00E15B06"/>
    <w:rsid w:val="00E15DDA"/>
    <w:rsid w:val="00E15FC7"/>
    <w:rsid w:val="00E16019"/>
    <w:rsid w:val="00E16179"/>
    <w:rsid w:val="00E164D4"/>
    <w:rsid w:val="00E1660B"/>
    <w:rsid w:val="00E16C8A"/>
    <w:rsid w:val="00E16C99"/>
    <w:rsid w:val="00E16ECA"/>
    <w:rsid w:val="00E171EE"/>
    <w:rsid w:val="00E17472"/>
    <w:rsid w:val="00E1753F"/>
    <w:rsid w:val="00E1764B"/>
    <w:rsid w:val="00E17BA0"/>
    <w:rsid w:val="00E17FE7"/>
    <w:rsid w:val="00E207A0"/>
    <w:rsid w:val="00E2083C"/>
    <w:rsid w:val="00E20D0C"/>
    <w:rsid w:val="00E20E8C"/>
    <w:rsid w:val="00E210AB"/>
    <w:rsid w:val="00E2125D"/>
    <w:rsid w:val="00E21424"/>
    <w:rsid w:val="00E216C7"/>
    <w:rsid w:val="00E217FE"/>
    <w:rsid w:val="00E2183E"/>
    <w:rsid w:val="00E218E5"/>
    <w:rsid w:val="00E21BEF"/>
    <w:rsid w:val="00E220FA"/>
    <w:rsid w:val="00E2256E"/>
    <w:rsid w:val="00E225F2"/>
    <w:rsid w:val="00E22612"/>
    <w:rsid w:val="00E22643"/>
    <w:rsid w:val="00E227E7"/>
    <w:rsid w:val="00E22A1F"/>
    <w:rsid w:val="00E22F65"/>
    <w:rsid w:val="00E23011"/>
    <w:rsid w:val="00E2324B"/>
    <w:rsid w:val="00E23455"/>
    <w:rsid w:val="00E234A6"/>
    <w:rsid w:val="00E23702"/>
    <w:rsid w:val="00E237CE"/>
    <w:rsid w:val="00E237D3"/>
    <w:rsid w:val="00E238C2"/>
    <w:rsid w:val="00E23EC5"/>
    <w:rsid w:val="00E245F5"/>
    <w:rsid w:val="00E247C5"/>
    <w:rsid w:val="00E24AB6"/>
    <w:rsid w:val="00E24C1E"/>
    <w:rsid w:val="00E24ED5"/>
    <w:rsid w:val="00E24EE6"/>
    <w:rsid w:val="00E253B2"/>
    <w:rsid w:val="00E2562B"/>
    <w:rsid w:val="00E25A04"/>
    <w:rsid w:val="00E264AA"/>
    <w:rsid w:val="00E26835"/>
    <w:rsid w:val="00E2713E"/>
    <w:rsid w:val="00E302E6"/>
    <w:rsid w:val="00E30DF6"/>
    <w:rsid w:val="00E31092"/>
    <w:rsid w:val="00E314C7"/>
    <w:rsid w:val="00E31C58"/>
    <w:rsid w:val="00E31E70"/>
    <w:rsid w:val="00E31F09"/>
    <w:rsid w:val="00E31F25"/>
    <w:rsid w:val="00E31FAD"/>
    <w:rsid w:val="00E31FB7"/>
    <w:rsid w:val="00E32030"/>
    <w:rsid w:val="00E3222A"/>
    <w:rsid w:val="00E3290D"/>
    <w:rsid w:val="00E32A7F"/>
    <w:rsid w:val="00E32C80"/>
    <w:rsid w:val="00E32D5F"/>
    <w:rsid w:val="00E33102"/>
    <w:rsid w:val="00E3316A"/>
    <w:rsid w:val="00E33515"/>
    <w:rsid w:val="00E33867"/>
    <w:rsid w:val="00E338CA"/>
    <w:rsid w:val="00E33950"/>
    <w:rsid w:val="00E339A1"/>
    <w:rsid w:val="00E339CF"/>
    <w:rsid w:val="00E33C0B"/>
    <w:rsid w:val="00E33D29"/>
    <w:rsid w:val="00E33FC3"/>
    <w:rsid w:val="00E342B7"/>
    <w:rsid w:val="00E3451F"/>
    <w:rsid w:val="00E345EE"/>
    <w:rsid w:val="00E34645"/>
    <w:rsid w:val="00E34792"/>
    <w:rsid w:val="00E34B01"/>
    <w:rsid w:val="00E35710"/>
    <w:rsid w:val="00E35DA9"/>
    <w:rsid w:val="00E35E39"/>
    <w:rsid w:val="00E36163"/>
    <w:rsid w:val="00E370C7"/>
    <w:rsid w:val="00E376A3"/>
    <w:rsid w:val="00E37796"/>
    <w:rsid w:val="00E37F87"/>
    <w:rsid w:val="00E40539"/>
    <w:rsid w:val="00E4064A"/>
    <w:rsid w:val="00E40663"/>
    <w:rsid w:val="00E40A60"/>
    <w:rsid w:val="00E40A89"/>
    <w:rsid w:val="00E40C4C"/>
    <w:rsid w:val="00E40C8C"/>
    <w:rsid w:val="00E40F87"/>
    <w:rsid w:val="00E41024"/>
    <w:rsid w:val="00E415A8"/>
    <w:rsid w:val="00E41BEC"/>
    <w:rsid w:val="00E41F37"/>
    <w:rsid w:val="00E420B2"/>
    <w:rsid w:val="00E422F3"/>
    <w:rsid w:val="00E423BC"/>
    <w:rsid w:val="00E423CB"/>
    <w:rsid w:val="00E42503"/>
    <w:rsid w:val="00E426BC"/>
    <w:rsid w:val="00E42741"/>
    <w:rsid w:val="00E42B21"/>
    <w:rsid w:val="00E42D60"/>
    <w:rsid w:val="00E43378"/>
    <w:rsid w:val="00E43616"/>
    <w:rsid w:val="00E43FE9"/>
    <w:rsid w:val="00E440B7"/>
    <w:rsid w:val="00E440BF"/>
    <w:rsid w:val="00E441E6"/>
    <w:rsid w:val="00E443A9"/>
    <w:rsid w:val="00E445F8"/>
    <w:rsid w:val="00E45654"/>
    <w:rsid w:val="00E45671"/>
    <w:rsid w:val="00E45C86"/>
    <w:rsid w:val="00E460B6"/>
    <w:rsid w:val="00E461C8"/>
    <w:rsid w:val="00E4635A"/>
    <w:rsid w:val="00E464AC"/>
    <w:rsid w:val="00E464E9"/>
    <w:rsid w:val="00E465C9"/>
    <w:rsid w:val="00E468BF"/>
    <w:rsid w:val="00E46C60"/>
    <w:rsid w:val="00E46CF8"/>
    <w:rsid w:val="00E46CFE"/>
    <w:rsid w:val="00E47197"/>
    <w:rsid w:val="00E471E5"/>
    <w:rsid w:val="00E473E1"/>
    <w:rsid w:val="00E474E6"/>
    <w:rsid w:val="00E477F0"/>
    <w:rsid w:val="00E4781B"/>
    <w:rsid w:val="00E47A6A"/>
    <w:rsid w:val="00E47DCC"/>
    <w:rsid w:val="00E5020B"/>
    <w:rsid w:val="00E5025B"/>
    <w:rsid w:val="00E50282"/>
    <w:rsid w:val="00E50C92"/>
    <w:rsid w:val="00E512AD"/>
    <w:rsid w:val="00E514C9"/>
    <w:rsid w:val="00E51538"/>
    <w:rsid w:val="00E51633"/>
    <w:rsid w:val="00E51BCF"/>
    <w:rsid w:val="00E51DB2"/>
    <w:rsid w:val="00E51E38"/>
    <w:rsid w:val="00E522C4"/>
    <w:rsid w:val="00E5272D"/>
    <w:rsid w:val="00E5288E"/>
    <w:rsid w:val="00E528B3"/>
    <w:rsid w:val="00E529E2"/>
    <w:rsid w:val="00E52B3A"/>
    <w:rsid w:val="00E52D24"/>
    <w:rsid w:val="00E52F70"/>
    <w:rsid w:val="00E53377"/>
    <w:rsid w:val="00E535F6"/>
    <w:rsid w:val="00E53728"/>
    <w:rsid w:val="00E538AC"/>
    <w:rsid w:val="00E53DB1"/>
    <w:rsid w:val="00E53F4D"/>
    <w:rsid w:val="00E5406B"/>
    <w:rsid w:val="00E54303"/>
    <w:rsid w:val="00E54363"/>
    <w:rsid w:val="00E54525"/>
    <w:rsid w:val="00E54545"/>
    <w:rsid w:val="00E54B79"/>
    <w:rsid w:val="00E54FA4"/>
    <w:rsid w:val="00E553FB"/>
    <w:rsid w:val="00E5592B"/>
    <w:rsid w:val="00E55D57"/>
    <w:rsid w:val="00E5616A"/>
    <w:rsid w:val="00E561A1"/>
    <w:rsid w:val="00E561F7"/>
    <w:rsid w:val="00E5629C"/>
    <w:rsid w:val="00E562DF"/>
    <w:rsid w:val="00E565A7"/>
    <w:rsid w:val="00E56E07"/>
    <w:rsid w:val="00E56E22"/>
    <w:rsid w:val="00E56E70"/>
    <w:rsid w:val="00E56E9A"/>
    <w:rsid w:val="00E57341"/>
    <w:rsid w:val="00E577F2"/>
    <w:rsid w:val="00E57917"/>
    <w:rsid w:val="00E57BB9"/>
    <w:rsid w:val="00E57FAA"/>
    <w:rsid w:val="00E6010C"/>
    <w:rsid w:val="00E6022F"/>
    <w:rsid w:val="00E60245"/>
    <w:rsid w:val="00E6036A"/>
    <w:rsid w:val="00E60449"/>
    <w:rsid w:val="00E60516"/>
    <w:rsid w:val="00E607AF"/>
    <w:rsid w:val="00E60A08"/>
    <w:rsid w:val="00E60B82"/>
    <w:rsid w:val="00E60D33"/>
    <w:rsid w:val="00E60FEE"/>
    <w:rsid w:val="00E61221"/>
    <w:rsid w:val="00E61C63"/>
    <w:rsid w:val="00E61D94"/>
    <w:rsid w:val="00E61E59"/>
    <w:rsid w:val="00E6204D"/>
    <w:rsid w:val="00E62B09"/>
    <w:rsid w:val="00E62B37"/>
    <w:rsid w:val="00E62FC2"/>
    <w:rsid w:val="00E630B0"/>
    <w:rsid w:val="00E6322D"/>
    <w:rsid w:val="00E63A19"/>
    <w:rsid w:val="00E63DD1"/>
    <w:rsid w:val="00E64187"/>
    <w:rsid w:val="00E64759"/>
    <w:rsid w:val="00E649EF"/>
    <w:rsid w:val="00E64A0A"/>
    <w:rsid w:val="00E64A68"/>
    <w:rsid w:val="00E64AF8"/>
    <w:rsid w:val="00E64C3B"/>
    <w:rsid w:val="00E64E3F"/>
    <w:rsid w:val="00E656AE"/>
    <w:rsid w:val="00E659F2"/>
    <w:rsid w:val="00E65C18"/>
    <w:rsid w:val="00E65D63"/>
    <w:rsid w:val="00E65F1B"/>
    <w:rsid w:val="00E663A0"/>
    <w:rsid w:val="00E663BC"/>
    <w:rsid w:val="00E66524"/>
    <w:rsid w:val="00E665AF"/>
    <w:rsid w:val="00E6684A"/>
    <w:rsid w:val="00E669EA"/>
    <w:rsid w:val="00E66AD2"/>
    <w:rsid w:val="00E66C97"/>
    <w:rsid w:val="00E66FA2"/>
    <w:rsid w:val="00E67182"/>
    <w:rsid w:val="00E674CA"/>
    <w:rsid w:val="00E6755E"/>
    <w:rsid w:val="00E70059"/>
    <w:rsid w:val="00E70095"/>
    <w:rsid w:val="00E700A8"/>
    <w:rsid w:val="00E705A0"/>
    <w:rsid w:val="00E70B0B"/>
    <w:rsid w:val="00E70F41"/>
    <w:rsid w:val="00E71023"/>
    <w:rsid w:val="00E71779"/>
    <w:rsid w:val="00E720F8"/>
    <w:rsid w:val="00E7278B"/>
    <w:rsid w:val="00E727DE"/>
    <w:rsid w:val="00E72826"/>
    <w:rsid w:val="00E73467"/>
    <w:rsid w:val="00E74776"/>
    <w:rsid w:val="00E747CC"/>
    <w:rsid w:val="00E74817"/>
    <w:rsid w:val="00E74836"/>
    <w:rsid w:val="00E74860"/>
    <w:rsid w:val="00E74A31"/>
    <w:rsid w:val="00E74B08"/>
    <w:rsid w:val="00E74BE8"/>
    <w:rsid w:val="00E74CA0"/>
    <w:rsid w:val="00E75459"/>
    <w:rsid w:val="00E7582F"/>
    <w:rsid w:val="00E75832"/>
    <w:rsid w:val="00E75961"/>
    <w:rsid w:val="00E75C48"/>
    <w:rsid w:val="00E75DEA"/>
    <w:rsid w:val="00E761C5"/>
    <w:rsid w:val="00E76371"/>
    <w:rsid w:val="00E76471"/>
    <w:rsid w:val="00E7659D"/>
    <w:rsid w:val="00E76DB9"/>
    <w:rsid w:val="00E77135"/>
    <w:rsid w:val="00E77347"/>
    <w:rsid w:val="00E77774"/>
    <w:rsid w:val="00E77987"/>
    <w:rsid w:val="00E77A14"/>
    <w:rsid w:val="00E77B1F"/>
    <w:rsid w:val="00E77D0F"/>
    <w:rsid w:val="00E77ED6"/>
    <w:rsid w:val="00E80179"/>
    <w:rsid w:val="00E802BD"/>
    <w:rsid w:val="00E802C9"/>
    <w:rsid w:val="00E802D0"/>
    <w:rsid w:val="00E8034B"/>
    <w:rsid w:val="00E8042D"/>
    <w:rsid w:val="00E80863"/>
    <w:rsid w:val="00E80C2C"/>
    <w:rsid w:val="00E8172E"/>
    <w:rsid w:val="00E8187A"/>
    <w:rsid w:val="00E825F8"/>
    <w:rsid w:val="00E82D27"/>
    <w:rsid w:val="00E8300E"/>
    <w:rsid w:val="00E8343C"/>
    <w:rsid w:val="00E8370E"/>
    <w:rsid w:val="00E83780"/>
    <w:rsid w:val="00E837CF"/>
    <w:rsid w:val="00E83BEF"/>
    <w:rsid w:val="00E83CF6"/>
    <w:rsid w:val="00E840BB"/>
    <w:rsid w:val="00E84414"/>
    <w:rsid w:val="00E847B9"/>
    <w:rsid w:val="00E85024"/>
    <w:rsid w:val="00E850FF"/>
    <w:rsid w:val="00E85172"/>
    <w:rsid w:val="00E851F3"/>
    <w:rsid w:val="00E859F4"/>
    <w:rsid w:val="00E85AF2"/>
    <w:rsid w:val="00E860FD"/>
    <w:rsid w:val="00E861DE"/>
    <w:rsid w:val="00E8620F"/>
    <w:rsid w:val="00E8639F"/>
    <w:rsid w:val="00E868AF"/>
    <w:rsid w:val="00E869E1"/>
    <w:rsid w:val="00E87008"/>
    <w:rsid w:val="00E871ED"/>
    <w:rsid w:val="00E8739C"/>
    <w:rsid w:val="00E8778D"/>
    <w:rsid w:val="00E87AD9"/>
    <w:rsid w:val="00E87DCE"/>
    <w:rsid w:val="00E87DE1"/>
    <w:rsid w:val="00E900A8"/>
    <w:rsid w:val="00E9032A"/>
    <w:rsid w:val="00E9044F"/>
    <w:rsid w:val="00E9053A"/>
    <w:rsid w:val="00E90581"/>
    <w:rsid w:val="00E90982"/>
    <w:rsid w:val="00E90EA3"/>
    <w:rsid w:val="00E90F6F"/>
    <w:rsid w:val="00E91858"/>
    <w:rsid w:val="00E9187E"/>
    <w:rsid w:val="00E91A39"/>
    <w:rsid w:val="00E91DA6"/>
    <w:rsid w:val="00E9279F"/>
    <w:rsid w:val="00E92D79"/>
    <w:rsid w:val="00E93293"/>
    <w:rsid w:val="00E932F1"/>
    <w:rsid w:val="00E9354A"/>
    <w:rsid w:val="00E936A9"/>
    <w:rsid w:val="00E938C3"/>
    <w:rsid w:val="00E939B2"/>
    <w:rsid w:val="00E939DE"/>
    <w:rsid w:val="00E93C3D"/>
    <w:rsid w:val="00E9431E"/>
    <w:rsid w:val="00E944C6"/>
    <w:rsid w:val="00E9464A"/>
    <w:rsid w:val="00E946F1"/>
    <w:rsid w:val="00E94C16"/>
    <w:rsid w:val="00E94DCF"/>
    <w:rsid w:val="00E94E60"/>
    <w:rsid w:val="00E95408"/>
    <w:rsid w:val="00E9572F"/>
    <w:rsid w:val="00E95745"/>
    <w:rsid w:val="00E95867"/>
    <w:rsid w:val="00E95EAA"/>
    <w:rsid w:val="00E95EC0"/>
    <w:rsid w:val="00E966B3"/>
    <w:rsid w:val="00E967F2"/>
    <w:rsid w:val="00E968E4"/>
    <w:rsid w:val="00E96AE5"/>
    <w:rsid w:val="00E96B0F"/>
    <w:rsid w:val="00E96BF3"/>
    <w:rsid w:val="00E96C1F"/>
    <w:rsid w:val="00E96E00"/>
    <w:rsid w:val="00E97367"/>
    <w:rsid w:val="00E976AB"/>
    <w:rsid w:val="00E97B9B"/>
    <w:rsid w:val="00EA00F9"/>
    <w:rsid w:val="00EA051B"/>
    <w:rsid w:val="00EA0565"/>
    <w:rsid w:val="00EA0838"/>
    <w:rsid w:val="00EA0998"/>
    <w:rsid w:val="00EA15A7"/>
    <w:rsid w:val="00EA1828"/>
    <w:rsid w:val="00EA183C"/>
    <w:rsid w:val="00EA1AC3"/>
    <w:rsid w:val="00EA1B77"/>
    <w:rsid w:val="00EA2022"/>
    <w:rsid w:val="00EA2092"/>
    <w:rsid w:val="00EA2264"/>
    <w:rsid w:val="00EA284C"/>
    <w:rsid w:val="00EA28EE"/>
    <w:rsid w:val="00EA2B7C"/>
    <w:rsid w:val="00EA2D3C"/>
    <w:rsid w:val="00EA3499"/>
    <w:rsid w:val="00EA3BE2"/>
    <w:rsid w:val="00EA3E5A"/>
    <w:rsid w:val="00EA3FEF"/>
    <w:rsid w:val="00EA413A"/>
    <w:rsid w:val="00EA44B2"/>
    <w:rsid w:val="00EA457F"/>
    <w:rsid w:val="00EA45ED"/>
    <w:rsid w:val="00EA51D5"/>
    <w:rsid w:val="00EA528E"/>
    <w:rsid w:val="00EA5344"/>
    <w:rsid w:val="00EA54F3"/>
    <w:rsid w:val="00EA572A"/>
    <w:rsid w:val="00EA592F"/>
    <w:rsid w:val="00EA5F5B"/>
    <w:rsid w:val="00EA5FCA"/>
    <w:rsid w:val="00EA6181"/>
    <w:rsid w:val="00EA61C8"/>
    <w:rsid w:val="00EA642C"/>
    <w:rsid w:val="00EA6644"/>
    <w:rsid w:val="00EA6753"/>
    <w:rsid w:val="00EA6ED8"/>
    <w:rsid w:val="00EA6FDA"/>
    <w:rsid w:val="00EA7419"/>
    <w:rsid w:val="00EA7422"/>
    <w:rsid w:val="00EA7429"/>
    <w:rsid w:val="00EA7484"/>
    <w:rsid w:val="00EA7769"/>
    <w:rsid w:val="00EA79CE"/>
    <w:rsid w:val="00EA7A08"/>
    <w:rsid w:val="00EA7A75"/>
    <w:rsid w:val="00EA7B7B"/>
    <w:rsid w:val="00EB02CA"/>
    <w:rsid w:val="00EB03C4"/>
    <w:rsid w:val="00EB0753"/>
    <w:rsid w:val="00EB07EF"/>
    <w:rsid w:val="00EB0B63"/>
    <w:rsid w:val="00EB0F93"/>
    <w:rsid w:val="00EB0FE8"/>
    <w:rsid w:val="00EB1308"/>
    <w:rsid w:val="00EB14ED"/>
    <w:rsid w:val="00EB1853"/>
    <w:rsid w:val="00EB1903"/>
    <w:rsid w:val="00EB1997"/>
    <w:rsid w:val="00EB1C8F"/>
    <w:rsid w:val="00EB21D1"/>
    <w:rsid w:val="00EB2226"/>
    <w:rsid w:val="00EB28D6"/>
    <w:rsid w:val="00EB3006"/>
    <w:rsid w:val="00EB3577"/>
    <w:rsid w:val="00EB3A9C"/>
    <w:rsid w:val="00EB3B93"/>
    <w:rsid w:val="00EB3D5B"/>
    <w:rsid w:val="00EB3ECE"/>
    <w:rsid w:val="00EB4292"/>
    <w:rsid w:val="00EB4327"/>
    <w:rsid w:val="00EB4DCE"/>
    <w:rsid w:val="00EB4DDD"/>
    <w:rsid w:val="00EB4F10"/>
    <w:rsid w:val="00EB50AC"/>
    <w:rsid w:val="00EB50CE"/>
    <w:rsid w:val="00EB58E0"/>
    <w:rsid w:val="00EB5C22"/>
    <w:rsid w:val="00EB5F1F"/>
    <w:rsid w:val="00EB5FC9"/>
    <w:rsid w:val="00EB68BD"/>
    <w:rsid w:val="00EB69D8"/>
    <w:rsid w:val="00EB7295"/>
    <w:rsid w:val="00EB73FA"/>
    <w:rsid w:val="00EB7B11"/>
    <w:rsid w:val="00EB7BC3"/>
    <w:rsid w:val="00EB7D62"/>
    <w:rsid w:val="00EC0CBB"/>
    <w:rsid w:val="00EC143F"/>
    <w:rsid w:val="00EC1686"/>
    <w:rsid w:val="00EC1876"/>
    <w:rsid w:val="00EC1904"/>
    <w:rsid w:val="00EC1A1E"/>
    <w:rsid w:val="00EC1FD8"/>
    <w:rsid w:val="00EC2138"/>
    <w:rsid w:val="00EC237F"/>
    <w:rsid w:val="00EC28AE"/>
    <w:rsid w:val="00EC2A45"/>
    <w:rsid w:val="00EC2B09"/>
    <w:rsid w:val="00EC2BEF"/>
    <w:rsid w:val="00EC2C72"/>
    <w:rsid w:val="00EC2E07"/>
    <w:rsid w:val="00EC304C"/>
    <w:rsid w:val="00EC318D"/>
    <w:rsid w:val="00EC3303"/>
    <w:rsid w:val="00EC3583"/>
    <w:rsid w:val="00EC3840"/>
    <w:rsid w:val="00EC388B"/>
    <w:rsid w:val="00EC38E7"/>
    <w:rsid w:val="00EC3CA4"/>
    <w:rsid w:val="00EC3D4B"/>
    <w:rsid w:val="00EC3F80"/>
    <w:rsid w:val="00EC40F9"/>
    <w:rsid w:val="00EC4475"/>
    <w:rsid w:val="00EC45E6"/>
    <w:rsid w:val="00EC4A10"/>
    <w:rsid w:val="00EC50D6"/>
    <w:rsid w:val="00EC5123"/>
    <w:rsid w:val="00EC512B"/>
    <w:rsid w:val="00EC5337"/>
    <w:rsid w:val="00EC57DC"/>
    <w:rsid w:val="00EC5B0B"/>
    <w:rsid w:val="00EC5B44"/>
    <w:rsid w:val="00EC5BA8"/>
    <w:rsid w:val="00EC5F9E"/>
    <w:rsid w:val="00EC604D"/>
    <w:rsid w:val="00EC608F"/>
    <w:rsid w:val="00EC62DE"/>
    <w:rsid w:val="00EC62DF"/>
    <w:rsid w:val="00EC65BA"/>
    <w:rsid w:val="00EC66E2"/>
    <w:rsid w:val="00EC6728"/>
    <w:rsid w:val="00EC6C56"/>
    <w:rsid w:val="00ED03D9"/>
    <w:rsid w:val="00ED0E82"/>
    <w:rsid w:val="00ED115B"/>
    <w:rsid w:val="00ED1411"/>
    <w:rsid w:val="00ED16CA"/>
    <w:rsid w:val="00ED17F3"/>
    <w:rsid w:val="00ED1861"/>
    <w:rsid w:val="00ED1973"/>
    <w:rsid w:val="00ED2185"/>
    <w:rsid w:val="00ED2435"/>
    <w:rsid w:val="00ED2A49"/>
    <w:rsid w:val="00ED3229"/>
    <w:rsid w:val="00ED3285"/>
    <w:rsid w:val="00ED3381"/>
    <w:rsid w:val="00ED34DD"/>
    <w:rsid w:val="00ED34F3"/>
    <w:rsid w:val="00ED3FAB"/>
    <w:rsid w:val="00ED434F"/>
    <w:rsid w:val="00ED4B67"/>
    <w:rsid w:val="00ED4D4C"/>
    <w:rsid w:val="00ED51B0"/>
    <w:rsid w:val="00ED5874"/>
    <w:rsid w:val="00ED5E32"/>
    <w:rsid w:val="00ED5FEE"/>
    <w:rsid w:val="00ED608C"/>
    <w:rsid w:val="00ED628C"/>
    <w:rsid w:val="00ED62F6"/>
    <w:rsid w:val="00ED6888"/>
    <w:rsid w:val="00ED6A95"/>
    <w:rsid w:val="00ED6FB0"/>
    <w:rsid w:val="00ED7426"/>
    <w:rsid w:val="00ED7502"/>
    <w:rsid w:val="00ED7778"/>
    <w:rsid w:val="00ED7DDF"/>
    <w:rsid w:val="00EE0136"/>
    <w:rsid w:val="00EE049B"/>
    <w:rsid w:val="00EE0ADF"/>
    <w:rsid w:val="00EE0BC6"/>
    <w:rsid w:val="00EE1827"/>
    <w:rsid w:val="00EE1971"/>
    <w:rsid w:val="00EE1F4C"/>
    <w:rsid w:val="00EE20BA"/>
    <w:rsid w:val="00EE27BC"/>
    <w:rsid w:val="00EE280C"/>
    <w:rsid w:val="00EE2935"/>
    <w:rsid w:val="00EE2CC4"/>
    <w:rsid w:val="00EE37CC"/>
    <w:rsid w:val="00EE3842"/>
    <w:rsid w:val="00EE3BBC"/>
    <w:rsid w:val="00EE3F53"/>
    <w:rsid w:val="00EE4D14"/>
    <w:rsid w:val="00EE4E43"/>
    <w:rsid w:val="00EE55A0"/>
    <w:rsid w:val="00EE5780"/>
    <w:rsid w:val="00EE5DC7"/>
    <w:rsid w:val="00EE6470"/>
    <w:rsid w:val="00EE6568"/>
    <w:rsid w:val="00EE6651"/>
    <w:rsid w:val="00EE67DD"/>
    <w:rsid w:val="00EE6A40"/>
    <w:rsid w:val="00EE6AC8"/>
    <w:rsid w:val="00EE6ADB"/>
    <w:rsid w:val="00EE6F19"/>
    <w:rsid w:val="00EE7075"/>
    <w:rsid w:val="00EE715B"/>
    <w:rsid w:val="00EE7549"/>
    <w:rsid w:val="00EE7A5F"/>
    <w:rsid w:val="00EE7B7D"/>
    <w:rsid w:val="00EE7E5D"/>
    <w:rsid w:val="00EF0331"/>
    <w:rsid w:val="00EF03F4"/>
    <w:rsid w:val="00EF078D"/>
    <w:rsid w:val="00EF0833"/>
    <w:rsid w:val="00EF0F04"/>
    <w:rsid w:val="00EF0F7E"/>
    <w:rsid w:val="00EF1030"/>
    <w:rsid w:val="00EF1286"/>
    <w:rsid w:val="00EF135C"/>
    <w:rsid w:val="00EF1803"/>
    <w:rsid w:val="00EF1A6C"/>
    <w:rsid w:val="00EF1B41"/>
    <w:rsid w:val="00EF1B43"/>
    <w:rsid w:val="00EF1FB0"/>
    <w:rsid w:val="00EF23C7"/>
    <w:rsid w:val="00EF285C"/>
    <w:rsid w:val="00EF2A4D"/>
    <w:rsid w:val="00EF2ACA"/>
    <w:rsid w:val="00EF2EC8"/>
    <w:rsid w:val="00EF2F77"/>
    <w:rsid w:val="00EF344E"/>
    <w:rsid w:val="00EF3C11"/>
    <w:rsid w:val="00EF440E"/>
    <w:rsid w:val="00EF4478"/>
    <w:rsid w:val="00EF44C7"/>
    <w:rsid w:val="00EF4866"/>
    <w:rsid w:val="00EF4BC9"/>
    <w:rsid w:val="00EF4D2D"/>
    <w:rsid w:val="00EF5034"/>
    <w:rsid w:val="00EF536B"/>
    <w:rsid w:val="00EF55CF"/>
    <w:rsid w:val="00EF5751"/>
    <w:rsid w:val="00EF57D4"/>
    <w:rsid w:val="00EF5A25"/>
    <w:rsid w:val="00EF5C5F"/>
    <w:rsid w:val="00EF5DA1"/>
    <w:rsid w:val="00EF5E15"/>
    <w:rsid w:val="00EF62B6"/>
    <w:rsid w:val="00EF62EF"/>
    <w:rsid w:val="00EF63B2"/>
    <w:rsid w:val="00EF6599"/>
    <w:rsid w:val="00EF690D"/>
    <w:rsid w:val="00EF6BC5"/>
    <w:rsid w:val="00EF6CCF"/>
    <w:rsid w:val="00EF6D3D"/>
    <w:rsid w:val="00EF6DAA"/>
    <w:rsid w:val="00EF6F42"/>
    <w:rsid w:val="00EF73C4"/>
    <w:rsid w:val="00EF7704"/>
    <w:rsid w:val="00EF785A"/>
    <w:rsid w:val="00EF79AE"/>
    <w:rsid w:val="00EF7B82"/>
    <w:rsid w:val="00EF7D7E"/>
    <w:rsid w:val="00EF7F41"/>
    <w:rsid w:val="00F00034"/>
    <w:rsid w:val="00F00063"/>
    <w:rsid w:val="00F000D6"/>
    <w:rsid w:val="00F003DE"/>
    <w:rsid w:val="00F008E2"/>
    <w:rsid w:val="00F009B3"/>
    <w:rsid w:val="00F00EFC"/>
    <w:rsid w:val="00F01374"/>
    <w:rsid w:val="00F01629"/>
    <w:rsid w:val="00F01BBF"/>
    <w:rsid w:val="00F01C84"/>
    <w:rsid w:val="00F01D31"/>
    <w:rsid w:val="00F027FE"/>
    <w:rsid w:val="00F02D29"/>
    <w:rsid w:val="00F039B0"/>
    <w:rsid w:val="00F039E5"/>
    <w:rsid w:val="00F03B41"/>
    <w:rsid w:val="00F03D23"/>
    <w:rsid w:val="00F04108"/>
    <w:rsid w:val="00F0442B"/>
    <w:rsid w:val="00F04869"/>
    <w:rsid w:val="00F04927"/>
    <w:rsid w:val="00F04B51"/>
    <w:rsid w:val="00F05129"/>
    <w:rsid w:val="00F051C0"/>
    <w:rsid w:val="00F05247"/>
    <w:rsid w:val="00F0539C"/>
    <w:rsid w:val="00F0551A"/>
    <w:rsid w:val="00F05BAB"/>
    <w:rsid w:val="00F05BAD"/>
    <w:rsid w:val="00F05D7E"/>
    <w:rsid w:val="00F05FD3"/>
    <w:rsid w:val="00F062FE"/>
    <w:rsid w:val="00F07086"/>
    <w:rsid w:val="00F0739C"/>
    <w:rsid w:val="00F07443"/>
    <w:rsid w:val="00F076E9"/>
    <w:rsid w:val="00F07E3A"/>
    <w:rsid w:val="00F10003"/>
    <w:rsid w:val="00F10657"/>
    <w:rsid w:val="00F10F37"/>
    <w:rsid w:val="00F117A3"/>
    <w:rsid w:val="00F11E8C"/>
    <w:rsid w:val="00F11F6C"/>
    <w:rsid w:val="00F120A7"/>
    <w:rsid w:val="00F12429"/>
    <w:rsid w:val="00F13045"/>
    <w:rsid w:val="00F132C2"/>
    <w:rsid w:val="00F13340"/>
    <w:rsid w:val="00F133AA"/>
    <w:rsid w:val="00F136F2"/>
    <w:rsid w:val="00F13C55"/>
    <w:rsid w:val="00F13F27"/>
    <w:rsid w:val="00F140AC"/>
    <w:rsid w:val="00F1416B"/>
    <w:rsid w:val="00F141A2"/>
    <w:rsid w:val="00F147A2"/>
    <w:rsid w:val="00F147ED"/>
    <w:rsid w:val="00F14955"/>
    <w:rsid w:val="00F1500C"/>
    <w:rsid w:val="00F15302"/>
    <w:rsid w:val="00F153D8"/>
    <w:rsid w:val="00F158F0"/>
    <w:rsid w:val="00F15D6D"/>
    <w:rsid w:val="00F15DFA"/>
    <w:rsid w:val="00F15FA2"/>
    <w:rsid w:val="00F174F9"/>
    <w:rsid w:val="00F17A48"/>
    <w:rsid w:val="00F17FE5"/>
    <w:rsid w:val="00F2031D"/>
    <w:rsid w:val="00F20404"/>
    <w:rsid w:val="00F205E7"/>
    <w:rsid w:val="00F20D40"/>
    <w:rsid w:val="00F217D3"/>
    <w:rsid w:val="00F2192D"/>
    <w:rsid w:val="00F21995"/>
    <w:rsid w:val="00F21DC9"/>
    <w:rsid w:val="00F22544"/>
    <w:rsid w:val="00F228FD"/>
    <w:rsid w:val="00F23482"/>
    <w:rsid w:val="00F2391D"/>
    <w:rsid w:val="00F23BD0"/>
    <w:rsid w:val="00F23EFC"/>
    <w:rsid w:val="00F244F2"/>
    <w:rsid w:val="00F24585"/>
    <w:rsid w:val="00F245BC"/>
    <w:rsid w:val="00F245EC"/>
    <w:rsid w:val="00F24767"/>
    <w:rsid w:val="00F24F8D"/>
    <w:rsid w:val="00F251DC"/>
    <w:rsid w:val="00F252CF"/>
    <w:rsid w:val="00F2578A"/>
    <w:rsid w:val="00F25AB0"/>
    <w:rsid w:val="00F25ADC"/>
    <w:rsid w:val="00F25C03"/>
    <w:rsid w:val="00F25EBB"/>
    <w:rsid w:val="00F263DC"/>
    <w:rsid w:val="00F26B43"/>
    <w:rsid w:val="00F27A76"/>
    <w:rsid w:val="00F27E3A"/>
    <w:rsid w:val="00F27EF6"/>
    <w:rsid w:val="00F27FB7"/>
    <w:rsid w:val="00F3050A"/>
    <w:rsid w:val="00F30564"/>
    <w:rsid w:val="00F307CA"/>
    <w:rsid w:val="00F308BE"/>
    <w:rsid w:val="00F30BBB"/>
    <w:rsid w:val="00F30D4B"/>
    <w:rsid w:val="00F313D6"/>
    <w:rsid w:val="00F318A9"/>
    <w:rsid w:val="00F31C68"/>
    <w:rsid w:val="00F31ED4"/>
    <w:rsid w:val="00F32295"/>
    <w:rsid w:val="00F326CD"/>
    <w:rsid w:val="00F33042"/>
    <w:rsid w:val="00F3304A"/>
    <w:rsid w:val="00F3398E"/>
    <w:rsid w:val="00F33A4F"/>
    <w:rsid w:val="00F34222"/>
    <w:rsid w:val="00F343BD"/>
    <w:rsid w:val="00F344F8"/>
    <w:rsid w:val="00F34960"/>
    <w:rsid w:val="00F35217"/>
    <w:rsid w:val="00F3532E"/>
    <w:rsid w:val="00F359EF"/>
    <w:rsid w:val="00F35E56"/>
    <w:rsid w:val="00F35F78"/>
    <w:rsid w:val="00F36304"/>
    <w:rsid w:val="00F364C6"/>
    <w:rsid w:val="00F36708"/>
    <w:rsid w:val="00F367B4"/>
    <w:rsid w:val="00F3733F"/>
    <w:rsid w:val="00F373E8"/>
    <w:rsid w:val="00F37AC9"/>
    <w:rsid w:val="00F37DC9"/>
    <w:rsid w:val="00F37F94"/>
    <w:rsid w:val="00F400AC"/>
    <w:rsid w:val="00F404B6"/>
    <w:rsid w:val="00F40A47"/>
    <w:rsid w:val="00F4106A"/>
    <w:rsid w:val="00F415A9"/>
    <w:rsid w:val="00F41890"/>
    <w:rsid w:val="00F418B3"/>
    <w:rsid w:val="00F419CB"/>
    <w:rsid w:val="00F41AAB"/>
    <w:rsid w:val="00F4200F"/>
    <w:rsid w:val="00F4205E"/>
    <w:rsid w:val="00F4251E"/>
    <w:rsid w:val="00F425FA"/>
    <w:rsid w:val="00F42936"/>
    <w:rsid w:val="00F429F0"/>
    <w:rsid w:val="00F42E76"/>
    <w:rsid w:val="00F42F3C"/>
    <w:rsid w:val="00F42FBF"/>
    <w:rsid w:val="00F43679"/>
    <w:rsid w:val="00F43808"/>
    <w:rsid w:val="00F43DD3"/>
    <w:rsid w:val="00F4437B"/>
    <w:rsid w:val="00F444E7"/>
    <w:rsid w:val="00F44AB6"/>
    <w:rsid w:val="00F44AC8"/>
    <w:rsid w:val="00F44B3F"/>
    <w:rsid w:val="00F4536D"/>
    <w:rsid w:val="00F453F1"/>
    <w:rsid w:val="00F45704"/>
    <w:rsid w:val="00F45891"/>
    <w:rsid w:val="00F45D33"/>
    <w:rsid w:val="00F45D83"/>
    <w:rsid w:val="00F45F23"/>
    <w:rsid w:val="00F45FCC"/>
    <w:rsid w:val="00F468EE"/>
    <w:rsid w:val="00F47165"/>
    <w:rsid w:val="00F47242"/>
    <w:rsid w:val="00F47964"/>
    <w:rsid w:val="00F47C42"/>
    <w:rsid w:val="00F47ECE"/>
    <w:rsid w:val="00F47F9A"/>
    <w:rsid w:val="00F503DF"/>
    <w:rsid w:val="00F504A5"/>
    <w:rsid w:val="00F509A9"/>
    <w:rsid w:val="00F50A9B"/>
    <w:rsid w:val="00F50C3C"/>
    <w:rsid w:val="00F511B8"/>
    <w:rsid w:val="00F513AD"/>
    <w:rsid w:val="00F51A64"/>
    <w:rsid w:val="00F51F96"/>
    <w:rsid w:val="00F52887"/>
    <w:rsid w:val="00F52BD8"/>
    <w:rsid w:val="00F530AE"/>
    <w:rsid w:val="00F53318"/>
    <w:rsid w:val="00F53425"/>
    <w:rsid w:val="00F53DD6"/>
    <w:rsid w:val="00F53EC1"/>
    <w:rsid w:val="00F54071"/>
    <w:rsid w:val="00F54473"/>
    <w:rsid w:val="00F54675"/>
    <w:rsid w:val="00F546EA"/>
    <w:rsid w:val="00F54E9A"/>
    <w:rsid w:val="00F54EA9"/>
    <w:rsid w:val="00F55153"/>
    <w:rsid w:val="00F555BB"/>
    <w:rsid w:val="00F55FD6"/>
    <w:rsid w:val="00F5642D"/>
    <w:rsid w:val="00F5657B"/>
    <w:rsid w:val="00F56708"/>
    <w:rsid w:val="00F56B93"/>
    <w:rsid w:val="00F56CBA"/>
    <w:rsid w:val="00F56E78"/>
    <w:rsid w:val="00F57C18"/>
    <w:rsid w:val="00F57F9F"/>
    <w:rsid w:val="00F600F9"/>
    <w:rsid w:val="00F60440"/>
    <w:rsid w:val="00F60A77"/>
    <w:rsid w:val="00F60AF9"/>
    <w:rsid w:val="00F60C66"/>
    <w:rsid w:val="00F611B4"/>
    <w:rsid w:val="00F61240"/>
    <w:rsid w:val="00F614C7"/>
    <w:rsid w:val="00F61670"/>
    <w:rsid w:val="00F617A2"/>
    <w:rsid w:val="00F6183E"/>
    <w:rsid w:val="00F61C12"/>
    <w:rsid w:val="00F61FCB"/>
    <w:rsid w:val="00F621A8"/>
    <w:rsid w:val="00F6250C"/>
    <w:rsid w:val="00F625A3"/>
    <w:rsid w:val="00F62835"/>
    <w:rsid w:val="00F62CF3"/>
    <w:rsid w:val="00F62D22"/>
    <w:rsid w:val="00F63097"/>
    <w:rsid w:val="00F635DF"/>
    <w:rsid w:val="00F6363A"/>
    <w:rsid w:val="00F63BFE"/>
    <w:rsid w:val="00F63CCF"/>
    <w:rsid w:val="00F6404E"/>
    <w:rsid w:val="00F644BA"/>
    <w:rsid w:val="00F64723"/>
    <w:rsid w:val="00F64772"/>
    <w:rsid w:val="00F64AC1"/>
    <w:rsid w:val="00F64CCD"/>
    <w:rsid w:val="00F64DD4"/>
    <w:rsid w:val="00F64E4E"/>
    <w:rsid w:val="00F64FBB"/>
    <w:rsid w:val="00F65B1E"/>
    <w:rsid w:val="00F65BE4"/>
    <w:rsid w:val="00F65D17"/>
    <w:rsid w:val="00F65D56"/>
    <w:rsid w:val="00F663D2"/>
    <w:rsid w:val="00F663D6"/>
    <w:rsid w:val="00F66526"/>
    <w:rsid w:val="00F66A50"/>
    <w:rsid w:val="00F66D2C"/>
    <w:rsid w:val="00F6710B"/>
    <w:rsid w:val="00F67C92"/>
    <w:rsid w:val="00F70047"/>
    <w:rsid w:val="00F700C0"/>
    <w:rsid w:val="00F702DC"/>
    <w:rsid w:val="00F704BF"/>
    <w:rsid w:val="00F706ED"/>
    <w:rsid w:val="00F708CE"/>
    <w:rsid w:val="00F711B1"/>
    <w:rsid w:val="00F71208"/>
    <w:rsid w:val="00F71659"/>
    <w:rsid w:val="00F71686"/>
    <w:rsid w:val="00F716FB"/>
    <w:rsid w:val="00F71706"/>
    <w:rsid w:val="00F71858"/>
    <w:rsid w:val="00F71DA6"/>
    <w:rsid w:val="00F71E3B"/>
    <w:rsid w:val="00F724EE"/>
    <w:rsid w:val="00F72756"/>
    <w:rsid w:val="00F72EBF"/>
    <w:rsid w:val="00F733FE"/>
    <w:rsid w:val="00F735FE"/>
    <w:rsid w:val="00F73692"/>
    <w:rsid w:val="00F73928"/>
    <w:rsid w:val="00F739E3"/>
    <w:rsid w:val="00F73C2C"/>
    <w:rsid w:val="00F73C2E"/>
    <w:rsid w:val="00F73CA0"/>
    <w:rsid w:val="00F7443B"/>
    <w:rsid w:val="00F74848"/>
    <w:rsid w:val="00F74C67"/>
    <w:rsid w:val="00F74D48"/>
    <w:rsid w:val="00F74D9F"/>
    <w:rsid w:val="00F75044"/>
    <w:rsid w:val="00F75050"/>
    <w:rsid w:val="00F750D1"/>
    <w:rsid w:val="00F752A2"/>
    <w:rsid w:val="00F75852"/>
    <w:rsid w:val="00F75C1C"/>
    <w:rsid w:val="00F75E93"/>
    <w:rsid w:val="00F76235"/>
    <w:rsid w:val="00F76548"/>
    <w:rsid w:val="00F76794"/>
    <w:rsid w:val="00F768AE"/>
    <w:rsid w:val="00F76910"/>
    <w:rsid w:val="00F76B61"/>
    <w:rsid w:val="00F76DA6"/>
    <w:rsid w:val="00F76ED3"/>
    <w:rsid w:val="00F76F05"/>
    <w:rsid w:val="00F770AC"/>
    <w:rsid w:val="00F770CC"/>
    <w:rsid w:val="00F7770F"/>
    <w:rsid w:val="00F777CC"/>
    <w:rsid w:val="00F77B3A"/>
    <w:rsid w:val="00F77F5F"/>
    <w:rsid w:val="00F80343"/>
    <w:rsid w:val="00F805E8"/>
    <w:rsid w:val="00F80976"/>
    <w:rsid w:val="00F80B20"/>
    <w:rsid w:val="00F80E55"/>
    <w:rsid w:val="00F80E73"/>
    <w:rsid w:val="00F81350"/>
    <w:rsid w:val="00F81539"/>
    <w:rsid w:val="00F818B6"/>
    <w:rsid w:val="00F8193F"/>
    <w:rsid w:val="00F81976"/>
    <w:rsid w:val="00F81AB2"/>
    <w:rsid w:val="00F8246B"/>
    <w:rsid w:val="00F825FE"/>
    <w:rsid w:val="00F829E3"/>
    <w:rsid w:val="00F82C3B"/>
    <w:rsid w:val="00F82F82"/>
    <w:rsid w:val="00F830A2"/>
    <w:rsid w:val="00F8349E"/>
    <w:rsid w:val="00F8370E"/>
    <w:rsid w:val="00F83E9F"/>
    <w:rsid w:val="00F840B8"/>
    <w:rsid w:val="00F8427B"/>
    <w:rsid w:val="00F84ABE"/>
    <w:rsid w:val="00F84ADA"/>
    <w:rsid w:val="00F84DA8"/>
    <w:rsid w:val="00F84FC4"/>
    <w:rsid w:val="00F85128"/>
    <w:rsid w:val="00F8540A"/>
    <w:rsid w:val="00F857FD"/>
    <w:rsid w:val="00F858DE"/>
    <w:rsid w:val="00F86688"/>
    <w:rsid w:val="00F86696"/>
    <w:rsid w:val="00F8676A"/>
    <w:rsid w:val="00F86BB1"/>
    <w:rsid w:val="00F86E61"/>
    <w:rsid w:val="00F870CA"/>
    <w:rsid w:val="00F872E4"/>
    <w:rsid w:val="00F87381"/>
    <w:rsid w:val="00F87D8A"/>
    <w:rsid w:val="00F87EF7"/>
    <w:rsid w:val="00F90009"/>
    <w:rsid w:val="00F90362"/>
    <w:rsid w:val="00F9039A"/>
    <w:rsid w:val="00F90446"/>
    <w:rsid w:val="00F904E7"/>
    <w:rsid w:val="00F908C5"/>
    <w:rsid w:val="00F90B5A"/>
    <w:rsid w:val="00F90C15"/>
    <w:rsid w:val="00F90D85"/>
    <w:rsid w:val="00F9101E"/>
    <w:rsid w:val="00F910C9"/>
    <w:rsid w:val="00F912A0"/>
    <w:rsid w:val="00F9186D"/>
    <w:rsid w:val="00F919EA"/>
    <w:rsid w:val="00F9216A"/>
    <w:rsid w:val="00F92B51"/>
    <w:rsid w:val="00F92DC7"/>
    <w:rsid w:val="00F92FA3"/>
    <w:rsid w:val="00F93072"/>
    <w:rsid w:val="00F931BB"/>
    <w:rsid w:val="00F93239"/>
    <w:rsid w:val="00F93276"/>
    <w:rsid w:val="00F93609"/>
    <w:rsid w:val="00F93682"/>
    <w:rsid w:val="00F93839"/>
    <w:rsid w:val="00F93936"/>
    <w:rsid w:val="00F93A50"/>
    <w:rsid w:val="00F93CC9"/>
    <w:rsid w:val="00F93D63"/>
    <w:rsid w:val="00F93E07"/>
    <w:rsid w:val="00F940B9"/>
    <w:rsid w:val="00F940C2"/>
    <w:rsid w:val="00F94201"/>
    <w:rsid w:val="00F9485E"/>
    <w:rsid w:val="00F94949"/>
    <w:rsid w:val="00F950B2"/>
    <w:rsid w:val="00F951B5"/>
    <w:rsid w:val="00F95243"/>
    <w:rsid w:val="00F95829"/>
    <w:rsid w:val="00F9597B"/>
    <w:rsid w:val="00F95B02"/>
    <w:rsid w:val="00F95F61"/>
    <w:rsid w:val="00F96007"/>
    <w:rsid w:val="00F960A9"/>
    <w:rsid w:val="00F96287"/>
    <w:rsid w:val="00F96724"/>
    <w:rsid w:val="00F967F3"/>
    <w:rsid w:val="00F96D77"/>
    <w:rsid w:val="00F96E6B"/>
    <w:rsid w:val="00F97224"/>
    <w:rsid w:val="00F979C8"/>
    <w:rsid w:val="00F97B5F"/>
    <w:rsid w:val="00F97C3D"/>
    <w:rsid w:val="00F97D08"/>
    <w:rsid w:val="00F97E87"/>
    <w:rsid w:val="00F97EAF"/>
    <w:rsid w:val="00F97F32"/>
    <w:rsid w:val="00FA001F"/>
    <w:rsid w:val="00FA0866"/>
    <w:rsid w:val="00FA0933"/>
    <w:rsid w:val="00FA0AF5"/>
    <w:rsid w:val="00FA0DBE"/>
    <w:rsid w:val="00FA0DFD"/>
    <w:rsid w:val="00FA0FE2"/>
    <w:rsid w:val="00FA0FEA"/>
    <w:rsid w:val="00FA1164"/>
    <w:rsid w:val="00FA12F9"/>
    <w:rsid w:val="00FA13EA"/>
    <w:rsid w:val="00FA1A25"/>
    <w:rsid w:val="00FA1CA7"/>
    <w:rsid w:val="00FA1E17"/>
    <w:rsid w:val="00FA1EF1"/>
    <w:rsid w:val="00FA203D"/>
    <w:rsid w:val="00FA26A4"/>
    <w:rsid w:val="00FA2C7B"/>
    <w:rsid w:val="00FA30C9"/>
    <w:rsid w:val="00FA3495"/>
    <w:rsid w:val="00FA361D"/>
    <w:rsid w:val="00FA3A03"/>
    <w:rsid w:val="00FA429A"/>
    <w:rsid w:val="00FA4348"/>
    <w:rsid w:val="00FA444D"/>
    <w:rsid w:val="00FA4EF0"/>
    <w:rsid w:val="00FA502A"/>
    <w:rsid w:val="00FA506B"/>
    <w:rsid w:val="00FA5B0B"/>
    <w:rsid w:val="00FA5BC2"/>
    <w:rsid w:val="00FA5BD2"/>
    <w:rsid w:val="00FA60B6"/>
    <w:rsid w:val="00FA64B4"/>
    <w:rsid w:val="00FA656B"/>
    <w:rsid w:val="00FA666F"/>
    <w:rsid w:val="00FA6C9E"/>
    <w:rsid w:val="00FA7506"/>
    <w:rsid w:val="00FA79CB"/>
    <w:rsid w:val="00FA7AC1"/>
    <w:rsid w:val="00FA7BD7"/>
    <w:rsid w:val="00FA7EA5"/>
    <w:rsid w:val="00FB000B"/>
    <w:rsid w:val="00FB012D"/>
    <w:rsid w:val="00FB0521"/>
    <w:rsid w:val="00FB0596"/>
    <w:rsid w:val="00FB078F"/>
    <w:rsid w:val="00FB0902"/>
    <w:rsid w:val="00FB0A01"/>
    <w:rsid w:val="00FB0F06"/>
    <w:rsid w:val="00FB1156"/>
    <w:rsid w:val="00FB1162"/>
    <w:rsid w:val="00FB152D"/>
    <w:rsid w:val="00FB1F09"/>
    <w:rsid w:val="00FB290D"/>
    <w:rsid w:val="00FB2A9C"/>
    <w:rsid w:val="00FB2AE3"/>
    <w:rsid w:val="00FB2CC2"/>
    <w:rsid w:val="00FB2F32"/>
    <w:rsid w:val="00FB3058"/>
    <w:rsid w:val="00FB3184"/>
    <w:rsid w:val="00FB3579"/>
    <w:rsid w:val="00FB3ABC"/>
    <w:rsid w:val="00FB3D5B"/>
    <w:rsid w:val="00FB44C3"/>
    <w:rsid w:val="00FB46CA"/>
    <w:rsid w:val="00FB49B2"/>
    <w:rsid w:val="00FB4B41"/>
    <w:rsid w:val="00FB4D2B"/>
    <w:rsid w:val="00FB51EF"/>
    <w:rsid w:val="00FB5332"/>
    <w:rsid w:val="00FB569C"/>
    <w:rsid w:val="00FB571D"/>
    <w:rsid w:val="00FB5D00"/>
    <w:rsid w:val="00FB5D67"/>
    <w:rsid w:val="00FB5F93"/>
    <w:rsid w:val="00FB6174"/>
    <w:rsid w:val="00FB61AA"/>
    <w:rsid w:val="00FB626D"/>
    <w:rsid w:val="00FB64D3"/>
    <w:rsid w:val="00FB679F"/>
    <w:rsid w:val="00FB6ED5"/>
    <w:rsid w:val="00FB6EFB"/>
    <w:rsid w:val="00FB7367"/>
    <w:rsid w:val="00FB736F"/>
    <w:rsid w:val="00FB7895"/>
    <w:rsid w:val="00FC024A"/>
    <w:rsid w:val="00FC0672"/>
    <w:rsid w:val="00FC0698"/>
    <w:rsid w:val="00FC06C2"/>
    <w:rsid w:val="00FC0779"/>
    <w:rsid w:val="00FC0892"/>
    <w:rsid w:val="00FC0AB3"/>
    <w:rsid w:val="00FC0D4A"/>
    <w:rsid w:val="00FC13F3"/>
    <w:rsid w:val="00FC1CF3"/>
    <w:rsid w:val="00FC20C0"/>
    <w:rsid w:val="00FC20EE"/>
    <w:rsid w:val="00FC2A48"/>
    <w:rsid w:val="00FC2EED"/>
    <w:rsid w:val="00FC2F3F"/>
    <w:rsid w:val="00FC3532"/>
    <w:rsid w:val="00FC36F3"/>
    <w:rsid w:val="00FC372E"/>
    <w:rsid w:val="00FC398B"/>
    <w:rsid w:val="00FC39C0"/>
    <w:rsid w:val="00FC4369"/>
    <w:rsid w:val="00FC464C"/>
    <w:rsid w:val="00FC47FF"/>
    <w:rsid w:val="00FC5513"/>
    <w:rsid w:val="00FC55F7"/>
    <w:rsid w:val="00FC57AC"/>
    <w:rsid w:val="00FC59B4"/>
    <w:rsid w:val="00FC5C05"/>
    <w:rsid w:val="00FC6056"/>
    <w:rsid w:val="00FC6994"/>
    <w:rsid w:val="00FC70F1"/>
    <w:rsid w:val="00FC7493"/>
    <w:rsid w:val="00FC7C62"/>
    <w:rsid w:val="00FC7F6C"/>
    <w:rsid w:val="00FD0017"/>
    <w:rsid w:val="00FD0101"/>
    <w:rsid w:val="00FD0290"/>
    <w:rsid w:val="00FD02CA"/>
    <w:rsid w:val="00FD03CD"/>
    <w:rsid w:val="00FD0469"/>
    <w:rsid w:val="00FD0CAA"/>
    <w:rsid w:val="00FD0DBA"/>
    <w:rsid w:val="00FD0F25"/>
    <w:rsid w:val="00FD11ED"/>
    <w:rsid w:val="00FD13FF"/>
    <w:rsid w:val="00FD1627"/>
    <w:rsid w:val="00FD1BB7"/>
    <w:rsid w:val="00FD1D7E"/>
    <w:rsid w:val="00FD20B5"/>
    <w:rsid w:val="00FD2163"/>
    <w:rsid w:val="00FD22D6"/>
    <w:rsid w:val="00FD2351"/>
    <w:rsid w:val="00FD26FD"/>
    <w:rsid w:val="00FD276F"/>
    <w:rsid w:val="00FD31AB"/>
    <w:rsid w:val="00FD32B8"/>
    <w:rsid w:val="00FD3652"/>
    <w:rsid w:val="00FD38D1"/>
    <w:rsid w:val="00FD399A"/>
    <w:rsid w:val="00FD3A76"/>
    <w:rsid w:val="00FD3C1C"/>
    <w:rsid w:val="00FD3F7B"/>
    <w:rsid w:val="00FD4097"/>
    <w:rsid w:val="00FD41B2"/>
    <w:rsid w:val="00FD432E"/>
    <w:rsid w:val="00FD4799"/>
    <w:rsid w:val="00FD479B"/>
    <w:rsid w:val="00FD49E4"/>
    <w:rsid w:val="00FD4E5F"/>
    <w:rsid w:val="00FD4F0D"/>
    <w:rsid w:val="00FD50D2"/>
    <w:rsid w:val="00FD52EA"/>
    <w:rsid w:val="00FD53FC"/>
    <w:rsid w:val="00FD56BE"/>
    <w:rsid w:val="00FD589F"/>
    <w:rsid w:val="00FD59A9"/>
    <w:rsid w:val="00FD5A5B"/>
    <w:rsid w:val="00FD5CD6"/>
    <w:rsid w:val="00FD5D03"/>
    <w:rsid w:val="00FD5E18"/>
    <w:rsid w:val="00FD6788"/>
    <w:rsid w:val="00FD6CB2"/>
    <w:rsid w:val="00FD6E85"/>
    <w:rsid w:val="00FD70A0"/>
    <w:rsid w:val="00FD7637"/>
    <w:rsid w:val="00FD782D"/>
    <w:rsid w:val="00FD7831"/>
    <w:rsid w:val="00FD7845"/>
    <w:rsid w:val="00FD79C8"/>
    <w:rsid w:val="00FD7E16"/>
    <w:rsid w:val="00FE0809"/>
    <w:rsid w:val="00FE08FF"/>
    <w:rsid w:val="00FE0A4D"/>
    <w:rsid w:val="00FE0B38"/>
    <w:rsid w:val="00FE132B"/>
    <w:rsid w:val="00FE1566"/>
    <w:rsid w:val="00FE19B3"/>
    <w:rsid w:val="00FE1D15"/>
    <w:rsid w:val="00FE2BD3"/>
    <w:rsid w:val="00FE2E5A"/>
    <w:rsid w:val="00FE3956"/>
    <w:rsid w:val="00FE3BD2"/>
    <w:rsid w:val="00FE3C11"/>
    <w:rsid w:val="00FE3F89"/>
    <w:rsid w:val="00FE43ED"/>
    <w:rsid w:val="00FE47FC"/>
    <w:rsid w:val="00FE48BC"/>
    <w:rsid w:val="00FE493F"/>
    <w:rsid w:val="00FE4B68"/>
    <w:rsid w:val="00FE4BDA"/>
    <w:rsid w:val="00FE5213"/>
    <w:rsid w:val="00FE549C"/>
    <w:rsid w:val="00FE56E0"/>
    <w:rsid w:val="00FE5C65"/>
    <w:rsid w:val="00FE5ED2"/>
    <w:rsid w:val="00FE623E"/>
    <w:rsid w:val="00FE647D"/>
    <w:rsid w:val="00FE6BB5"/>
    <w:rsid w:val="00FE7406"/>
    <w:rsid w:val="00FE74A9"/>
    <w:rsid w:val="00FE76A7"/>
    <w:rsid w:val="00FE79C2"/>
    <w:rsid w:val="00FF0145"/>
    <w:rsid w:val="00FF02D2"/>
    <w:rsid w:val="00FF0A70"/>
    <w:rsid w:val="00FF0CFF"/>
    <w:rsid w:val="00FF10A1"/>
    <w:rsid w:val="00FF1444"/>
    <w:rsid w:val="00FF1A19"/>
    <w:rsid w:val="00FF1B93"/>
    <w:rsid w:val="00FF1F5C"/>
    <w:rsid w:val="00FF22D6"/>
    <w:rsid w:val="00FF23DD"/>
    <w:rsid w:val="00FF25A8"/>
    <w:rsid w:val="00FF2AA1"/>
    <w:rsid w:val="00FF2AF4"/>
    <w:rsid w:val="00FF2F1F"/>
    <w:rsid w:val="00FF3016"/>
    <w:rsid w:val="00FF33B2"/>
    <w:rsid w:val="00FF3710"/>
    <w:rsid w:val="00FF3951"/>
    <w:rsid w:val="00FF3BC6"/>
    <w:rsid w:val="00FF3BEA"/>
    <w:rsid w:val="00FF3CA1"/>
    <w:rsid w:val="00FF3EBB"/>
    <w:rsid w:val="00FF3F1A"/>
    <w:rsid w:val="00FF4829"/>
    <w:rsid w:val="00FF4A8A"/>
    <w:rsid w:val="00FF4D96"/>
    <w:rsid w:val="00FF524A"/>
    <w:rsid w:val="00FF55D2"/>
    <w:rsid w:val="00FF55F6"/>
    <w:rsid w:val="00FF58A8"/>
    <w:rsid w:val="00FF59BB"/>
    <w:rsid w:val="00FF5B6C"/>
    <w:rsid w:val="00FF5EC9"/>
    <w:rsid w:val="00FF6009"/>
    <w:rsid w:val="00FF658D"/>
    <w:rsid w:val="00FF6A8D"/>
    <w:rsid w:val="00FF73C0"/>
    <w:rsid w:val="00FF7482"/>
    <w:rsid w:val="00FF74AE"/>
    <w:rsid w:val="00FF7C29"/>
    <w:rsid w:val="00FF7E26"/>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3F00A2A"/>
  <w15:docId w15:val="{07D1B58C-EB59-4162-946C-CB49B2C77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A69B3"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qFormat="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iPriority="2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89F"/>
    <w:pPr>
      <w:spacing w:after="240"/>
    </w:pPr>
    <w:rPr>
      <w:rFonts w:ascii="Calibri Light" w:hAnsi="Calibri Light"/>
      <w:color w:val="323536" w:themeColor="background2" w:themeShade="40"/>
      <w:spacing w:val="20"/>
      <w:szCs w:val="19"/>
      <w:lang w:val="en-GB"/>
    </w:rPr>
  </w:style>
  <w:style w:type="paragraph" w:styleId="Heading1">
    <w:name w:val="heading 1"/>
    <w:basedOn w:val="Normal"/>
    <w:next w:val="Normal"/>
    <w:link w:val="Heading1Char"/>
    <w:uiPriority w:val="9"/>
    <w:qFormat/>
    <w:rsid w:val="009F4CDA"/>
    <w:pPr>
      <w:pageBreakBefore/>
      <w:numPr>
        <w:numId w:val="10"/>
      </w:numPr>
      <w:spacing w:before="480" w:line="240" w:lineRule="auto"/>
      <w:outlineLvl w:val="0"/>
    </w:pPr>
    <w:rPr>
      <w:rFonts w:ascii="Montserrat" w:hAnsi="Montserrat"/>
      <w:b/>
      <w:caps/>
      <w:color w:val="1C2B39" w:themeColor="accent1"/>
      <w:sz w:val="40"/>
    </w:rPr>
  </w:style>
  <w:style w:type="paragraph" w:styleId="Heading2">
    <w:name w:val="heading 2"/>
    <w:next w:val="Normal"/>
    <w:link w:val="Heading2Char"/>
    <w:uiPriority w:val="9"/>
    <w:unhideWhenUsed/>
    <w:qFormat/>
    <w:rsid w:val="005631B4"/>
    <w:pPr>
      <w:keepNext/>
      <w:keepLines/>
      <w:spacing w:before="360" w:after="240" w:line="240" w:lineRule="auto"/>
      <w:ind w:left="567" w:hanging="567"/>
      <w:outlineLvl w:val="1"/>
    </w:pPr>
    <w:rPr>
      <w:rFonts w:ascii="Montserrat" w:eastAsiaTheme="majorEastAsia" w:hAnsi="Montserrat" w:cstheme="majorBidi"/>
      <w:b/>
      <w:caps/>
      <w:color w:val="8E734A" w:themeColor="accent2"/>
      <w:kern w:val="20"/>
      <w:sz w:val="36"/>
      <w:lang w:val="en-AU"/>
      <w14:ligatures w14:val="standardContextual"/>
    </w:rPr>
  </w:style>
  <w:style w:type="paragraph" w:styleId="Heading3">
    <w:name w:val="heading 3"/>
    <w:next w:val="Normal"/>
    <w:link w:val="Heading3Char"/>
    <w:uiPriority w:val="9"/>
    <w:unhideWhenUsed/>
    <w:qFormat/>
    <w:rsid w:val="00BB1E49"/>
    <w:pPr>
      <w:keepNext/>
      <w:keepLines/>
      <w:spacing w:before="240" w:after="120"/>
      <w:outlineLvl w:val="2"/>
    </w:pPr>
    <w:rPr>
      <w:rFonts w:ascii="Montserrat" w:eastAsiaTheme="majorEastAsia" w:hAnsi="Montserrat" w:cstheme="majorBidi"/>
      <w:b/>
      <w:bCs/>
      <w:color w:val="1C2B39" w:themeColor="accent1"/>
      <w:kern w:val="20"/>
      <w:sz w:val="28"/>
      <w14:ligatures w14:val="standardContextual"/>
    </w:rPr>
  </w:style>
  <w:style w:type="paragraph" w:styleId="Heading4">
    <w:name w:val="heading 4"/>
    <w:next w:val="Normal"/>
    <w:link w:val="Heading4Char"/>
    <w:uiPriority w:val="9"/>
    <w:unhideWhenUsed/>
    <w:qFormat/>
    <w:rsid w:val="00BB1E49"/>
    <w:pPr>
      <w:keepNext/>
      <w:keepLines/>
      <w:spacing w:before="200" w:after="0"/>
      <w:outlineLvl w:val="3"/>
    </w:pPr>
    <w:rPr>
      <w:rFonts w:ascii="Montserrat" w:eastAsiaTheme="majorEastAsia" w:hAnsi="Montserrat" w:cstheme="majorBidi"/>
      <w:b/>
      <w:bCs/>
      <w:iCs/>
      <w:color w:val="4A4848" w:themeColor="text2"/>
      <w:spacing w:val="20"/>
      <w:kern w:val="20"/>
    </w:rPr>
  </w:style>
  <w:style w:type="paragraph" w:styleId="Heading5">
    <w:name w:val="heading 5"/>
    <w:basedOn w:val="Normal"/>
    <w:next w:val="Normal"/>
    <w:link w:val="Heading5Char"/>
    <w:uiPriority w:val="9"/>
    <w:unhideWhenUsed/>
    <w:qFormat/>
    <w:rsid w:val="00825320"/>
    <w:pPr>
      <w:keepNext/>
      <w:keepLines/>
      <w:spacing w:before="120" w:after="120" w:line="240" w:lineRule="auto"/>
      <w:outlineLvl w:val="4"/>
    </w:pPr>
    <w:rPr>
      <w:rFonts w:ascii="Montserrat Light" w:eastAsiaTheme="majorEastAsia" w:hAnsi="Montserrat Light" w:cstheme="majorBidi"/>
      <w:i/>
      <w:color w:val="4A4848" w:themeColor="text2"/>
      <w:spacing w:val="22"/>
    </w:rPr>
  </w:style>
  <w:style w:type="paragraph" w:styleId="Heading6">
    <w:name w:val="heading 6"/>
    <w:basedOn w:val="Normal"/>
    <w:next w:val="Normal"/>
    <w:link w:val="Heading6Char"/>
    <w:uiPriority w:val="9"/>
    <w:unhideWhenUsed/>
    <w:qFormat/>
    <w:rsid w:val="00C5311A"/>
    <w:pPr>
      <w:keepNext/>
      <w:keepLines/>
      <w:spacing w:before="200" w:after="0"/>
      <w:outlineLvl w:val="5"/>
    </w:pPr>
    <w:rPr>
      <w:rFonts w:ascii="Montserrat Light" w:eastAsiaTheme="majorEastAsia" w:hAnsi="Montserrat Light" w:cstheme="majorBidi"/>
      <w:iCs/>
      <w:color w:val="4A4848" w:themeColor="text2"/>
      <w:spacing w:val="22"/>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084E85" w:themeColor="text1" w:themeTint="BF"/>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084E85" w:themeColor="text1" w:themeTint="BF"/>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084E85"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5480AB" w:themeColor="accent1" w:themeTint="99"/>
        <w:left w:val="single" w:sz="4" w:space="20" w:color="262626" w:themeColor="background1"/>
        <w:right w:val="single" w:sz="2" w:space="20" w:color="262626"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9"/>
    <w:rsid w:val="009F4CDA"/>
    <w:rPr>
      <w:rFonts w:ascii="Montserrat" w:hAnsi="Montserrat"/>
      <w:b/>
      <w:caps/>
      <w:color w:val="1C2B39" w:themeColor="accent1"/>
      <w:spacing w:val="20"/>
      <w:sz w:val="40"/>
      <w:szCs w:val="19"/>
      <w:lang w:val="en-GB"/>
    </w:rPr>
  </w:style>
  <w:style w:type="character" w:customStyle="1" w:styleId="Heading2Char">
    <w:name w:val="Heading 2 Char"/>
    <w:basedOn w:val="DefaultParagraphFont"/>
    <w:link w:val="Heading2"/>
    <w:uiPriority w:val="9"/>
    <w:rsid w:val="005631B4"/>
    <w:rPr>
      <w:rFonts w:ascii="Montserrat" w:eastAsiaTheme="majorEastAsia" w:hAnsi="Montserrat" w:cstheme="majorBidi"/>
      <w:b/>
      <w:caps/>
      <w:color w:val="8E734A" w:themeColor="accent2"/>
      <w:kern w:val="20"/>
      <w:sz w:val="36"/>
      <w:lang w:val="en-AU"/>
      <w14:ligatures w14:val="standardContextual"/>
    </w:rPr>
  </w:style>
  <w:style w:type="character" w:styleId="PlaceholderText">
    <w:name w:val="Placeholder Text"/>
    <w:basedOn w:val="DefaultParagraphFont"/>
    <w:uiPriority w:val="99"/>
    <w:semiHidden/>
    <w:rPr>
      <w:color w:val="808080"/>
    </w:rPr>
  </w:style>
  <w:style w:type="paragraph" w:styleId="Quote">
    <w:name w:val="Quote"/>
    <w:next w:val="Normal"/>
    <w:link w:val="QuoteChar"/>
    <w:uiPriority w:val="29"/>
    <w:unhideWhenUsed/>
    <w:qFormat/>
    <w:rsid w:val="0023054B"/>
    <w:pPr>
      <w:spacing w:before="240" w:after="240"/>
      <w:ind w:left="720" w:right="720"/>
    </w:pPr>
    <w:rPr>
      <w:rFonts w:ascii="Montserrat Ultra Light" w:hAnsi="Montserrat Ultra Light" w:cstheme="majorHAnsi"/>
      <w:i/>
      <w:iCs/>
      <w:noProof/>
      <w:color w:val="323536" w:themeColor="background2" w:themeShade="40"/>
      <w:kern w:val="20"/>
      <w:sz w:val="24"/>
      <w:szCs w:val="24"/>
    </w:rPr>
  </w:style>
  <w:style w:type="character" w:customStyle="1" w:styleId="QuoteChar">
    <w:name w:val="Quote Char"/>
    <w:basedOn w:val="DefaultParagraphFont"/>
    <w:link w:val="Quote"/>
    <w:uiPriority w:val="29"/>
    <w:rsid w:val="0023054B"/>
    <w:rPr>
      <w:rFonts w:ascii="Montserrat Ultra Light" w:hAnsi="Montserrat Ultra Light" w:cstheme="majorHAnsi"/>
      <w:i/>
      <w:iCs/>
      <w:noProof/>
      <w:color w:val="323536" w:themeColor="background2" w:themeShade="40"/>
      <w:kern w:val="20"/>
      <w:sz w:val="24"/>
      <w:szCs w:val="24"/>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1C2B39" w:themeColor="accent1" w:frame="1"/>
        <w:left w:val="single" w:sz="2" w:space="10" w:color="1C2B39" w:themeColor="accent1" w:frame="1"/>
        <w:bottom w:val="single" w:sz="2" w:space="10" w:color="1C2B39" w:themeColor="accent1" w:frame="1"/>
        <w:right w:val="single" w:sz="2" w:space="10" w:color="1C2B39" w:themeColor="accent1" w:frame="1"/>
      </w:pBdr>
      <w:ind w:left="1152" w:right="1152"/>
    </w:pPr>
    <w:rPr>
      <w:i/>
      <w:iCs/>
      <w:color w:val="1C2B39" w:themeColor="accent1"/>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unhideWhenUsed/>
    <w:qFormat/>
    <w:rPr>
      <w:b/>
      <w:bCs/>
      <w:smallCaps/>
      <w:spacing w:val="5"/>
    </w:rPr>
  </w:style>
  <w:style w:type="paragraph" w:styleId="Caption">
    <w:name w:val="caption"/>
    <w:basedOn w:val="Normal"/>
    <w:next w:val="Normal"/>
    <w:uiPriority w:val="35"/>
    <w:unhideWhenUsed/>
    <w:qFormat/>
    <w:pPr>
      <w:spacing w:line="240" w:lineRule="auto"/>
    </w:pPr>
    <w:rPr>
      <w:b/>
      <w:bCs/>
      <w:color w:val="1C2B39"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A1D3F9" w:themeFill="text1" w:themeFillTint="33"/>
    </w:tcPr>
    <w:tblStylePr w:type="firstRow">
      <w:rPr>
        <w:b/>
        <w:bCs/>
      </w:rPr>
      <w:tblPr/>
      <w:tcPr>
        <w:shd w:val="clear" w:color="auto" w:fill="44A7F4" w:themeFill="text1" w:themeFillTint="66"/>
      </w:tcPr>
    </w:tblStylePr>
    <w:tblStylePr w:type="lastRow">
      <w:rPr>
        <w:b/>
        <w:bCs/>
        <w:color w:val="010A11" w:themeColor="text1"/>
      </w:rPr>
      <w:tblPr/>
      <w:tcPr>
        <w:shd w:val="clear" w:color="auto" w:fill="44A7F4" w:themeFill="text1" w:themeFillTint="66"/>
      </w:tcPr>
    </w:tblStylePr>
    <w:tblStylePr w:type="firstCol">
      <w:rPr>
        <w:color w:val="262626" w:themeColor="background1"/>
      </w:rPr>
      <w:tblPr/>
      <w:tcPr>
        <w:shd w:val="clear" w:color="auto" w:fill="00070C" w:themeFill="text1" w:themeFillShade="BF"/>
      </w:tcPr>
    </w:tblStylePr>
    <w:tblStylePr w:type="lastCol">
      <w:rPr>
        <w:color w:val="262626" w:themeColor="background1"/>
      </w:rPr>
      <w:tblPr/>
      <w:tcPr>
        <w:shd w:val="clear" w:color="auto" w:fill="00070C" w:themeFill="text1" w:themeFillShade="BF"/>
      </w:tcPr>
    </w:tblStylePr>
    <w:tblStylePr w:type="band1Vert">
      <w:tblPr/>
      <w:tcPr>
        <w:shd w:val="clear" w:color="auto" w:fill="1791F1" w:themeFill="text1" w:themeFillTint="7F"/>
      </w:tcPr>
    </w:tblStylePr>
    <w:tblStylePr w:type="band1Horz">
      <w:tblPr/>
      <w:tcPr>
        <w:shd w:val="clear" w:color="auto" w:fill="1791F1" w:themeFill="text1" w:themeFillTint="7F"/>
      </w:tcPr>
    </w:tblStylePr>
  </w:style>
  <w:style w:type="table" w:styleId="ColorfulGrid-Accent1">
    <w:name w:val="Colorful Grid Accent 1"/>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C6D4E3" w:themeFill="accent1" w:themeFillTint="33"/>
    </w:tcPr>
    <w:tblStylePr w:type="firstRow">
      <w:rPr>
        <w:b/>
        <w:bCs/>
      </w:rPr>
      <w:tblPr/>
      <w:tcPr>
        <w:shd w:val="clear" w:color="auto" w:fill="8DAAC7" w:themeFill="accent1" w:themeFillTint="66"/>
      </w:tcPr>
    </w:tblStylePr>
    <w:tblStylePr w:type="lastRow">
      <w:rPr>
        <w:b/>
        <w:bCs/>
        <w:color w:val="010A11" w:themeColor="text1"/>
      </w:rPr>
      <w:tblPr/>
      <w:tcPr>
        <w:shd w:val="clear" w:color="auto" w:fill="8DAAC7" w:themeFill="accent1" w:themeFillTint="66"/>
      </w:tcPr>
    </w:tblStylePr>
    <w:tblStylePr w:type="firstCol">
      <w:rPr>
        <w:color w:val="262626" w:themeColor="background1"/>
      </w:rPr>
      <w:tblPr/>
      <w:tcPr>
        <w:shd w:val="clear" w:color="auto" w:fill="15202A" w:themeFill="accent1" w:themeFillShade="BF"/>
      </w:tcPr>
    </w:tblStylePr>
    <w:tblStylePr w:type="lastCol">
      <w:rPr>
        <w:color w:val="262626" w:themeColor="background1"/>
      </w:rPr>
      <w:tblPr/>
      <w:tcPr>
        <w:shd w:val="clear" w:color="auto" w:fill="15202A" w:themeFill="accent1" w:themeFillShade="BF"/>
      </w:tcPr>
    </w:tblStylePr>
    <w:tblStylePr w:type="band1Vert">
      <w:tblPr/>
      <w:tcPr>
        <w:shd w:val="clear" w:color="auto" w:fill="7196B9" w:themeFill="accent1" w:themeFillTint="7F"/>
      </w:tcPr>
    </w:tblStylePr>
    <w:tblStylePr w:type="band1Horz">
      <w:tblPr/>
      <w:tcPr>
        <w:shd w:val="clear" w:color="auto" w:fill="7196B9" w:themeFill="accent1" w:themeFillTint="7F"/>
      </w:tcPr>
    </w:tblStylePr>
  </w:style>
  <w:style w:type="table" w:styleId="ColorfulGrid-Accent2">
    <w:name w:val="Colorful Grid Accent 2"/>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EAE3D8" w:themeFill="accent2" w:themeFillTint="33"/>
    </w:tcPr>
    <w:tblStylePr w:type="firstRow">
      <w:rPr>
        <w:b/>
        <w:bCs/>
      </w:rPr>
      <w:tblPr/>
      <w:tcPr>
        <w:shd w:val="clear" w:color="auto" w:fill="D6C7B1" w:themeFill="accent2" w:themeFillTint="66"/>
      </w:tcPr>
    </w:tblStylePr>
    <w:tblStylePr w:type="lastRow">
      <w:rPr>
        <w:b/>
        <w:bCs/>
        <w:color w:val="010A11" w:themeColor="text1"/>
      </w:rPr>
      <w:tblPr/>
      <w:tcPr>
        <w:shd w:val="clear" w:color="auto" w:fill="D6C7B1" w:themeFill="accent2" w:themeFillTint="66"/>
      </w:tcPr>
    </w:tblStylePr>
    <w:tblStylePr w:type="firstCol">
      <w:rPr>
        <w:color w:val="262626" w:themeColor="background1"/>
      </w:rPr>
      <w:tblPr/>
      <w:tcPr>
        <w:shd w:val="clear" w:color="auto" w:fill="6A5537" w:themeFill="accent2" w:themeFillShade="BF"/>
      </w:tcPr>
    </w:tblStylePr>
    <w:tblStylePr w:type="lastCol">
      <w:rPr>
        <w:color w:val="262626" w:themeColor="background1"/>
      </w:rPr>
      <w:tblPr/>
      <w:tcPr>
        <w:shd w:val="clear" w:color="auto" w:fill="6A5537" w:themeFill="accent2" w:themeFillShade="BF"/>
      </w:tcPr>
    </w:tblStylePr>
    <w:tblStylePr w:type="band1Vert">
      <w:tblPr/>
      <w:tcPr>
        <w:shd w:val="clear" w:color="auto" w:fill="CCBA9E" w:themeFill="accent2" w:themeFillTint="7F"/>
      </w:tcPr>
    </w:tblStylePr>
    <w:tblStylePr w:type="band1Horz">
      <w:tblPr/>
      <w:tcPr>
        <w:shd w:val="clear" w:color="auto" w:fill="CCBA9E" w:themeFill="accent2" w:themeFillTint="7F"/>
      </w:tcPr>
    </w:tblStylePr>
  </w:style>
  <w:style w:type="table" w:styleId="ColorfulGrid-Accent3">
    <w:name w:val="Colorful Grid Accent 3"/>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B5F8FC" w:themeFill="accent3" w:themeFillTint="33"/>
    </w:tcPr>
    <w:tblStylePr w:type="firstRow">
      <w:rPr>
        <w:b/>
        <w:bCs/>
      </w:rPr>
      <w:tblPr/>
      <w:tcPr>
        <w:shd w:val="clear" w:color="auto" w:fill="6BF2F9" w:themeFill="accent3" w:themeFillTint="66"/>
      </w:tcPr>
    </w:tblStylePr>
    <w:tblStylePr w:type="lastRow">
      <w:rPr>
        <w:b/>
        <w:bCs/>
        <w:color w:val="010A11" w:themeColor="text1"/>
      </w:rPr>
      <w:tblPr/>
      <w:tcPr>
        <w:shd w:val="clear" w:color="auto" w:fill="6BF2F9" w:themeFill="accent3" w:themeFillTint="66"/>
      </w:tcPr>
    </w:tblStylePr>
    <w:tblStylePr w:type="firstCol">
      <w:rPr>
        <w:color w:val="262626" w:themeColor="background1"/>
      </w:rPr>
      <w:tblPr/>
      <w:tcPr>
        <w:shd w:val="clear" w:color="auto" w:fill="03565A" w:themeFill="accent3" w:themeFillShade="BF"/>
      </w:tcPr>
    </w:tblStylePr>
    <w:tblStylePr w:type="lastCol">
      <w:rPr>
        <w:color w:val="262626" w:themeColor="background1"/>
      </w:rPr>
      <w:tblPr/>
      <w:tcPr>
        <w:shd w:val="clear" w:color="auto" w:fill="03565A" w:themeFill="accent3" w:themeFillShade="BF"/>
      </w:tcPr>
    </w:tblStylePr>
    <w:tblStylePr w:type="band1Vert">
      <w:tblPr/>
      <w:tcPr>
        <w:shd w:val="clear" w:color="auto" w:fill="47EFF7" w:themeFill="accent3" w:themeFillTint="7F"/>
      </w:tcPr>
    </w:tblStylePr>
    <w:tblStylePr w:type="band1Horz">
      <w:tblPr/>
      <w:tcPr>
        <w:shd w:val="clear" w:color="auto" w:fill="47EFF7" w:themeFill="accent3" w:themeFillTint="7F"/>
      </w:tcPr>
    </w:tblStylePr>
  </w:style>
  <w:style w:type="table" w:styleId="ColorfulGrid-Accent4">
    <w:name w:val="Colorful Grid Accent 4"/>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E4CCDF" w:themeFill="accent4" w:themeFillTint="33"/>
    </w:tcPr>
    <w:tblStylePr w:type="firstRow">
      <w:rPr>
        <w:b/>
        <w:bCs/>
      </w:rPr>
      <w:tblPr/>
      <w:tcPr>
        <w:shd w:val="clear" w:color="auto" w:fill="CA99C0" w:themeFill="accent4" w:themeFillTint="66"/>
      </w:tcPr>
    </w:tblStylePr>
    <w:tblStylePr w:type="lastRow">
      <w:rPr>
        <w:b/>
        <w:bCs/>
        <w:color w:val="010A11" w:themeColor="text1"/>
      </w:rPr>
      <w:tblPr/>
      <w:tcPr>
        <w:shd w:val="clear" w:color="auto" w:fill="CA99C0" w:themeFill="accent4" w:themeFillTint="66"/>
      </w:tcPr>
    </w:tblStylePr>
    <w:tblStylePr w:type="firstCol">
      <w:rPr>
        <w:color w:val="262626" w:themeColor="background1"/>
      </w:rPr>
      <w:tblPr/>
      <w:tcPr>
        <w:shd w:val="clear" w:color="auto" w:fill="3D2037" w:themeFill="accent4" w:themeFillShade="BF"/>
      </w:tcPr>
    </w:tblStylePr>
    <w:tblStylePr w:type="lastCol">
      <w:rPr>
        <w:color w:val="262626" w:themeColor="background1"/>
      </w:rPr>
      <w:tblPr/>
      <w:tcPr>
        <w:shd w:val="clear" w:color="auto" w:fill="3D2037" w:themeFill="accent4" w:themeFillShade="BF"/>
      </w:tcPr>
    </w:tblStylePr>
    <w:tblStylePr w:type="band1Vert">
      <w:tblPr/>
      <w:tcPr>
        <w:shd w:val="clear" w:color="auto" w:fill="BD81B0" w:themeFill="accent4" w:themeFillTint="7F"/>
      </w:tcPr>
    </w:tblStylePr>
    <w:tblStylePr w:type="band1Horz">
      <w:tblPr/>
      <w:tcPr>
        <w:shd w:val="clear" w:color="auto" w:fill="BD81B0" w:themeFill="accent4" w:themeFillTint="7F"/>
      </w:tcPr>
    </w:tblStylePr>
  </w:style>
  <w:style w:type="table" w:styleId="ColorfulGrid-Accent5">
    <w:name w:val="Colorful Grid Accent 5"/>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F3CAD0" w:themeFill="accent5" w:themeFillTint="33"/>
    </w:tcPr>
    <w:tblStylePr w:type="firstRow">
      <w:rPr>
        <w:b/>
        <w:bCs/>
      </w:rPr>
      <w:tblPr/>
      <w:tcPr>
        <w:shd w:val="clear" w:color="auto" w:fill="E896A1" w:themeFill="accent5" w:themeFillTint="66"/>
      </w:tcPr>
    </w:tblStylePr>
    <w:tblStylePr w:type="lastRow">
      <w:rPr>
        <w:b/>
        <w:bCs/>
        <w:color w:val="010A11" w:themeColor="text1"/>
      </w:rPr>
      <w:tblPr/>
      <w:tcPr>
        <w:shd w:val="clear" w:color="auto" w:fill="E896A1" w:themeFill="accent5" w:themeFillTint="66"/>
      </w:tcPr>
    </w:tblStylePr>
    <w:tblStylePr w:type="firstCol">
      <w:rPr>
        <w:color w:val="262626" w:themeColor="background1"/>
      </w:rPr>
      <w:tblPr/>
      <w:tcPr>
        <w:shd w:val="clear" w:color="auto" w:fill="761925" w:themeFill="accent5" w:themeFillShade="BF"/>
      </w:tcPr>
    </w:tblStylePr>
    <w:tblStylePr w:type="lastCol">
      <w:rPr>
        <w:color w:val="262626" w:themeColor="background1"/>
      </w:rPr>
      <w:tblPr/>
      <w:tcPr>
        <w:shd w:val="clear" w:color="auto" w:fill="761925" w:themeFill="accent5" w:themeFillShade="BF"/>
      </w:tcPr>
    </w:tblStylePr>
    <w:tblStylePr w:type="band1Vert">
      <w:tblPr/>
      <w:tcPr>
        <w:shd w:val="clear" w:color="auto" w:fill="E37C8A" w:themeFill="accent5" w:themeFillTint="7F"/>
      </w:tcPr>
    </w:tblStylePr>
    <w:tblStylePr w:type="band1Horz">
      <w:tblPr/>
      <w:tcPr>
        <w:shd w:val="clear" w:color="auto" w:fill="E37C8A" w:themeFill="accent5" w:themeFillTint="7F"/>
      </w:tcPr>
    </w:tblStylePr>
  </w:style>
  <w:style w:type="table" w:styleId="ColorfulGrid-Accent6">
    <w:name w:val="Colorful Grid Accent 6"/>
    <w:basedOn w:val="TableNormal"/>
    <w:uiPriority w:val="73"/>
    <w:pPr>
      <w:spacing w:after="0" w:line="240" w:lineRule="auto"/>
    </w:pPr>
    <w:rPr>
      <w:color w:val="010A11" w:themeColor="text1"/>
    </w:rPr>
    <w:tblPr>
      <w:tblStyleRowBandSize w:val="1"/>
      <w:tblStyleColBandSize w:val="1"/>
      <w:tblBorders>
        <w:insideH w:val="single" w:sz="4" w:space="0" w:color="262626"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010A11" w:themeColor="text1"/>
      </w:rPr>
      <w:tblPr/>
      <w:tcPr>
        <w:shd w:val="clear" w:color="auto" w:fill="FFE599" w:themeFill="accent6" w:themeFillTint="66"/>
      </w:tcPr>
    </w:tblStylePr>
    <w:tblStylePr w:type="firstCol">
      <w:rPr>
        <w:color w:val="262626" w:themeColor="background1"/>
      </w:rPr>
      <w:tblPr/>
      <w:tcPr>
        <w:shd w:val="clear" w:color="auto" w:fill="BF8F00" w:themeFill="accent6" w:themeFillShade="BF"/>
      </w:tcPr>
    </w:tblStylePr>
    <w:tblStylePr w:type="lastCol">
      <w:rPr>
        <w:color w:val="262626"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pPr>
      <w:spacing w:after="0" w:line="240" w:lineRule="auto"/>
    </w:pPr>
    <w:rPr>
      <w:color w:val="010A11" w:themeColor="text1"/>
    </w:rPr>
    <w:tblPr>
      <w:tblStyleRowBandSize w:val="1"/>
      <w:tblStyleColBandSize w:val="1"/>
    </w:tblPr>
    <w:tcPr>
      <w:shd w:val="clear" w:color="auto" w:fill="D1E9FC" w:themeFill="text1" w:themeFillTint="19"/>
    </w:tcPr>
    <w:tblStylePr w:type="firstRow">
      <w:rPr>
        <w:b/>
        <w:bCs/>
        <w:color w:val="262626" w:themeColor="background1"/>
      </w:rPr>
      <w:tblPr/>
      <w:tcPr>
        <w:tcBorders>
          <w:bottom w:val="single" w:sz="12" w:space="0" w:color="262626" w:themeColor="background1"/>
        </w:tcBorders>
        <w:shd w:val="clear" w:color="auto" w:fill="715B3B" w:themeFill="accent2" w:themeFillShade="CC"/>
      </w:tcPr>
    </w:tblStylePr>
    <w:tblStylePr w:type="lastRow">
      <w:rPr>
        <w:b/>
        <w:bCs/>
        <w:color w:val="715B3B" w:themeColor="accent2"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CC8F8" w:themeFill="text1" w:themeFillTint="3F"/>
      </w:tcPr>
    </w:tblStylePr>
    <w:tblStylePr w:type="band1Horz">
      <w:tblPr/>
      <w:tcPr>
        <w:shd w:val="clear" w:color="auto" w:fill="A1D3F9" w:themeFill="text1" w:themeFillTint="33"/>
      </w:tcPr>
    </w:tblStylePr>
  </w:style>
  <w:style w:type="table" w:styleId="ColorfulList-Accent1">
    <w:name w:val="Colorful List Accent 1"/>
    <w:basedOn w:val="TableNormal"/>
    <w:uiPriority w:val="72"/>
    <w:pPr>
      <w:spacing w:after="0" w:line="240" w:lineRule="auto"/>
    </w:pPr>
    <w:rPr>
      <w:color w:val="010A11" w:themeColor="text1"/>
    </w:rPr>
    <w:tblPr>
      <w:tblStyleRowBandSize w:val="1"/>
      <w:tblStyleColBandSize w:val="1"/>
    </w:tblPr>
    <w:tcPr>
      <w:shd w:val="clear" w:color="auto" w:fill="E3EAF1" w:themeFill="accent1" w:themeFillTint="19"/>
    </w:tcPr>
    <w:tblStylePr w:type="firstRow">
      <w:rPr>
        <w:b/>
        <w:bCs/>
        <w:color w:val="262626" w:themeColor="background1"/>
      </w:rPr>
      <w:tblPr/>
      <w:tcPr>
        <w:tcBorders>
          <w:bottom w:val="single" w:sz="12" w:space="0" w:color="262626" w:themeColor="background1"/>
        </w:tcBorders>
        <w:shd w:val="clear" w:color="auto" w:fill="715B3B" w:themeFill="accent2" w:themeFillShade="CC"/>
      </w:tcPr>
    </w:tblStylePr>
    <w:tblStylePr w:type="lastRow">
      <w:rPr>
        <w:b/>
        <w:bCs/>
        <w:color w:val="715B3B" w:themeColor="accent2"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CADC" w:themeFill="accent1" w:themeFillTint="3F"/>
      </w:tcPr>
    </w:tblStylePr>
    <w:tblStylePr w:type="band1Horz">
      <w:tblPr/>
      <w:tcPr>
        <w:shd w:val="clear" w:color="auto" w:fill="C6D4E3" w:themeFill="accent1" w:themeFillTint="33"/>
      </w:tcPr>
    </w:tblStylePr>
  </w:style>
  <w:style w:type="table" w:styleId="ColorfulList-Accent2">
    <w:name w:val="Colorful List Accent 2"/>
    <w:basedOn w:val="TableNormal"/>
    <w:uiPriority w:val="72"/>
    <w:pPr>
      <w:spacing w:after="0" w:line="240" w:lineRule="auto"/>
    </w:pPr>
    <w:rPr>
      <w:color w:val="010A11" w:themeColor="text1"/>
    </w:rPr>
    <w:tblPr>
      <w:tblStyleRowBandSize w:val="1"/>
      <w:tblStyleColBandSize w:val="1"/>
    </w:tblPr>
    <w:tcPr>
      <w:shd w:val="clear" w:color="auto" w:fill="F5F1EB" w:themeFill="accent2" w:themeFillTint="19"/>
    </w:tcPr>
    <w:tblStylePr w:type="firstRow">
      <w:rPr>
        <w:b/>
        <w:bCs/>
        <w:color w:val="262626" w:themeColor="background1"/>
      </w:rPr>
      <w:tblPr/>
      <w:tcPr>
        <w:tcBorders>
          <w:bottom w:val="single" w:sz="12" w:space="0" w:color="262626" w:themeColor="background1"/>
        </w:tcBorders>
        <w:shd w:val="clear" w:color="auto" w:fill="715B3B" w:themeFill="accent2" w:themeFillShade="CC"/>
      </w:tcPr>
    </w:tblStylePr>
    <w:tblStylePr w:type="lastRow">
      <w:rPr>
        <w:b/>
        <w:bCs/>
        <w:color w:val="715B3B" w:themeColor="accent2"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CCF" w:themeFill="accent2" w:themeFillTint="3F"/>
      </w:tcPr>
    </w:tblStylePr>
    <w:tblStylePr w:type="band1Horz">
      <w:tblPr/>
      <w:tcPr>
        <w:shd w:val="clear" w:color="auto" w:fill="EAE3D8" w:themeFill="accent2" w:themeFillTint="33"/>
      </w:tcPr>
    </w:tblStylePr>
  </w:style>
  <w:style w:type="table" w:styleId="ColorfulList-Accent3">
    <w:name w:val="Colorful List Accent 3"/>
    <w:basedOn w:val="TableNormal"/>
    <w:uiPriority w:val="72"/>
    <w:pPr>
      <w:spacing w:after="0" w:line="240" w:lineRule="auto"/>
    </w:pPr>
    <w:rPr>
      <w:color w:val="010A11" w:themeColor="text1"/>
    </w:rPr>
    <w:tblPr>
      <w:tblStyleRowBandSize w:val="1"/>
      <w:tblStyleColBandSize w:val="1"/>
    </w:tblPr>
    <w:tcPr>
      <w:shd w:val="clear" w:color="auto" w:fill="DAFCFD" w:themeFill="accent3" w:themeFillTint="19"/>
    </w:tcPr>
    <w:tblStylePr w:type="firstRow">
      <w:rPr>
        <w:b/>
        <w:bCs/>
        <w:color w:val="262626" w:themeColor="background1"/>
      </w:rPr>
      <w:tblPr/>
      <w:tcPr>
        <w:tcBorders>
          <w:bottom w:val="single" w:sz="12" w:space="0" w:color="262626" w:themeColor="background1"/>
        </w:tcBorders>
        <w:shd w:val="clear" w:color="auto" w:fill="41223B" w:themeFill="accent4" w:themeFillShade="CC"/>
      </w:tcPr>
    </w:tblStylePr>
    <w:tblStylePr w:type="lastRow">
      <w:rPr>
        <w:b/>
        <w:bCs/>
        <w:color w:val="41223B" w:themeColor="accent4"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F7FB" w:themeFill="accent3" w:themeFillTint="3F"/>
      </w:tcPr>
    </w:tblStylePr>
    <w:tblStylePr w:type="band1Horz">
      <w:tblPr/>
      <w:tcPr>
        <w:shd w:val="clear" w:color="auto" w:fill="B5F8FC" w:themeFill="accent3" w:themeFillTint="33"/>
      </w:tcPr>
    </w:tblStylePr>
  </w:style>
  <w:style w:type="table" w:styleId="ColorfulList-Accent4">
    <w:name w:val="Colorful List Accent 4"/>
    <w:basedOn w:val="TableNormal"/>
    <w:uiPriority w:val="72"/>
    <w:pPr>
      <w:spacing w:after="0" w:line="240" w:lineRule="auto"/>
    </w:pPr>
    <w:rPr>
      <w:color w:val="010A11" w:themeColor="text1"/>
    </w:rPr>
    <w:tblPr>
      <w:tblStyleRowBandSize w:val="1"/>
      <w:tblStyleColBandSize w:val="1"/>
    </w:tblPr>
    <w:tcPr>
      <w:shd w:val="clear" w:color="auto" w:fill="F2E6EF" w:themeFill="accent4" w:themeFillTint="19"/>
    </w:tcPr>
    <w:tblStylePr w:type="firstRow">
      <w:rPr>
        <w:b/>
        <w:bCs/>
        <w:color w:val="262626" w:themeColor="background1"/>
      </w:rPr>
      <w:tblPr/>
      <w:tcPr>
        <w:tcBorders>
          <w:bottom w:val="single" w:sz="12" w:space="0" w:color="262626" w:themeColor="background1"/>
        </w:tcBorders>
        <w:shd w:val="clear" w:color="auto" w:fill="045C60" w:themeFill="accent3" w:themeFillShade="CC"/>
      </w:tcPr>
    </w:tblStylePr>
    <w:tblStylePr w:type="lastRow">
      <w:rPr>
        <w:b/>
        <w:bCs/>
        <w:color w:val="045C60" w:themeColor="accent3"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C0D8" w:themeFill="accent4" w:themeFillTint="3F"/>
      </w:tcPr>
    </w:tblStylePr>
    <w:tblStylePr w:type="band1Horz">
      <w:tblPr/>
      <w:tcPr>
        <w:shd w:val="clear" w:color="auto" w:fill="E4CCDF" w:themeFill="accent4" w:themeFillTint="33"/>
      </w:tcPr>
    </w:tblStylePr>
  </w:style>
  <w:style w:type="table" w:styleId="ColorfulList-Accent5">
    <w:name w:val="Colorful List Accent 5"/>
    <w:basedOn w:val="TableNormal"/>
    <w:uiPriority w:val="72"/>
    <w:pPr>
      <w:spacing w:after="0" w:line="240" w:lineRule="auto"/>
    </w:pPr>
    <w:rPr>
      <w:color w:val="010A11" w:themeColor="text1"/>
    </w:rPr>
    <w:tblPr>
      <w:tblStyleRowBandSize w:val="1"/>
      <w:tblStyleColBandSize w:val="1"/>
    </w:tblPr>
    <w:tcPr>
      <w:shd w:val="clear" w:color="auto" w:fill="F9E5E7" w:themeFill="accent5" w:themeFillTint="19"/>
    </w:tcPr>
    <w:tblStylePr w:type="firstRow">
      <w:rPr>
        <w:b/>
        <w:bCs/>
        <w:color w:val="262626" w:themeColor="background1"/>
      </w:rPr>
      <w:tblPr/>
      <w:tcPr>
        <w:tcBorders>
          <w:bottom w:val="single" w:sz="12" w:space="0" w:color="262626"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BEC5" w:themeFill="accent5" w:themeFillTint="3F"/>
      </w:tcPr>
    </w:tblStylePr>
    <w:tblStylePr w:type="band1Horz">
      <w:tblPr/>
      <w:tcPr>
        <w:shd w:val="clear" w:color="auto" w:fill="F3CAD0" w:themeFill="accent5" w:themeFillTint="33"/>
      </w:tcPr>
    </w:tblStylePr>
  </w:style>
  <w:style w:type="table" w:styleId="ColorfulList-Accent6">
    <w:name w:val="Colorful List Accent 6"/>
    <w:basedOn w:val="TableNormal"/>
    <w:uiPriority w:val="72"/>
    <w:pPr>
      <w:spacing w:after="0" w:line="240" w:lineRule="auto"/>
    </w:pPr>
    <w:rPr>
      <w:color w:val="010A11" w:themeColor="text1"/>
    </w:rPr>
    <w:tblPr>
      <w:tblStyleRowBandSize w:val="1"/>
      <w:tblStyleColBandSize w:val="1"/>
    </w:tblPr>
    <w:tcPr>
      <w:shd w:val="clear" w:color="auto" w:fill="FFF8E6" w:themeFill="accent6" w:themeFillTint="19"/>
    </w:tcPr>
    <w:tblStylePr w:type="firstRow">
      <w:rPr>
        <w:b/>
        <w:bCs/>
        <w:color w:val="262626" w:themeColor="background1"/>
      </w:rPr>
      <w:tblPr/>
      <w:tcPr>
        <w:tcBorders>
          <w:bottom w:val="single" w:sz="12" w:space="0" w:color="262626" w:themeColor="background1"/>
        </w:tcBorders>
        <w:shd w:val="clear" w:color="auto" w:fill="7F1B28" w:themeFill="accent5" w:themeFillShade="CC"/>
      </w:tcPr>
    </w:tblStylePr>
    <w:tblStylePr w:type="lastRow">
      <w:rPr>
        <w:b/>
        <w:bCs/>
        <w:color w:val="7F1B28" w:themeColor="accent5" w:themeShade="CC"/>
      </w:rPr>
      <w:tblPr/>
      <w:tcPr>
        <w:tcBorders>
          <w:top w:val="single" w:sz="12" w:space="0" w:color="010A11" w:themeColor="text1"/>
        </w:tcBorders>
        <w:shd w:val="clear" w:color="auto" w:fill="262626"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pPr>
      <w:spacing w:after="0" w:line="240" w:lineRule="auto"/>
    </w:pPr>
    <w:rPr>
      <w:color w:val="010A11" w:themeColor="text1"/>
    </w:rPr>
    <w:tblPr>
      <w:tblStyleRowBandSize w:val="1"/>
      <w:tblStyleColBandSize w:val="1"/>
      <w:tblBorders>
        <w:top w:val="single" w:sz="24" w:space="0" w:color="8E734A" w:themeColor="accent2"/>
        <w:left w:val="single" w:sz="4" w:space="0" w:color="010A11" w:themeColor="text1"/>
        <w:bottom w:val="single" w:sz="4" w:space="0" w:color="010A11" w:themeColor="text1"/>
        <w:right w:val="single" w:sz="4" w:space="0" w:color="010A11" w:themeColor="text1"/>
        <w:insideH w:val="single" w:sz="4" w:space="0" w:color="262626" w:themeColor="background1"/>
        <w:insideV w:val="single" w:sz="4" w:space="0" w:color="262626" w:themeColor="background1"/>
      </w:tblBorders>
    </w:tblPr>
    <w:tcPr>
      <w:shd w:val="clear" w:color="auto" w:fill="D1E9FC" w:themeFill="text1" w:themeFillTint="19"/>
    </w:tcPr>
    <w:tblStylePr w:type="firstRow">
      <w:rPr>
        <w:b/>
        <w:bCs/>
      </w:rPr>
      <w:tblPr/>
      <w:tcPr>
        <w:tcBorders>
          <w:top w:val="nil"/>
          <w:left w:val="nil"/>
          <w:bottom w:val="single" w:sz="24" w:space="0" w:color="8E734A" w:themeColor="accent2"/>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00050A" w:themeFill="text1" w:themeFillShade="99"/>
      </w:tcPr>
    </w:tblStylePr>
    <w:tblStylePr w:type="firstCol">
      <w:rPr>
        <w:color w:val="262626" w:themeColor="background1"/>
      </w:rPr>
      <w:tblPr/>
      <w:tcPr>
        <w:tcBorders>
          <w:top w:val="nil"/>
          <w:left w:val="nil"/>
          <w:bottom w:val="nil"/>
          <w:right w:val="nil"/>
          <w:insideH w:val="single" w:sz="4" w:space="0" w:color="00050A" w:themeColor="text1" w:themeShade="99"/>
          <w:insideV w:val="nil"/>
        </w:tcBorders>
        <w:shd w:val="clear" w:color="auto" w:fill="00050A" w:themeFill="text1" w:themeFillShade="99"/>
      </w:tcPr>
    </w:tblStylePr>
    <w:tblStylePr w:type="lastCol">
      <w:rPr>
        <w:color w:val="262626" w:themeColor="background1"/>
      </w:rPr>
      <w:tblPr/>
      <w:tcPr>
        <w:tcBorders>
          <w:top w:val="nil"/>
          <w:left w:val="nil"/>
          <w:bottom w:val="nil"/>
          <w:right w:val="nil"/>
          <w:insideH w:val="nil"/>
          <w:insideV w:val="nil"/>
        </w:tcBorders>
        <w:shd w:val="clear" w:color="auto" w:fill="00070C" w:themeFill="text1" w:themeFillShade="BF"/>
      </w:tcPr>
    </w:tblStylePr>
    <w:tblStylePr w:type="band1Vert">
      <w:tblPr/>
      <w:tcPr>
        <w:shd w:val="clear" w:color="auto" w:fill="44A7F4" w:themeFill="text1" w:themeFillTint="66"/>
      </w:tcPr>
    </w:tblStylePr>
    <w:tblStylePr w:type="band1Horz">
      <w:tblPr/>
      <w:tcPr>
        <w:shd w:val="clear" w:color="auto" w:fill="1791F1" w:themeFill="text1" w:themeFillTint="7F"/>
      </w:tcPr>
    </w:tblStylePr>
    <w:tblStylePr w:type="neCell">
      <w:rPr>
        <w:color w:val="010A11" w:themeColor="text1"/>
      </w:rPr>
    </w:tblStylePr>
    <w:tblStylePr w:type="nwCell">
      <w:rPr>
        <w:color w:val="010A11" w:themeColor="text1"/>
      </w:rPr>
    </w:tblStylePr>
  </w:style>
  <w:style w:type="table" w:styleId="ColorfulShading-Accent1">
    <w:name w:val="Colorful Shading Accent 1"/>
    <w:basedOn w:val="TableNormal"/>
    <w:uiPriority w:val="71"/>
    <w:pPr>
      <w:spacing w:after="0" w:line="240" w:lineRule="auto"/>
    </w:pPr>
    <w:rPr>
      <w:color w:val="010A11" w:themeColor="text1"/>
    </w:rPr>
    <w:tblPr>
      <w:tblStyleRowBandSize w:val="1"/>
      <w:tblStyleColBandSize w:val="1"/>
      <w:tblBorders>
        <w:top w:val="single" w:sz="24" w:space="0" w:color="8E734A" w:themeColor="accent2"/>
        <w:left w:val="single" w:sz="4" w:space="0" w:color="1C2B39" w:themeColor="accent1"/>
        <w:bottom w:val="single" w:sz="4" w:space="0" w:color="1C2B39" w:themeColor="accent1"/>
        <w:right w:val="single" w:sz="4" w:space="0" w:color="1C2B39" w:themeColor="accent1"/>
        <w:insideH w:val="single" w:sz="4" w:space="0" w:color="262626" w:themeColor="background1"/>
        <w:insideV w:val="single" w:sz="4" w:space="0" w:color="262626" w:themeColor="background1"/>
      </w:tblBorders>
    </w:tblPr>
    <w:tcPr>
      <w:shd w:val="clear" w:color="auto" w:fill="E3EAF1" w:themeFill="accent1" w:themeFillTint="19"/>
    </w:tcPr>
    <w:tblStylePr w:type="firstRow">
      <w:rPr>
        <w:b/>
        <w:bCs/>
      </w:rPr>
      <w:tblPr/>
      <w:tcPr>
        <w:tcBorders>
          <w:top w:val="nil"/>
          <w:left w:val="nil"/>
          <w:bottom w:val="single" w:sz="24" w:space="0" w:color="8E734A" w:themeColor="accent2"/>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101922" w:themeFill="accent1" w:themeFillShade="99"/>
      </w:tcPr>
    </w:tblStylePr>
    <w:tblStylePr w:type="firstCol">
      <w:rPr>
        <w:color w:val="262626" w:themeColor="background1"/>
      </w:rPr>
      <w:tblPr/>
      <w:tcPr>
        <w:tcBorders>
          <w:top w:val="nil"/>
          <w:left w:val="nil"/>
          <w:bottom w:val="nil"/>
          <w:right w:val="nil"/>
          <w:insideH w:val="single" w:sz="4" w:space="0" w:color="101922" w:themeColor="accent1" w:themeShade="99"/>
          <w:insideV w:val="nil"/>
        </w:tcBorders>
        <w:shd w:val="clear" w:color="auto" w:fill="101922" w:themeFill="accent1" w:themeFillShade="99"/>
      </w:tcPr>
    </w:tblStylePr>
    <w:tblStylePr w:type="lastCol">
      <w:rPr>
        <w:color w:val="262626" w:themeColor="background1"/>
      </w:rPr>
      <w:tblPr/>
      <w:tcPr>
        <w:tcBorders>
          <w:top w:val="nil"/>
          <w:left w:val="nil"/>
          <w:bottom w:val="nil"/>
          <w:right w:val="nil"/>
          <w:insideH w:val="nil"/>
          <w:insideV w:val="nil"/>
        </w:tcBorders>
        <w:shd w:val="clear" w:color="auto" w:fill="101922" w:themeFill="accent1" w:themeFillShade="99"/>
      </w:tcPr>
    </w:tblStylePr>
    <w:tblStylePr w:type="band1Vert">
      <w:tblPr/>
      <w:tcPr>
        <w:shd w:val="clear" w:color="auto" w:fill="8DAAC7" w:themeFill="accent1" w:themeFillTint="66"/>
      </w:tcPr>
    </w:tblStylePr>
    <w:tblStylePr w:type="band1Horz">
      <w:tblPr/>
      <w:tcPr>
        <w:shd w:val="clear" w:color="auto" w:fill="7196B9" w:themeFill="accent1" w:themeFillTint="7F"/>
      </w:tcPr>
    </w:tblStylePr>
    <w:tblStylePr w:type="neCell">
      <w:rPr>
        <w:color w:val="010A11" w:themeColor="text1"/>
      </w:rPr>
    </w:tblStylePr>
    <w:tblStylePr w:type="nwCell">
      <w:rPr>
        <w:color w:val="010A11" w:themeColor="text1"/>
      </w:rPr>
    </w:tblStylePr>
  </w:style>
  <w:style w:type="table" w:styleId="ColorfulShading-Accent2">
    <w:name w:val="Colorful Shading Accent 2"/>
    <w:basedOn w:val="TableNormal"/>
    <w:uiPriority w:val="71"/>
    <w:pPr>
      <w:spacing w:after="0" w:line="240" w:lineRule="auto"/>
    </w:pPr>
    <w:rPr>
      <w:color w:val="010A11" w:themeColor="text1"/>
    </w:rPr>
    <w:tblPr>
      <w:tblStyleRowBandSize w:val="1"/>
      <w:tblStyleColBandSize w:val="1"/>
      <w:tblBorders>
        <w:top w:val="single" w:sz="24" w:space="0" w:color="8E734A" w:themeColor="accent2"/>
        <w:left w:val="single" w:sz="4" w:space="0" w:color="8E734A" w:themeColor="accent2"/>
        <w:bottom w:val="single" w:sz="4" w:space="0" w:color="8E734A" w:themeColor="accent2"/>
        <w:right w:val="single" w:sz="4" w:space="0" w:color="8E734A" w:themeColor="accent2"/>
        <w:insideH w:val="single" w:sz="4" w:space="0" w:color="262626" w:themeColor="background1"/>
        <w:insideV w:val="single" w:sz="4" w:space="0" w:color="262626" w:themeColor="background1"/>
      </w:tblBorders>
    </w:tblPr>
    <w:tcPr>
      <w:shd w:val="clear" w:color="auto" w:fill="F5F1EB" w:themeFill="accent2" w:themeFillTint="19"/>
    </w:tcPr>
    <w:tblStylePr w:type="firstRow">
      <w:rPr>
        <w:b/>
        <w:bCs/>
      </w:rPr>
      <w:tblPr/>
      <w:tcPr>
        <w:tcBorders>
          <w:top w:val="nil"/>
          <w:left w:val="nil"/>
          <w:bottom w:val="single" w:sz="24" w:space="0" w:color="8E734A" w:themeColor="accent2"/>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54442C" w:themeFill="accent2" w:themeFillShade="99"/>
      </w:tcPr>
    </w:tblStylePr>
    <w:tblStylePr w:type="firstCol">
      <w:rPr>
        <w:color w:val="262626" w:themeColor="background1"/>
      </w:rPr>
      <w:tblPr/>
      <w:tcPr>
        <w:tcBorders>
          <w:top w:val="nil"/>
          <w:left w:val="nil"/>
          <w:bottom w:val="nil"/>
          <w:right w:val="nil"/>
          <w:insideH w:val="single" w:sz="4" w:space="0" w:color="54442C" w:themeColor="accent2" w:themeShade="99"/>
          <w:insideV w:val="nil"/>
        </w:tcBorders>
        <w:shd w:val="clear" w:color="auto" w:fill="54442C" w:themeFill="accent2" w:themeFillShade="99"/>
      </w:tcPr>
    </w:tblStylePr>
    <w:tblStylePr w:type="lastCol">
      <w:rPr>
        <w:color w:val="262626" w:themeColor="background1"/>
      </w:rPr>
      <w:tblPr/>
      <w:tcPr>
        <w:tcBorders>
          <w:top w:val="nil"/>
          <w:left w:val="nil"/>
          <w:bottom w:val="nil"/>
          <w:right w:val="nil"/>
          <w:insideH w:val="nil"/>
          <w:insideV w:val="nil"/>
        </w:tcBorders>
        <w:shd w:val="clear" w:color="auto" w:fill="54442C" w:themeFill="accent2" w:themeFillShade="99"/>
      </w:tcPr>
    </w:tblStylePr>
    <w:tblStylePr w:type="band1Vert">
      <w:tblPr/>
      <w:tcPr>
        <w:shd w:val="clear" w:color="auto" w:fill="D6C7B1" w:themeFill="accent2" w:themeFillTint="66"/>
      </w:tcPr>
    </w:tblStylePr>
    <w:tblStylePr w:type="band1Horz">
      <w:tblPr/>
      <w:tcPr>
        <w:shd w:val="clear" w:color="auto" w:fill="CCBA9E" w:themeFill="accent2" w:themeFillTint="7F"/>
      </w:tcPr>
    </w:tblStylePr>
    <w:tblStylePr w:type="neCell">
      <w:rPr>
        <w:color w:val="010A11" w:themeColor="text1"/>
      </w:rPr>
    </w:tblStylePr>
    <w:tblStylePr w:type="nwCell">
      <w:rPr>
        <w:color w:val="010A11" w:themeColor="text1"/>
      </w:rPr>
    </w:tblStylePr>
  </w:style>
  <w:style w:type="table" w:styleId="ColorfulShading-Accent3">
    <w:name w:val="Colorful Shading Accent 3"/>
    <w:basedOn w:val="TableNormal"/>
    <w:uiPriority w:val="71"/>
    <w:pPr>
      <w:spacing w:after="0" w:line="240" w:lineRule="auto"/>
    </w:pPr>
    <w:rPr>
      <w:color w:val="010A11" w:themeColor="text1"/>
    </w:rPr>
    <w:tblPr>
      <w:tblStyleRowBandSize w:val="1"/>
      <w:tblStyleColBandSize w:val="1"/>
      <w:tblBorders>
        <w:top w:val="single" w:sz="24" w:space="0" w:color="522B4A" w:themeColor="accent4"/>
        <w:left w:val="single" w:sz="4" w:space="0" w:color="057479" w:themeColor="accent3"/>
        <w:bottom w:val="single" w:sz="4" w:space="0" w:color="057479" w:themeColor="accent3"/>
        <w:right w:val="single" w:sz="4" w:space="0" w:color="057479" w:themeColor="accent3"/>
        <w:insideH w:val="single" w:sz="4" w:space="0" w:color="262626" w:themeColor="background1"/>
        <w:insideV w:val="single" w:sz="4" w:space="0" w:color="262626" w:themeColor="background1"/>
      </w:tblBorders>
    </w:tblPr>
    <w:tcPr>
      <w:shd w:val="clear" w:color="auto" w:fill="DAFCFD" w:themeFill="accent3" w:themeFillTint="19"/>
    </w:tcPr>
    <w:tblStylePr w:type="firstRow">
      <w:rPr>
        <w:b/>
        <w:bCs/>
      </w:rPr>
      <w:tblPr/>
      <w:tcPr>
        <w:tcBorders>
          <w:top w:val="nil"/>
          <w:left w:val="nil"/>
          <w:bottom w:val="single" w:sz="24" w:space="0" w:color="522B4A" w:themeColor="accent4"/>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034548" w:themeFill="accent3" w:themeFillShade="99"/>
      </w:tcPr>
    </w:tblStylePr>
    <w:tblStylePr w:type="firstCol">
      <w:rPr>
        <w:color w:val="262626" w:themeColor="background1"/>
      </w:rPr>
      <w:tblPr/>
      <w:tcPr>
        <w:tcBorders>
          <w:top w:val="nil"/>
          <w:left w:val="nil"/>
          <w:bottom w:val="nil"/>
          <w:right w:val="nil"/>
          <w:insideH w:val="single" w:sz="4" w:space="0" w:color="034548" w:themeColor="accent3" w:themeShade="99"/>
          <w:insideV w:val="nil"/>
        </w:tcBorders>
        <w:shd w:val="clear" w:color="auto" w:fill="034548" w:themeFill="accent3" w:themeFillShade="99"/>
      </w:tcPr>
    </w:tblStylePr>
    <w:tblStylePr w:type="lastCol">
      <w:rPr>
        <w:color w:val="262626" w:themeColor="background1"/>
      </w:rPr>
      <w:tblPr/>
      <w:tcPr>
        <w:tcBorders>
          <w:top w:val="nil"/>
          <w:left w:val="nil"/>
          <w:bottom w:val="nil"/>
          <w:right w:val="nil"/>
          <w:insideH w:val="nil"/>
          <w:insideV w:val="nil"/>
        </w:tcBorders>
        <w:shd w:val="clear" w:color="auto" w:fill="034548" w:themeFill="accent3" w:themeFillShade="99"/>
      </w:tcPr>
    </w:tblStylePr>
    <w:tblStylePr w:type="band1Vert">
      <w:tblPr/>
      <w:tcPr>
        <w:shd w:val="clear" w:color="auto" w:fill="6BF2F9" w:themeFill="accent3" w:themeFillTint="66"/>
      </w:tcPr>
    </w:tblStylePr>
    <w:tblStylePr w:type="band1Horz">
      <w:tblPr/>
      <w:tcPr>
        <w:shd w:val="clear" w:color="auto" w:fill="47EFF7" w:themeFill="accent3" w:themeFillTint="7F"/>
      </w:tcPr>
    </w:tblStylePr>
  </w:style>
  <w:style w:type="table" w:styleId="ColorfulShading-Accent4">
    <w:name w:val="Colorful Shading Accent 4"/>
    <w:basedOn w:val="TableNormal"/>
    <w:uiPriority w:val="71"/>
    <w:pPr>
      <w:spacing w:after="0" w:line="240" w:lineRule="auto"/>
    </w:pPr>
    <w:rPr>
      <w:color w:val="010A11" w:themeColor="text1"/>
    </w:rPr>
    <w:tblPr>
      <w:tblStyleRowBandSize w:val="1"/>
      <w:tblStyleColBandSize w:val="1"/>
      <w:tblBorders>
        <w:top w:val="single" w:sz="24" w:space="0" w:color="057479" w:themeColor="accent3"/>
        <w:left w:val="single" w:sz="4" w:space="0" w:color="522B4A" w:themeColor="accent4"/>
        <w:bottom w:val="single" w:sz="4" w:space="0" w:color="522B4A" w:themeColor="accent4"/>
        <w:right w:val="single" w:sz="4" w:space="0" w:color="522B4A" w:themeColor="accent4"/>
        <w:insideH w:val="single" w:sz="4" w:space="0" w:color="262626" w:themeColor="background1"/>
        <w:insideV w:val="single" w:sz="4" w:space="0" w:color="262626" w:themeColor="background1"/>
      </w:tblBorders>
    </w:tblPr>
    <w:tcPr>
      <w:shd w:val="clear" w:color="auto" w:fill="F2E6EF" w:themeFill="accent4" w:themeFillTint="19"/>
    </w:tcPr>
    <w:tblStylePr w:type="firstRow">
      <w:rPr>
        <w:b/>
        <w:bCs/>
      </w:rPr>
      <w:tblPr/>
      <w:tcPr>
        <w:tcBorders>
          <w:top w:val="nil"/>
          <w:left w:val="nil"/>
          <w:bottom w:val="single" w:sz="24" w:space="0" w:color="057479" w:themeColor="accent3"/>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31192C" w:themeFill="accent4" w:themeFillShade="99"/>
      </w:tcPr>
    </w:tblStylePr>
    <w:tblStylePr w:type="firstCol">
      <w:rPr>
        <w:color w:val="262626" w:themeColor="background1"/>
      </w:rPr>
      <w:tblPr/>
      <w:tcPr>
        <w:tcBorders>
          <w:top w:val="nil"/>
          <w:left w:val="nil"/>
          <w:bottom w:val="nil"/>
          <w:right w:val="nil"/>
          <w:insideH w:val="single" w:sz="4" w:space="0" w:color="31192C" w:themeColor="accent4" w:themeShade="99"/>
          <w:insideV w:val="nil"/>
        </w:tcBorders>
        <w:shd w:val="clear" w:color="auto" w:fill="31192C" w:themeFill="accent4" w:themeFillShade="99"/>
      </w:tcPr>
    </w:tblStylePr>
    <w:tblStylePr w:type="lastCol">
      <w:rPr>
        <w:color w:val="262626" w:themeColor="background1"/>
      </w:rPr>
      <w:tblPr/>
      <w:tcPr>
        <w:tcBorders>
          <w:top w:val="nil"/>
          <w:left w:val="nil"/>
          <w:bottom w:val="nil"/>
          <w:right w:val="nil"/>
          <w:insideH w:val="nil"/>
          <w:insideV w:val="nil"/>
        </w:tcBorders>
        <w:shd w:val="clear" w:color="auto" w:fill="31192C" w:themeFill="accent4" w:themeFillShade="99"/>
      </w:tcPr>
    </w:tblStylePr>
    <w:tblStylePr w:type="band1Vert">
      <w:tblPr/>
      <w:tcPr>
        <w:shd w:val="clear" w:color="auto" w:fill="CA99C0" w:themeFill="accent4" w:themeFillTint="66"/>
      </w:tcPr>
    </w:tblStylePr>
    <w:tblStylePr w:type="band1Horz">
      <w:tblPr/>
      <w:tcPr>
        <w:shd w:val="clear" w:color="auto" w:fill="BD81B0" w:themeFill="accent4" w:themeFillTint="7F"/>
      </w:tcPr>
    </w:tblStylePr>
    <w:tblStylePr w:type="neCell">
      <w:rPr>
        <w:color w:val="010A11" w:themeColor="text1"/>
      </w:rPr>
    </w:tblStylePr>
    <w:tblStylePr w:type="nwCell">
      <w:rPr>
        <w:color w:val="010A11" w:themeColor="text1"/>
      </w:rPr>
    </w:tblStylePr>
  </w:style>
  <w:style w:type="table" w:styleId="ColorfulShading-Accent5">
    <w:name w:val="Colorful Shading Accent 5"/>
    <w:basedOn w:val="TableNormal"/>
    <w:uiPriority w:val="71"/>
    <w:pPr>
      <w:spacing w:after="0" w:line="240" w:lineRule="auto"/>
    </w:pPr>
    <w:rPr>
      <w:color w:val="010A11" w:themeColor="text1"/>
    </w:rPr>
    <w:tblPr>
      <w:tblStyleRowBandSize w:val="1"/>
      <w:tblStyleColBandSize w:val="1"/>
      <w:tblBorders>
        <w:top w:val="single" w:sz="24" w:space="0" w:color="FFC000" w:themeColor="accent6"/>
        <w:left w:val="single" w:sz="4" w:space="0" w:color="9F2233" w:themeColor="accent5"/>
        <w:bottom w:val="single" w:sz="4" w:space="0" w:color="9F2233" w:themeColor="accent5"/>
        <w:right w:val="single" w:sz="4" w:space="0" w:color="9F2233" w:themeColor="accent5"/>
        <w:insideH w:val="single" w:sz="4" w:space="0" w:color="262626" w:themeColor="background1"/>
        <w:insideV w:val="single" w:sz="4" w:space="0" w:color="262626" w:themeColor="background1"/>
      </w:tblBorders>
    </w:tblPr>
    <w:tcPr>
      <w:shd w:val="clear" w:color="auto" w:fill="F9E5E7"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5F141E" w:themeFill="accent5" w:themeFillShade="99"/>
      </w:tcPr>
    </w:tblStylePr>
    <w:tblStylePr w:type="firstCol">
      <w:rPr>
        <w:color w:val="262626" w:themeColor="background1"/>
      </w:rPr>
      <w:tblPr/>
      <w:tcPr>
        <w:tcBorders>
          <w:top w:val="nil"/>
          <w:left w:val="nil"/>
          <w:bottom w:val="nil"/>
          <w:right w:val="nil"/>
          <w:insideH w:val="single" w:sz="4" w:space="0" w:color="5F141E" w:themeColor="accent5" w:themeShade="99"/>
          <w:insideV w:val="nil"/>
        </w:tcBorders>
        <w:shd w:val="clear" w:color="auto" w:fill="5F141E" w:themeFill="accent5" w:themeFillShade="99"/>
      </w:tcPr>
    </w:tblStylePr>
    <w:tblStylePr w:type="lastCol">
      <w:rPr>
        <w:color w:val="262626" w:themeColor="background1"/>
      </w:rPr>
      <w:tblPr/>
      <w:tcPr>
        <w:tcBorders>
          <w:top w:val="nil"/>
          <w:left w:val="nil"/>
          <w:bottom w:val="nil"/>
          <w:right w:val="nil"/>
          <w:insideH w:val="nil"/>
          <w:insideV w:val="nil"/>
        </w:tcBorders>
        <w:shd w:val="clear" w:color="auto" w:fill="5F141E" w:themeFill="accent5" w:themeFillShade="99"/>
      </w:tcPr>
    </w:tblStylePr>
    <w:tblStylePr w:type="band1Vert">
      <w:tblPr/>
      <w:tcPr>
        <w:shd w:val="clear" w:color="auto" w:fill="E896A1" w:themeFill="accent5" w:themeFillTint="66"/>
      </w:tcPr>
    </w:tblStylePr>
    <w:tblStylePr w:type="band1Horz">
      <w:tblPr/>
      <w:tcPr>
        <w:shd w:val="clear" w:color="auto" w:fill="E37C8A" w:themeFill="accent5" w:themeFillTint="7F"/>
      </w:tcPr>
    </w:tblStylePr>
    <w:tblStylePr w:type="neCell">
      <w:rPr>
        <w:color w:val="010A11" w:themeColor="text1"/>
      </w:rPr>
    </w:tblStylePr>
    <w:tblStylePr w:type="nwCell">
      <w:rPr>
        <w:color w:val="010A11" w:themeColor="text1"/>
      </w:rPr>
    </w:tblStylePr>
  </w:style>
  <w:style w:type="table" w:styleId="ColorfulShading-Accent6">
    <w:name w:val="Colorful Shading Accent 6"/>
    <w:basedOn w:val="TableNormal"/>
    <w:uiPriority w:val="71"/>
    <w:pPr>
      <w:spacing w:after="0" w:line="240" w:lineRule="auto"/>
    </w:pPr>
    <w:rPr>
      <w:color w:val="010A11" w:themeColor="text1"/>
    </w:rPr>
    <w:tblPr>
      <w:tblStyleRowBandSize w:val="1"/>
      <w:tblStyleColBandSize w:val="1"/>
      <w:tblBorders>
        <w:top w:val="single" w:sz="24" w:space="0" w:color="9F2233" w:themeColor="accent5"/>
        <w:left w:val="single" w:sz="4" w:space="0" w:color="FFC000" w:themeColor="accent6"/>
        <w:bottom w:val="single" w:sz="4" w:space="0" w:color="FFC000" w:themeColor="accent6"/>
        <w:right w:val="single" w:sz="4" w:space="0" w:color="FFC000" w:themeColor="accent6"/>
        <w:insideH w:val="single" w:sz="4" w:space="0" w:color="262626" w:themeColor="background1"/>
        <w:insideV w:val="single" w:sz="4" w:space="0" w:color="262626" w:themeColor="background1"/>
      </w:tblBorders>
    </w:tblPr>
    <w:tcPr>
      <w:shd w:val="clear" w:color="auto" w:fill="FFF8E6" w:themeFill="accent6" w:themeFillTint="19"/>
    </w:tcPr>
    <w:tblStylePr w:type="firstRow">
      <w:rPr>
        <w:b/>
        <w:bCs/>
      </w:rPr>
      <w:tblPr/>
      <w:tcPr>
        <w:tcBorders>
          <w:top w:val="nil"/>
          <w:left w:val="nil"/>
          <w:bottom w:val="single" w:sz="24" w:space="0" w:color="9F2233" w:themeColor="accent5"/>
          <w:right w:val="nil"/>
          <w:insideH w:val="nil"/>
          <w:insideV w:val="nil"/>
        </w:tcBorders>
        <w:shd w:val="clear" w:color="auto" w:fill="262626" w:themeFill="background1"/>
      </w:tcPr>
    </w:tblStylePr>
    <w:tblStylePr w:type="lastRow">
      <w:rPr>
        <w:b/>
        <w:bCs/>
        <w:color w:val="262626" w:themeColor="background1"/>
      </w:rPr>
      <w:tblPr/>
      <w:tcPr>
        <w:tcBorders>
          <w:top w:val="single" w:sz="6" w:space="0" w:color="262626" w:themeColor="background1"/>
        </w:tcBorders>
        <w:shd w:val="clear" w:color="auto" w:fill="997300" w:themeFill="accent6" w:themeFillShade="99"/>
      </w:tcPr>
    </w:tblStylePr>
    <w:tblStylePr w:type="firstCol">
      <w:rPr>
        <w:color w:val="262626"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262626"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010A11" w:themeColor="text1"/>
      </w:rPr>
    </w:tblStylePr>
    <w:tblStylePr w:type="nwCell">
      <w:rPr>
        <w:color w:val="010A11"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262626" w:themeColor="background1"/>
    </w:rPr>
    <w:tblPr>
      <w:tblStyleRowBandSize w:val="1"/>
      <w:tblStyleColBandSize w:val="1"/>
    </w:tblPr>
    <w:tcPr>
      <w:shd w:val="clear" w:color="auto" w:fill="010A11" w:themeFill="text1"/>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000408" w:themeFill="text1" w:themeFillShade="7F"/>
      </w:tcPr>
    </w:tblStylePr>
    <w:tblStylePr w:type="firstCol">
      <w:tblPr/>
      <w:tcPr>
        <w:tcBorders>
          <w:top w:val="nil"/>
          <w:left w:val="nil"/>
          <w:bottom w:val="nil"/>
          <w:right w:val="single" w:sz="18" w:space="0" w:color="262626" w:themeColor="background1"/>
          <w:insideH w:val="nil"/>
          <w:insideV w:val="nil"/>
        </w:tcBorders>
        <w:shd w:val="clear" w:color="auto" w:fill="00070C" w:themeFill="text1" w:themeFillShade="BF"/>
      </w:tcPr>
    </w:tblStylePr>
    <w:tblStylePr w:type="lastCol">
      <w:tblPr/>
      <w:tcPr>
        <w:tcBorders>
          <w:top w:val="nil"/>
          <w:left w:val="single" w:sz="18" w:space="0" w:color="262626" w:themeColor="background1"/>
          <w:bottom w:val="nil"/>
          <w:right w:val="nil"/>
          <w:insideH w:val="nil"/>
          <w:insideV w:val="nil"/>
        </w:tcBorders>
        <w:shd w:val="clear" w:color="auto" w:fill="00070C" w:themeFill="text1" w:themeFillShade="BF"/>
      </w:tcPr>
    </w:tblStylePr>
    <w:tblStylePr w:type="band1Vert">
      <w:tblPr/>
      <w:tcPr>
        <w:tcBorders>
          <w:top w:val="nil"/>
          <w:left w:val="nil"/>
          <w:bottom w:val="nil"/>
          <w:right w:val="nil"/>
          <w:insideH w:val="nil"/>
          <w:insideV w:val="nil"/>
        </w:tcBorders>
        <w:shd w:val="clear" w:color="auto" w:fill="00070C" w:themeFill="text1" w:themeFillShade="BF"/>
      </w:tcPr>
    </w:tblStylePr>
    <w:tblStylePr w:type="band1Horz">
      <w:tblPr/>
      <w:tcPr>
        <w:tcBorders>
          <w:top w:val="nil"/>
          <w:left w:val="nil"/>
          <w:bottom w:val="nil"/>
          <w:right w:val="nil"/>
          <w:insideH w:val="nil"/>
          <w:insideV w:val="nil"/>
        </w:tcBorders>
        <w:shd w:val="clear" w:color="auto" w:fill="00070C" w:themeFill="text1" w:themeFillShade="BF"/>
      </w:tcPr>
    </w:tblStylePr>
  </w:style>
  <w:style w:type="table" w:styleId="DarkList-Accent1">
    <w:name w:val="Dark List Accent 1"/>
    <w:basedOn w:val="TableNormal"/>
    <w:uiPriority w:val="70"/>
    <w:pPr>
      <w:spacing w:after="0" w:line="240" w:lineRule="auto"/>
    </w:pPr>
    <w:rPr>
      <w:color w:val="262626" w:themeColor="background1"/>
    </w:rPr>
    <w:tblPr>
      <w:tblStyleRowBandSize w:val="1"/>
      <w:tblStyleColBandSize w:val="1"/>
    </w:tblPr>
    <w:tcPr>
      <w:shd w:val="clear" w:color="auto" w:fill="1C2B39" w:themeFill="accent1"/>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0E151C" w:themeFill="accent1" w:themeFillShade="7F"/>
      </w:tcPr>
    </w:tblStylePr>
    <w:tblStylePr w:type="firstCol">
      <w:tblPr/>
      <w:tcPr>
        <w:tcBorders>
          <w:top w:val="nil"/>
          <w:left w:val="nil"/>
          <w:bottom w:val="nil"/>
          <w:right w:val="single" w:sz="18" w:space="0" w:color="262626" w:themeColor="background1"/>
          <w:insideH w:val="nil"/>
          <w:insideV w:val="nil"/>
        </w:tcBorders>
        <w:shd w:val="clear" w:color="auto" w:fill="15202A" w:themeFill="accent1" w:themeFillShade="BF"/>
      </w:tcPr>
    </w:tblStylePr>
    <w:tblStylePr w:type="lastCol">
      <w:tblPr/>
      <w:tcPr>
        <w:tcBorders>
          <w:top w:val="nil"/>
          <w:left w:val="single" w:sz="18" w:space="0" w:color="262626" w:themeColor="background1"/>
          <w:bottom w:val="nil"/>
          <w:right w:val="nil"/>
          <w:insideH w:val="nil"/>
          <w:insideV w:val="nil"/>
        </w:tcBorders>
        <w:shd w:val="clear" w:color="auto" w:fill="15202A" w:themeFill="accent1" w:themeFillShade="BF"/>
      </w:tcPr>
    </w:tblStylePr>
    <w:tblStylePr w:type="band1Vert">
      <w:tblPr/>
      <w:tcPr>
        <w:tcBorders>
          <w:top w:val="nil"/>
          <w:left w:val="nil"/>
          <w:bottom w:val="nil"/>
          <w:right w:val="nil"/>
          <w:insideH w:val="nil"/>
          <w:insideV w:val="nil"/>
        </w:tcBorders>
        <w:shd w:val="clear" w:color="auto" w:fill="15202A" w:themeFill="accent1" w:themeFillShade="BF"/>
      </w:tcPr>
    </w:tblStylePr>
    <w:tblStylePr w:type="band1Horz">
      <w:tblPr/>
      <w:tcPr>
        <w:tcBorders>
          <w:top w:val="nil"/>
          <w:left w:val="nil"/>
          <w:bottom w:val="nil"/>
          <w:right w:val="nil"/>
          <w:insideH w:val="nil"/>
          <w:insideV w:val="nil"/>
        </w:tcBorders>
        <w:shd w:val="clear" w:color="auto" w:fill="15202A" w:themeFill="accent1" w:themeFillShade="BF"/>
      </w:tcPr>
    </w:tblStylePr>
  </w:style>
  <w:style w:type="table" w:styleId="DarkList-Accent2">
    <w:name w:val="Dark List Accent 2"/>
    <w:basedOn w:val="TableNormal"/>
    <w:uiPriority w:val="70"/>
    <w:pPr>
      <w:spacing w:after="0" w:line="240" w:lineRule="auto"/>
    </w:pPr>
    <w:rPr>
      <w:color w:val="262626" w:themeColor="background1"/>
    </w:rPr>
    <w:tblPr>
      <w:tblStyleRowBandSize w:val="1"/>
      <w:tblStyleColBandSize w:val="1"/>
    </w:tblPr>
    <w:tcPr>
      <w:shd w:val="clear" w:color="auto" w:fill="8E734A" w:themeFill="accent2"/>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463924" w:themeFill="accent2" w:themeFillShade="7F"/>
      </w:tcPr>
    </w:tblStylePr>
    <w:tblStylePr w:type="firstCol">
      <w:tblPr/>
      <w:tcPr>
        <w:tcBorders>
          <w:top w:val="nil"/>
          <w:left w:val="nil"/>
          <w:bottom w:val="nil"/>
          <w:right w:val="single" w:sz="18" w:space="0" w:color="262626" w:themeColor="background1"/>
          <w:insideH w:val="nil"/>
          <w:insideV w:val="nil"/>
        </w:tcBorders>
        <w:shd w:val="clear" w:color="auto" w:fill="6A5537" w:themeFill="accent2" w:themeFillShade="BF"/>
      </w:tcPr>
    </w:tblStylePr>
    <w:tblStylePr w:type="lastCol">
      <w:tblPr/>
      <w:tcPr>
        <w:tcBorders>
          <w:top w:val="nil"/>
          <w:left w:val="single" w:sz="18" w:space="0" w:color="262626" w:themeColor="background1"/>
          <w:bottom w:val="nil"/>
          <w:right w:val="nil"/>
          <w:insideH w:val="nil"/>
          <w:insideV w:val="nil"/>
        </w:tcBorders>
        <w:shd w:val="clear" w:color="auto" w:fill="6A5537" w:themeFill="accent2" w:themeFillShade="BF"/>
      </w:tcPr>
    </w:tblStylePr>
    <w:tblStylePr w:type="band1Vert">
      <w:tblPr/>
      <w:tcPr>
        <w:tcBorders>
          <w:top w:val="nil"/>
          <w:left w:val="nil"/>
          <w:bottom w:val="nil"/>
          <w:right w:val="nil"/>
          <w:insideH w:val="nil"/>
          <w:insideV w:val="nil"/>
        </w:tcBorders>
        <w:shd w:val="clear" w:color="auto" w:fill="6A5537" w:themeFill="accent2" w:themeFillShade="BF"/>
      </w:tcPr>
    </w:tblStylePr>
    <w:tblStylePr w:type="band1Horz">
      <w:tblPr/>
      <w:tcPr>
        <w:tcBorders>
          <w:top w:val="nil"/>
          <w:left w:val="nil"/>
          <w:bottom w:val="nil"/>
          <w:right w:val="nil"/>
          <w:insideH w:val="nil"/>
          <w:insideV w:val="nil"/>
        </w:tcBorders>
        <w:shd w:val="clear" w:color="auto" w:fill="6A5537" w:themeFill="accent2" w:themeFillShade="BF"/>
      </w:tcPr>
    </w:tblStylePr>
  </w:style>
  <w:style w:type="table" w:styleId="DarkList-Accent3">
    <w:name w:val="Dark List Accent 3"/>
    <w:basedOn w:val="TableNormal"/>
    <w:uiPriority w:val="70"/>
    <w:pPr>
      <w:spacing w:after="0" w:line="240" w:lineRule="auto"/>
    </w:pPr>
    <w:rPr>
      <w:color w:val="262626" w:themeColor="background1"/>
    </w:rPr>
    <w:tblPr>
      <w:tblStyleRowBandSize w:val="1"/>
      <w:tblStyleColBandSize w:val="1"/>
    </w:tblPr>
    <w:tcPr>
      <w:shd w:val="clear" w:color="auto" w:fill="057479" w:themeFill="accent3"/>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02393C" w:themeFill="accent3" w:themeFillShade="7F"/>
      </w:tcPr>
    </w:tblStylePr>
    <w:tblStylePr w:type="firstCol">
      <w:tblPr/>
      <w:tcPr>
        <w:tcBorders>
          <w:top w:val="nil"/>
          <w:left w:val="nil"/>
          <w:bottom w:val="nil"/>
          <w:right w:val="single" w:sz="18" w:space="0" w:color="262626" w:themeColor="background1"/>
          <w:insideH w:val="nil"/>
          <w:insideV w:val="nil"/>
        </w:tcBorders>
        <w:shd w:val="clear" w:color="auto" w:fill="03565A" w:themeFill="accent3" w:themeFillShade="BF"/>
      </w:tcPr>
    </w:tblStylePr>
    <w:tblStylePr w:type="lastCol">
      <w:tblPr/>
      <w:tcPr>
        <w:tcBorders>
          <w:top w:val="nil"/>
          <w:left w:val="single" w:sz="18" w:space="0" w:color="262626" w:themeColor="background1"/>
          <w:bottom w:val="nil"/>
          <w:right w:val="nil"/>
          <w:insideH w:val="nil"/>
          <w:insideV w:val="nil"/>
        </w:tcBorders>
        <w:shd w:val="clear" w:color="auto" w:fill="03565A" w:themeFill="accent3" w:themeFillShade="BF"/>
      </w:tcPr>
    </w:tblStylePr>
    <w:tblStylePr w:type="band1Vert">
      <w:tblPr/>
      <w:tcPr>
        <w:tcBorders>
          <w:top w:val="nil"/>
          <w:left w:val="nil"/>
          <w:bottom w:val="nil"/>
          <w:right w:val="nil"/>
          <w:insideH w:val="nil"/>
          <w:insideV w:val="nil"/>
        </w:tcBorders>
        <w:shd w:val="clear" w:color="auto" w:fill="03565A" w:themeFill="accent3" w:themeFillShade="BF"/>
      </w:tcPr>
    </w:tblStylePr>
    <w:tblStylePr w:type="band1Horz">
      <w:tblPr/>
      <w:tcPr>
        <w:tcBorders>
          <w:top w:val="nil"/>
          <w:left w:val="nil"/>
          <w:bottom w:val="nil"/>
          <w:right w:val="nil"/>
          <w:insideH w:val="nil"/>
          <w:insideV w:val="nil"/>
        </w:tcBorders>
        <w:shd w:val="clear" w:color="auto" w:fill="03565A" w:themeFill="accent3" w:themeFillShade="BF"/>
      </w:tcPr>
    </w:tblStylePr>
  </w:style>
  <w:style w:type="table" w:styleId="DarkList-Accent4">
    <w:name w:val="Dark List Accent 4"/>
    <w:basedOn w:val="TableNormal"/>
    <w:uiPriority w:val="70"/>
    <w:pPr>
      <w:spacing w:after="0" w:line="240" w:lineRule="auto"/>
    </w:pPr>
    <w:rPr>
      <w:color w:val="262626" w:themeColor="background1"/>
    </w:rPr>
    <w:tblPr>
      <w:tblStyleRowBandSize w:val="1"/>
      <w:tblStyleColBandSize w:val="1"/>
    </w:tblPr>
    <w:tcPr>
      <w:shd w:val="clear" w:color="auto" w:fill="522B4A" w:themeFill="accent4"/>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281524" w:themeFill="accent4" w:themeFillShade="7F"/>
      </w:tcPr>
    </w:tblStylePr>
    <w:tblStylePr w:type="firstCol">
      <w:tblPr/>
      <w:tcPr>
        <w:tcBorders>
          <w:top w:val="nil"/>
          <w:left w:val="nil"/>
          <w:bottom w:val="nil"/>
          <w:right w:val="single" w:sz="18" w:space="0" w:color="262626" w:themeColor="background1"/>
          <w:insideH w:val="nil"/>
          <w:insideV w:val="nil"/>
        </w:tcBorders>
        <w:shd w:val="clear" w:color="auto" w:fill="3D2037" w:themeFill="accent4" w:themeFillShade="BF"/>
      </w:tcPr>
    </w:tblStylePr>
    <w:tblStylePr w:type="lastCol">
      <w:tblPr/>
      <w:tcPr>
        <w:tcBorders>
          <w:top w:val="nil"/>
          <w:left w:val="single" w:sz="18" w:space="0" w:color="262626" w:themeColor="background1"/>
          <w:bottom w:val="nil"/>
          <w:right w:val="nil"/>
          <w:insideH w:val="nil"/>
          <w:insideV w:val="nil"/>
        </w:tcBorders>
        <w:shd w:val="clear" w:color="auto" w:fill="3D2037" w:themeFill="accent4" w:themeFillShade="BF"/>
      </w:tcPr>
    </w:tblStylePr>
    <w:tblStylePr w:type="band1Vert">
      <w:tblPr/>
      <w:tcPr>
        <w:tcBorders>
          <w:top w:val="nil"/>
          <w:left w:val="nil"/>
          <w:bottom w:val="nil"/>
          <w:right w:val="nil"/>
          <w:insideH w:val="nil"/>
          <w:insideV w:val="nil"/>
        </w:tcBorders>
        <w:shd w:val="clear" w:color="auto" w:fill="3D2037" w:themeFill="accent4" w:themeFillShade="BF"/>
      </w:tcPr>
    </w:tblStylePr>
    <w:tblStylePr w:type="band1Horz">
      <w:tblPr/>
      <w:tcPr>
        <w:tcBorders>
          <w:top w:val="nil"/>
          <w:left w:val="nil"/>
          <w:bottom w:val="nil"/>
          <w:right w:val="nil"/>
          <w:insideH w:val="nil"/>
          <w:insideV w:val="nil"/>
        </w:tcBorders>
        <w:shd w:val="clear" w:color="auto" w:fill="3D2037" w:themeFill="accent4" w:themeFillShade="BF"/>
      </w:tcPr>
    </w:tblStylePr>
  </w:style>
  <w:style w:type="table" w:styleId="DarkList-Accent5">
    <w:name w:val="Dark List Accent 5"/>
    <w:basedOn w:val="TableNormal"/>
    <w:uiPriority w:val="70"/>
    <w:pPr>
      <w:spacing w:after="0" w:line="240" w:lineRule="auto"/>
    </w:pPr>
    <w:rPr>
      <w:color w:val="262626" w:themeColor="background1"/>
    </w:rPr>
    <w:tblPr>
      <w:tblStyleRowBandSize w:val="1"/>
      <w:tblStyleColBandSize w:val="1"/>
    </w:tblPr>
    <w:tcPr>
      <w:shd w:val="clear" w:color="auto" w:fill="9F2233" w:themeFill="accent5"/>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4F1119" w:themeFill="accent5" w:themeFillShade="7F"/>
      </w:tcPr>
    </w:tblStylePr>
    <w:tblStylePr w:type="firstCol">
      <w:tblPr/>
      <w:tcPr>
        <w:tcBorders>
          <w:top w:val="nil"/>
          <w:left w:val="nil"/>
          <w:bottom w:val="nil"/>
          <w:right w:val="single" w:sz="18" w:space="0" w:color="262626" w:themeColor="background1"/>
          <w:insideH w:val="nil"/>
          <w:insideV w:val="nil"/>
        </w:tcBorders>
        <w:shd w:val="clear" w:color="auto" w:fill="761925" w:themeFill="accent5" w:themeFillShade="BF"/>
      </w:tcPr>
    </w:tblStylePr>
    <w:tblStylePr w:type="lastCol">
      <w:tblPr/>
      <w:tcPr>
        <w:tcBorders>
          <w:top w:val="nil"/>
          <w:left w:val="single" w:sz="18" w:space="0" w:color="262626" w:themeColor="background1"/>
          <w:bottom w:val="nil"/>
          <w:right w:val="nil"/>
          <w:insideH w:val="nil"/>
          <w:insideV w:val="nil"/>
        </w:tcBorders>
        <w:shd w:val="clear" w:color="auto" w:fill="761925" w:themeFill="accent5" w:themeFillShade="BF"/>
      </w:tcPr>
    </w:tblStylePr>
    <w:tblStylePr w:type="band1Vert">
      <w:tblPr/>
      <w:tcPr>
        <w:tcBorders>
          <w:top w:val="nil"/>
          <w:left w:val="nil"/>
          <w:bottom w:val="nil"/>
          <w:right w:val="nil"/>
          <w:insideH w:val="nil"/>
          <w:insideV w:val="nil"/>
        </w:tcBorders>
        <w:shd w:val="clear" w:color="auto" w:fill="761925" w:themeFill="accent5" w:themeFillShade="BF"/>
      </w:tcPr>
    </w:tblStylePr>
    <w:tblStylePr w:type="band1Horz">
      <w:tblPr/>
      <w:tcPr>
        <w:tcBorders>
          <w:top w:val="nil"/>
          <w:left w:val="nil"/>
          <w:bottom w:val="nil"/>
          <w:right w:val="nil"/>
          <w:insideH w:val="nil"/>
          <w:insideV w:val="nil"/>
        </w:tcBorders>
        <w:shd w:val="clear" w:color="auto" w:fill="761925" w:themeFill="accent5" w:themeFillShade="BF"/>
      </w:tcPr>
    </w:tblStylePr>
  </w:style>
  <w:style w:type="table" w:styleId="DarkList-Accent6">
    <w:name w:val="Dark List Accent 6"/>
    <w:basedOn w:val="TableNormal"/>
    <w:uiPriority w:val="70"/>
    <w:pPr>
      <w:spacing w:after="0" w:line="240" w:lineRule="auto"/>
    </w:pPr>
    <w:rPr>
      <w:color w:val="262626"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262626" w:themeColor="background1"/>
          <w:right w:val="nil"/>
          <w:insideH w:val="nil"/>
          <w:insideV w:val="nil"/>
        </w:tcBorders>
        <w:shd w:val="clear" w:color="auto" w:fill="010A11" w:themeFill="text1"/>
      </w:tcPr>
    </w:tblStylePr>
    <w:tblStylePr w:type="lastRow">
      <w:tblPr/>
      <w:tcPr>
        <w:tcBorders>
          <w:top w:val="single" w:sz="18" w:space="0" w:color="262626"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262626" w:themeColor="background1"/>
          <w:insideH w:val="nil"/>
          <w:insideV w:val="nil"/>
        </w:tcBorders>
        <w:shd w:val="clear" w:color="auto" w:fill="BF8F00" w:themeFill="accent6" w:themeFillShade="BF"/>
      </w:tcPr>
    </w:tblStylePr>
    <w:tblStylePr w:type="lastCol">
      <w:tblPr/>
      <w:tcPr>
        <w:tcBorders>
          <w:top w:val="nil"/>
          <w:left w:val="single" w:sz="18" w:space="0" w:color="262626"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unhideWhenUsed/>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0" w:line="240" w:lineRule="auto"/>
    </w:pPr>
  </w:style>
  <w:style w:type="character" w:customStyle="1" w:styleId="EndnoteTextChar">
    <w:name w:val="Endnote Text Char"/>
    <w:basedOn w:val="DefaultParagraphFont"/>
    <w:link w:val="EndnoteText"/>
    <w:uiPriority w:val="99"/>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A66BBB" w:themeColor="followedHyperlink"/>
      <w:u w:val="single"/>
    </w:rPr>
  </w:style>
  <w:style w:type="character" w:styleId="FootnoteReference">
    <w:name w:val="footnote reference"/>
    <w:basedOn w:val="DefaultParagraphFont"/>
    <w:uiPriority w:val="99"/>
    <w:unhideWhenUsed/>
    <w:rPr>
      <w:vertAlign w:val="superscript"/>
    </w:rPr>
  </w:style>
  <w:style w:type="paragraph" w:styleId="FootnoteText">
    <w:name w:val="footnote text"/>
    <w:aliases w:val="Footnote Text Char1 Char,Footnote Text Char Char1 Char,Footnote Text Char Char Char Char Char1,Footnote Text Char Char Char,Footnote Text Char Char Char Char,Footnote Text Char1 Char1,Footnote Text Char Char1 Char1,Footnote text"/>
    <w:basedOn w:val="Normal"/>
    <w:link w:val="FootnoteTextChar"/>
    <w:uiPriority w:val="99"/>
    <w:unhideWhenUsed/>
    <w:qFormat/>
    <w:rsid w:val="00EC237F"/>
    <w:pPr>
      <w:keepLines/>
      <w:spacing w:after="0" w:line="240" w:lineRule="auto"/>
    </w:pPr>
    <w:rPr>
      <w:sz w:val="18"/>
    </w:rPr>
  </w:style>
  <w:style w:type="character" w:customStyle="1" w:styleId="FootnoteTextChar">
    <w:name w:val="Footnote Text Char"/>
    <w:aliases w:val="Footnote Text Char1 Char Char,Footnote Text Char Char1 Char Char,Footnote Text Char Char Char Char Char1 Char,Footnote Text Char Char Char Char1,Footnote Text Char Char Char Char Char,Footnote Text Char1 Char1 Char,Footnote text Char"/>
    <w:basedOn w:val="DefaultParagraphFont"/>
    <w:link w:val="FootnoteText"/>
    <w:uiPriority w:val="99"/>
    <w:rsid w:val="007F4B16"/>
    <w:rPr>
      <w:rFonts w:ascii="Calibri Light" w:hAnsi="Calibri Light"/>
      <w:color w:val="323536" w:themeColor="background2" w:themeShade="40"/>
      <w:spacing w:val="20"/>
      <w:sz w:val="18"/>
      <w:szCs w:val="19"/>
      <w:lang w:val="en-GB"/>
    </w:rPr>
  </w:style>
  <w:style w:type="character" w:customStyle="1" w:styleId="Heading3Char">
    <w:name w:val="Heading 3 Char"/>
    <w:basedOn w:val="DefaultParagraphFont"/>
    <w:link w:val="Heading3"/>
    <w:uiPriority w:val="9"/>
    <w:rsid w:val="00BB1E49"/>
    <w:rPr>
      <w:rFonts w:ascii="Montserrat" w:eastAsiaTheme="majorEastAsia" w:hAnsi="Montserrat" w:cstheme="majorBidi"/>
      <w:b/>
      <w:bCs/>
      <w:color w:val="1C2B39" w:themeColor="accent1"/>
      <w:kern w:val="20"/>
      <w:sz w:val="28"/>
      <w14:ligatures w14:val="standardContextual"/>
    </w:rPr>
  </w:style>
  <w:style w:type="character" w:customStyle="1" w:styleId="Heading4Char">
    <w:name w:val="Heading 4 Char"/>
    <w:basedOn w:val="DefaultParagraphFont"/>
    <w:link w:val="Heading4"/>
    <w:uiPriority w:val="9"/>
    <w:rsid w:val="00BB1E49"/>
    <w:rPr>
      <w:rFonts w:ascii="Montserrat" w:eastAsiaTheme="majorEastAsia" w:hAnsi="Montserrat" w:cstheme="majorBidi"/>
      <w:b/>
      <w:bCs/>
      <w:iCs/>
      <w:color w:val="4A4848" w:themeColor="text2"/>
      <w:spacing w:val="20"/>
      <w:kern w:val="20"/>
    </w:rPr>
  </w:style>
  <w:style w:type="character" w:customStyle="1" w:styleId="Heading5Char">
    <w:name w:val="Heading 5 Char"/>
    <w:basedOn w:val="DefaultParagraphFont"/>
    <w:link w:val="Heading5"/>
    <w:uiPriority w:val="9"/>
    <w:rsid w:val="00825320"/>
    <w:rPr>
      <w:rFonts w:ascii="Montserrat Light" w:eastAsiaTheme="majorEastAsia" w:hAnsi="Montserrat Light" w:cstheme="majorBidi"/>
      <w:i/>
      <w:color w:val="4A4848" w:themeColor="text2"/>
      <w:spacing w:val="22"/>
      <w:szCs w:val="19"/>
      <w:lang w:val="en-GB"/>
    </w:rPr>
  </w:style>
  <w:style w:type="character" w:customStyle="1" w:styleId="Heading6Char">
    <w:name w:val="Heading 6 Char"/>
    <w:basedOn w:val="DefaultParagraphFont"/>
    <w:link w:val="Heading6"/>
    <w:uiPriority w:val="9"/>
    <w:rsid w:val="00C5311A"/>
    <w:rPr>
      <w:rFonts w:ascii="Montserrat Light" w:eastAsiaTheme="majorEastAsia" w:hAnsi="Montserrat Light" w:cstheme="majorBidi"/>
      <w:iCs/>
      <w:color w:val="4A4848" w:themeColor="text2"/>
      <w:spacing w:val="22"/>
      <w:szCs w:val="19"/>
      <w:lang w:val="en-GB"/>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84E85" w:themeColor="text1" w:themeTint="BF"/>
      <w:kern w:val="20"/>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84E85" w:themeColor="text1" w:themeTint="BF"/>
      <w:kern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84E85"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2B89F9"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unhideWhenUsed/>
    <w:qFormat/>
    <w:rPr>
      <w:b/>
      <w:bCs/>
      <w:i/>
      <w:iCs/>
      <w:color w:val="1C2B39" w:themeColor="accent1"/>
    </w:rPr>
  </w:style>
  <w:style w:type="paragraph" w:styleId="IntenseQuote">
    <w:name w:val="Intense Quote"/>
    <w:basedOn w:val="Normal"/>
    <w:next w:val="Normal"/>
    <w:link w:val="IntenseQuoteChar"/>
    <w:uiPriority w:val="30"/>
    <w:unhideWhenUsed/>
    <w:qFormat/>
    <w:pPr>
      <w:pBdr>
        <w:bottom w:val="single" w:sz="4" w:space="4" w:color="1C2B39" w:themeColor="accent1"/>
      </w:pBdr>
      <w:spacing w:before="200" w:after="280"/>
      <w:ind w:left="936" w:right="936"/>
    </w:pPr>
    <w:rPr>
      <w:b/>
      <w:bCs/>
      <w:i/>
      <w:iCs/>
      <w:color w:val="1C2B39" w:themeColor="accent1"/>
    </w:rPr>
  </w:style>
  <w:style w:type="character" w:customStyle="1" w:styleId="IntenseQuoteChar">
    <w:name w:val="Intense Quote Char"/>
    <w:basedOn w:val="DefaultParagraphFont"/>
    <w:link w:val="IntenseQuote"/>
    <w:uiPriority w:val="30"/>
    <w:rPr>
      <w:b/>
      <w:bCs/>
      <w:i/>
      <w:iCs/>
      <w:color w:val="1C2B39" w:themeColor="accent1"/>
    </w:rPr>
  </w:style>
  <w:style w:type="character" w:styleId="IntenseReference">
    <w:name w:val="Intense Reference"/>
    <w:basedOn w:val="DefaultParagraphFont"/>
    <w:uiPriority w:val="32"/>
    <w:unhideWhenUsed/>
    <w:qFormat/>
    <w:rPr>
      <w:b/>
      <w:bCs/>
      <w:smallCaps/>
      <w:color w:val="8E734A"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10A11" w:themeColor="text1"/>
        <w:left w:val="single" w:sz="8" w:space="0" w:color="010A11" w:themeColor="text1"/>
        <w:bottom w:val="single" w:sz="8" w:space="0" w:color="010A11" w:themeColor="text1"/>
        <w:right w:val="single" w:sz="8" w:space="0" w:color="010A11" w:themeColor="text1"/>
        <w:insideH w:val="single" w:sz="8" w:space="0" w:color="010A11" w:themeColor="text1"/>
        <w:insideV w:val="single" w:sz="8" w:space="0" w:color="010A1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0A11" w:themeColor="text1"/>
          <w:left w:val="single" w:sz="8" w:space="0" w:color="010A11" w:themeColor="text1"/>
          <w:bottom w:val="single" w:sz="18" w:space="0" w:color="010A11" w:themeColor="text1"/>
          <w:right w:val="single" w:sz="8" w:space="0" w:color="010A11" w:themeColor="text1"/>
          <w:insideH w:val="nil"/>
          <w:insideV w:val="single" w:sz="8" w:space="0" w:color="010A1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0A11" w:themeColor="text1"/>
          <w:left w:val="single" w:sz="8" w:space="0" w:color="010A11" w:themeColor="text1"/>
          <w:bottom w:val="single" w:sz="8" w:space="0" w:color="010A11" w:themeColor="text1"/>
          <w:right w:val="single" w:sz="8" w:space="0" w:color="010A11" w:themeColor="text1"/>
          <w:insideH w:val="nil"/>
          <w:insideV w:val="single" w:sz="8" w:space="0" w:color="010A1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0A11" w:themeColor="text1"/>
          <w:left w:val="single" w:sz="8" w:space="0" w:color="010A11" w:themeColor="text1"/>
          <w:bottom w:val="single" w:sz="8" w:space="0" w:color="010A11" w:themeColor="text1"/>
          <w:right w:val="single" w:sz="8" w:space="0" w:color="010A11" w:themeColor="text1"/>
        </w:tcBorders>
      </w:tcPr>
    </w:tblStylePr>
    <w:tblStylePr w:type="band1Vert">
      <w:tblPr/>
      <w:tcPr>
        <w:tcBorders>
          <w:top w:val="single" w:sz="8" w:space="0" w:color="010A11" w:themeColor="text1"/>
          <w:left w:val="single" w:sz="8" w:space="0" w:color="010A11" w:themeColor="text1"/>
          <w:bottom w:val="single" w:sz="8" w:space="0" w:color="010A11" w:themeColor="text1"/>
          <w:right w:val="single" w:sz="8" w:space="0" w:color="010A11" w:themeColor="text1"/>
        </w:tcBorders>
        <w:shd w:val="clear" w:color="auto" w:fill="8CC8F8" w:themeFill="text1" w:themeFillTint="3F"/>
      </w:tcPr>
    </w:tblStylePr>
    <w:tblStylePr w:type="band1Horz">
      <w:tblPr/>
      <w:tcPr>
        <w:tcBorders>
          <w:top w:val="single" w:sz="8" w:space="0" w:color="010A11" w:themeColor="text1"/>
          <w:left w:val="single" w:sz="8" w:space="0" w:color="010A11" w:themeColor="text1"/>
          <w:bottom w:val="single" w:sz="8" w:space="0" w:color="010A11" w:themeColor="text1"/>
          <w:right w:val="single" w:sz="8" w:space="0" w:color="010A11" w:themeColor="text1"/>
          <w:insideV w:val="single" w:sz="8" w:space="0" w:color="010A11" w:themeColor="text1"/>
        </w:tcBorders>
        <w:shd w:val="clear" w:color="auto" w:fill="8CC8F8" w:themeFill="text1" w:themeFillTint="3F"/>
      </w:tcPr>
    </w:tblStylePr>
    <w:tblStylePr w:type="band2Horz">
      <w:tblPr/>
      <w:tcPr>
        <w:tcBorders>
          <w:top w:val="single" w:sz="8" w:space="0" w:color="010A11" w:themeColor="text1"/>
          <w:left w:val="single" w:sz="8" w:space="0" w:color="010A11" w:themeColor="text1"/>
          <w:bottom w:val="single" w:sz="8" w:space="0" w:color="010A11" w:themeColor="text1"/>
          <w:right w:val="single" w:sz="8" w:space="0" w:color="010A11" w:themeColor="text1"/>
          <w:insideV w:val="single" w:sz="8" w:space="0" w:color="010A11"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1C2B39" w:themeColor="accent1"/>
        <w:left w:val="single" w:sz="8" w:space="0" w:color="1C2B39" w:themeColor="accent1"/>
        <w:bottom w:val="single" w:sz="8" w:space="0" w:color="1C2B39" w:themeColor="accent1"/>
        <w:right w:val="single" w:sz="8" w:space="0" w:color="1C2B39" w:themeColor="accent1"/>
        <w:insideH w:val="single" w:sz="8" w:space="0" w:color="1C2B39" w:themeColor="accent1"/>
        <w:insideV w:val="single" w:sz="8" w:space="0" w:color="1C2B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2B39" w:themeColor="accent1"/>
          <w:left w:val="single" w:sz="8" w:space="0" w:color="1C2B39" w:themeColor="accent1"/>
          <w:bottom w:val="single" w:sz="18" w:space="0" w:color="1C2B39" w:themeColor="accent1"/>
          <w:right w:val="single" w:sz="8" w:space="0" w:color="1C2B39" w:themeColor="accent1"/>
          <w:insideH w:val="nil"/>
          <w:insideV w:val="single" w:sz="8" w:space="0" w:color="1C2B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2B39" w:themeColor="accent1"/>
          <w:left w:val="single" w:sz="8" w:space="0" w:color="1C2B39" w:themeColor="accent1"/>
          <w:bottom w:val="single" w:sz="8" w:space="0" w:color="1C2B39" w:themeColor="accent1"/>
          <w:right w:val="single" w:sz="8" w:space="0" w:color="1C2B39" w:themeColor="accent1"/>
          <w:insideH w:val="nil"/>
          <w:insideV w:val="single" w:sz="8" w:space="0" w:color="1C2B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2B39" w:themeColor="accent1"/>
          <w:left w:val="single" w:sz="8" w:space="0" w:color="1C2B39" w:themeColor="accent1"/>
          <w:bottom w:val="single" w:sz="8" w:space="0" w:color="1C2B39" w:themeColor="accent1"/>
          <w:right w:val="single" w:sz="8" w:space="0" w:color="1C2B39" w:themeColor="accent1"/>
        </w:tcBorders>
      </w:tcPr>
    </w:tblStylePr>
    <w:tblStylePr w:type="band1Vert">
      <w:tblPr/>
      <w:tcPr>
        <w:tcBorders>
          <w:top w:val="single" w:sz="8" w:space="0" w:color="1C2B39" w:themeColor="accent1"/>
          <w:left w:val="single" w:sz="8" w:space="0" w:color="1C2B39" w:themeColor="accent1"/>
          <w:bottom w:val="single" w:sz="8" w:space="0" w:color="1C2B39" w:themeColor="accent1"/>
          <w:right w:val="single" w:sz="8" w:space="0" w:color="1C2B39" w:themeColor="accent1"/>
        </w:tcBorders>
        <w:shd w:val="clear" w:color="auto" w:fill="B8CADC" w:themeFill="accent1" w:themeFillTint="3F"/>
      </w:tcPr>
    </w:tblStylePr>
    <w:tblStylePr w:type="band1Horz">
      <w:tblPr/>
      <w:tcPr>
        <w:tcBorders>
          <w:top w:val="single" w:sz="8" w:space="0" w:color="1C2B39" w:themeColor="accent1"/>
          <w:left w:val="single" w:sz="8" w:space="0" w:color="1C2B39" w:themeColor="accent1"/>
          <w:bottom w:val="single" w:sz="8" w:space="0" w:color="1C2B39" w:themeColor="accent1"/>
          <w:right w:val="single" w:sz="8" w:space="0" w:color="1C2B39" w:themeColor="accent1"/>
          <w:insideV w:val="single" w:sz="8" w:space="0" w:color="1C2B39" w:themeColor="accent1"/>
        </w:tcBorders>
        <w:shd w:val="clear" w:color="auto" w:fill="B8CADC" w:themeFill="accent1" w:themeFillTint="3F"/>
      </w:tcPr>
    </w:tblStylePr>
    <w:tblStylePr w:type="band2Horz">
      <w:tblPr/>
      <w:tcPr>
        <w:tcBorders>
          <w:top w:val="single" w:sz="8" w:space="0" w:color="1C2B39" w:themeColor="accent1"/>
          <w:left w:val="single" w:sz="8" w:space="0" w:color="1C2B39" w:themeColor="accent1"/>
          <w:bottom w:val="single" w:sz="8" w:space="0" w:color="1C2B39" w:themeColor="accent1"/>
          <w:right w:val="single" w:sz="8" w:space="0" w:color="1C2B39" w:themeColor="accent1"/>
          <w:insideV w:val="single" w:sz="8" w:space="0" w:color="1C2B39"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8E734A" w:themeColor="accent2"/>
        <w:left w:val="single" w:sz="8" w:space="0" w:color="8E734A" w:themeColor="accent2"/>
        <w:bottom w:val="single" w:sz="8" w:space="0" w:color="8E734A" w:themeColor="accent2"/>
        <w:right w:val="single" w:sz="8" w:space="0" w:color="8E734A" w:themeColor="accent2"/>
        <w:insideH w:val="single" w:sz="8" w:space="0" w:color="8E734A" w:themeColor="accent2"/>
        <w:insideV w:val="single" w:sz="8" w:space="0" w:color="8E734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734A" w:themeColor="accent2"/>
          <w:left w:val="single" w:sz="8" w:space="0" w:color="8E734A" w:themeColor="accent2"/>
          <w:bottom w:val="single" w:sz="18" w:space="0" w:color="8E734A" w:themeColor="accent2"/>
          <w:right w:val="single" w:sz="8" w:space="0" w:color="8E734A" w:themeColor="accent2"/>
          <w:insideH w:val="nil"/>
          <w:insideV w:val="single" w:sz="8" w:space="0" w:color="8E734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734A" w:themeColor="accent2"/>
          <w:left w:val="single" w:sz="8" w:space="0" w:color="8E734A" w:themeColor="accent2"/>
          <w:bottom w:val="single" w:sz="8" w:space="0" w:color="8E734A" w:themeColor="accent2"/>
          <w:right w:val="single" w:sz="8" w:space="0" w:color="8E734A" w:themeColor="accent2"/>
          <w:insideH w:val="nil"/>
          <w:insideV w:val="single" w:sz="8" w:space="0" w:color="8E734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734A" w:themeColor="accent2"/>
          <w:left w:val="single" w:sz="8" w:space="0" w:color="8E734A" w:themeColor="accent2"/>
          <w:bottom w:val="single" w:sz="8" w:space="0" w:color="8E734A" w:themeColor="accent2"/>
          <w:right w:val="single" w:sz="8" w:space="0" w:color="8E734A" w:themeColor="accent2"/>
        </w:tcBorders>
      </w:tcPr>
    </w:tblStylePr>
    <w:tblStylePr w:type="band1Vert">
      <w:tblPr/>
      <w:tcPr>
        <w:tcBorders>
          <w:top w:val="single" w:sz="8" w:space="0" w:color="8E734A" w:themeColor="accent2"/>
          <w:left w:val="single" w:sz="8" w:space="0" w:color="8E734A" w:themeColor="accent2"/>
          <w:bottom w:val="single" w:sz="8" w:space="0" w:color="8E734A" w:themeColor="accent2"/>
          <w:right w:val="single" w:sz="8" w:space="0" w:color="8E734A" w:themeColor="accent2"/>
        </w:tcBorders>
        <w:shd w:val="clear" w:color="auto" w:fill="E6DCCF" w:themeFill="accent2" w:themeFillTint="3F"/>
      </w:tcPr>
    </w:tblStylePr>
    <w:tblStylePr w:type="band1Horz">
      <w:tblPr/>
      <w:tcPr>
        <w:tcBorders>
          <w:top w:val="single" w:sz="8" w:space="0" w:color="8E734A" w:themeColor="accent2"/>
          <w:left w:val="single" w:sz="8" w:space="0" w:color="8E734A" w:themeColor="accent2"/>
          <w:bottom w:val="single" w:sz="8" w:space="0" w:color="8E734A" w:themeColor="accent2"/>
          <w:right w:val="single" w:sz="8" w:space="0" w:color="8E734A" w:themeColor="accent2"/>
          <w:insideV w:val="single" w:sz="8" w:space="0" w:color="8E734A" w:themeColor="accent2"/>
        </w:tcBorders>
        <w:shd w:val="clear" w:color="auto" w:fill="E6DCCF" w:themeFill="accent2" w:themeFillTint="3F"/>
      </w:tcPr>
    </w:tblStylePr>
    <w:tblStylePr w:type="band2Horz">
      <w:tblPr/>
      <w:tcPr>
        <w:tcBorders>
          <w:top w:val="single" w:sz="8" w:space="0" w:color="8E734A" w:themeColor="accent2"/>
          <w:left w:val="single" w:sz="8" w:space="0" w:color="8E734A" w:themeColor="accent2"/>
          <w:bottom w:val="single" w:sz="8" w:space="0" w:color="8E734A" w:themeColor="accent2"/>
          <w:right w:val="single" w:sz="8" w:space="0" w:color="8E734A" w:themeColor="accent2"/>
          <w:insideV w:val="single" w:sz="8" w:space="0" w:color="8E734A"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057479" w:themeColor="accent3"/>
        <w:left w:val="single" w:sz="8" w:space="0" w:color="057479" w:themeColor="accent3"/>
        <w:bottom w:val="single" w:sz="8" w:space="0" w:color="057479" w:themeColor="accent3"/>
        <w:right w:val="single" w:sz="8" w:space="0" w:color="057479" w:themeColor="accent3"/>
        <w:insideH w:val="single" w:sz="8" w:space="0" w:color="057479" w:themeColor="accent3"/>
        <w:insideV w:val="single" w:sz="8" w:space="0" w:color="05747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7479" w:themeColor="accent3"/>
          <w:left w:val="single" w:sz="8" w:space="0" w:color="057479" w:themeColor="accent3"/>
          <w:bottom w:val="single" w:sz="18" w:space="0" w:color="057479" w:themeColor="accent3"/>
          <w:right w:val="single" w:sz="8" w:space="0" w:color="057479" w:themeColor="accent3"/>
          <w:insideH w:val="nil"/>
          <w:insideV w:val="single" w:sz="8" w:space="0" w:color="05747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7479" w:themeColor="accent3"/>
          <w:left w:val="single" w:sz="8" w:space="0" w:color="057479" w:themeColor="accent3"/>
          <w:bottom w:val="single" w:sz="8" w:space="0" w:color="057479" w:themeColor="accent3"/>
          <w:right w:val="single" w:sz="8" w:space="0" w:color="057479" w:themeColor="accent3"/>
          <w:insideH w:val="nil"/>
          <w:insideV w:val="single" w:sz="8" w:space="0" w:color="05747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7479" w:themeColor="accent3"/>
          <w:left w:val="single" w:sz="8" w:space="0" w:color="057479" w:themeColor="accent3"/>
          <w:bottom w:val="single" w:sz="8" w:space="0" w:color="057479" w:themeColor="accent3"/>
          <w:right w:val="single" w:sz="8" w:space="0" w:color="057479" w:themeColor="accent3"/>
        </w:tcBorders>
      </w:tcPr>
    </w:tblStylePr>
    <w:tblStylePr w:type="band1Vert">
      <w:tblPr/>
      <w:tcPr>
        <w:tcBorders>
          <w:top w:val="single" w:sz="8" w:space="0" w:color="057479" w:themeColor="accent3"/>
          <w:left w:val="single" w:sz="8" w:space="0" w:color="057479" w:themeColor="accent3"/>
          <w:bottom w:val="single" w:sz="8" w:space="0" w:color="057479" w:themeColor="accent3"/>
          <w:right w:val="single" w:sz="8" w:space="0" w:color="057479" w:themeColor="accent3"/>
        </w:tcBorders>
        <w:shd w:val="clear" w:color="auto" w:fill="A3F7FB" w:themeFill="accent3" w:themeFillTint="3F"/>
      </w:tcPr>
    </w:tblStylePr>
    <w:tblStylePr w:type="band1Horz">
      <w:tblPr/>
      <w:tcPr>
        <w:tcBorders>
          <w:top w:val="single" w:sz="8" w:space="0" w:color="057479" w:themeColor="accent3"/>
          <w:left w:val="single" w:sz="8" w:space="0" w:color="057479" w:themeColor="accent3"/>
          <w:bottom w:val="single" w:sz="8" w:space="0" w:color="057479" w:themeColor="accent3"/>
          <w:right w:val="single" w:sz="8" w:space="0" w:color="057479" w:themeColor="accent3"/>
          <w:insideV w:val="single" w:sz="8" w:space="0" w:color="057479" w:themeColor="accent3"/>
        </w:tcBorders>
        <w:shd w:val="clear" w:color="auto" w:fill="A3F7FB" w:themeFill="accent3" w:themeFillTint="3F"/>
      </w:tcPr>
    </w:tblStylePr>
    <w:tblStylePr w:type="band2Horz">
      <w:tblPr/>
      <w:tcPr>
        <w:tcBorders>
          <w:top w:val="single" w:sz="8" w:space="0" w:color="057479" w:themeColor="accent3"/>
          <w:left w:val="single" w:sz="8" w:space="0" w:color="057479" w:themeColor="accent3"/>
          <w:bottom w:val="single" w:sz="8" w:space="0" w:color="057479" w:themeColor="accent3"/>
          <w:right w:val="single" w:sz="8" w:space="0" w:color="057479" w:themeColor="accent3"/>
          <w:insideV w:val="single" w:sz="8" w:space="0" w:color="057479"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522B4A" w:themeColor="accent4"/>
        <w:left w:val="single" w:sz="8" w:space="0" w:color="522B4A" w:themeColor="accent4"/>
        <w:bottom w:val="single" w:sz="8" w:space="0" w:color="522B4A" w:themeColor="accent4"/>
        <w:right w:val="single" w:sz="8" w:space="0" w:color="522B4A" w:themeColor="accent4"/>
        <w:insideH w:val="single" w:sz="8" w:space="0" w:color="522B4A" w:themeColor="accent4"/>
        <w:insideV w:val="single" w:sz="8" w:space="0" w:color="522B4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2B4A" w:themeColor="accent4"/>
          <w:left w:val="single" w:sz="8" w:space="0" w:color="522B4A" w:themeColor="accent4"/>
          <w:bottom w:val="single" w:sz="18" w:space="0" w:color="522B4A" w:themeColor="accent4"/>
          <w:right w:val="single" w:sz="8" w:space="0" w:color="522B4A" w:themeColor="accent4"/>
          <w:insideH w:val="nil"/>
          <w:insideV w:val="single" w:sz="8" w:space="0" w:color="522B4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2B4A" w:themeColor="accent4"/>
          <w:left w:val="single" w:sz="8" w:space="0" w:color="522B4A" w:themeColor="accent4"/>
          <w:bottom w:val="single" w:sz="8" w:space="0" w:color="522B4A" w:themeColor="accent4"/>
          <w:right w:val="single" w:sz="8" w:space="0" w:color="522B4A" w:themeColor="accent4"/>
          <w:insideH w:val="nil"/>
          <w:insideV w:val="single" w:sz="8" w:space="0" w:color="522B4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2B4A" w:themeColor="accent4"/>
          <w:left w:val="single" w:sz="8" w:space="0" w:color="522B4A" w:themeColor="accent4"/>
          <w:bottom w:val="single" w:sz="8" w:space="0" w:color="522B4A" w:themeColor="accent4"/>
          <w:right w:val="single" w:sz="8" w:space="0" w:color="522B4A" w:themeColor="accent4"/>
        </w:tcBorders>
      </w:tcPr>
    </w:tblStylePr>
    <w:tblStylePr w:type="band1Vert">
      <w:tblPr/>
      <w:tcPr>
        <w:tcBorders>
          <w:top w:val="single" w:sz="8" w:space="0" w:color="522B4A" w:themeColor="accent4"/>
          <w:left w:val="single" w:sz="8" w:space="0" w:color="522B4A" w:themeColor="accent4"/>
          <w:bottom w:val="single" w:sz="8" w:space="0" w:color="522B4A" w:themeColor="accent4"/>
          <w:right w:val="single" w:sz="8" w:space="0" w:color="522B4A" w:themeColor="accent4"/>
        </w:tcBorders>
        <w:shd w:val="clear" w:color="auto" w:fill="DEC0D8" w:themeFill="accent4" w:themeFillTint="3F"/>
      </w:tcPr>
    </w:tblStylePr>
    <w:tblStylePr w:type="band1Horz">
      <w:tblPr/>
      <w:tcPr>
        <w:tcBorders>
          <w:top w:val="single" w:sz="8" w:space="0" w:color="522B4A" w:themeColor="accent4"/>
          <w:left w:val="single" w:sz="8" w:space="0" w:color="522B4A" w:themeColor="accent4"/>
          <w:bottom w:val="single" w:sz="8" w:space="0" w:color="522B4A" w:themeColor="accent4"/>
          <w:right w:val="single" w:sz="8" w:space="0" w:color="522B4A" w:themeColor="accent4"/>
          <w:insideV w:val="single" w:sz="8" w:space="0" w:color="522B4A" w:themeColor="accent4"/>
        </w:tcBorders>
        <w:shd w:val="clear" w:color="auto" w:fill="DEC0D8" w:themeFill="accent4" w:themeFillTint="3F"/>
      </w:tcPr>
    </w:tblStylePr>
    <w:tblStylePr w:type="band2Horz">
      <w:tblPr/>
      <w:tcPr>
        <w:tcBorders>
          <w:top w:val="single" w:sz="8" w:space="0" w:color="522B4A" w:themeColor="accent4"/>
          <w:left w:val="single" w:sz="8" w:space="0" w:color="522B4A" w:themeColor="accent4"/>
          <w:bottom w:val="single" w:sz="8" w:space="0" w:color="522B4A" w:themeColor="accent4"/>
          <w:right w:val="single" w:sz="8" w:space="0" w:color="522B4A" w:themeColor="accent4"/>
          <w:insideV w:val="single" w:sz="8" w:space="0" w:color="522B4A"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9F2233" w:themeColor="accent5"/>
        <w:left w:val="single" w:sz="8" w:space="0" w:color="9F2233" w:themeColor="accent5"/>
        <w:bottom w:val="single" w:sz="8" w:space="0" w:color="9F2233" w:themeColor="accent5"/>
        <w:right w:val="single" w:sz="8" w:space="0" w:color="9F2233" w:themeColor="accent5"/>
        <w:insideH w:val="single" w:sz="8" w:space="0" w:color="9F2233" w:themeColor="accent5"/>
        <w:insideV w:val="single" w:sz="8" w:space="0" w:color="9F223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233" w:themeColor="accent5"/>
          <w:left w:val="single" w:sz="8" w:space="0" w:color="9F2233" w:themeColor="accent5"/>
          <w:bottom w:val="single" w:sz="18" w:space="0" w:color="9F2233" w:themeColor="accent5"/>
          <w:right w:val="single" w:sz="8" w:space="0" w:color="9F2233" w:themeColor="accent5"/>
          <w:insideH w:val="nil"/>
          <w:insideV w:val="single" w:sz="8" w:space="0" w:color="9F223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233" w:themeColor="accent5"/>
          <w:left w:val="single" w:sz="8" w:space="0" w:color="9F2233" w:themeColor="accent5"/>
          <w:bottom w:val="single" w:sz="8" w:space="0" w:color="9F2233" w:themeColor="accent5"/>
          <w:right w:val="single" w:sz="8" w:space="0" w:color="9F2233" w:themeColor="accent5"/>
          <w:insideH w:val="nil"/>
          <w:insideV w:val="single" w:sz="8" w:space="0" w:color="9F223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233" w:themeColor="accent5"/>
          <w:left w:val="single" w:sz="8" w:space="0" w:color="9F2233" w:themeColor="accent5"/>
          <w:bottom w:val="single" w:sz="8" w:space="0" w:color="9F2233" w:themeColor="accent5"/>
          <w:right w:val="single" w:sz="8" w:space="0" w:color="9F2233" w:themeColor="accent5"/>
        </w:tcBorders>
      </w:tcPr>
    </w:tblStylePr>
    <w:tblStylePr w:type="band1Vert">
      <w:tblPr/>
      <w:tcPr>
        <w:tcBorders>
          <w:top w:val="single" w:sz="8" w:space="0" w:color="9F2233" w:themeColor="accent5"/>
          <w:left w:val="single" w:sz="8" w:space="0" w:color="9F2233" w:themeColor="accent5"/>
          <w:bottom w:val="single" w:sz="8" w:space="0" w:color="9F2233" w:themeColor="accent5"/>
          <w:right w:val="single" w:sz="8" w:space="0" w:color="9F2233" w:themeColor="accent5"/>
        </w:tcBorders>
        <w:shd w:val="clear" w:color="auto" w:fill="F1BEC5" w:themeFill="accent5" w:themeFillTint="3F"/>
      </w:tcPr>
    </w:tblStylePr>
    <w:tblStylePr w:type="band1Horz">
      <w:tblPr/>
      <w:tcPr>
        <w:tcBorders>
          <w:top w:val="single" w:sz="8" w:space="0" w:color="9F2233" w:themeColor="accent5"/>
          <w:left w:val="single" w:sz="8" w:space="0" w:color="9F2233" w:themeColor="accent5"/>
          <w:bottom w:val="single" w:sz="8" w:space="0" w:color="9F2233" w:themeColor="accent5"/>
          <w:right w:val="single" w:sz="8" w:space="0" w:color="9F2233" w:themeColor="accent5"/>
          <w:insideV w:val="single" w:sz="8" w:space="0" w:color="9F2233" w:themeColor="accent5"/>
        </w:tcBorders>
        <w:shd w:val="clear" w:color="auto" w:fill="F1BEC5" w:themeFill="accent5" w:themeFillTint="3F"/>
      </w:tcPr>
    </w:tblStylePr>
    <w:tblStylePr w:type="band2Horz">
      <w:tblPr/>
      <w:tcPr>
        <w:tcBorders>
          <w:top w:val="single" w:sz="8" w:space="0" w:color="9F2233" w:themeColor="accent5"/>
          <w:left w:val="single" w:sz="8" w:space="0" w:color="9F2233" w:themeColor="accent5"/>
          <w:bottom w:val="single" w:sz="8" w:space="0" w:color="9F2233" w:themeColor="accent5"/>
          <w:right w:val="single" w:sz="8" w:space="0" w:color="9F2233" w:themeColor="accent5"/>
          <w:insideV w:val="single" w:sz="8" w:space="0" w:color="9F2233"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10A11" w:themeColor="text1"/>
        <w:left w:val="single" w:sz="8" w:space="0" w:color="010A11" w:themeColor="text1"/>
        <w:bottom w:val="single" w:sz="8" w:space="0" w:color="010A11" w:themeColor="text1"/>
        <w:right w:val="single" w:sz="8" w:space="0" w:color="010A11" w:themeColor="text1"/>
      </w:tblBorders>
    </w:tblPr>
    <w:tblStylePr w:type="firstRow">
      <w:pPr>
        <w:spacing w:before="0" w:after="0" w:line="240" w:lineRule="auto"/>
      </w:pPr>
      <w:rPr>
        <w:b/>
        <w:bCs/>
        <w:color w:val="262626" w:themeColor="background1"/>
      </w:rPr>
      <w:tblPr/>
      <w:tcPr>
        <w:shd w:val="clear" w:color="auto" w:fill="010A11" w:themeFill="text1"/>
      </w:tcPr>
    </w:tblStylePr>
    <w:tblStylePr w:type="lastRow">
      <w:pPr>
        <w:spacing w:before="0" w:after="0" w:line="240" w:lineRule="auto"/>
      </w:pPr>
      <w:rPr>
        <w:b/>
        <w:bCs/>
      </w:rPr>
      <w:tblPr/>
      <w:tcPr>
        <w:tcBorders>
          <w:top w:val="double" w:sz="6" w:space="0" w:color="010A11" w:themeColor="text1"/>
          <w:left w:val="single" w:sz="8" w:space="0" w:color="010A11" w:themeColor="text1"/>
          <w:bottom w:val="single" w:sz="8" w:space="0" w:color="010A11" w:themeColor="text1"/>
          <w:right w:val="single" w:sz="8" w:space="0" w:color="010A11" w:themeColor="text1"/>
        </w:tcBorders>
      </w:tcPr>
    </w:tblStylePr>
    <w:tblStylePr w:type="firstCol">
      <w:rPr>
        <w:b/>
        <w:bCs/>
      </w:rPr>
    </w:tblStylePr>
    <w:tblStylePr w:type="lastCol">
      <w:rPr>
        <w:b/>
        <w:bCs/>
      </w:rPr>
    </w:tblStylePr>
    <w:tblStylePr w:type="band1Vert">
      <w:tblPr/>
      <w:tcPr>
        <w:tcBorders>
          <w:top w:val="single" w:sz="8" w:space="0" w:color="010A11" w:themeColor="text1"/>
          <w:left w:val="single" w:sz="8" w:space="0" w:color="010A11" w:themeColor="text1"/>
          <w:bottom w:val="single" w:sz="8" w:space="0" w:color="010A11" w:themeColor="text1"/>
          <w:right w:val="single" w:sz="8" w:space="0" w:color="010A11" w:themeColor="text1"/>
        </w:tcBorders>
      </w:tcPr>
    </w:tblStylePr>
    <w:tblStylePr w:type="band1Horz">
      <w:tblPr/>
      <w:tcPr>
        <w:tcBorders>
          <w:top w:val="single" w:sz="8" w:space="0" w:color="010A11" w:themeColor="text1"/>
          <w:left w:val="single" w:sz="8" w:space="0" w:color="010A11" w:themeColor="text1"/>
          <w:bottom w:val="single" w:sz="8" w:space="0" w:color="010A11" w:themeColor="text1"/>
          <w:right w:val="single" w:sz="8" w:space="0" w:color="010A11"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1C2B39" w:themeColor="accent1"/>
        <w:left w:val="single" w:sz="8" w:space="0" w:color="1C2B39" w:themeColor="accent1"/>
        <w:bottom w:val="single" w:sz="8" w:space="0" w:color="1C2B39" w:themeColor="accent1"/>
        <w:right w:val="single" w:sz="8" w:space="0" w:color="1C2B39" w:themeColor="accent1"/>
      </w:tblBorders>
    </w:tblPr>
    <w:tblStylePr w:type="firstRow">
      <w:pPr>
        <w:spacing w:before="0" w:after="0" w:line="240" w:lineRule="auto"/>
      </w:pPr>
      <w:rPr>
        <w:b/>
        <w:bCs/>
        <w:color w:val="262626" w:themeColor="background1"/>
      </w:rPr>
      <w:tblPr/>
      <w:tcPr>
        <w:shd w:val="clear" w:color="auto" w:fill="1C2B39" w:themeFill="accent1"/>
      </w:tcPr>
    </w:tblStylePr>
    <w:tblStylePr w:type="lastRow">
      <w:pPr>
        <w:spacing w:before="0" w:after="0" w:line="240" w:lineRule="auto"/>
      </w:pPr>
      <w:rPr>
        <w:b/>
        <w:bCs/>
      </w:rPr>
      <w:tblPr/>
      <w:tcPr>
        <w:tcBorders>
          <w:top w:val="double" w:sz="6" w:space="0" w:color="1C2B39" w:themeColor="accent1"/>
          <w:left w:val="single" w:sz="8" w:space="0" w:color="1C2B39" w:themeColor="accent1"/>
          <w:bottom w:val="single" w:sz="8" w:space="0" w:color="1C2B39" w:themeColor="accent1"/>
          <w:right w:val="single" w:sz="8" w:space="0" w:color="1C2B39" w:themeColor="accent1"/>
        </w:tcBorders>
      </w:tcPr>
    </w:tblStylePr>
    <w:tblStylePr w:type="firstCol">
      <w:rPr>
        <w:b/>
        <w:bCs/>
      </w:rPr>
    </w:tblStylePr>
    <w:tblStylePr w:type="lastCol">
      <w:rPr>
        <w:b/>
        <w:bCs/>
      </w:rPr>
    </w:tblStylePr>
    <w:tblStylePr w:type="band1Vert">
      <w:tblPr/>
      <w:tcPr>
        <w:tcBorders>
          <w:top w:val="single" w:sz="8" w:space="0" w:color="1C2B39" w:themeColor="accent1"/>
          <w:left w:val="single" w:sz="8" w:space="0" w:color="1C2B39" w:themeColor="accent1"/>
          <w:bottom w:val="single" w:sz="8" w:space="0" w:color="1C2B39" w:themeColor="accent1"/>
          <w:right w:val="single" w:sz="8" w:space="0" w:color="1C2B39" w:themeColor="accent1"/>
        </w:tcBorders>
      </w:tcPr>
    </w:tblStylePr>
    <w:tblStylePr w:type="band1Horz">
      <w:tblPr/>
      <w:tcPr>
        <w:tcBorders>
          <w:top w:val="single" w:sz="8" w:space="0" w:color="1C2B39" w:themeColor="accent1"/>
          <w:left w:val="single" w:sz="8" w:space="0" w:color="1C2B39" w:themeColor="accent1"/>
          <w:bottom w:val="single" w:sz="8" w:space="0" w:color="1C2B39" w:themeColor="accent1"/>
          <w:right w:val="single" w:sz="8" w:space="0" w:color="1C2B39"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8E734A" w:themeColor="accent2"/>
        <w:left w:val="single" w:sz="8" w:space="0" w:color="8E734A" w:themeColor="accent2"/>
        <w:bottom w:val="single" w:sz="8" w:space="0" w:color="8E734A" w:themeColor="accent2"/>
        <w:right w:val="single" w:sz="8" w:space="0" w:color="8E734A" w:themeColor="accent2"/>
      </w:tblBorders>
    </w:tblPr>
    <w:tblStylePr w:type="firstRow">
      <w:pPr>
        <w:spacing w:before="0" w:after="0" w:line="240" w:lineRule="auto"/>
      </w:pPr>
      <w:rPr>
        <w:b/>
        <w:bCs/>
        <w:color w:val="262626" w:themeColor="background1"/>
      </w:rPr>
      <w:tblPr/>
      <w:tcPr>
        <w:shd w:val="clear" w:color="auto" w:fill="8E734A" w:themeFill="accent2"/>
      </w:tcPr>
    </w:tblStylePr>
    <w:tblStylePr w:type="lastRow">
      <w:pPr>
        <w:spacing w:before="0" w:after="0" w:line="240" w:lineRule="auto"/>
      </w:pPr>
      <w:rPr>
        <w:b/>
        <w:bCs/>
      </w:rPr>
      <w:tblPr/>
      <w:tcPr>
        <w:tcBorders>
          <w:top w:val="double" w:sz="6" w:space="0" w:color="8E734A" w:themeColor="accent2"/>
          <w:left w:val="single" w:sz="8" w:space="0" w:color="8E734A" w:themeColor="accent2"/>
          <w:bottom w:val="single" w:sz="8" w:space="0" w:color="8E734A" w:themeColor="accent2"/>
          <w:right w:val="single" w:sz="8" w:space="0" w:color="8E734A" w:themeColor="accent2"/>
        </w:tcBorders>
      </w:tcPr>
    </w:tblStylePr>
    <w:tblStylePr w:type="firstCol">
      <w:rPr>
        <w:b/>
        <w:bCs/>
      </w:rPr>
    </w:tblStylePr>
    <w:tblStylePr w:type="lastCol">
      <w:rPr>
        <w:b/>
        <w:bCs/>
      </w:rPr>
    </w:tblStylePr>
    <w:tblStylePr w:type="band1Vert">
      <w:tblPr/>
      <w:tcPr>
        <w:tcBorders>
          <w:top w:val="single" w:sz="8" w:space="0" w:color="8E734A" w:themeColor="accent2"/>
          <w:left w:val="single" w:sz="8" w:space="0" w:color="8E734A" w:themeColor="accent2"/>
          <w:bottom w:val="single" w:sz="8" w:space="0" w:color="8E734A" w:themeColor="accent2"/>
          <w:right w:val="single" w:sz="8" w:space="0" w:color="8E734A" w:themeColor="accent2"/>
        </w:tcBorders>
      </w:tcPr>
    </w:tblStylePr>
    <w:tblStylePr w:type="band1Horz">
      <w:tblPr/>
      <w:tcPr>
        <w:tcBorders>
          <w:top w:val="single" w:sz="8" w:space="0" w:color="8E734A" w:themeColor="accent2"/>
          <w:left w:val="single" w:sz="8" w:space="0" w:color="8E734A" w:themeColor="accent2"/>
          <w:bottom w:val="single" w:sz="8" w:space="0" w:color="8E734A" w:themeColor="accent2"/>
          <w:right w:val="single" w:sz="8" w:space="0" w:color="8E734A"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057479" w:themeColor="accent3"/>
        <w:left w:val="single" w:sz="8" w:space="0" w:color="057479" w:themeColor="accent3"/>
        <w:bottom w:val="single" w:sz="8" w:space="0" w:color="057479" w:themeColor="accent3"/>
        <w:right w:val="single" w:sz="8" w:space="0" w:color="057479" w:themeColor="accent3"/>
      </w:tblBorders>
    </w:tblPr>
    <w:tblStylePr w:type="firstRow">
      <w:pPr>
        <w:spacing w:before="0" w:after="0" w:line="240" w:lineRule="auto"/>
      </w:pPr>
      <w:rPr>
        <w:b/>
        <w:bCs/>
        <w:color w:val="262626" w:themeColor="background1"/>
      </w:rPr>
      <w:tblPr/>
      <w:tcPr>
        <w:shd w:val="clear" w:color="auto" w:fill="057479" w:themeFill="accent3"/>
      </w:tcPr>
    </w:tblStylePr>
    <w:tblStylePr w:type="lastRow">
      <w:pPr>
        <w:spacing w:before="0" w:after="0" w:line="240" w:lineRule="auto"/>
      </w:pPr>
      <w:rPr>
        <w:b/>
        <w:bCs/>
      </w:rPr>
      <w:tblPr/>
      <w:tcPr>
        <w:tcBorders>
          <w:top w:val="double" w:sz="6" w:space="0" w:color="057479" w:themeColor="accent3"/>
          <w:left w:val="single" w:sz="8" w:space="0" w:color="057479" w:themeColor="accent3"/>
          <w:bottom w:val="single" w:sz="8" w:space="0" w:color="057479" w:themeColor="accent3"/>
          <w:right w:val="single" w:sz="8" w:space="0" w:color="057479" w:themeColor="accent3"/>
        </w:tcBorders>
      </w:tcPr>
    </w:tblStylePr>
    <w:tblStylePr w:type="firstCol">
      <w:rPr>
        <w:b/>
        <w:bCs/>
      </w:rPr>
    </w:tblStylePr>
    <w:tblStylePr w:type="lastCol">
      <w:rPr>
        <w:b/>
        <w:bCs/>
      </w:rPr>
    </w:tblStylePr>
    <w:tblStylePr w:type="band1Vert">
      <w:tblPr/>
      <w:tcPr>
        <w:tcBorders>
          <w:top w:val="single" w:sz="8" w:space="0" w:color="057479" w:themeColor="accent3"/>
          <w:left w:val="single" w:sz="8" w:space="0" w:color="057479" w:themeColor="accent3"/>
          <w:bottom w:val="single" w:sz="8" w:space="0" w:color="057479" w:themeColor="accent3"/>
          <w:right w:val="single" w:sz="8" w:space="0" w:color="057479" w:themeColor="accent3"/>
        </w:tcBorders>
      </w:tcPr>
    </w:tblStylePr>
    <w:tblStylePr w:type="band1Horz">
      <w:tblPr/>
      <w:tcPr>
        <w:tcBorders>
          <w:top w:val="single" w:sz="8" w:space="0" w:color="057479" w:themeColor="accent3"/>
          <w:left w:val="single" w:sz="8" w:space="0" w:color="057479" w:themeColor="accent3"/>
          <w:bottom w:val="single" w:sz="8" w:space="0" w:color="057479" w:themeColor="accent3"/>
          <w:right w:val="single" w:sz="8" w:space="0" w:color="057479"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522B4A" w:themeColor="accent4"/>
        <w:left w:val="single" w:sz="8" w:space="0" w:color="522B4A" w:themeColor="accent4"/>
        <w:bottom w:val="single" w:sz="8" w:space="0" w:color="522B4A" w:themeColor="accent4"/>
        <w:right w:val="single" w:sz="8" w:space="0" w:color="522B4A" w:themeColor="accent4"/>
      </w:tblBorders>
    </w:tblPr>
    <w:tblStylePr w:type="firstRow">
      <w:pPr>
        <w:spacing w:before="0" w:after="0" w:line="240" w:lineRule="auto"/>
      </w:pPr>
      <w:rPr>
        <w:b/>
        <w:bCs/>
        <w:color w:val="262626" w:themeColor="background1"/>
      </w:rPr>
      <w:tblPr/>
      <w:tcPr>
        <w:shd w:val="clear" w:color="auto" w:fill="522B4A" w:themeFill="accent4"/>
      </w:tcPr>
    </w:tblStylePr>
    <w:tblStylePr w:type="lastRow">
      <w:pPr>
        <w:spacing w:before="0" w:after="0" w:line="240" w:lineRule="auto"/>
      </w:pPr>
      <w:rPr>
        <w:b/>
        <w:bCs/>
      </w:rPr>
      <w:tblPr/>
      <w:tcPr>
        <w:tcBorders>
          <w:top w:val="double" w:sz="6" w:space="0" w:color="522B4A" w:themeColor="accent4"/>
          <w:left w:val="single" w:sz="8" w:space="0" w:color="522B4A" w:themeColor="accent4"/>
          <w:bottom w:val="single" w:sz="8" w:space="0" w:color="522B4A" w:themeColor="accent4"/>
          <w:right w:val="single" w:sz="8" w:space="0" w:color="522B4A" w:themeColor="accent4"/>
        </w:tcBorders>
      </w:tcPr>
    </w:tblStylePr>
    <w:tblStylePr w:type="firstCol">
      <w:rPr>
        <w:b/>
        <w:bCs/>
      </w:rPr>
    </w:tblStylePr>
    <w:tblStylePr w:type="lastCol">
      <w:rPr>
        <w:b/>
        <w:bCs/>
      </w:rPr>
    </w:tblStylePr>
    <w:tblStylePr w:type="band1Vert">
      <w:tblPr/>
      <w:tcPr>
        <w:tcBorders>
          <w:top w:val="single" w:sz="8" w:space="0" w:color="522B4A" w:themeColor="accent4"/>
          <w:left w:val="single" w:sz="8" w:space="0" w:color="522B4A" w:themeColor="accent4"/>
          <w:bottom w:val="single" w:sz="8" w:space="0" w:color="522B4A" w:themeColor="accent4"/>
          <w:right w:val="single" w:sz="8" w:space="0" w:color="522B4A" w:themeColor="accent4"/>
        </w:tcBorders>
      </w:tcPr>
    </w:tblStylePr>
    <w:tblStylePr w:type="band1Horz">
      <w:tblPr/>
      <w:tcPr>
        <w:tcBorders>
          <w:top w:val="single" w:sz="8" w:space="0" w:color="522B4A" w:themeColor="accent4"/>
          <w:left w:val="single" w:sz="8" w:space="0" w:color="522B4A" w:themeColor="accent4"/>
          <w:bottom w:val="single" w:sz="8" w:space="0" w:color="522B4A" w:themeColor="accent4"/>
          <w:right w:val="single" w:sz="8" w:space="0" w:color="522B4A"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9F2233" w:themeColor="accent5"/>
        <w:left w:val="single" w:sz="8" w:space="0" w:color="9F2233" w:themeColor="accent5"/>
        <w:bottom w:val="single" w:sz="8" w:space="0" w:color="9F2233" w:themeColor="accent5"/>
        <w:right w:val="single" w:sz="8" w:space="0" w:color="9F2233" w:themeColor="accent5"/>
      </w:tblBorders>
    </w:tblPr>
    <w:tblStylePr w:type="firstRow">
      <w:pPr>
        <w:spacing w:before="0" w:after="0" w:line="240" w:lineRule="auto"/>
      </w:pPr>
      <w:rPr>
        <w:b/>
        <w:bCs/>
        <w:color w:val="262626" w:themeColor="background1"/>
      </w:rPr>
      <w:tblPr/>
      <w:tcPr>
        <w:shd w:val="clear" w:color="auto" w:fill="9F2233" w:themeFill="accent5"/>
      </w:tcPr>
    </w:tblStylePr>
    <w:tblStylePr w:type="lastRow">
      <w:pPr>
        <w:spacing w:before="0" w:after="0" w:line="240" w:lineRule="auto"/>
      </w:pPr>
      <w:rPr>
        <w:b/>
        <w:bCs/>
      </w:rPr>
      <w:tblPr/>
      <w:tcPr>
        <w:tcBorders>
          <w:top w:val="double" w:sz="6" w:space="0" w:color="9F2233" w:themeColor="accent5"/>
          <w:left w:val="single" w:sz="8" w:space="0" w:color="9F2233" w:themeColor="accent5"/>
          <w:bottom w:val="single" w:sz="8" w:space="0" w:color="9F2233" w:themeColor="accent5"/>
          <w:right w:val="single" w:sz="8" w:space="0" w:color="9F2233" w:themeColor="accent5"/>
        </w:tcBorders>
      </w:tcPr>
    </w:tblStylePr>
    <w:tblStylePr w:type="firstCol">
      <w:rPr>
        <w:b/>
        <w:bCs/>
      </w:rPr>
    </w:tblStylePr>
    <w:tblStylePr w:type="lastCol">
      <w:rPr>
        <w:b/>
        <w:bCs/>
      </w:rPr>
    </w:tblStylePr>
    <w:tblStylePr w:type="band1Vert">
      <w:tblPr/>
      <w:tcPr>
        <w:tcBorders>
          <w:top w:val="single" w:sz="8" w:space="0" w:color="9F2233" w:themeColor="accent5"/>
          <w:left w:val="single" w:sz="8" w:space="0" w:color="9F2233" w:themeColor="accent5"/>
          <w:bottom w:val="single" w:sz="8" w:space="0" w:color="9F2233" w:themeColor="accent5"/>
          <w:right w:val="single" w:sz="8" w:space="0" w:color="9F2233" w:themeColor="accent5"/>
        </w:tcBorders>
      </w:tcPr>
    </w:tblStylePr>
    <w:tblStylePr w:type="band1Horz">
      <w:tblPr/>
      <w:tcPr>
        <w:tcBorders>
          <w:top w:val="single" w:sz="8" w:space="0" w:color="9F2233" w:themeColor="accent5"/>
          <w:left w:val="single" w:sz="8" w:space="0" w:color="9F2233" w:themeColor="accent5"/>
          <w:bottom w:val="single" w:sz="8" w:space="0" w:color="9F2233" w:themeColor="accent5"/>
          <w:right w:val="single" w:sz="8" w:space="0" w:color="9F2233"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262626"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pPr>
      <w:spacing w:after="0" w:line="240" w:lineRule="auto"/>
    </w:pPr>
    <w:rPr>
      <w:color w:val="00070C" w:themeColor="text1" w:themeShade="BF"/>
    </w:rPr>
    <w:tblPr>
      <w:tblStyleRowBandSize w:val="1"/>
      <w:tblStyleColBandSize w:val="1"/>
      <w:tblBorders>
        <w:top w:val="single" w:sz="8" w:space="0" w:color="010A11" w:themeColor="text1"/>
        <w:bottom w:val="single" w:sz="8" w:space="0" w:color="010A11" w:themeColor="text1"/>
      </w:tblBorders>
    </w:tblPr>
    <w:tblStylePr w:type="firstRow">
      <w:pPr>
        <w:spacing w:before="0" w:after="0" w:line="240" w:lineRule="auto"/>
      </w:pPr>
      <w:rPr>
        <w:b/>
        <w:bCs/>
      </w:rPr>
      <w:tblPr/>
      <w:tcPr>
        <w:tcBorders>
          <w:top w:val="single" w:sz="8" w:space="0" w:color="010A11" w:themeColor="text1"/>
          <w:left w:val="nil"/>
          <w:bottom w:val="single" w:sz="8" w:space="0" w:color="010A11" w:themeColor="text1"/>
          <w:right w:val="nil"/>
          <w:insideH w:val="nil"/>
          <w:insideV w:val="nil"/>
        </w:tcBorders>
      </w:tcPr>
    </w:tblStylePr>
    <w:tblStylePr w:type="lastRow">
      <w:pPr>
        <w:spacing w:before="0" w:after="0" w:line="240" w:lineRule="auto"/>
      </w:pPr>
      <w:rPr>
        <w:b/>
        <w:bCs/>
      </w:rPr>
      <w:tblPr/>
      <w:tcPr>
        <w:tcBorders>
          <w:top w:val="single" w:sz="8" w:space="0" w:color="010A11" w:themeColor="text1"/>
          <w:left w:val="nil"/>
          <w:bottom w:val="single" w:sz="8" w:space="0" w:color="010A1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CC8F8" w:themeFill="text1" w:themeFillTint="3F"/>
      </w:tcPr>
    </w:tblStylePr>
    <w:tblStylePr w:type="band1Horz">
      <w:tblPr/>
      <w:tcPr>
        <w:tcBorders>
          <w:left w:val="nil"/>
          <w:right w:val="nil"/>
          <w:insideH w:val="nil"/>
          <w:insideV w:val="nil"/>
        </w:tcBorders>
        <w:shd w:val="clear" w:color="auto" w:fill="8CC8F8" w:themeFill="text1" w:themeFillTint="3F"/>
      </w:tcPr>
    </w:tblStylePr>
  </w:style>
  <w:style w:type="table" w:styleId="LightShading-Accent1">
    <w:name w:val="Light Shading Accent 1"/>
    <w:basedOn w:val="TableNormal"/>
    <w:uiPriority w:val="60"/>
    <w:pPr>
      <w:spacing w:after="0" w:line="240" w:lineRule="auto"/>
    </w:pPr>
    <w:rPr>
      <w:color w:val="15202A" w:themeColor="accent1" w:themeShade="BF"/>
    </w:rPr>
    <w:tblPr>
      <w:tblStyleRowBandSize w:val="1"/>
      <w:tblStyleColBandSize w:val="1"/>
      <w:tblBorders>
        <w:top w:val="single" w:sz="8" w:space="0" w:color="1C2B39" w:themeColor="accent1"/>
        <w:bottom w:val="single" w:sz="8" w:space="0" w:color="1C2B39" w:themeColor="accent1"/>
      </w:tblBorders>
    </w:tblPr>
    <w:tblStylePr w:type="firstRow">
      <w:pPr>
        <w:spacing w:before="0" w:after="0" w:line="240" w:lineRule="auto"/>
      </w:pPr>
      <w:rPr>
        <w:b/>
        <w:bCs/>
      </w:rPr>
      <w:tblPr/>
      <w:tcPr>
        <w:tcBorders>
          <w:top w:val="single" w:sz="8" w:space="0" w:color="1C2B39" w:themeColor="accent1"/>
          <w:left w:val="nil"/>
          <w:bottom w:val="single" w:sz="8" w:space="0" w:color="1C2B39" w:themeColor="accent1"/>
          <w:right w:val="nil"/>
          <w:insideH w:val="nil"/>
          <w:insideV w:val="nil"/>
        </w:tcBorders>
      </w:tcPr>
    </w:tblStylePr>
    <w:tblStylePr w:type="lastRow">
      <w:pPr>
        <w:spacing w:before="0" w:after="0" w:line="240" w:lineRule="auto"/>
      </w:pPr>
      <w:rPr>
        <w:b/>
        <w:bCs/>
      </w:rPr>
      <w:tblPr/>
      <w:tcPr>
        <w:tcBorders>
          <w:top w:val="single" w:sz="8" w:space="0" w:color="1C2B39" w:themeColor="accent1"/>
          <w:left w:val="nil"/>
          <w:bottom w:val="single" w:sz="8" w:space="0" w:color="1C2B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CADC" w:themeFill="accent1" w:themeFillTint="3F"/>
      </w:tcPr>
    </w:tblStylePr>
    <w:tblStylePr w:type="band1Horz">
      <w:tblPr/>
      <w:tcPr>
        <w:tcBorders>
          <w:left w:val="nil"/>
          <w:right w:val="nil"/>
          <w:insideH w:val="nil"/>
          <w:insideV w:val="nil"/>
        </w:tcBorders>
        <w:shd w:val="clear" w:color="auto" w:fill="B8CADC" w:themeFill="accent1" w:themeFillTint="3F"/>
      </w:tcPr>
    </w:tblStylePr>
  </w:style>
  <w:style w:type="table" w:styleId="LightShading-Accent2">
    <w:name w:val="Light Shading Accent 2"/>
    <w:basedOn w:val="TableNormal"/>
    <w:uiPriority w:val="60"/>
    <w:pPr>
      <w:spacing w:after="0" w:line="240" w:lineRule="auto"/>
    </w:pPr>
    <w:rPr>
      <w:color w:val="6A5537" w:themeColor="accent2" w:themeShade="BF"/>
    </w:rPr>
    <w:tblPr>
      <w:tblStyleRowBandSize w:val="1"/>
      <w:tblStyleColBandSize w:val="1"/>
      <w:tblBorders>
        <w:top w:val="single" w:sz="8" w:space="0" w:color="8E734A" w:themeColor="accent2"/>
        <w:bottom w:val="single" w:sz="8" w:space="0" w:color="8E734A" w:themeColor="accent2"/>
      </w:tblBorders>
    </w:tblPr>
    <w:tblStylePr w:type="firstRow">
      <w:pPr>
        <w:spacing w:before="0" w:after="0" w:line="240" w:lineRule="auto"/>
      </w:pPr>
      <w:rPr>
        <w:b/>
        <w:bCs/>
      </w:rPr>
      <w:tblPr/>
      <w:tcPr>
        <w:tcBorders>
          <w:top w:val="single" w:sz="8" w:space="0" w:color="8E734A" w:themeColor="accent2"/>
          <w:left w:val="nil"/>
          <w:bottom w:val="single" w:sz="8" w:space="0" w:color="8E734A" w:themeColor="accent2"/>
          <w:right w:val="nil"/>
          <w:insideH w:val="nil"/>
          <w:insideV w:val="nil"/>
        </w:tcBorders>
      </w:tcPr>
    </w:tblStylePr>
    <w:tblStylePr w:type="lastRow">
      <w:pPr>
        <w:spacing w:before="0" w:after="0" w:line="240" w:lineRule="auto"/>
      </w:pPr>
      <w:rPr>
        <w:b/>
        <w:bCs/>
      </w:rPr>
      <w:tblPr/>
      <w:tcPr>
        <w:tcBorders>
          <w:top w:val="single" w:sz="8" w:space="0" w:color="8E734A" w:themeColor="accent2"/>
          <w:left w:val="nil"/>
          <w:bottom w:val="single" w:sz="8" w:space="0" w:color="8E734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CCF" w:themeFill="accent2" w:themeFillTint="3F"/>
      </w:tcPr>
    </w:tblStylePr>
    <w:tblStylePr w:type="band1Horz">
      <w:tblPr/>
      <w:tcPr>
        <w:tcBorders>
          <w:left w:val="nil"/>
          <w:right w:val="nil"/>
          <w:insideH w:val="nil"/>
          <w:insideV w:val="nil"/>
        </w:tcBorders>
        <w:shd w:val="clear" w:color="auto" w:fill="E6DCCF" w:themeFill="accent2" w:themeFillTint="3F"/>
      </w:tcPr>
    </w:tblStylePr>
  </w:style>
  <w:style w:type="table" w:styleId="LightShading-Accent3">
    <w:name w:val="Light Shading Accent 3"/>
    <w:basedOn w:val="TableNormal"/>
    <w:uiPriority w:val="60"/>
    <w:pPr>
      <w:spacing w:after="0" w:line="240" w:lineRule="auto"/>
    </w:pPr>
    <w:rPr>
      <w:color w:val="03565A" w:themeColor="accent3" w:themeShade="BF"/>
    </w:rPr>
    <w:tblPr>
      <w:tblStyleRowBandSize w:val="1"/>
      <w:tblStyleColBandSize w:val="1"/>
      <w:tblBorders>
        <w:top w:val="single" w:sz="8" w:space="0" w:color="057479" w:themeColor="accent3"/>
        <w:bottom w:val="single" w:sz="8" w:space="0" w:color="057479" w:themeColor="accent3"/>
      </w:tblBorders>
    </w:tblPr>
    <w:tblStylePr w:type="firstRow">
      <w:pPr>
        <w:spacing w:before="0" w:after="0" w:line="240" w:lineRule="auto"/>
      </w:pPr>
      <w:rPr>
        <w:b/>
        <w:bCs/>
      </w:rPr>
      <w:tblPr/>
      <w:tcPr>
        <w:tcBorders>
          <w:top w:val="single" w:sz="8" w:space="0" w:color="057479" w:themeColor="accent3"/>
          <w:left w:val="nil"/>
          <w:bottom w:val="single" w:sz="8" w:space="0" w:color="057479" w:themeColor="accent3"/>
          <w:right w:val="nil"/>
          <w:insideH w:val="nil"/>
          <w:insideV w:val="nil"/>
        </w:tcBorders>
      </w:tcPr>
    </w:tblStylePr>
    <w:tblStylePr w:type="lastRow">
      <w:pPr>
        <w:spacing w:before="0" w:after="0" w:line="240" w:lineRule="auto"/>
      </w:pPr>
      <w:rPr>
        <w:b/>
        <w:bCs/>
      </w:rPr>
      <w:tblPr/>
      <w:tcPr>
        <w:tcBorders>
          <w:top w:val="single" w:sz="8" w:space="0" w:color="057479" w:themeColor="accent3"/>
          <w:left w:val="nil"/>
          <w:bottom w:val="single" w:sz="8" w:space="0" w:color="05747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F7FB" w:themeFill="accent3" w:themeFillTint="3F"/>
      </w:tcPr>
    </w:tblStylePr>
    <w:tblStylePr w:type="band1Horz">
      <w:tblPr/>
      <w:tcPr>
        <w:tcBorders>
          <w:left w:val="nil"/>
          <w:right w:val="nil"/>
          <w:insideH w:val="nil"/>
          <w:insideV w:val="nil"/>
        </w:tcBorders>
        <w:shd w:val="clear" w:color="auto" w:fill="A3F7FB" w:themeFill="accent3" w:themeFillTint="3F"/>
      </w:tcPr>
    </w:tblStylePr>
  </w:style>
  <w:style w:type="table" w:styleId="LightShading-Accent4">
    <w:name w:val="Light Shading Accent 4"/>
    <w:basedOn w:val="TableNormal"/>
    <w:uiPriority w:val="60"/>
    <w:pPr>
      <w:spacing w:after="0" w:line="240" w:lineRule="auto"/>
    </w:pPr>
    <w:rPr>
      <w:color w:val="3D2037" w:themeColor="accent4" w:themeShade="BF"/>
    </w:rPr>
    <w:tblPr>
      <w:tblStyleRowBandSize w:val="1"/>
      <w:tblStyleColBandSize w:val="1"/>
      <w:tblBorders>
        <w:top w:val="single" w:sz="8" w:space="0" w:color="522B4A" w:themeColor="accent4"/>
        <w:bottom w:val="single" w:sz="8" w:space="0" w:color="522B4A" w:themeColor="accent4"/>
      </w:tblBorders>
    </w:tblPr>
    <w:tblStylePr w:type="firstRow">
      <w:pPr>
        <w:spacing w:before="0" w:after="0" w:line="240" w:lineRule="auto"/>
      </w:pPr>
      <w:rPr>
        <w:b/>
        <w:bCs/>
      </w:rPr>
      <w:tblPr/>
      <w:tcPr>
        <w:tcBorders>
          <w:top w:val="single" w:sz="8" w:space="0" w:color="522B4A" w:themeColor="accent4"/>
          <w:left w:val="nil"/>
          <w:bottom w:val="single" w:sz="8" w:space="0" w:color="522B4A" w:themeColor="accent4"/>
          <w:right w:val="nil"/>
          <w:insideH w:val="nil"/>
          <w:insideV w:val="nil"/>
        </w:tcBorders>
      </w:tcPr>
    </w:tblStylePr>
    <w:tblStylePr w:type="lastRow">
      <w:pPr>
        <w:spacing w:before="0" w:after="0" w:line="240" w:lineRule="auto"/>
      </w:pPr>
      <w:rPr>
        <w:b/>
        <w:bCs/>
      </w:rPr>
      <w:tblPr/>
      <w:tcPr>
        <w:tcBorders>
          <w:top w:val="single" w:sz="8" w:space="0" w:color="522B4A" w:themeColor="accent4"/>
          <w:left w:val="nil"/>
          <w:bottom w:val="single" w:sz="8" w:space="0" w:color="522B4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0D8" w:themeFill="accent4" w:themeFillTint="3F"/>
      </w:tcPr>
    </w:tblStylePr>
    <w:tblStylePr w:type="band1Horz">
      <w:tblPr/>
      <w:tcPr>
        <w:tcBorders>
          <w:left w:val="nil"/>
          <w:right w:val="nil"/>
          <w:insideH w:val="nil"/>
          <w:insideV w:val="nil"/>
        </w:tcBorders>
        <w:shd w:val="clear" w:color="auto" w:fill="DEC0D8" w:themeFill="accent4" w:themeFillTint="3F"/>
      </w:tcPr>
    </w:tblStylePr>
  </w:style>
  <w:style w:type="table" w:styleId="LightShading-Accent5">
    <w:name w:val="Light Shading Accent 5"/>
    <w:basedOn w:val="TableNormal"/>
    <w:uiPriority w:val="60"/>
    <w:pPr>
      <w:spacing w:after="0" w:line="240" w:lineRule="auto"/>
    </w:pPr>
    <w:rPr>
      <w:color w:val="761925" w:themeColor="accent5" w:themeShade="BF"/>
    </w:rPr>
    <w:tblPr>
      <w:tblStyleRowBandSize w:val="1"/>
      <w:tblStyleColBandSize w:val="1"/>
      <w:tblBorders>
        <w:top w:val="single" w:sz="8" w:space="0" w:color="9F2233" w:themeColor="accent5"/>
        <w:bottom w:val="single" w:sz="8" w:space="0" w:color="9F2233" w:themeColor="accent5"/>
      </w:tblBorders>
    </w:tblPr>
    <w:tblStylePr w:type="firstRow">
      <w:pPr>
        <w:spacing w:before="0" w:after="0" w:line="240" w:lineRule="auto"/>
      </w:pPr>
      <w:rPr>
        <w:b/>
        <w:bCs/>
      </w:rPr>
      <w:tblPr/>
      <w:tcPr>
        <w:tcBorders>
          <w:top w:val="single" w:sz="8" w:space="0" w:color="9F2233" w:themeColor="accent5"/>
          <w:left w:val="nil"/>
          <w:bottom w:val="single" w:sz="8" w:space="0" w:color="9F2233" w:themeColor="accent5"/>
          <w:right w:val="nil"/>
          <w:insideH w:val="nil"/>
          <w:insideV w:val="nil"/>
        </w:tcBorders>
      </w:tcPr>
    </w:tblStylePr>
    <w:tblStylePr w:type="lastRow">
      <w:pPr>
        <w:spacing w:before="0" w:after="0" w:line="240" w:lineRule="auto"/>
      </w:pPr>
      <w:rPr>
        <w:b/>
        <w:bCs/>
      </w:rPr>
      <w:tblPr/>
      <w:tcPr>
        <w:tcBorders>
          <w:top w:val="single" w:sz="8" w:space="0" w:color="9F2233" w:themeColor="accent5"/>
          <w:left w:val="nil"/>
          <w:bottom w:val="single" w:sz="8" w:space="0" w:color="9F223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EC5" w:themeFill="accent5" w:themeFillTint="3F"/>
      </w:tcPr>
    </w:tblStylePr>
    <w:tblStylePr w:type="band1Horz">
      <w:tblPr/>
      <w:tcPr>
        <w:tcBorders>
          <w:left w:val="nil"/>
          <w:right w:val="nil"/>
          <w:insideH w:val="nil"/>
          <w:insideV w:val="nil"/>
        </w:tcBorders>
        <w:shd w:val="clear" w:color="auto" w:fill="F1BEC5" w:themeFill="accent5" w:themeFillTint="3F"/>
      </w:tcPr>
    </w:tblStylePr>
  </w:style>
  <w:style w:type="table" w:styleId="LightShading-Accent6">
    <w:name w:val="Light Shading Accent 6"/>
    <w:basedOn w:val="TableNormal"/>
    <w:uiPriority w:val="60"/>
    <w:pPr>
      <w:spacing w:after="0"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uiPriority w:val="1"/>
    <w:unhideWhenUsed/>
    <w:qFormat/>
    <w:rsid w:val="00F47F9A"/>
    <w:pPr>
      <w:ind w:left="360" w:hanging="360"/>
    </w:pPr>
    <w:rPr>
      <w:rFonts w:ascii="Calibri Light" w:hAnsi="Calibri Light"/>
      <w:color w:val="323536" w:themeColor="background2" w:themeShade="40"/>
      <w:spacing w:val="20"/>
    </w:rPr>
  </w:style>
  <w:style w:type="paragraph" w:styleId="ListBullet2">
    <w:name w:val="List Bullet 2"/>
    <w:basedOn w:val="Normal"/>
    <w:uiPriority w:val="99"/>
    <w:semiHidden/>
    <w:unhideWhenUsed/>
    <w:pPr>
      <w:numPr>
        <w:numId w:val="1"/>
      </w:numPr>
      <w:contextualSpacing/>
    </w:pPr>
  </w:style>
  <w:style w:type="paragraph" w:styleId="ListBullet3">
    <w:name w:val="List Bullet 3"/>
    <w:basedOn w:val="Normal"/>
    <w:uiPriority w:val="99"/>
    <w:semiHidden/>
    <w:unhideWhenUsed/>
    <w:pPr>
      <w:numPr>
        <w:numId w:val="2"/>
      </w:numPr>
      <w:contextualSpacing/>
    </w:pPr>
  </w:style>
  <w:style w:type="paragraph" w:styleId="ListBullet4">
    <w:name w:val="List Bullet 4"/>
    <w:basedOn w:val="Normal"/>
    <w:uiPriority w:val="99"/>
    <w:semiHidden/>
    <w:unhideWhenUsed/>
    <w:pPr>
      <w:numPr>
        <w:numId w:val="3"/>
      </w:numPr>
      <w:contextualSpacing/>
    </w:pPr>
  </w:style>
  <w:style w:type="paragraph" w:styleId="ListBullet5">
    <w:name w:val="List Bullet 5"/>
    <w:basedOn w:val="Normal"/>
    <w:uiPriority w:val="99"/>
    <w:semiHidden/>
    <w:unhideWhenUsed/>
    <w:pPr>
      <w:numPr>
        <w:numId w:val="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rsid w:val="00AC2D86"/>
    <w:pPr>
      <w:numPr>
        <w:numId w:val="5"/>
      </w:numPr>
      <w:contextualSpacing/>
    </w:pPr>
  </w:style>
  <w:style w:type="paragraph" w:styleId="ListNumber2">
    <w:name w:val="List Number 2"/>
    <w:uiPriority w:val="1"/>
    <w:unhideWhenUsed/>
    <w:qFormat/>
    <w:rsid w:val="0023054B"/>
    <w:pPr>
      <w:numPr>
        <w:ilvl w:val="1"/>
        <w:numId w:val="5"/>
      </w:numPr>
      <w:contextualSpacing/>
    </w:pPr>
    <w:rPr>
      <w:rFonts w:ascii="Montserrat Ultra Light" w:hAnsi="Montserrat Ultra Light"/>
      <w:color w:val="323536" w:themeColor="background2" w:themeShade="40"/>
      <w:kern w:val="20"/>
      <w:szCs w:val="19"/>
    </w:rPr>
  </w:style>
  <w:style w:type="paragraph" w:styleId="ListNumber3">
    <w:name w:val="List Number 3"/>
    <w:uiPriority w:val="18"/>
    <w:unhideWhenUsed/>
    <w:qFormat/>
    <w:rsid w:val="002B3A49"/>
    <w:pPr>
      <w:numPr>
        <w:ilvl w:val="2"/>
        <w:numId w:val="5"/>
      </w:numPr>
      <w:contextualSpacing/>
    </w:pPr>
    <w:rPr>
      <w:kern w:val="20"/>
    </w:rPr>
  </w:style>
  <w:style w:type="paragraph" w:styleId="ListNumber4">
    <w:name w:val="List Number 4"/>
    <w:basedOn w:val="Normal"/>
    <w:uiPriority w:val="18"/>
    <w:semiHidden/>
    <w:unhideWhenUsed/>
    <w:pPr>
      <w:numPr>
        <w:ilvl w:val="3"/>
        <w:numId w:val="5"/>
      </w:numPr>
      <w:contextualSpacing/>
    </w:pPr>
  </w:style>
  <w:style w:type="paragraph" w:styleId="ListNumber5">
    <w:name w:val="List Number 5"/>
    <w:basedOn w:val="Normal"/>
    <w:uiPriority w:val="18"/>
    <w:semiHidden/>
    <w:unhideWhenUsed/>
    <w:pPr>
      <w:numPr>
        <w:ilvl w:val="4"/>
        <w:numId w:val="5"/>
      </w:numPr>
      <w:contextualSpacing/>
    </w:pPr>
  </w:style>
  <w:style w:type="paragraph" w:styleId="ListParagraph">
    <w:name w:val="List Paragraph"/>
    <w:aliases w:val="Recommendation,Bullet point,List Paragraph1,List Paragraph11,List Paragraph Number,Bullet Point,L,Bullet points,Content descriptions,Bulleted Para,NFP GP Bulleted List,bullet point list,List Paragraph2,Bullets,CV text,Dot pt,FooterText,L1"/>
    <w:basedOn w:val="Normal"/>
    <w:link w:val="ListParagraphChar"/>
    <w:uiPriority w:val="34"/>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084E85" w:themeColor="text1" w:themeTint="BF"/>
        <w:left w:val="single" w:sz="8" w:space="0" w:color="084E85" w:themeColor="text1" w:themeTint="BF"/>
        <w:bottom w:val="single" w:sz="8" w:space="0" w:color="084E85" w:themeColor="text1" w:themeTint="BF"/>
        <w:right w:val="single" w:sz="8" w:space="0" w:color="084E85" w:themeColor="text1" w:themeTint="BF"/>
        <w:insideH w:val="single" w:sz="8" w:space="0" w:color="084E85" w:themeColor="text1" w:themeTint="BF"/>
        <w:insideV w:val="single" w:sz="8" w:space="0" w:color="084E85" w:themeColor="text1" w:themeTint="BF"/>
      </w:tblBorders>
    </w:tblPr>
    <w:tcPr>
      <w:shd w:val="clear" w:color="auto" w:fill="8CC8F8" w:themeFill="text1" w:themeFillTint="3F"/>
    </w:tcPr>
    <w:tblStylePr w:type="firstRow">
      <w:rPr>
        <w:b/>
        <w:bCs/>
      </w:rPr>
    </w:tblStylePr>
    <w:tblStylePr w:type="lastRow">
      <w:rPr>
        <w:b/>
        <w:bCs/>
      </w:rPr>
      <w:tblPr/>
      <w:tcPr>
        <w:tcBorders>
          <w:top w:val="single" w:sz="18" w:space="0" w:color="084E85" w:themeColor="text1" w:themeTint="BF"/>
        </w:tcBorders>
      </w:tcPr>
    </w:tblStylePr>
    <w:tblStylePr w:type="firstCol">
      <w:rPr>
        <w:b/>
        <w:bCs/>
      </w:rPr>
    </w:tblStylePr>
    <w:tblStylePr w:type="lastCol">
      <w:rPr>
        <w:b/>
        <w:bCs/>
      </w:rPr>
    </w:tblStylePr>
    <w:tblStylePr w:type="band1Vert">
      <w:tblPr/>
      <w:tcPr>
        <w:shd w:val="clear" w:color="auto" w:fill="1791F1" w:themeFill="text1" w:themeFillTint="7F"/>
      </w:tcPr>
    </w:tblStylePr>
    <w:tblStylePr w:type="band1Horz">
      <w:tblPr/>
      <w:tcPr>
        <w:shd w:val="clear" w:color="auto" w:fill="1791F1"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3F6080" w:themeColor="accent1" w:themeTint="BF"/>
        <w:left w:val="single" w:sz="8" w:space="0" w:color="3F6080" w:themeColor="accent1" w:themeTint="BF"/>
        <w:bottom w:val="single" w:sz="8" w:space="0" w:color="3F6080" w:themeColor="accent1" w:themeTint="BF"/>
        <w:right w:val="single" w:sz="8" w:space="0" w:color="3F6080" w:themeColor="accent1" w:themeTint="BF"/>
        <w:insideH w:val="single" w:sz="8" w:space="0" w:color="3F6080" w:themeColor="accent1" w:themeTint="BF"/>
        <w:insideV w:val="single" w:sz="8" w:space="0" w:color="3F6080" w:themeColor="accent1" w:themeTint="BF"/>
      </w:tblBorders>
    </w:tblPr>
    <w:tcPr>
      <w:shd w:val="clear" w:color="auto" w:fill="B8CADC" w:themeFill="accent1" w:themeFillTint="3F"/>
    </w:tcPr>
    <w:tblStylePr w:type="firstRow">
      <w:rPr>
        <w:b/>
        <w:bCs/>
      </w:rPr>
    </w:tblStylePr>
    <w:tblStylePr w:type="lastRow">
      <w:rPr>
        <w:b/>
        <w:bCs/>
      </w:rPr>
      <w:tblPr/>
      <w:tcPr>
        <w:tcBorders>
          <w:top w:val="single" w:sz="18" w:space="0" w:color="3F6080" w:themeColor="accent1" w:themeTint="BF"/>
        </w:tcBorders>
      </w:tcPr>
    </w:tblStylePr>
    <w:tblStylePr w:type="firstCol">
      <w:rPr>
        <w:b/>
        <w:bCs/>
      </w:rPr>
    </w:tblStylePr>
    <w:tblStylePr w:type="lastCol">
      <w:rPr>
        <w:b/>
        <w:bCs/>
      </w:rPr>
    </w:tblStylePr>
    <w:tblStylePr w:type="band1Vert">
      <w:tblPr/>
      <w:tcPr>
        <w:shd w:val="clear" w:color="auto" w:fill="7196B9" w:themeFill="accent1" w:themeFillTint="7F"/>
      </w:tcPr>
    </w:tblStylePr>
    <w:tblStylePr w:type="band1Horz">
      <w:tblPr/>
      <w:tcPr>
        <w:shd w:val="clear" w:color="auto" w:fill="7196B9"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B3976E" w:themeColor="accent2" w:themeTint="BF"/>
        <w:left w:val="single" w:sz="8" w:space="0" w:color="B3976E" w:themeColor="accent2" w:themeTint="BF"/>
        <w:bottom w:val="single" w:sz="8" w:space="0" w:color="B3976E" w:themeColor="accent2" w:themeTint="BF"/>
        <w:right w:val="single" w:sz="8" w:space="0" w:color="B3976E" w:themeColor="accent2" w:themeTint="BF"/>
        <w:insideH w:val="single" w:sz="8" w:space="0" w:color="B3976E" w:themeColor="accent2" w:themeTint="BF"/>
        <w:insideV w:val="single" w:sz="8" w:space="0" w:color="B3976E" w:themeColor="accent2" w:themeTint="BF"/>
      </w:tblBorders>
    </w:tblPr>
    <w:tcPr>
      <w:shd w:val="clear" w:color="auto" w:fill="E6DCCF" w:themeFill="accent2" w:themeFillTint="3F"/>
    </w:tcPr>
    <w:tblStylePr w:type="firstRow">
      <w:rPr>
        <w:b/>
        <w:bCs/>
      </w:rPr>
    </w:tblStylePr>
    <w:tblStylePr w:type="lastRow">
      <w:rPr>
        <w:b/>
        <w:bCs/>
      </w:rPr>
      <w:tblPr/>
      <w:tcPr>
        <w:tcBorders>
          <w:top w:val="single" w:sz="18" w:space="0" w:color="B3976E" w:themeColor="accent2" w:themeTint="BF"/>
        </w:tcBorders>
      </w:tcPr>
    </w:tblStylePr>
    <w:tblStylePr w:type="firstCol">
      <w:rPr>
        <w:b/>
        <w:bCs/>
      </w:rPr>
    </w:tblStylePr>
    <w:tblStylePr w:type="lastCol">
      <w:rPr>
        <w:b/>
        <w:bCs/>
      </w:rPr>
    </w:tblStylePr>
    <w:tblStylePr w:type="band1Vert">
      <w:tblPr/>
      <w:tcPr>
        <w:shd w:val="clear" w:color="auto" w:fill="CCBA9E" w:themeFill="accent2" w:themeFillTint="7F"/>
      </w:tcPr>
    </w:tblStylePr>
    <w:tblStylePr w:type="band1Horz">
      <w:tblPr/>
      <w:tcPr>
        <w:shd w:val="clear" w:color="auto" w:fill="CCBA9E"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09CCD5" w:themeColor="accent3" w:themeTint="BF"/>
        <w:left w:val="single" w:sz="8" w:space="0" w:color="09CCD5" w:themeColor="accent3" w:themeTint="BF"/>
        <w:bottom w:val="single" w:sz="8" w:space="0" w:color="09CCD5" w:themeColor="accent3" w:themeTint="BF"/>
        <w:right w:val="single" w:sz="8" w:space="0" w:color="09CCD5" w:themeColor="accent3" w:themeTint="BF"/>
        <w:insideH w:val="single" w:sz="8" w:space="0" w:color="09CCD5" w:themeColor="accent3" w:themeTint="BF"/>
        <w:insideV w:val="single" w:sz="8" w:space="0" w:color="09CCD5" w:themeColor="accent3" w:themeTint="BF"/>
      </w:tblBorders>
    </w:tblPr>
    <w:tcPr>
      <w:shd w:val="clear" w:color="auto" w:fill="A3F7FB" w:themeFill="accent3" w:themeFillTint="3F"/>
    </w:tcPr>
    <w:tblStylePr w:type="firstRow">
      <w:rPr>
        <w:b/>
        <w:bCs/>
      </w:rPr>
    </w:tblStylePr>
    <w:tblStylePr w:type="lastRow">
      <w:rPr>
        <w:b/>
        <w:bCs/>
      </w:rPr>
      <w:tblPr/>
      <w:tcPr>
        <w:tcBorders>
          <w:top w:val="single" w:sz="18" w:space="0" w:color="09CCD5" w:themeColor="accent3" w:themeTint="BF"/>
        </w:tcBorders>
      </w:tcPr>
    </w:tblStylePr>
    <w:tblStylePr w:type="firstCol">
      <w:rPr>
        <w:b/>
        <w:bCs/>
      </w:rPr>
    </w:tblStylePr>
    <w:tblStylePr w:type="lastCol">
      <w:rPr>
        <w:b/>
        <w:bCs/>
      </w:rPr>
    </w:tblStylePr>
    <w:tblStylePr w:type="band1Vert">
      <w:tblPr/>
      <w:tcPr>
        <w:shd w:val="clear" w:color="auto" w:fill="47EFF7" w:themeFill="accent3" w:themeFillTint="7F"/>
      </w:tcPr>
    </w:tblStylePr>
    <w:tblStylePr w:type="band1Horz">
      <w:tblPr/>
      <w:tcPr>
        <w:shd w:val="clear" w:color="auto" w:fill="47EFF7"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914C82" w:themeColor="accent4" w:themeTint="BF"/>
        <w:left w:val="single" w:sz="8" w:space="0" w:color="914C82" w:themeColor="accent4" w:themeTint="BF"/>
        <w:bottom w:val="single" w:sz="8" w:space="0" w:color="914C82" w:themeColor="accent4" w:themeTint="BF"/>
        <w:right w:val="single" w:sz="8" w:space="0" w:color="914C82" w:themeColor="accent4" w:themeTint="BF"/>
        <w:insideH w:val="single" w:sz="8" w:space="0" w:color="914C82" w:themeColor="accent4" w:themeTint="BF"/>
        <w:insideV w:val="single" w:sz="8" w:space="0" w:color="914C82" w:themeColor="accent4" w:themeTint="BF"/>
      </w:tblBorders>
    </w:tblPr>
    <w:tcPr>
      <w:shd w:val="clear" w:color="auto" w:fill="DEC0D8" w:themeFill="accent4" w:themeFillTint="3F"/>
    </w:tcPr>
    <w:tblStylePr w:type="firstRow">
      <w:rPr>
        <w:b/>
        <w:bCs/>
      </w:rPr>
    </w:tblStylePr>
    <w:tblStylePr w:type="lastRow">
      <w:rPr>
        <w:b/>
        <w:bCs/>
      </w:rPr>
      <w:tblPr/>
      <w:tcPr>
        <w:tcBorders>
          <w:top w:val="single" w:sz="18" w:space="0" w:color="914C82" w:themeColor="accent4" w:themeTint="BF"/>
        </w:tcBorders>
      </w:tcPr>
    </w:tblStylePr>
    <w:tblStylePr w:type="firstCol">
      <w:rPr>
        <w:b/>
        <w:bCs/>
      </w:rPr>
    </w:tblStylePr>
    <w:tblStylePr w:type="lastCol">
      <w:rPr>
        <w:b/>
        <w:bCs/>
      </w:rPr>
    </w:tblStylePr>
    <w:tblStylePr w:type="band1Vert">
      <w:tblPr/>
      <w:tcPr>
        <w:shd w:val="clear" w:color="auto" w:fill="BD81B0" w:themeFill="accent4" w:themeFillTint="7F"/>
      </w:tcPr>
    </w:tblStylePr>
    <w:tblStylePr w:type="band1Horz">
      <w:tblPr/>
      <w:tcPr>
        <w:shd w:val="clear" w:color="auto" w:fill="BD81B0"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D53B4F" w:themeColor="accent5" w:themeTint="BF"/>
        <w:left w:val="single" w:sz="8" w:space="0" w:color="D53B4F" w:themeColor="accent5" w:themeTint="BF"/>
        <w:bottom w:val="single" w:sz="8" w:space="0" w:color="D53B4F" w:themeColor="accent5" w:themeTint="BF"/>
        <w:right w:val="single" w:sz="8" w:space="0" w:color="D53B4F" w:themeColor="accent5" w:themeTint="BF"/>
        <w:insideH w:val="single" w:sz="8" w:space="0" w:color="D53B4F" w:themeColor="accent5" w:themeTint="BF"/>
        <w:insideV w:val="single" w:sz="8" w:space="0" w:color="D53B4F" w:themeColor="accent5" w:themeTint="BF"/>
      </w:tblBorders>
    </w:tblPr>
    <w:tcPr>
      <w:shd w:val="clear" w:color="auto" w:fill="F1BEC5" w:themeFill="accent5" w:themeFillTint="3F"/>
    </w:tcPr>
    <w:tblStylePr w:type="firstRow">
      <w:rPr>
        <w:b/>
        <w:bCs/>
      </w:rPr>
    </w:tblStylePr>
    <w:tblStylePr w:type="lastRow">
      <w:rPr>
        <w:b/>
        <w:bCs/>
      </w:rPr>
      <w:tblPr/>
      <w:tcPr>
        <w:tcBorders>
          <w:top w:val="single" w:sz="18" w:space="0" w:color="D53B4F" w:themeColor="accent5" w:themeTint="BF"/>
        </w:tcBorders>
      </w:tcPr>
    </w:tblStylePr>
    <w:tblStylePr w:type="firstCol">
      <w:rPr>
        <w:b/>
        <w:bCs/>
      </w:rPr>
    </w:tblStylePr>
    <w:tblStylePr w:type="lastCol">
      <w:rPr>
        <w:b/>
        <w:bCs/>
      </w:rPr>
    </w:tblStylePr>
    <w:tblStylePr w:type="band1Vert">
      <w:tblPr/>
      <w:tcPr>
        <w:shd w:val="clear" w:color="auto" w:fill="E37C8A" w:themeFill="accent5" w:themeFillTint="7F"/>
      </w:tcPr>
    </w:tblStylePr>
    <w:tblStylePr w:type="band1Horz">
      <w:tblPr/>
      <w:tcPr>
        <w:shd w:val="clear" w:color="auto" w:fill="E37C8A"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010A11" w:themeColor="text1"/>
        <w:left w:val="single" w:sz="8" w:space="0" w:color="010A11" w:themeColor="text1"/>
        <w:bottom w:val="single" w:sz="8" w:space="0" w:color="010A11" w:themeColor="text1"/>
        <w:right w:val="single" w:sz="8" w:space="0" w:color="010A11" w:themeColor="text1"/>
        <w:insideH w:val="single" w:sz="8" w:space="0" w:color="010A11" w:themeColor="text1"/>
        <w:insideV w:val="single" w:sz="8" w:space="0" w:color="010A11" w:themeColor="text1"/>
      </w:tblBorders>
    </w:tblPr>
    <w:tcPr>
      <w:shd w:val="clear" w:color="auto" w:fill="8CC8F8" w:themeFill="text1" w:themeFillTint="3F"/>
    </w:tcPr>
    <w:tblStylePr w:type="firstRow">
      <w:rPr>
        <w:b/>
        <w:bCs/>
        <w:color w:val="010A11" w:themeColor="text1"/>
      </w:rPr>
      <w:tblPr/>
      <w:tcPr>
        <w:shd w:val="clear" w:color="auto" w:fill="D1E9FC" w:themeFill="text1"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A1D3F9" w:themeFill="text1" w:themeFillTint="33"/>
      </w:tcPr>
    </w:tblStylePr>
    <w:tblStylePr w:type="band1Vert">
      <w:tblPr/>
      <w:tcPr>
        <w:shd w:val="clear" w:color="auto" w:fill="1791F1" w:themeFill="text1" w:themeFillTint="7F"/>
      </w:tcPr>
    </w:tblStylePr>
    <w:tblStylePr w:type="band1Horz">
      <w:tblPr/>
      <w:tcPr>
        <w:tcBorders>
          <w:insideH w:val="single" w:sz="6" w:space="0" w:color="010A11" w:themeColor="text1"/>
          <w:insideV w:val="single" w:sz="6" w:space="0" w:color="010A11" w:themeColor="text1"/>
        </w:tcBorders>
        <w:shd w:val="clear" w:color="auto" w:fill="1791F1" w:themeFill="text1" w:themeFillTint="7F"/>
      </w:tcPr>
    </w:tblStylePr>
    <w:tblStylePr w:type="nwCell">
      <w:tblPr/>
      <w:tcPr>
        <w:shd w:val="clear" w:color="auto" w:fill="262626"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1C2B39" w:themeColor="accent1"/>
        <w:left w:val="single" w:sz="8" w:space="0" w:color="1C2B39" w:themeColor="accent1"/>
        <w:bottom w:val="single" w:sz="8" w:space="0" w:color="1C2B39" w:themeColor="accent1"/>
        <w:right w:val="single" w:sz="8" w:space="0" w:color="1C2B39" w:themeColor="accent1"/>
        <w:insideH w:val="single" w:sz="8" w:space="0" w:color="1C2B39" w:themeColor="accent1"/>
        <w:insideV w:val="single" w:sz="8" w:space="0" w:color="1C2B39" w:themeColor="accent1"/>
      </w:tblBorders>
    </w:tblPr>
    <w:tcPr>
      <w:shd w:val="clear" w:color="auto" w:fill="B8CADC" w:themeFill="accent1" w:themeFillTint="3F"/>
    </w:tcPr>
    <w:tblStylePr w:type="firstRow">
      <w:rPr>
        <w:b/>
        <w:bCs/>
        <w:color w:val="010A11" w:themeColor="text1"/>
      </w:rPr>
      <w:tblPr/>
      <w:tcPr>
        <w:shd w:val="clear" w:color="auto" w:fill="E3EAF1" w:themeFill="accent1"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C6D4E3" w:themeFill="accent1" w:themeFillTint="33"/>
      </w:tcPr>
    </w:tblStylePr>
    <w:tblStylePr w:type="band1Vert">
      <w:tblPr/>
      <w:tcPr>
        <w:shd w:val="clear" w:color="auto" w:fill="7196B9" w:themeFill="accent1" w:themeFillTint="7F"/>
      </w:tcPr>
    </w:tblStylePr>
    <w:tblStylePr w:type="band1Horz">
      <w:tblPr/>
      <w:tcPr>
        <w:tcBorders>
          <w:insideH w:val="single" w:sz="6" w:space="0" w:color="1C2B39" w:themeColor="accent1"/>
          <w:insideV w:val="single" w:sz="6" w:space="0" w:color="1C2B39" w:themeColor="accent1"/>
        </w:tcBorders>
        <w:shd w:val="clear" w:color="auto" w:fill="7196B9" w:themeFill="accent1" w:themeFillTint="7F"/>
      </w:tcPr>
    </w:tblStylePr>
    <w:tblStylePr w:type="nwCell">
      <w:tblPr/>
      <w:tcPr>
        <w:shd w:val="clear" w:color="auto" w:fill="262626"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8E734A" w:themeColor="accent2"/>
        <w:left w:val="single" w:sz="8" w:space="0" w:color="8E734A" w:themeColor="accent2"/>
        <w:bottom w:val="single" w:sz="8" w:space="0" w:color="8E734A" w:themeColor="accent2"/>
        <w:right w:val="single" w:sz="8" w:space="0" w:color="8E734A" w:themeColor="accent2"/>
        <w:insideH w:val="single" w:sz="8" w:space="0" w:color="8E734A" w:themeColor="accent2"/>
        <w:insideV w:val="single" w:sz="8" w:space="0" w:color="8E734A" w:themeColor="accent2"/>
      </w:tblBorders>
    </w:tblPr>
    <w:tcPr>
      <w:shd w:val="clear" w:color="auto" w:fill="E6DCCF" w:themeFill="accent2" w:themeFillTint="3F"/>
    </w:tcPr>
    <w:tblStylePr w:type="firstRow">
      <w:rPr>
        <w:b/>
        <w:bCs/>
        <w:color w:val="010A11" w:themeColor="text1"/>
      </w:rPr>
      <w:tblPr/>
      <w:tcPr>
        <w:shd w:val="clear" w:color="auto" w:fill="F5F1EB" w:themeFill="accent2"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EAE3D8" w:themeFill="accent2" w:themeFillTint="33"/>
      </w:tcPr>
    </w:tblStylePr>
    <w:tblStylePr w:type="band1Vert">
      <w:tblPr/>
      <w:tcPr>
        <w:shd w:val="clear" w:color="auto" w:fill="CCBA9E" w:themeFill="accent2" w:themeFillTint="7F"/>
      </w:tcPr>
    </w:tblStylePr>
    <w:tblStylePr w:type="band1Horz">
      <w:tblPr/>
      <w:tcPr>
        <w:tcBorders>
          <w:insideH w:val="single" w:sz="6" w:space="0" w:color="8E734A" w:themeColor="accent2"/>
          <w:insideV w:val="single" w:sz="6" w:space="0" w:color="8E734A" w:themeColor="accent2"/>
        </w:tcBorders>
        <w:shd w:val="clear" w:color="auto" w:fill="CCBA9E" w:themeFill="accent2" w:themeFillTint="7F"/>
      </w:tcPr>
    </w:tblStylePr>
    <w:tblStylePr w:type="nwCell">
      <w:tblPr/>
      <w:tcPr>
        <w:shd w:val="clear" w:color="auto" w:fill="262626"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057479" w:themeColor="accent3"/>
        <w:left w:val="single" w:sz="8" w:space="0" w:color="057479" w:themeColor="accent3"/>
        <w:bottom w:val="single" w:sz="8" w:space="0" w:color="057479" w:themeColor="accent3"/>
        <w:right w:val="single" w:sz="8" w:space="0" w:color="057479" w:themeColor="accent3"/>
        <w:insideH w:val="single" w:sz="8" w:space="0" w:color="057479" w:themeColor="accent3"/>
        <w:insideV w:val="single" w:sz="8" w:space="0" w:color="057479" w:themeColor="accent3"/>
      </w:tblBorders>
    </w:tblPr>
    <w:tcPr>
      <w:shd w:val="clear" w:color="auto" w:fill="A3F7FB" w:themeFill="accent3" w:themeFillTint="3F"/>
    </w:tcPr>
    <w:tblStylePr w:type="firstRow">
      <w:rPr>
        <w:b/>
        <w:bCs/>
        <w:color w:val="010A11" w:themeColor="text1"/>
      </w:rPr>
      <w:tblPr/>
      <w:tcPr>
        <w:shd w:val="clear" w:color="auto" w:fill="DAFCFD" w:themeFill="accent3"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B5F8FC" w:themeFill="accent3" w:themeFillTint="33"/>
      </w:tcPr>
    </w:tblStylePr>
    <w:tblStylePr w:type="band1Vert">
      <w:tblPr/>
      <w:tcPr>
        <w:shd w:val="clear" w:color="auto" w:fill="47EFF7" w:themeFill="accent3" w:themeFillTint="7F"/>
      </w:tcPr>
    </w:tblStylePr>
    <w:tblStylePr w:type="band1Horz">
      <w:tblPr/>
      <w:tcPr>
        <w:tcBorders>
          <w:insideH w:val="single" w:sz="6" w:space="0" w:color="057479" w:themeColor="accent3"/>
          <w:insideV w:val="single" w:sz="6" w:space="0" w:color="057479" w:themeColor="accent3"/>
        </w:tcBorders>
        <w:shd w:val="clear" w:color="auto" w:fill="47EFF7" w:themeFill="accent3" w:themeFillTint="7F"/>
      </w:tcPr>
    </w:tblStylePr>
    <w:tblStylePr w:type="nwCell">
      <w:tblPr/>
      <w:tcPr>
        <w:shd w:val="clear" w:color="auto" w:fill="262626"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522B4A" w:themeColor="accent4"/>
        <w:left w:val="single" w:sz="8" w:space="0" w:color="522B4A" w:themeColor="accent4"/>
        <w:bottom w:val="single" w:sz="8" w:space="0" w:color="522B4A" w:themeColor="accent4"/>
        <w:right w:val="single" w:sz="8" w:space="0" w:color="522B4A" w:themeColor="accent4"/>
        <w:insideH w:val="single" w:sz="8" w:space="0" w:color="522B4A" w:themeColor="accent4"/>
        <w:insideV w:val="single" w:sz="8" w:space="0" w:color="522B4A" w:themeColor="accent4"/>
      </w:tblBorders>
    </w:tblPr>
    <w:tcPr>
      <w:shd w:val="clear" w:color="auto" w:fill="DEC0D8" w:themeFill="accent4" w:themeFillTint="3F"/>
    </w:tcPr>
    <w:tblStylePr w:type="firstRow">
      <w:rPr>
        <w:b/>
        <w:bCs/>
        <w:color w:val="010A11" w:themeColor="text1"/>
      </w:rPr>
      <w:tblPr/>
      <w:tcPr>
        <w:shd w:val="clear" w:color="auto" w:fill="F2E6EF" w:themeFill="accent4"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E4CCDF" w:themeFill="accent4" w:themeFillTint="33"/>
      </w:tcPr>
    </w:tblStylePr>
    <w:tblStylePr w:type="band1Vert">
      <w:tblPr/>
      <w:tcPr>
        <w:shd w:val="clear" w:color="auto" w:fill="BD81B0" w:themeFill="accent4" w:themeFillTint="7F"/>
      </w:tcPr>
    </w:tblStylePr>
    <w:tblStylePr w:type="band1Horz">
      <w:tblPr/>
      <w:tcPr>
        <w:tcBorders>
          <w:insideH w:val="single" w:sz="6" w:space="0" w:color="522B4A" w:themeColor="accent4"/>
          <w:insideV w:val="single" w:sz="6" w:space="0" w:color="522B4A" w:themeColor="accent4"/>
        </w:tcBorders>
        <w:shd w:val="clear" w:color="auto" w:fill="BD81B0" w:themeFill="accent4" w:themeFillTint="7F"/>
      </w:tcPr>
    </w:tblStylePr>
    <w:tblStylePr w:type="nwCell">
      <w:tblPr/>
      <w:tcPr>
        <w:shd w:val="clear" w:color="auto" w:fill="262626"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9F2233" w:themeColor="accent5"/>
        <w:left w:val="single" w:sz="8" w:space="0" w:color="9F2233" w:themeColor="accent5"/>
        <w:bottom w:val="single" w:sz="8" w:space="0" w:color="9F2233" w:themeColor="accent5"/>
        <w:right w:val="single" w:sz="8" w:space="0" w:color="9F2233" w:themeColor="accent5"/>
        <w:insideH w:val="single" w:sz="8" w:space="0" w:color="9F2233" w:themeColor="accent5"/>
        <w:insideV w:val="single" w:sz="8" w:space="0" w:color="9F2233" w:themeColor="accent5"/>
      </w:tblBorders>
    </w:tblPr>
    <w:tcPr>
      <w:shd w:val="clear" w:color="auto" w:fill="F1BEC5" w:themeFill="accent5" w:themeFillTint="3F"/>
    </w:tcPr>
    <w:tblStylePr w:type="firstRow">
      <w:rPr>
        <w:b/>
        <w:bCs/>
        <w:color w:val="010A11" w:themeColor="text1"/>
      </w:rPr>
      <w:tblPr/>
      <w:tcPr>
        <w:shd w:val="clear" w:color="auto" w:fill="F9E5E7" w:themeFill="accent5"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F3CAD0" w:themeFill="accent5" w:themeFillTint="33"/>
      </w:tcPr>
    </w:tblStylePr>
    <w:tblStylePr w:type="band1Vert">
      <w:tblPr/>
      <w:tcPr>
        <w:shd w:val="clear" w:color="auto" w:fill="E37C8A" w:themeFill="accent5" w:themeFillTint="7F"/>
      </w:tcPr>
    </w:tblStylePr>
    <w:tblStylePr w:type="band1Horz">
      <w:tblPr/>
      <w:tcPr>
        <w:tcBorders>
          <w:insideH w:val="single" w:sz="6" w:space="0" w:color="9F2233" w:themeColor="accent5"/>
          <w:insideV w:val="single" w:sz="6" w:space="0" w:color="9F2233" w:themeColor="accent5"/>
        </w:tcBorders>
        <w:shd w:val="clear" w:color="auto" w:fill="E37C8A" w:themeFill="accent5" w:themeFillTint="7F"/>
      </w:tcPr>
    </w:tblStylePr>
    <w:tblStylePr w:type="nwCell">
      <w:tblPr/>
      <w:tcPr>
        <w:shd w:val="clear" w:color="auto" w:fill="262626"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010A11" w:themeColor="text1"/>
      </w:rPr>
      <w:tblPr/>
      <w:tcPr>
        <w:shd w:val="clear" w:color="auto" w:fill="FFF8E6" w:themeFill="accent6" w:themeFillTint="19"/>
      </w:tcPr>
    </w:tblStylePr>
    <w:tblStylePr w:type="lastRow">
      <w:rPr>
        <w:b/>
        <w:bCs/>
        <w:color w:val="010A11" w:themeColor="text1"/>
      </w:rPr>
      <w:tblPr/>
      <w:tcPr>
        <w:tcBorders>
          <w:top w:val="single" w:sz="12" w:space="0" w:color="010A11" w:themeColor="text1"/>
          <w:left w:val="nil"/>
          <w:bottom w:val="nil"/>
          <w:right w:val="nil"/>
          <w:insideH w:val="nil"/>
          <w:insideV w:val="nil"/>
        </w:tcBorders>
        <w:shd w:val="clear" w:color="auto" w:fill="262626" w:themeFill="background1"/>
      </w:tcPr>
    </w:tblStylePr>
    <w:tblStylePr w:type="firstCol">
      <w:rPr>
        <w:b/>
        <w:bCs/>
        <w:color w:val="010A11" w:themeColor="text1"/>
      </w:rPr>
      <w:tblPr/>
      <w:tcPr>
        <w:tcBorders>
          <w:top w:val="nil"/>
          <w:left w:val="nil"/>
          <w:bottom w:val="nil"/>
          <w:right w:val="nil"/>
          <w:insideH w:val="nil"/>
          <w:insideV w:val="nil"/>
        </w:tcBorders>
        <w:shd w:val="clear" w:color="auto" w:fill="262626" w:themeFill="background1"/>
      </w:tcPr>
    </w:tblStylePr>
    <w:tblStylePr w:type="lastCol">
      <w:rPr>
        <w:b w:val="0"/>
        <w:bCs w:val="0"/>
        <w:color w:val="010A11"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262626"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8CC8F8" w:themeFill="text1"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010A11" w:themeFill="text1"/>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010A11" w:themeFill="text1"/>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010A11" w:themeFill="text1"/>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010A11" w:themeFill="text1"/>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1791F1" w:themeFill="text1"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1791F1"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B8CADC" w:themeFill="accent1"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1C2B39" w:themeFill="accent1"/>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1C2B39" w:themeFill="accent1"/>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1C2B39" w:themeFill="accent1"/>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1C2B39" w:themeFill="accent1"/>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7196B9" w:themeFill="accent1"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7196B9"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E6DCCF" w:themeFill="accent2"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8E734A" w:themeFill="accent2"/>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8E734A" w:themeFill="accent2"/>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8E734A" w:themeFill="accent2"/>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8E734A" w:themeFill="accent2"/>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CCBA9E" w:themeFill="accent2"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CCBA9E"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A3F7FB" w:themeFill="accent3"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057479" w:themeFill="accent3"/>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057479" w:themeFill="accent3"/>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057479" w:themeFill="accent3"/>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057479" w:themeFill="accent3"/>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47EFF7" w:themeFill="accent3"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47EFF7"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DEC0D8" w:themeFill="accent4"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522B4A" w:themeFill="accent4"/>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522B4A" w:themeFill="accent4"/>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522B4A" w:themeFill="accent4"/>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522B4A" w:themeFill="accent4"/>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BD81B0" w:themeFill="accent4"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BD81B0"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F1BEC5" w:themeFill="accent5"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9F2233" w:themeFill="accent5"/>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9F2233" w:themeFill="accent5"/>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9F2233" w:themeFill="accent5"/>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9F2233" w:themeFill="accent5"/>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E37C8A" w:themeFill="accent5"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E37C8A"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6" w:space="0" w:color="262626" w:themeColor="background1"/>
        <w:insideV w:val="single" w:sz="6" w:space="0" w:color="262626" w:themeColor="background1"/>
      </w:tblBorders>
    </w:tblPr>
    <w:tcPr>
      <w:shd w:val="clear" w:color="auto" w:fill="FFEFC0" w:themeFill="accent6" w:themeFillTint="3F"/>
    </w:tcPr>
    <w:tblStylePr w:type="firstRow">
      <w:rPr>
        <w:b/>
        <w:bCs/>
        <w:i w:val="0"/>
        <w:iCs w:val="0"/>
        <w:color w:val="262626" w:themeColor="background1"/>
      </w:rPr>
      <w:tblPr/>
      <w:tcPr>
        <w:tcBorders>
          <w:top w:val="single" w:sz="8" w:space="0" w:color="262626" w:themeColor="background1"/>
          <w:left w:val="single" w:sz="8" w:space="0" w:color="262626" w:themeColor="background1"/>
          <w:bottom w:val="single" w:sz="24" w:space="0" w:color="262626" w:themeColor="background1"/>
          <w:right w:val="single" w:sz="8" w:space="0" w:color="262626" w:themeColor="background1"/>
          <w:insideH w:val="nil"/>
          <w:insideV w:val="single" w:sz="8" w:space="0" w:color="262626" w:themeColor="background1"/>
        </w:tcBorders>
        <w:shd w:val="clear" w:color="auto" w:fill="FFC000" w:themeFill="accent6"/>
      </w:tcPr>
    </w:tblStylePr>
    <w:tblStylePr w:type="lastRow">
      <w:rPr>
        <w:b/>
        <w:bCs/>
        <w:i w:val="0"/>
        <w:iCs w:val="0"/>
        <w:color w:val="262626" w:themeColor="background1"/>
      </w:rPr>
      <w:tblPr/>
      <w:tcPr>
        <w:tcBorders>
          <w:top w:val="single" w:sz="24" w:space="0" w:color="262626" w:themeColor="background1"/>
          <w:left w:val="single" w:sz="8" w:space="0" w:color="262626" w:themeColor="background1"/>
          <w:bottom w:val="single" w:sz="8" w:space="0" w:color="262626" w:themeColor="background1"/>
          <w:right w:val="single" w:sz="8" w:space="0" w:color="262626" w:themeColor="background1"/>
          <w:insideH w:val="nil"/>
          <w:insideV w:val="single" w:sz="8" w:space="0" w:color="262626" w:themeColor="background1"/>
        </w:tcBorders>
        <w:shd w:val="clear" w:color="auto" w:fill="FFC000" w:themeFill="accent6"/>
      </w:tcPr>
    </w:tblStylePr>
    <w:tblStylePr w:type="firstCol">
      <w:rPr>
        <w:b/>
        <w:bCs/>
        <w:i w:val="0"/>
        <w:iCs w:val="0"/>
        <w:color w:val="262626" w:themeColor="background1"/>
      </w:rPr>
      <w:tblPr/>
      <w:tcPr>
        <w:tcBorders>
          <w:left w:val="single" w:sz="8" w:space="0" w:color="262626" w:themeColor="background1"/>
          <w:right w:val="single" w:sz="24" w:space="0" w:color="262626" w:themeColor="background1"/>
          <w:insideH w:val="nil"/>
          <w:insideV w:val="nil"/>
        </w:tcBorders>
        <w:shd w:val="clear" w:color="auto" w:fill="FFC000" w:themeFill="accent6"/>
      </w:tcPr>
    </w:tblStylePr>
    <w:tblStylePr w:type="lastCol">
      <w:rPr>
        <w:b/>
        <w:bCs/>
        <w:i w:val="0"/>
        <w:iCs w:val="0"/>
        <w:color w:val="262626" w:themeColor="background1"/>
      </w:rPr>
      <w:tblPr/>
      <w:tcPr>
        <w:tcBorders>
          <w:top w:val="nil"/>
          <w:left w:val="single" w:sz="24" w:space="0" w:color="262626" w:themeColor="background1"/>
          <w:bottom w:val="nil"/>
          <w:right w:val="nil"/>
          <w:insideH w:val="nil"/>
          <w:insideV w:val="nil"/>
        </w:tcBorders>
        <w:shd w:val="clear" w:color="auto" w:fill="FFC000" w:themeFill="accent6"/>
      </w:tcPr>
    </w:tblStylePr>
    <w:tblStylePr w:type="band1Vert">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nil"/>
          <w:insideV w:val="nil"/>
        </w:tcBorders>
        <w:shd w:val="clear" w:color="auto" w:fill="FFDF80" w:themeFill="accent6" w:themeFillTint="7F"/>
      </w:tcPr>
    </w:tblStylePr>
    <w:tblStylePr w:type="band1Horz">
      <w:tblPr/>
      <w:tcPr>
        <w:tcBorders>
          <w:top w:val="single" w:sz="8" w:space="0" w:color="262626" w:themeColor="background1"/>
          <w:left w:val="single" w:sz="8" w:space="0" w:color="262626" w:themeColor="background1"/>
          <w:bottom w:val="single" w:sz="8" w:space="0" w:color="262626" w:themeColor="background1"/>
          <w:right w:val="single" w:sz="8" w:space="0" w:color="262626" w:themeColor="background1"/>
          <w:insideH w:val="single" w:sz="8" w:space="0" w:color="262626" w:themeColor="background1"/>
          <w:insideV w:val="single" w:sz="8" w:space="0" w:color="262626" w:themeColor="background1"/>
        </w:tcBorders>
        <w:shd w:val="clear" w:color="auto" w:fill="FFDF80" w:themeFill="accent6" w:themeFillTint="7F"/>
      </w:tcPr>
    </w:tblStylePr>
  </w:style>
  <w:style w:type="table" w:styleId="MediumList1">
    <w:name w:val="Medium List 1"/>
    <w:basedOn w:val="TableNormal"/>
    <w:uiPriority w:val="65"/>
    <w:pPr>
      <w:spacing w:after="0" w:line="240" w:lineRule="auto"/>
    </w:pPr>
    <w:rPr>
      <w:color w:val="010A11" w:themeColor="text1"/>
    </w:rPr>
    <w:tblPr>
      <w:tblStyleRowBandSize w:val="1"/>
      <w:tblStyleColBandSize w:val="1"/>
      <w:tblBorders>
        <w:top w:val="single" w:sz="8" w:space="0" w:color="010A11" w:themeColor="text1"/>
        <w:bottom w:val="single" w:sz="8" w:space="0" w:color="010A11" w:themeColor="text1"/>
      </w:tblBorders>
    </w:tblPr>
    <w:tblStylePr w:type="firstRow">
      <w:rPr>
        <w:rFonts w:asciiTheme="majorHAnsi" w:eastAsiaTheme="majorEastAsia" w:hAnsiTheme="majorHAnsi" w:cstheme="majorBidi"/>
      </w:rPr>
      <w:tblPr/>
      <w:tcPr>
        <w:tcBorders>
          <w:top w:val="nil"/>
          <w:bottom w:val="single" w:sz="8" w:space="0" w:color="010A11" w:themeColor="text1"/>
        </w:tcBorders>
      </w:tcPr>
    </w:tblStylePr>
    <w:tblStylePr w:type="lastRow">
      <w:rPr>
        <w:b/>
        <w:bCs/>
        <w:color w:val="4A4848" w:themeColor="text2"/>
      </w:rPr>
      <w:tblPr/>
      <w:tcPr>
        <w:tcBorders>
          <w:top w:val="single" w:sz="8" w:space="0" w:color="010A11" w:themeColor="text1"/>
          <w:bottom w:val="single" w:sz="8" w:space="0" w:color="010A11" w:themeColor="text1"/>
        </w:tcBorders>
      </w:tcPr>
    </w:tblStylePr>
    <w:tblStylePr w:type="firstCol">
      <w:rPr>
        <w:b/>
        <w:bCs/>
      </w:rPr>
    </w:tblStylePr>
    <w:tblStylePr w:type="lastCol">
      <w:rPr>
        <w:b/>
        <w:bCs/>
      </w:rPr>
      <w:tblPr/>
      <w:tcPr>
        <w:tcBorders>
          <w:top w:val="single" w:sz="8" w:space="0" w:color="010A11" w:themeColor="text1"/>
          <w:bottom w:val="single" w:sz="8" w:space="0" w:color="010A11" w:themeColor="text1"/>
        </w:tcBorders>
      </w:tcPr>
    </w:tblStylePr>
    <w:tblStylePr w:type="band1Vert">
      <w:tblPr/>
      <w:tcPr>
        <w:shd w:val="clear" w:color="auto" w:fill="8CC8F8" w:themeFill="text1" w:themeFillTint="3F"/>
      </w:tcPr>
    </w:tblStylePr>
    <w:tblStylePr w:type="band1Horz">
      <w:tblPr/>
      <w:tcPr>
        <w:shd w:val="clear" w:color="auto" w:fill="8CC8F8" w:themeFill="text1" w:themeFillTint="3F"/>
      </w:tcPr>
    </w:tblStylePr>
  </w:style>
  <w:style w:type="table" w:styleId="MediumList1-Accent1">
    <w:name w:val="Medium List 1 Accent 1"/>
    <w:basedOn w:val="TableNormal"/>
    <w:uiPriority w:val="65"/>
    <w:pPr>
      <w:spacing w:after="0" w:line="240" w:lineRule="auto"/>
    </w:pPr>
    <w:rPr>
      <w:color w:val="010A11" w:themeColor="text1"/>
    </w:rPr>
    <w:tblPr>
      <w:tblStyleRowBandSize w:val="1"/>
      <w:tblStyleColBandSize w:val="1"/>
      <w:tblBorders>
        <w:top w:val="single" w:sz="8" w:space="0" w:color="1C2B39" w:themeColor="accent1"/>
        <w:bottom w:val="single" w:sz="8" w:space="0" w:color="1C2B39" w:themeColor="accent1"/>
      </w:tblBorders>
    </w:tblPr>
    <w:tblStylePr w:type="firstRow">
      <w:rPr>
        <w:rFonts w:asciiTheme="majorHAnsi" w:eastAsiaTheme="majorEastAsia" w:hAnsiTheme="majorHAnsi" w:cstheme="majorBidi"/>
      </w:rPr>
      <w:tblPr/>
      <w:tcPr>
        <w:tcBorders>
          <w:top w:val="nil"/>
          <w:bottom w:val="single" w:sz="8" w:space="0" w:color="1C2B39" w:themeColor="accent1"/>
        </w:tcBorders>
      </w:tcPr>
    </w:tblStylePr>
    <w:tblStylePr w:type="lastRow">
      <w:rPr>
        <w:b/>
        <w:bCs/>
        <w:color w:val="4A4848" w:themeColor="text2"/>
      </w:rPr>
      <w:tblPr/>
      <w:tcPr>
        <w:tcBorders>
          <w:top w:val="single" w:sz="8" w:space="0" w:color="1C2B39" w:themeColor="accent1"/>
          <w:bottom w:val="single" w:sz="8" w:space="0" w:color="1C2B39" w:themeColor="accent1"/>
        </w:tcBorders>
      </w:tcPr>
    </w:tblStylePr>
    <w:tblStylePr w:type="firstCol">
      <w:rPr>
        <w:b/>
        <w:bCs/>
      </w:rPr>
    </w:tblStylePr>
    <w:tblStylePr w:type="lastCol">
      <w:rPr>
        <w:b/>
        <w:bCs/>
      </w:rPr>
      <w:tblPr/>
      <w:tcPr>
        <w:tcBorders>
          <w:top w:val="single" w:sz="8" w:space="0" w:color="1C2B39" w:themeColor="accent1"/>
          <w:bottom w:val="single" w:sz="8" w:space="0" w:color="1C2B39" w:themeColor="accent1"/>
        </w:tcBorders>
      </w:tcPr>
    </w:tblStylePr>
    <w:tblStylePr w:type="band1Vert">
      <w:tblPr/>
      <w:tcPr>
        <w:shd w:val="clear" w:color="auto" w:fill="B8CADC" w:themeFill="accent1" w:themeFillTint="3F"/>
      </w:tcPr>
    </w:tblStylePr>
    <w:tblStylePr w:type="band1Horz">
      <w:tblPr/>
      <w:tcPr>
        <w:shd w:val="clear" w:color="auto" w:fill="B8CADC" w:themeFill="accent1" w:themeFillTint="3F"/>
      </w:tcPr>
    </w:tblStylePr>
  </w:style>
  <w:style w:type="table" w:styleId="MediumList1-Accent2">
    <w:name w:val="Medium List 1 Accent 2"/>
    <w:basedOn w:val="TableNormal"/>
    <w:uiPriority w:val="65"/>
    <w:pPr>
      <w:spacing w:after="0" w:line="240" w:lineRule="auto"/>
    </w:pPr>
    <w:rPr>
      <w:color w:val="010A11" w:themeColor="text1"/>
    </w:rPr>
    <w:tblPr>
      <w:tblStyleRowBandSize w:val="1"/>
      <w:tblStyleColBandSize w:val="1"/>
      <w:tblBorders>
        <w:top w:val="single" w:sz="8" w:space="0" w:color="8E734A" w:themeColor="accent2"/>
        <w:bottom w:val="single" w:sz="8" w:space="0" w:color="8E734A" w:themeColor="accent2"/>
      </w:tblBorders>
    </w:tblPr>
    <w:tblStylePr w:type="firstRow">
      <w:rPr>
        <w:rFonts w:asciiTheme="majorHAnsi" w:eastAsiaTheme="majorEastAsia" w:hAnsiTheme="majorHAnsi" w:cstheme="majorBidi"/>
      </w:rPr>
      <w:tblPr/>
      <w:tcPr>
        <w:tcBorders>
          <w:top w:val="nil"/>
          <w:bottom w:val="single" w:sz="8" w:space="0" w:color="8E734A" w:themeColor="accent2"/>
        </w:tcBorders>
      </w:tcPr>
    </w:tblStylePr>
    <w:tblStylePr w:type="lastRow">
      <w:rPr>
        <w:b/>
        <w:bCs/>
        <w:color w:val="4A4848" w:themeColor="text2"/>
      </w:rPr>
      <w:tblPr/>
      <w:tcPr>
        <w:tcBorders>
          <w:top w:val="single" w:sz="8" w:space="0" w:color="8E734A" w:themeColor="accent2"/>
          <w:bottom w:val="single" w:sz="8" w:space="0" w:color="8E734A" w:themeColor="accent2"/>
        </w:tcBorders>
      </w:tcPr>
    </w:tblStylePr>
    <w:tblStylePr w:type="firstCol">
      <w:rPr>
        <w:b/>
        <w:bCs/>
      </w:rPr>
    </w:tblStylePr>
    <w:tblStylePr w:type="lastCol">
      <w:rPr>
        <w:b/>
        <w:bCs/>
      </w:rPr>
      <w:tblPr/>
      <w:tcPr>
        <w:tcBorders>
          <w:top w:val="single" w:sz="8" w:space="0" w:color="8E734A" w:themeColor="accent2"/>
          <w:bottom w:val="single" w:sz="8" w:space="0" w:color="8E734A" w:themeColor="accent2"/>
        </w:tcBorders>
      </w:tcPr>
    </w:tblStylePr>
    <w:tblStylePr w:type="band1Vert">
      <w:tblPr/>
      <w:tcPr>
        <w:shd w:val="clear" w:color="auto" w:fill="E6DCCF" w:themeFill="accent2" w:themeFillTint="3F"/>
      </w:tcPr>
    </w:tblStylePr>
    <w:tblStylePr w:type="band1Horz">
      <w:tblPr/>
      <w:tcPr>
        <w:shd w:val="clear" w:color="auto" w:fill="E6DCCF" w:themeFill="accent2" w:themeFillTint="3F"/>
      </w:tcPr>
    </w:tblStylePr>
  </w:style>
  <w:style w:type="table" w:styleId="MediumList1-Accent3">
    <w:name w:val="Medium List 1 Accent 3"/>
    <w:basedOn w:val="TableNormal"/>
    <w:uiPriority w:val="65"/>
    <w:pPr>
      <w:spacing w:after="0" w:line="240" w:lineRule="auto"/>
    </w:pPr>
    <w:rPr>
      <w:color w:val="010A11" w:themeColor="text1"/>
    </w:rPr>
    <w:tblPr>
      <w:tblStyleRowBandSize w:val="1"/>
      <w:tblStyleColBandSize w:val="1"/>
      <w:tblBorders>
        <w:top w:val="single" w:sz="8" w:space="0" w:color="057479" w:themeColor="accent3"/>
        <w:bottom w:val="single" w:sz="8" w:space="0" w:color="057479" w:themeColor="accent3"/>
      </w:tblBorders>
    </w:tblPr>
    <w:tblStylePr w:type="firstRow">
      <w:rPr>
        <w:rFonts w:asciiTheme="majorHAnsi" w:eastAsiaTheme="majorEastAsia" w:hAnsiTheme="majorHAnsi" w:cstheme="majorBidi"/>
      </w:rPr>
      <w:tblPr/>
      <w:tcPr>
        <w:tcBorders>
          <w:top w:val="nil"/>
          <w:bottom w:val="single" w:sz="8" w:space="0" w:color="057479" w:themeColor="accent3"/>
        </w:tcBorders>
      </w:tcPr>
    </w:tblStylePr>
    <w:tblStylePr w:type="lastRow">
      <w:rPr>
        <w:b/>
        <w:bCs/>
        <w:color w:val="4A4848" w:themeColor="text2"/>
      </w:rPr>
      <w:tblPr/>
      <w:tcPr>
        <w:tcBorders>
          <w:top w:val="single" w:sz="8" w:space="0" w:color="057479" w:themeColor="accent3"/>
          <w:bottom w:val="single" w:sz="8" w:space="0" w:color="057479" w:themeColor="accent3"/>
        </w:tcBorders>
      </w:tcPr>
    </w:tblStylePr>
    <w:tblStylePr w:type="firstCol">
      <w:rPr>
        <w:b/>
        <w:bCs/>
      </w:rPr>
    </w:tblStylePr>
    <w:tblStylePr w:type="lastCol">
      <w:rPr>
        <w:b/>
        <w:bCs/>
      </w:rPr>
      <w:tblPr/>
      <w:tcPr>
        <w:tcBorders>
          <w:top w:val="single" w:sz="8" w:space="0" w:color="057479" w:themeColor="accent3"/>
          <w:bottom w:val="single" w:sz="8" w:space="0" w:color="057479" w:themeColor="accent3"/>
        </w:tcBorders>
      </w:tcPr>
    </w:tblStylePr>
    <w:tblStylePr w:type="band1Vert">
      <w:tblPr/>
      <w:tcPr>
        <w:shd w:val="clear" w:color="auto" w:fill="A3F7FB" w:themeFill="accent3" w:themeFillTint="3F"/>
      </w:tcPr>
    </w:tblStylePr>
    <w:tblStylePr w:type="band1Horz">
      <w:tblPr/>
      <w:tcPr>
        <w:shd w:val="clear" w:color="auto" w:fill="A3F7FB" w:themeFill="accent3" w:themeFillTint="3F"/>
      </w:tcPr>
    </w:tblStylePr>
  </w:style>
  <w:style w:type="table" w:styleId="MediumList1-Accent4">
    <w:name w:val="Medium List 1 Accent 4"/>
    <w:basedOn w:val="TableNormal"/>
    <w:uiPriority w:val="65"/>
    <w:pPr>
      <w:spacing w:after="0" w:line="240" w:lineRule="auto"/>
    </w:pPr>
    <w:rPr>
      <w:color w:val="010A11" w:themeColor="text1"/>
    </w:rPr>
    <w:tblPr>
      <w:tblStyleRowBandSize w:val="1"/>
      <w:tblStyleColBandSize w:val="1"/>
      <w:tblBorders>
        <w:top w:val="single" w:sz="8" w:space="0" w:color="522B4A" w:themeColor="accent4"/>
        <w:bottom w:val="single" w:sz="8" w:space="0" w:color="522B4A" w:themeColor="accent4"/>
      </w:tblBorders>
    </w:tblPr>
    <w:tblStylePr w:type="firstRow">
      <w:rPr>
        <w:rFonts w:asciiTheme="majorHAnsi" w:eastAsiaTheme="majorEastAsia" w:hAnsiTheme="majorHAnsi" w:cstheme="majorBidi"/>
      </w:rPr>
      <w:tblPr/>
      <w:tcPr>
        <w:tcBorders>
          <w:top w:val="nil"/>
          <w:bottom w:val="single" w:sz="8" w:space="0" w:color="522B4A" w:themeColor="accent4"/>
        </w:tcBorders>
      </w:tcPr>
    </w:tblStylePr>
    <w:tblStylePr w:type="lastRow">
      <w:rPr>
        <w:b/>
        <w:bCs/>
        <w:color w:val="4A4848" w:themeColor="text2"/>
      </w:rPr>
      <w:tblPr/>
      <w:tcPr>
        <w:tcBorders>
          <w:top w:val="single" w:sz="8" w:space="0" w:color="522B4A" w:themeColor="accent4"/>
          <w:bottom w:val="single" w:sz="8" w:space="0" w:color="522B4A" w:themeColor="accent4"/>
        </w:tcBorders>
      </w:tcPr>
    </w:tblStylePr>
    <w:tblStylePr w:type="firstCol">
      <w:rPr>
        <w:b/>
        <w:bCs/>
      </w:rPr>
    </w:tblStylePr>
    <w:tblStylePr w:type="lastCol">
      <w:rPr>
        <w:b/>
        <w:bCs/>
      </w:rPr>
      <w:tblPr/>
      <w:tcPr>
        <w:tcBorders>
          <w:top w:val="single" w:sz="8" w:space="0" w:color="522B4A" w:themeColor="accent4"/>
          <w:bottom w:val="single" w:sz="8" w:space="0" w:color="522B4A" w:themeColor="accent4"/>
        </w:tcBorders>
      </w:tcPr>
    </w:tblStylePr>
    <w:tblStylePr w:type="band1Vert">
      <w:tblPr/>
      <w:tcPr>
        <w:shd w:val="clear" w:color="auto" w:fill="DEC0D8" w:themeFill="accent4" w:themeFillTint="3F"/>
      </w:tcPr>
    </w:tblStylePr>
    <w:tblStylePr w:type="band1Horz">
      <w:tblPr/>
      <w:tcPr>
        <w:shd w:val="clear" w:color="auto" w:fill="DEC0D8" w:themeFill="accent4" w:themeFillTint="3F"/>
      </w:tcPr>
    </w:tblStylePr>
  </w:style>
  <w:style w:type="table" w:styleId="MediumList1-Accent5">
    <w:name w:val="Medium List 1 Accent 5"/>
    <w:basedOn w:val="TableNormal"/>
    <w:uiPriority w:val="65"/>
    <w:pPr>
      <w:spacing w:after="0" w:line="240" w:lineRule="auto"/>
    </w:pPr>
    <w:rPr>
      <w:color w:val="010A11" w:themeColor="text1"/>
    </w:rPr>
    <w:tblPr>
      <w:tblStyleRowBandSize w:val="1"/>
      <w:tblStyleColBandSize w:val="1"/>
      <w:tblBorders>
        <w:top w:val="single" w:sz="8" w:space="0" w:color="9F2233" w:themeColor="accent5"/>
        <w:bottom w:val="single" w:sz="8" w:space="0" w:color="9F2233" w:themeColor="accent5"/>
      </w:tblBorders>
    </w:tblPr>
    <w:tblStylePr w:type="firstRow">
      <w:rPr>
        <w:rFonts w:asciiTheme="majorHAnsi" w:eastAsiaTheme="majorEastAsia" w:hAnsiTheme="majorHAnsi" w:cstheme="majorBidi"/>
      </w:rPr>
      <w:tblPr/>
      <w:tcPr>
        <w:tcBorders>
          <w:top w:val="nil"/>
          <w:bottom w:val="single" w:sz="8" w:space="0" w:color="9F2233" w:themeColor="accent5"/>
        </w:tcBorders>
      </w:tcPr>
    </w:tblStylePr>
    <w:tblStylePr w:type="lastRow">
      <w:rPr>
        <w:b/>
        <w:bCs/>
        <w:color w:val="4A4848" w:themeColor="text2"/>
      </w:rPr>
      <w:tblPr/>
      <w:tcPr>
        <w:tcBorders>
          <w:top w:val="single" w:sz="8" w:space="0" w:color="9F2233" w:themeColor="accent5"/>
          <w:bottom w:val="single" w:sz="8" w:space="0" w:color="9F2233" w:themeColor="accent5"/>
        </w:tcBorders>
      </w:tcPr>
    </w:tblStylePr>
    <w:tblStylePr w:type="firstCol">
      <w:rPr>
        <w:b/>
        <w:bCs/>
      </w:rPr>
    </w:tblStylePr>
    <w:tblStylePr w:type="lastCol">
      <w:rPr>
        <w:b/>
        <w:bCs/>
      </w:rPr>
      <w:tblPr/>
      <w:tcPr>
        <w:tcBorders>
          <w:top w:val="single" w:sz="8" w:space="0" w:color="9F2233" w:themeColor="accent5"/>
          <w:bottom w:val="single" w:sz="8" w:space="0" w:color="9F2233" w:themeColor="accent5"/>
        </w:tcBorders>
      </w:tcPr>
    </w:tblStylePr>
    <w:tblStylePr w:type="band1Vert">
      <w:tblPr/>
      <w:tcPr>
        <w:shd w:val="clear" w:color="auto" w:fill="F1BEC5" w:themeFill="accent5" w:themeFillTint="3F"/>
      </w:tcPr>
    </w:tblStylePr>
    <w:tblStylePr w:type="band1Horz">
      <w:tblPr/>
      <w:tcPr>
        <w:shd w:val="clear" w:color="auto" w:fill="F1BEC5" w:themeFill="accent5" w:themeFillTint="3F"/>
      </w:tcPr>
    </w:tblStylePr>
  </w:style>
  <w:style w:type="table" w:styleId="MediumList1-Accent6">
    <w:name w:val="Medium List 1 Accent 6"/>
    <w:basedOn w:val="TableNormal"/>
    <w:uiPriority w:val="65"/>
    <w:pPr>
      <w:spacing w:after="0" w:line="240" w:lineRule="auto"/>
    </w:pPr>
    <w:rPr>
      <w:color w:val="010A11"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4A4848"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010A11" w:themeColor="text1"/>
        <w:left w:val="single" w:sz="8" w:space="0" w:color="010A11" w:themeColor="text1"/>
        <w:bottom w:val="single" w:sz="8" w:space="0" w:color="010A11" w:themeColor="text1"/>
        <w:right w:val="single" w:sz="8" w:space="0" w:color="010A11" w:themeColor="text1"/>
      </w:tblBorders>
    </w:tblPr>
    <w:tblStylePr w:type="firstRow">
      <w:rPr>
        <w:sz w:val="24"/>
        <w:szCs w:val="24"/>
      </w:rPr>
      <w:tblPr/>
      <w:tcPr>
        <w:tcBorders>
          <w:top w:val="nil"/>
          <w:left w:val="nil"/>
          <w:bottom w:val="single" w:sz="24" w:space="0" w:color="010A11" w:themeColor="text1"/>
          <w:right w:val="nil"/>
          <w:insideH w:val="nil"/>
          <w:insideV w:val="nil"/>
        </w:tcBorders>
        <w:shd w:val="clear" w:color="auto" w:fill="262626" w:themeFill="background1"/>
      </w:tcPr>
    </w:tblStylePr>
    <w:tblStylePr w:type="lastRow">
      <w:tblPr/>
      <w:tcPr>
        <w:tcBorders>
          <w:top w:val="single" w:sz="8" w:space="0" w:color="010A11" w:themeColor="text1"/>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010A11" w:themeColor="text1"/>
          <w:insideH w:val="nil"/>
          <w:insideV w:val="nil"/>
        </w:tcBorders>
        <w:shd w:val="clear" w:color="auto" w:fill="262626" w:themeFill="background1"/>
      </w:tcPr>
    </w:tblStylePr>
    <w:tblStylePr w:type="lastCol">
      <w:tblPr/>
      <w:tcPr>
        <w:tcBorders>
          <w:top w:val="nil"/>
          <w:left w:val="single" w:sz="8" w:space="0" w:color="010A11" w:themeColor="text1"/>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8CC8F8" w:themeFill="text1" w:themeFillTint="3F"/>
      </w:tcPr>
    </w:tblStylePr>
    <w:tblStylePr w:type="band1Horz">
      <w:tblPr/>
      <w:tcPr>
        <w:tcBorders>
          <w:top w:val="nil"/>
          <w:bottom w:val="nil"/>
          <w:insideH w:val="nil"/>
          <w:insideV w:val="nil"/>
        </w:tcBorders>
        <w:shd w:val="clear" w:color="auto" w:fill="8CC8F8" w:themeFill="text1"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1C2B39" w:themeColor="accent1"/>
        <w:left w:val="single" w:sz="8" w:space="0" w:color="1C2B39" w:themeColor="accent1"/>
        <w:bottom w:val="single" w:sz="8" w:space="0" w:color="1C2B39" w:themeColor="accent1"/>
        <w:right w:val="single" w:sz="8" w:space="0" w:color="1C2B39" w:themeColor="accent1"/>
      </w:tblBorders>
    </w:tblPr>
    <w:tblStylePr w:type="firstRow">
      <w:rPr>
        <w:sz w:val="24"/>
        <w:szCs w:val="24"/>
      </w:rPr>
      <w:tblPr/>
      <w:tcPr>
        <w:tcBorders>
          <w:top w:val="nil"/>
          <w:left w:val="nil"/>
          <w:bottom w:val="single" w:sz="24" w:space="0" w:color="1C2B39" w:themeColor="accent1"/>
          <w:right w:val="nil"/>
          <w:insideH w:val="nil"/>
          <w:insideV w:val="nil"/>
        </w:tcBorders>
        <w:shd w:val="clear" w:color="auto" w:fill="262626" w:themeFill="background1"/>
      </w:tcPr>
    </w:tblStylePr>
    <w:tblStylePr w:type="lastRow">
      <w:tblPr/>
      <w:tcPr>
        <w:tcBorders>
          <w:top w:val="single" w:sz="8" w:space="0" w:color="1C2B39" w:themeColor="accent1"/>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1C2B39" w:themeColor="accent1"/>
          <w:insideH w:val="nil"/>
          <w:insideV w:val="nil"/>
        </w:tcBorders>
        <w:shd w:val="clear" w:color="auto" w:fill="262626" w:themeFill="background1"/>
      </w:tcPr>
    </w:tblStylePr>
    <w:tblStylePr w:type="lastCol">
      <w:tblPr/>
      <w:tcPr>
        <w:tcBorders>
          <w:top w:val="nil"/>
          <w:left w:val="single" w:sz="8" w:space="0" w:color="1C2B39" w:themeColor="accent1"/>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B8CADC" w:themeFill="accent1" w:themeFillTint="3F"/>
      </w:tcPr>
    </w:tblStylePr>
    <w:tblStylePr w:type="band1Horz">
      <w:tblPr/>
      <w:tcPr>
        <w:tcBorders>
          <w:top w:val="nil"/>
          <w:bottom w:val="nil"/>
          <w:insideH w:val="nil"/>
          <w:insideV w:val="nil"/>
        </w:tcBorders>
        <w:shd w:val="clear" w:color="auto" w:fill="B8CADC" w:themeFill="accent1"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8E734A" w:themeColor="accent2"/>
        <w:left w:val="single" w:sz="8" w:space="0" w:color="8E734A" w:themeColor="accent2"/>
        <w:bottom w:val="single" w:sz="8" w:space="0" w:color="8E734A" w:themeColor="accent2"/>
        <w:right w:val="single" w:sz="8" w:space="0" w:color="8E734A" w:themeColor="accent2"/>
      </w:tblBorders>
    </w:tblPr>
    <w:tblStylePr w:type="firstRow">
      <w:rPr>
        <w:sz w:val="24"/>
        <w:szCs w:val="24"/>
      </w:rPr>
      <w:tblPr/>
      <w:tcPr>
        <w:tcBorders>
          <w:top w:val="nil"/>
          <w:left w:val="nil"/>
          <w:bottom w:val="single" w:sz="24" w:space="0" w:color="8E734A" w:themeColor="accent2"/>
          <w:right w:val="nil"/>
          <w:insideH w:val="nil"/>
          <w:insideV w:val="nil"/>
        </w:tcBorders>
        <w:shd w:val="clear" w:color="auto" w:fill="262626" w:themeFill="background1"/>
      </w:tcPr>
    </w:tblStylePr>
    <w:tblStylePr w:type="lastRow">
      <w:tblPr/>
      <w:tcPr>
        <w:tcBorders>
          <w:top w:val="single" w:sz="8" w:space="0" w:color="8E734A" w:themeColor="accent2"/>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8E734A" w:themeColor="accent2"/>
          <w:insideH w:val="nil"/>
          <w:insideV w:val="nil"/>
        </w:tcBorders>
        <w:shd w:val="clear" w:color="auto" w:fill="262626" w:themeFill="background1"/>
      </w:tcPr>
    </w:tblStylePr>
    <w:tblStylePr w:type="lastCol">
      <w:tblPr/>
      <w:tcPr>
        <w:tcBorders>
          <w:top w:val="nil"/>
          <w:left w:val="single" w:sz="8" w:space="0" w:color="8E734A" w:themeColor="accent2"/>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E6DCCF" w:themeFill="accent2" w:themeFillTint="3F"/>
      </w:tcPr>
    </w:tblStylePr>
    <w:tblStylePr w:type="band1Horz">
      <w:tblPr/>
      <w:tcPr>
        <w:tcBorders>
          <w:top w:val="nil"/>
          <w:bottom w:val="nil"/>
          <w:insideH w:val="nil"/>
          <w:insideV w:val="nil"/>
        </w:tcBorders>
        <w:shd w:val="clear" w:color="auto" w:fill="E6DCCF" w:themeFill="accent2"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057479" w:themeColor="accent3"/>
        <w:left w:val="single" w:sz="8" w:space="0" w:color="057479" w:themeColor="accent3"/>
        <w:bottom w:val="single" w:sz="8" w:space="0" w:color="057479" w:themeColor="accent3"/>
        <w:right w:val="single" w:sz="8" w:space="0" w:color="057479" w:themeColor="accent3"/>
      </w:tblBorders>
    </w:tblPr>
    <w:tblStylePr w:type="firstRow">
      <w:rPr>
        <w:sz w:val="24"/>
        <w:szCs w:val="24"/>
      </w:rPr>
      <w:tblPr/>
      <w:tcPr>
        <w:tcBorders>
          <w:top w:val="nil"/>
          <w:left w:val="nil"/>
          <w:bottom w:val="single" w:sz="24" w:space="0" w:color="057479" w:themeColor="accent3"/>
          <w:right w:val="nil"/>
          <w:insideH w:val="nil"/>
          <w:insideV w:val="nil"/>
        </w:tcBorders>
        <w:shd w:val="clear" w:color="auto" w:fill="262626" w:themeFill="background1"/>
      </w:tcPr>
    </w:tblStylePr>
    <w:tblStylePr w:type="lastRow">
      <w:tblPr/>
      <w:tcPr>
        <w:tcBorders>
          <w:top w:val="single" w:sz="8" w:space="0" w:color="057479" w:themeColor="accent3"/>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057479" w:themeColor="accent3"/>
          <w:insideH w:val="nil"/>
          <w:insideV w:val="nil"/>
        </w:tcBorders>
        <w:shd w:val="clear" w:color="auto" w:fill="262626" w:themeFill="background1"/>
      </w:tcPr>
    </w:tblStylePr>
    <w:tblStylePr w:type="lastCol">
      <w:tblPr/>
      <w:tcPr>
        <w:tcBorders>
          <w:top w:val="nil"/>
          <w:left w:val="single" w:sz="8" w:space="0" w:color="057479" w:themeColor="accent3"/>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A3F7FB" w:themeFill="accent3" w:themeFillTint="3F"/>
      </w:tcPr>
    </w:tblStylePr>
    <w:tblStylePr w:type="band1Horz">
      <w:tblPr/>
      <w:tcPr>
        <w:tcBorders>
          <w:top w:val="nil"/>
          <w:bottom w:val="nil"/>
          <w:insideH w:val="nil"/>
          <w:insideV w:val="nil"/>
        </w:tcBorders>
        <w:shd w:val="clear" w:color="auto" w:fill="A3F7FB" w:themeFill="accent3"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522B4A" w:themeColor="accent4"/>
        <w:left w:val="single" w:sz="8" w:space="0" w:color="522B4A" w:themeColor="accent4"/>
        <w:bottom w:val="single" w:sz="8" w:space="0" w:color="522B4A" w:themeColor="accent4"/>
        <w:right w:val="single" w:sz="8" w:space="0" w:color="522B4A" w:themeColor="accent4"/>
      </w:tblBorders>
    </w:tblPr>
    <w:tblStylePr w:type="firstRow">
      <w:rPr>
        <w:sz w:val="24"/>
        <w:szCs w:val="24"/>
      </w:rPr>
      <w:tblPr/>
      <w:tcPr>
        <w:tcBorders>
          <w:top w:val="nil"/>
          <w:left w:val="nil"/>
          <w:bottom w:val="single" w:sz="24" w:space="0" w:color="522B4A" w:themeColor="accent4"/>
          <w:right w:val="nil"/>
          <w:insideH w:val="nil"/>
          <w:insideV w:val="nil"/>
        </w:tcBorders>
        <w:shd w:val="clear" w:color="auto" w:fill="262626" w:themeFill="background1"/>
      </w:tcPr>
    </w:tblStylePr>
    <w:tblStylePr w:type="lastRow">
      <w:tblPr/>
      <w:tcPr>
        <w:tcBorders>
          <w:top w:val="single" w:sz="8" w:space="0" w:color="522B4A" w:themeColor="accent4"/>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522B4A" w:themeColor="accent4"/>
          <w:insideH w:val="nil"/>
          <w:insideV w:val="nil"/>
        </w:tcBorders>
        <w:shd w:val="clear" w:color="auto" w:fill="262626" w:themeFill="background1"/>
      </w:tcPr>
    </w:tblStylePr>
    <w:tblStylePr w:type="lastCol">
      <w:tblPr/>
      <w:tcPr>
        <w:tcBorders>
          <w:top w:val="nil"/>
          <w:left w:val="single" w:sz="8" w:space="0" w:color="522B4A" w:themeColor="accent4"/>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DEC0D8" w:themeFill="accent4" w:themeFillTint="3F"/>
      </w:tcPr>
    </w:tblStylePr>
    <w:tblStylePr w:type="band1Horz">
      <w:tblPr/>
      <w:tcPr>
        <w:tcBorders>
          <w:top w:val="nil"/>
          <w:bottom w:val="nil"/>
          <w:insideH w:val="nil"/>
          <w:insideV w:val="nil"/>
        </w:tcBorders>
        <w:shd w:val="clear" w:color="auto" w:fill="DEC0D8" w:themeFill="accent4"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9F2233" w:themeColor="accent5"/>
        <w:left w:val="single" w:sz="8" w:space="0" w:color="9F2233" w:themeColor="accent5"/>
        <w:bottom w:val="single" w:sz="8" w:space="0" w:color="9F2233" w:themeColor="accent5"/>
        <w:right w:val="single" w:sz="8" w:space="0" w:color="9F2233" w:themeColor="accent5"/>
      </w:tblBorders>
    </w:tblPr>
    <w:tblStylePr w:type="firstRow">
      <w:rPr>
        <w:sz w:val="24"/>
        <w:szCs w:val="24"/>
      </w:rPr>
      <w:tblPr/>
      <w:tcPr>
        <w:tcBorders>
          <w:top w:val="nil"/>
          <w:left w:val="nil"/>
          <w:bottom w:val="single" w:sz="24" w:space="0" w:color="9F2233" w:themeColor="accent5"/>
          <w:right w:val="nil"/>
          <w:insideH w:val="nil"/>
          <w:insideV w:val="nil"/>
        </w:tcBorders>
        <w:shd w:val="clear" w:color="auto" w:fill="262626" w:themeFill="background1"/>
      </w:tcPr>
    </w:tblStylePr>
    <w:tblStylePr w:type="lastRow">
      <w:tblPr/>
      <w:tcPr>
        <w:tcBorders>
          <w:top w:val="single" w:sz="8" w:space="0" w:color="9F2233" w:themeColor="accent5"/>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9F2233" w:themeColor="accent5"/>
          <w:insideH w:val="nil"/>
          <w:insideV w:val="nil"/>
        </w:tcBorders>
        <w:shd w:val="clear" w:color="auto" w:fill="262626" w:themeFill="background1"/>
      </w:tcPr>
    </w:tblStylePr>
    <w:tblStylePr w:type="lastCol">
      <w:tblPr/>
      <w:tcPr>
        <w:tcBorders>
          <w:top w:val="nil"/>
          <w:left w:val="single" w:sz="8" w:space="0" w:color="9F2233" w:themeColor="accent5"/>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F1BEC5" w:themeFill="accent5" w:themeFillTint="3F"/>
      </w:tcPr>
    </w:tblStylePr>
    <w:tblStylePr w:type="band1Horz">
      <w:tblPr/>
      <w:tcPr>
        <w:tcBorders>
          <w:top w:val="nil"/>
          <w:bottom w:val="nil"/>
          <w:insideH w:val="nil"/>
          <w:insideV w:val="nil"/>
        </w:tcBorders>
        <w:shd w:val="clear" w:color="auto" w:fill="F1BEC5" w:themeFill="accent5"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10A11"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262626" w:themeFill="background1"/>
      </w:tcPr>
    </w:tblStylePr>
    <w:tblStylePr w:type="lastRow">
      <w:tblPr/>
      <w:tcPr>
        <w:tcBorders>
          <w:top w:val="single" w:sz="8" w:space="0" w:color="FFC000" w:themeColor="accent6"/>
          <w:left w:val="nil"/>
          <w:bottom w:val="nil"/>
          <w:right w:val="nil"/>
          <w:insideH w:val="nil"/>
          <w:insideV w:val="nil"/>
        </w:tcBorders>
        <w:shd w:val="clear" w:color="auto" w:fill="262626" w:themeFill="background1"/>
      </w:tcPr>
    </w:tblStylePr>
    <w:tblStylePr w:type="firstCol">
      <w:tblPr/>
      <w:tcPr>
        <w:tcBorders>
          <w:top w:val="nil"/>
          <w:left w:val="nil"/>
          <w:bottom w:val="nil"/>
          <w:right w:val="single" w:sz="8" w:space="0" w:color="FFC000" w:themeColor="accent6"/>
          <w:insideH w:val="nil"/>
          <w:insideV w:val="nil"/>
        </w:tcBorders>
        <w:shd w:val="clear" w:color="auto" w:fill="262626" w:themeFill="background1"/>
      </w:tcPr>
    </w:tblStylePr>
    <w:tblStylePr w:type="lastCol">
      <w:tblPr/>
      <w:tcPr>
        <w:tcBorders>
          <w:top w:val="nil"/>
          <w:left w:val="single" w:sz="8" w:space="0" w:color="FFC000" w:themeColor="accent6"/>
          <w:bottom w:val="nil"/>
          <w:right w:val="nil"/>
          <w:insideH w:val="nil"/>
          <w:insideV w:val="nil"/>
        </w:tcBorders>
        <w:shd w:val="clear" w:color="auto" w:fill="262626"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262626"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084E85" w:themeColor="text1" w:themeTint="BF"/>
        <w:left w:val="single" w:sz="8" w:space="0" w:color="084E85" w:themeColor="text1" w:themeTint="BF"/>
        <w:bottom w:val="single" w:sz="8" w:space="0" w:color="084E85" w:themeColor="text1" w:themeTint="BF"/>
        <w:right w:val="single" w:sz="8" w:space="0" w:color="084E85" w:themeColor="text1" w:themeTint="BF"/>
        <w:insideH w:val="single" w:sz="8" w:space="0" w:color="084E85" w:themeColor="text1" w:themeTint="BF"/>
      </w:tblBorders>
    </w:tblPr>
    <w:tblStylePr w:type="firstRow">
      <w:pPr>
        <w:spacing w:before="0" w:after="0" w:line="240" w:lineRule="auto"/>
      </w:pPr>
      <w:rPr>
        <w:b/>
        <w:bCs/>
        <w:color w:val="262626" w:themeColor="background1"/>
      </w:rPr>
      <w:tblPr/>
      <w:tcPr>
        <w:tcBorders>
          <w:top w:val="single" w:sz="8" w:space="0" w:color="084E85" w:themeColor="text1" w:themeTint="BF"/>
          <w:left w:val="single" w:sz="8" w:space="0" w:color="084E85" w:themeColor="text1" w:themeTint="BF"/>
          <w:bottom w:val="single" w:sz="8" w:space="0" w:color="084E85" w:themeColor="text1" w:themeTint="BF"/>
          <w:right w:val="single" w:sz="8" w:space="0" w:color="084E85" w:themeColor="text1" w:themeTint="BF"/>
          <w:insideH w:val="nil"/>
          <w:insideV w:val="nil"/>
        </w:tcBorders>
        <w:shd w:val="clear" w:color="auto" w:fill="010A11" w:themeFill="text1"/>
      </w:tcPr>
    </w:tblStylePr>
    <w:tblStylePr w:type="lastRow">
      <w:pPr>
        <w:spacing w:before="0" w:after="0" w:line="240" w:lineRule="auto"/>
      </w:pPr>
      <w:rPr>
        <w:b/>
        <w:bCs/>
      </w:rPr>
      <w:tblPr/>
      <w:tcPr>
        <w:tcBorders>
          <w:top w:val="double" w:sz="6" w:space="0" w:color="084E85" w:themeColor="text1" w:themeTint="BF"/>
          <w:left w:val="single" w:sz="8" w:space="0" w:color="084E85" w:themeColor="text1" w:themeTint="BF"/>
          <w:bottom w:val="single" w:sz="8" w:space="0" w:color="084E85" w:themeColor="text1" w:themeTint="BF"/>
          <w:right w:val="single" w:sz="8" w:space="0" w:color="084E85" w:themeColor="text1" w:themeTint="BF"/>
          <w:insideH w:val="nil"/>
          <w:insideV w:val="nil"/>
        </w:tcBorders>
      </w:tcPr>
    </w:tblStylePr>
    <w:tblStylePr w:type="firstCol">
      <w:rPr>
        <w:b/>
        <w:bCs/>
      </w:rPr>
    </w:tblStylePr>
    <w:tblStylePr w:type="lastCol">
      <w:rPr>
        <w:b/>
        <w:bCs/>
      </w:rPr>
    </w:tblStylePr>
    <w:tblStylePr w:type="band1Vert">
      <w:tblPr/>
      <w:tcPr>
        <w:shd w:val="clear" w:color="auto" w:fill="8CC8F8" w:themeFill="text1" w:themeFillTint="3F"/>
      </w:tcPr>
    </w:tblStylePr>
    <w:tblStylePr w:type="band1Horz">
      <w:tblPr/>
      <w:tcPr>
        <w:tcBorders>
          <w:insideH w:val="nil"/>
          <w:insideV w:val="nil"/>
        </w:tcBorders>
        <w:shd w:val="clear" w:color="auto" w:fill="8CC8F8"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3F6080" w:themeColor="accent1" w:themeTint="BF"/>
        <w:left w:val="single" w:sz="8" w:space="0" w:color="3F6080" w:themeColor="accent1" w:themeTint="BF"/>
        <w:bottom w:val="single" w:sz="8" w:space="0" w:color="3F6080" w:themeColor="accent1" w:themeTint="BF"/>
        <w:right w:val="single" w:sz="8" w:space="0" w:color="3F6080" w:themeColor="accent1" w:themeTint="BF"/>
        <w:insideH w:val="single" w:sz="8" w:space="0" w:color="3F6080" w:themeColor="accent1" w:themeTint="BF"/>
      </w:tblBorders>
    </w:tblPr>
    <w:tblStylePr w:type="firstRow">
      <w:pPr>
        <w:spacing w:before="0" w:after="0" w:line="240" w:lineRule="auto"/>
      </w:pPr>
      <w:rPr>
        <w:b/>
        <w:bCs/>
        <w:color w:val="262626" w:themeColor="background1"/>
      </w:rPr>
      <w:tblPr/>
      <w:tcPr>
        <w:tcBorders>
          <w:top w:val="single" w:sz="8" w:space="0" w:color="3F6080" w:themeColor="accent1" w:themeTint="BF"/>
          <w:left w:val="single" w:sz="8" w:space="0" w:color="3F6080" w:themeColor="accent1" w:themeTint="BF"/>
          <w:bottom w:val="single" w:sz="8" w:space="0" w:color="3F6080" w:themeColor="accent1" w:themeTint="BF"/>
          <w:right w:val="single" w:sz="8" w:space="0" w:color="3F6080" w:themeColor="accent1" w:themeTint="BF"/>
          <w:insideH w:val="nil"/>
          <w:insideV w:val="nil"/>
        </w:tcBorders>
        <w:shd w:val="clear" w:color="auto" w:fill="1C2B39" w:themeFill="accent1"/>
      </w:tcPr>
    </w:tblStylePr>
    <w:tblStylePr w:type="lastRow">
      <w:pPr>
        <w:spacing w:before="0" w:after="0" w:line="240" w:lineRule="auto"/>
      </w:pPr>
      <w:rPr>
        <w:b/>
        <w:bCs/>
      </w:rPr>
      <w:tblPr/>
      <w:tcPr>
        <w:tcBorders>
          <w:top w:val="double" w:sz="6" w:space="0" w:color="3F6080" w:themeColor="accent1" w:themeTint="BF"/>
          <w:left w:val="single" w:sz="8" w:space="0" w:color="3F6080" w:themeColor="accent1" w:themeTint="BF"/>
          <w:bottom w:val="single" w:sz="8" w:space="0" w:color="3F6080" w:themeColor="accent1" w:themeTint="BF"/>
          <w:right w:val="single" w:sz="8" w:space="0" w:color="3F6080"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CADC" w:themeFill="accent1" w:themeFillTint="3F"/>
      </w:tcPr>
    </w:tblStylePr>
    <w:tblStylePr w:type="band1Horz">
      <w:tblPr/>
      <w:tcPr>
        <w:tcBorders>
          <w:insideH w:val="nil"/>
          <w:insideV w:val="nil"/>
        </w:tcBorders>
        <w:shd w:val="clear" w:color="auto" w:fill="B8CA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B3976E" w:themeColor="accent2" w:themeTint="BF"/>
        <w:left w:val="single" w:sz="8" w:space="0" w:color="B3976E" w:themeColor="accent2" w:themeTint="BF"/>
        <w:bottom w:val="single" w:sz="8" w:space="0" w:color="B3976E" w:themeColor="accent2" w:themeTint="BF"/>
        <w:right w:val="single" w:sz="8" w:space="0" w:color="B3976E" w:themeColor="accent2" w:themeTint="BF"/>
        <w:insideH w:val="single" w:sz="8" w:space="0" w:color="B3976E" w:themeColor="accent2" w:themeTint="BF"/>
      </w:tblBorders>
    </w:tblPr>
    <w:tblStylePr w:type="firstRow">
      <w:pPr>
        <w:spacing w:before="0" w:after="0" w:line="240" w:lineRule="auto"/>
      </w:pPr>
      <w:rPr>
        <w:b/>
        <w:bCs/>
        <w:color w:val="262626" w:themeColor="background1"/>
      </w:rPr>
      <w:tblPr/>
      <w:tcPr>
        <w:tcBorders>
          <w:top w:val="single" w:sz="8" w:space="0" w:color="B3976E" w:themeColor="accent2" w:themeTint="BF"/>
          <w:left w:val="single" w:sz="8" w:space="0" w:color="B3976E" w:themeColor="accent2" w:themeTint="BF"/>
          <w:bottom w:val="single" w:sz="8" w:space="0" w:color="B3976E" w:themeColor="accent2" w:themeTint="BF"/>
          <w:right w:val="single" w:sz="8" w:space="0" w:color="B3976E" w:themeColor="accent2" w:themeTint="BF"/>
          <w:insideH w:val="nil"/>
          <w:insideV w:val="nil"/>
        </w:tcBorders>
        <w:shd w:val="clear" w:color="auto" w:fill="8E734A" w:themeFill="accent2"/>
      </w:tcPr>
    </w:tblStylePr>
    <w:tblStylePr w:type="lastRow">
      <w:pPr>
        <w:spacing w:before="0" w:after="0" w:line="240" w:lineRule="auto"/>
      </w:pPr>
      <w:rPr>
        <w:b/>
        <w:bCs/>
      </w:rPr>
      <w:tblPr/>
      <w:tcPr>
        <w:tcBorders>
          <w:top w:val="double" w:sz="6" w:space="0" w:color="B3976E" w:themeColor="accent2" w:themeTint="BF"/>
          <w:left w:val="single" w:sz="8" w:space="0" w:color="B3976E" w:themeColor="accent2" w:themeTint="BF"/>
          <w:bottom w:val="single" w:sz="8" w:space="0" w:color="B3976E" w:themeColor="accent2" w:themeTint="BF"/>
          <w:right w:val="single" w:sz="8" w:space="0" w:color="B3976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6DCCF" w:themeFill="accent2" w:themeFillTint="3F"/>
      </w:tcPr>
    </w:tblStylePr>
    <w:tblStylePr w:type="band1Horz">
      <w:tblPr/>
      <w:tcPr>
        <w:tcBorders>
          <w:insideH w:val="nil"/>
          <w:insideV w:val="nil"/>
        </w:tcBorders>
        <w:shd w:val="clear" w:color="auto" w:fill="E6DC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09CCD5" w:themeColor="accent3" w:themeTint="BF"/>
        <w:left w:val="single" w:sz="8" w:space="0" w:color="09CCD5" w:themeColor="accent3" w:themeTint="BF"/>
        <w:bottom w:val="single" w:sz="8" w:space="0" w:color="09CCD5" w:themeColor="accent3" w:themeTint="BF"/>
        <w:right w:val="single" w:sz="8" w:space="0" w:color="09CCD5" w:themeColor="accent3" w:themeTint="BF"/>
        <w:insideH w:val="single" w:sz="8" w:space="0" w:color="09CCD5" w:themeColor="accent3" w:themeTint="BF"/>
      </w:tblBorders>
    </w:tblPr>
    <w:tblStylePr w:type="firstRow">
      <w:pPr>
        <w:spacing w:before="0" w:after="0" w:line="240" w:lineRule="auto"/>
      </w:pPr>
      <w:rPr>
        <w:b/>
        <w:bCs/>
        <w:color w:val="262626" w:themeColor="background1"/>
      </w:rPr>
      <w:tblPr/>
      <w:tcPr>
        <w:tcBorders>
          <w:top w:val="single" w:sz="8" w:space="0" w:color="09CCD5" w:themeColor="accent3" w:themeTint="BF"/>
          <w:left w:val="single" w:sz="8" w:space="0" w:color="09CCD5" w:themeColor="accent3" w:themeTint="BF"/>
          <w:bottom w:val="single" w:sz="8" w:space="0" w:color="09CCD5" w:themeColor="accent3" w:themeTint="BF"/>
          <w:right w:val="single" w:sz="8" w:space="0" w:color="09CCD5" w:themeColor="accent3" w:themeTint="BF"/>
          <w:insideH w:val="nil"/>
          <w:insideV w:val="nil"/>
        </w:tcBorders>
        <w:shd w:val="clear" w:color="auto" w:fill="057479" w:themeFill="accent3"/>
      </w:tcPr>
    </w:tblStylePr>
    <w:tblStylePr w:type="lastRow">
      <w:pPr>
        <w:spacing w:before="0" w:after="0" w:line="240" w:lineRule="auto"/>
      </w:pPr>
      <w:rPr>
        <w:b/>
        <w:bCs/>
      </w:rPr>
      <w:tblPr/>
      <w:tcPr>
        <w:tcBorders>
          <w:top w:val="double" w:sz="6" w:space="0" w:color="09CCD5" w:themeColor="accent3" w:themeTint="BF"/>
          <w:left w:val="single" w:sz="8" w:space="0" w:color="09CCD5" w:themeColor="accent3" w:themeTint="BF"/>
          <w:bottom w:val="single" w:sz="8" w:space="0" w:color="09CCD5" w:themeColor="accent3" w:themeTint="BF"/>
          <w:right w:val="single" w:sz="8" w:space="0" w:color="09CC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3F7FB" w:themeFill="accent3" w:themeFillTint="3F"/>
      </w:tcPr>
    </w:tblStylePr>
    <w:tblStylePr w:type="band1Horz">
      <w:tblPr/>
      <w:tcPr>
        <w:tcBorders>
          <w:insideH w:val="nil"/>
          <w:insideV w:val="nil"/>
        </w:tcBorders>
        <w:shd w:val="clear" w:color="auto" w:fill="A3F7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914C82" w:themeColor="accent4" w:themeTint="BF"/>
        <w:left w:val="single" w:sz="8" w:space="0" w:color="914C82" w:themeColor="accent4" w:themeTint="BF"/>
        <w:bottom w:val="single" w:sz="8" w:space="0" w:color="914C82" w:themeColor="accent4" w:themeTint="BF"/>
        <w:right w:val="single" w:sz="8" w:space="0" w:color="914C82" w:themeColor="accent4" w:themeTint="BF"/>
        <w:insideH w:val="single" w:sz="8" w:space="0" w:color="914C82" w:themeColor="accent4" w:themeTint="BF"/>
      </w:tblBorders>
    </w:tblPr>
    <w:tblStylePr w:type="firstRow">
      <w:pPr>
        <w:spacing w:before="0" w:after="0" w:line="240" w:lineRule="auto"/>
      </w:pPr>
      <w:rPr>
        <w:b/>
        <w:bCs/>
        <w:color w:val="262626" w:themeColor="background1"/>
      </w:rPr>
      <w:tblPr/>
      <w:tcPr>
        <w:tcBorders>
          <w:top w:val="single" w:sz="8" w:space="0" w:color="914C82" w:themeColor="accent4" w:themeTint="BF"/>
          <w:left w:val="single" w:sz="8" w:space="0" w:color="914C82" w:themeColor="accent4" w:themeTint="BF"/>
          <w:bottom w:val="single" w:sz="8" w:space="0" w:color="914C82" w:themeColor="accent4" w:themeTint="BF"/>
          <w:right w:val="single" w:sz="8" w:space="0" w:color="914C82" w:themeColor="accent4" w:themeTint="BF"/>
          <w:insideH w:val="nil"/>
          <w:insideV w:val="nil"/>
        </w:tcBorders>
        <w:shd w:val="clear" w:color="auto" w:fill="522B4A" w:themeFill="accent4"/>
      </w:tcPr>
    </w:tblStylePr>
    <w:tblStylePr w:type="lastRow">
      <w:pPr>
        <w:spacing w:before="0" w:after="0" w:line="240" w:lineRule="auto"/>
      </w:pPr>
      <w:rPr>
        <w:b/>
        <w:bCs/>
      </w:rPr>
      <w:tblPr/>
      <w:tcPr>
        <w:tcBorders>
          <w:top w:val="double" w:sz="6" w:space="0" w:color="914C82" w:themeColor="accent4" w:themeTint="BF"/>
          <w:left w:val="single" w:sz="8" w:space="0" w:color="914C82" w:themeColor="accent4" w:themeTint="BF"/>
          <w:bottom w:val="single" w:sz="8" w:space="0" w:color="914C82" w:themeColor="accent4" w:themeTint="BF"/>
          <w:right w:val="single" w:sz="8" w:space="0" w:color="914C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C0D8" w:themeFill="accent4" w:themeFillTint="3F"/>
      </w:tcPr>
    </w:tblStylePr>
    <w:tblStylePr w:type="band1Horz">
      <w:tblPr/>
      <w:tcPr>
        <w:tcBorders>
          <w:insideH w:val="nil"/>
          <w:insideV w:val="nil"/>
        </w:tcBorders>
        <w:shd w:val="clear" w:color="auto" w:fill="DEC0D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D53B4F" w:themeColor="accent5" w:themeTint="BF"/>
        <w:left w:val="single" w:sz="8" w:space="0" w:color="D53B4F" w:themeColor="accent5" w:themeTint="BF"/>
        <w:bottom w:val="single" w:sz="8" w:space="0" w:color="D53B4F" w:themeColor="accent5" w:themeTint="BF"/>
        <w:right w:val="single" w:sz="8" w:space="0" w:color="D53B4F" w:themeColor="accent5" w:themeTint="BF"/>
        <w:insideH w:val="single" w:sz="8" w:space="0" w:color="D53B4F" w:themeColor="accent5" w:themeTint="BF"/>
      </w:tblBorders>
    </w:tblPr>
    <w:tblStylePr w:type="firstRow">
      <w:pPr>
        <w:spacing w:before="0" w:after="0" w:line="240" w:lineRule="auto"/>
      </w:pPr>
      <w:rPr>
        <w:b/>
        <w:bCs/>
        <w:color w:val="262626" w:themeColor="background1"/>
      </w:rPr>
      <w:tblPr/>
      <w:tcPr>
        <w:tcBorders>
          <w:top w:val="single" w:sz="8" w:space="0" w:color="D53B4F" w:themeColor="accent5" w:themeTint="BF"/>
          <w:left w:val="single" w:sz="8" w:space="0" w:color="D53B4F" w:themeColor="accent5" w:themeTint="BF"/>
          <w:bottom w:val="single" w:sz="8" w:space="0" w:color="D53B4F" w:themeColor="accent5" w:themeTint="BF"/>
          <w:right w:val="single" w:sz="8" w:space="0" w:color="D53B4F" w:themeColor="accent5" w:themeTint="BF"/>
          <w:insideH w:val="nil"/>
          <w:insideV w:val="nil"/>
        </w:tcBorders>
        <w:shd w:val="clear" w:color="auto" w:fill="9F2233" w:themeFill="accent5"/>
      </w:tcPr>
    </w:tblStylePr>
    <w:tblStylePr w:type="lastRow">
      <w:pPr>
        <w:spacing w:before="0" w:after="0" w:line="240" w:lineRule="auto"/>
      </w:pPr>
      <w:rPr>
        <w:b/>
        <w:bCs/>
      </w:rPr>
      <w:tblPr/>
      <w:tcPr>
        <w:tcBorders>
          <w:top w:val="double" w:sz="6" w:space="0" w:color="D53B4F" w:themeColor="accent5" w:themeTint="BF"/>
          <w:left w:val="single" w:sz="8" w:space="0" w:color="D53B4F" w:themeColor="accent5" w:themeTint="BF"/>
          <w:bottom w:val="single" w:sz="8" w:space="0" w:color="D53B4F" w:themeColor="accent5" w:themeTint="BF"/>
          <w:right w:val="single" w:sz="8" w:space="0" w:color="D53B4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BEC5" w:themeFill="accent5" w:themeFillTint="3F"/>
      </w:tcPr>
    </w:tblStylePr>
    <w:tblStylePr w:type="band1Horz">
      <w:tblPr/>
      <w:tcPr>
        <w:tcBorders>
          <w:insideH w:val="nil"/>
          <w:insideV w:val="nil"/>
        </w:tcBorders>
        <w:shd w:val="clear" w:color="auto" w:fill="F1BEC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262626"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010A1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010A11" w:themeFill="text1"/>
      </w:tcPr>
    </w:tblStylePr>
    <w:tblStylePr w:type="lastCol">
      <w:rPr>
        <w:b/>
        <w:bCs/>
        <w:color w:val="262626" w:themeColor="background1"/>
      </w:rPr>
      <w:tblPr/>
      <w:tcPr>
        <w:tcBorders>
          <w:left w:val="nil"/>
          <w:right w:val="nil"/>
          <w:insideH w:val="nil"/>
          <w:insideV w:val="nil"/>
        </w:tcBorders>
        <w:shd w:val="clear" w:color="auto" w:fill="010A11" w:themeFill="text1"/>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1C2B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1C2B39" w:themeFill="accent1"/>
      </w:tcPr>
    </w:tblStylePr>
    <w:tblStylePr w:type="lastCol">
      <w:rPr>
        <w:b/>
        <w:bCs/>
        <w:color w:val="262626" w:themeColor="background1"/>
      </w:rPr>
      <w:tblPr/>
      <w:tcPr>
        <w:tcBorders>
          <w:left w:val="nil"/>
          <w:right w:val="nil"/>
          <w:insideH w:val="nil"/>
          <w:insideV w:val="nil"/>
        </w:tcBorders>
        <w:shd w:val="clear" w:color="auto" w:fill="1C2B39" w:themeFill="accent1"/>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8E734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8E734A" w:themeFill="accent2"/>
      </w:tcPr>
    </w:tblStylePr>
    <w:tblStylePr w:type="lastCol">
      <w:rPr>
        <w:b/>
        <w:bCs/>
        <w:color w:val="262626" w:themeColor="background1"/>
      </w:rPr>
      <w:tblPr/>
      <w:tcPr>
        <w:tcBorders>
          <w:left w:val="nil"/>
          <w:right w:val="nil"/>
          <w:insideH w:val="nil"/>
          <w:insideV w:val="nil"/>
        </w:tcBorders>
        <w:shd w:val="clear" w:color="auto" w:fill="8E734A" w:themeFill="accent2"/>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05747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057479" w:themeFill="accent3"/>
      </w:tcPr>
    </w:tblStylePr>
    <w:tblStylePr w:type="lastCol">
      <w:rPr>
        <w:b/>
        <w:bCs/>
        <w:color w:val="262626" w:themeColor="background1"/>
      </w:rPr>
      <w:tblPr/>
      <w:tcPr>
        <w:tcBorders>
          <w:left w:val="nil"/>
          <w:right w:val="nil"/>
          <w:insideH w:val="nil"/>
          <w:insideV w:val="nil"/>
        </w:tcBorders>
        <w:shd w:val="clear" w:color="auto" w:fill="057479" w:themeFill="accent3"/>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522B4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522B4A" w:themeFill="accent4"/>
      </w:tcPr>
    </w:tblStylePr>
    <w:tblStylePr w:type="lastCol">
      <w:rPr>
        <w:b/>
        <w:bCs/>
        <w:color w:val="262626" w:themeColor="background1"/>
      </w:rPr>
      <w:tblPr/>
      <w:tcPr>
        <w:tcBorders>
          <w:left w:val="nil"/>
          <w:right w:val="nil"/>
          <w:insideH w:val="nil"/>
          <w:insideV w:val="nil"/>
        </w:tcBorders>
        <w:shd w:val="clear" w:color="auto" w:fill="522B4A" w:themeFill="accent4"/>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9F223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9F2233" w:themeFill="accent5"/>
      </w:tcPr>
    </w:tblStylePr>
    <w:tblStylePr w:type="lastCol">
      <w:rPr>
        <w:b/>
        <w:bCs/>
        <w:color w:val="262626" w:themeColor="background1"/>
      </w:rPr>
      <w:tblPr/>
      <w:tcPr>
        <w:tcBorders>
          <w:left w:val="nil"/>
          <w:right w:val="nil"/>
          <w:insideH w:val="nil"/>
          <w:insideV w:val="nil"/>
        </w:tcBorders>
        <w:shd w:val="clear" w:color="auto" w:fill="9F2233" w:themeFill="accent5"/>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262626"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262626" w:themeFill="background1"/>
      </w:tcPr>
    </w:tblStylePr>
    <w:tblStylePr w:type="firstCol">
      <w:rPr>
        <w:b/>
        <w:bCs/>
        <w:color w:val="262626"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262626"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202020" w:themeFill="background1" w:themeFillShade="D8"/>
      </w:tcPr>
    </w:tblStylePr>
    <w:tblStylePr w:type="band1Horz">
      <w:tblPr/>
      <w:tcPr>
        <w:shd w:val="clear" w:color="auto" w:fill="202020"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262626"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22"/>
    <w:unhideWhenUsed/>
    <w:qFormat/>
    <w:rPr>
      <w:b/>
      <w:bCs/>
    </w:rPr>
  </w:style>
  <w:style w:type="paragraph" w:styleId="Subtitle">
    <w:name w:val="Subtitle"/>
    <w:basedOn w:val="Normal"/>
    <w:next w:val="Normal"/>
    <w:link w:val="SubtitleChar"/>
    <w:uiPriority w:val="11"/>
    <w:unhideWhenUsed/>
    <w:qFormat/>
    <w:pPr>
      <w:numPr>
        <w:ilvl w:val="1"/>
      </w:numPr>
      <w:ind w:left="432" w:right="1080"/>
    </w:pPr>
    <w:rPr>
      <w:rFonts w:asciiTheme="majorHAnsi" w:eastAsiaTheme="majorEastAsia" w:hAnsiTheme="majorHAnsi" w:cstheme="majorBidi"/>
      <w:caps/>
      <w:color w:val="1C2B39" w:themeColor="accent1"/>
      <w:sz w:val="56"/>
    </w:rPr>
  </w:style>
  <w:style w:type="character" w:customStyle="1" w:styleId="SubtitleChar">
    <w:name w:val="Subtitle Char"/>
    <w:basedOn w:val="DefaultParagraphFont"/>
    <w:link w:val="Subtitle"/>
    <w:uiPriority w:val="11"/>
    <w:rPr>
      <w:rFonts w:asciiTheme="majorHAnsi" w:eastAsiaTheme="majorEastAsia" w:hAnsiTheme="majorHAnsi" w:cstheme="majorBidi"/>
      <w:caps/>
      <w:color w:val="1C2B39" w:themeColor="accent1"/>
      <w:kern w:val="20"/>
      <w:sz w:val="56"/>
    </w:rPr>
  </w:style>
  <w:style w:type="character" w:styleId="SubtleEmphasis">
    <w:name w:val="Subtle Emphasis"/>
    <w:basedOn w:val="DefaultParagraphFont"/>
    <w:uiPriority w:val="19"/>
    <w:unhideWhenUsed/>
    <w:qFormat/>
    <w:rPr>
      <w:i/>
      <w:iCs/>
      <w:color w:val="1791F1" w:themeColor="text1" w:themeTint="7F"/>
    </w:rPr>
  </w:style>
  <w:style w:type="character" w:styleId="SubtleReference">
    <w:name w:val="Subtle Reference"/>
    <w:basedOn w:val="DefaultParagraphFont"/>
    <w:uiPriority w:val="31"/>
    <w:unhideWhenUsed/>
    <w:qFormat/>
    <w:rPr>
      <w:smallCaps/>
      <w:color w:val="8E734A"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unhideWhenUsed/>
    <w:qFormat/>
    <w:rsid w:val="00956816"/>
    <w:pPr>
      <w:spacing w:before="0" w:after="120" w:line="204" w:lineRule="auto"/>
    </w:pPr>
    <w:rPr>
      <w:rFonts w:ascii="Montserrat" w:eastAsiaTheme="majorEastAsia" w:hAnsi="Montserrat" w:cstheme="majorBidi"/>
      <w:b/>
      <w:caps/>
      <w:color w:val="CAA06E"/>
      <w:spacing w:val="0"/>
      <w:kern w:val="28"/>
      <w:sz w:val="132"/>
      <w:szCs w:val="64"/>
      <w14:ligatures w14:val="standardContextual"/>
    </w:rPr>
  </w:style>
  <w:style w:type="character" w:customStyle="1" w:styleId="TitleChar">
    <w:name w:val="Title Char"/>
    <w:basedOn w:val="DefaultParagraphFont"/>
    <w:link w:val="Title"/>
    <w:uiPriority w:val="10"/>
    <w:rsid w:val="00956816"/>
    <w:rPr>
      <w:rFonts w:ascii="Montserrat" w:eastAsiaTheme="majorEastAsia" w:hAnsi="Montserrat" w:cstheme="majorBidi"/>
      <w:b/>
      <w:caps/>
      <w:color w:val="CAA06E"/>
      <w:kern w:val="28"/>
      <w:sz w:val="132"/>
      <w:szCs w:val="64"/>
      <w:lang w:val="en-GB"/>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EE55A0"/>
    <w:pPr>
      <w:tabs>
        <w:tab w:val="right" w:leader="underscore" w:pos="9090"/>
      </w:tabs>
      <w:spacing w:after="100"/>
    </w:pPr>
    <w:rPr>
      <w:noProof/>
      <w:color w:val="1C2B39" w:themeColor="accent1"/>
      <w:sz w:val="22"/>
    </w:rPr>
  </w:style>
  <w:style w:type="paragraph" w:styleId="TOC2">
    <w:name w:val="toc 2"/>
    <w:basedOn w:val="Normal"/>
    <w:next w:val="Normal"/>
    <w:autoRedefine/>
    <w:uiPriority w:val="39"/>
    <w:unhideWhenUsed/>
    <w:rsid w:val="00D47F73"/>
    <w:pPr>
      <w:spacing w:after="100"/>
      <w:ind w:left="220"/>
    </w:pPr>
    <w:rPr>
      <w:color w:val="8E734A" w:themeColor="accent2"/>
    </w:r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Normal"/>
    <w:next w:val="Normal"/>
    <w:link w:val="TOCHeadingChar"/>
    <w:uiPriority w:val="39"/>
    <w:unhideWhenUsed/>
    <w:qFormat/>
    <w:rsid w:val="002B3A49"/>
    <w:rPr>
      <w:kern w:val="20"/>
      <w:sz w:val="36"/>
    </w:rPr>
  </w:style>
  <w:style w:type="character" w:customStyle="1" w:styleId="NoSpacingChar">
    <w:name w:val="No Spacing Char"/>
    <w:basedOn w:val="DefaultParagraphFont"/>
    <w:link w:val="NoSpacing"/>
    <w:uiPriority w:val="1"/>
  </w:style>
  <w:style w:type="paragraph" w:customStyle="1" w:styleId="TableHeading">
    <w:name w:val="Table Heading"/>
    <w:basedOn w:val="Heading1"/>
    <w:uiPriority w:val="10"/>
    <w:qFormat/>
    <w:rsid w:val="00E61221"/>
    <w:pPr>
      <w:keepNext/>
      <w:pageBreakBefore w:val="0"/>
      <w:pBdr>
        <w:top w:val="single" w:sz="4" w:space="1" w:color="4A4848" w:themeColor="text2"/>
        <w:left w:val="single" w:sz="4" w:space="6" w:color="4A4848" w:themeColor="text2"/>
        <w:bottom w:val="single" w:sz="4" w:space="2" w:color="4A4848" w:themeColor="text2"/>
        <w:right w:val="single" w:sz="4" w:space="6" w:color="4A4848" w:themeColor="text2"/>
      </w:pBdr>
      <w:shd w:val="clear" w:color="auto" w:fill="4A4848" w:themeFill="text2"/>
      <w:spacing w:before="160"/>
      <w:ind w:left="142" w:right="142"/>
    </w:pPr>
    <w:rPr>
      <w:rFonts w:eastAsiaTheme="majorEastAsia" w:cstheme="majorBidi"/>
      <w:caps w:val="0"/>
      <w:color w:val="FFFFFF"/>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202020"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1C2B39"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5"/>
      </w:numPr>
    </w:pPr>
  </w:style>
  <w:style w:type="paragraph" w:customStyle="1" w:styleId="Abstract">
    <w:name w:val="Abstract"/>
    <w:basedOn w:val="Normal"/>
    <w:uiPriority w:val="20"/>
    <w:pPr>
      <w:spacing w:before="360" w:after="0" w:line="240" w:lineRule="auto"/>
      <w:ind w:left="432" w:right="1080"/>
    </w:pPr>
    <w:rPr>
      <w:i/>
      <w:iCs/>
      <w:color w:val="1590F1"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white">
    <w:name w:val="Table white"/>
    <w:uiPriority w:val="10"/>
    <w:qFormat/>
    <w:rsid w:val="0023054B"/>
    <w:pPr>
      <w:spacing w:after="40" w:line="240" w:lineRule="auto"/>
      <w:ind w:left="144" w:right="144"/>
    </w:pPr>
    <w:rPr>
      <w:rFonts w:ascii="Montserrat" w:eastAsiaTheme="majorEastAsia" w:hAnsi="Montserrat" w:cstheme="majorBidi"/>
      <w:caps/>
      <w:color w:val="FFFFFF"/>
      <w:kern w:val="20"/>
    </w:rPr>
  </w:style>
  <w:style w:type="paragraph" w:customStyle="1" w:styleId="Headergreen">
    <w:name w:val="Header green"/>
    <w:uiPriority w:val="99"/>
    <w:qFormat/>
    <w:rsid w:val="00BF5389"/>
    <w:pPr>
      <w:pBdr>
        <w:top w:val="single" w:sz="2" w:space="6" w:color="4A4848" w:themeColor="text2"/>
        <w:left w:val="single" w:sz="2" w:space="20" w:color="4A4848" w:themeColor="text2"/>
        <w:bottom w:val="single" w:sz="2" w:space="6" w:color="4A4848" w:themeColor="text2"/>
        <w:right w:val="single" w:sz="2" w:space="20" w:color="4A4848" w:themeColor="text2"/>
      </w:pBdr>
      <w:shd w:val="clear" w:color="auto" w:fill="4A4848" w:themeFill="text2"/>
      <w:spacing w:before="0" w:after="240" w:line="240" w:lineRule="auto"/>
      <w:jc w:val="right"/>
    </w:pPr>
    <w:rPr>
      <w:rFonts w:asciiTheme="majorHAnsi" w:eastAsiaTheme="majorEastAsia" w:hAnsiTheme="majorHAnsi" w:cstheme="majorBidi"/>
      <w:caps/>
      <w:color w:val="262626" w:themeColor="background1"/>
      <w:kern w:val="20"/>
    </w:rPr>
  </w:style>
  <w:style w:type="paragraph" w:customStyle="1" w:styleId="BasicParagraph">
    <w:name w:val="[Basic Paragraph]"/>
    <w:basedOn w:val="Normal"/>
    <w:uiPriority w:val="99"/>
    <w:rsid w:val="002B3A49"/>
    <w:pPr>
      <w:autoSpaceDE w:val="0"/>
      <w:autoSpaceDN w:val="0"/>
      <w:adjustRightInd w:val="0"/>
      <w:spacing w:before="0" w:after="0"/>
      <w:textAlignment w:val="center"/>
    </w:pPr>
    <w:rPr>
      <w:rFonts w:ascii="Minion Pro" w:hAnsi="Minion Pro" w:cs="Minion Pro"/>
      <w:color w:val="000000"/>
      <w:sz w:val="24"/>
      <w:szCs w:val="24"/>
    </w:rPr>
  </w:style>
  <w:style w:type="paragraph" w:customStyle="1" w:styleId="Title2">
    <w:name w:val="Title 2"/>
    <w:basedOn w:val="Normal"/>
    <w:link w:val="Title2Char"/>
    <w:qFormat/>
    <w:rsid w:val="00956816"/>
    <w:pPr>
      <w:spacing w:line="264" w:lineRule="auto"/>
    </w:pPr>
    <w:rPr>
      <w:rFonts w:ascii="Montserrat Hairline" w:hAnsi="Montserrat Hairline"/>
      <w:color w:val="CAA06E"/>
      <w:spacing w:val="16"/>
      <w:sz w:val="42"/>
    </w:rPr>
  </w:style>
  <w:style w:type="paragraph" w:customStyle="1" w:styleId="Title3">
    <w:name w:val="Title 3"/>
    <w:basedOn w:val="Title2"/>
    <w:link w:val="Title3Char"/>
    <w:qFormat/>
    <w:rsid w:val="004F505C"/>
    <w:rPr>
      <w:color w:val="FFFFFF"/>
      <w:sz w:val="36"/>
      <w:lang w:val="en-US"/>
    </w:rPr>
  </w:style>
  <w:style w:type="character" w:customStyle="1" w:styleId="Title2Char">
    <w:name w:val="Title 2 Char"/>
    <w:basedOn w:val="DefaultParagraphFont"/>
    <w:link w:val="Title2"/>
    <w:rsid w:val="00956816"/>
    <w:rPr>
      <w:rFonts w:ascii="Montserrat Hairline" w:hAnsi="Montserrat Hairline"/>
      <w:color w:val="CAA06E"/>
      <w:spacing w:val="16"/>
      <w:sz w:val="42"/>
      <w:szCs w:val="19"/>
      <w:lang w:val="en-GB"/>
    </w:rPr>
  </w:style>
  <w:style w:type="character" w:customStyle="1" w:styleId="Title3Char">
    <w:name w:val="Title 3 Char"/>
    <w:basedOn w:val="Title2Char"/>
    <w:link w:val="Title3"/>
    <w:rsid w:val="004F505C"/>
    <w:rPr>
      <w:rFonts w:ascii="Montserrat Hairline" w:hAnsi="Montserrat Hairline"/>
      <w:color w:val="FFFFFF"/>
      <w:spacing w:val="16"/>
      <w:sz w:val="36"/>
      <w:szCs w:val="19"/>
      <w:lang w:val="en-GB"/>
    </w:rPr>
  </w:style>
  <w:style w:type="paragraph" w:customStyle="1" w:styleId="Table">
    <w:name w:val="Table"/>
    <w:basedOn w:val="Heading5"/>
    <w:link w:val="TableChar"/>
    <w:qFormat/>
    <w:rsid w:val="00193951"/>
    <w:pPr>
      <w:numPr>
        <w:ilvl w:val="4"/>
      </w:numPr>
      <w:spacing w:before="40" w:line="259" w:lineRule="auto"/>
    </w:pPr>
    <w:rPr>
      <w:rFonts w:asciiTheme="majorHAnsi" w:hAnsiTheme="majorHAnsi"/>
      <w:i w:val="0"/>
      <w:color w:val="15202A" w:themeColor="accent1" w:themeShade="BF"/>
      <w:sz w:val="24"/>
      <w:szCs w:val="22"/>
      <w:lang w:val="en-AU" w:eastAsia="en-US"/>
    </w:rPr>
  </w:style>
  <w:style w:type="character" w:customStyle="1" w:styleId="TableChar">
    <w:name w:val="Table Char"/>
    <w:basedOn w:val="Heading5Char"/>
    <w:link w:val="Table"/>
    <w:rsid w:val="00193951"/>
    <w:rPr>
      <w:rFonts w:asciiTheme="majorHAnsi" w:eastAsiaTheme="majorEastAsia" w:hAnsiTheme="majorHAnsi" w:cstheme="majorBidi"/>
      <w:i w:val="0"/>
      <w:color w:val="15202A" w:themeColor="accent1" w:themeShade="BF"/>
      <w:spacing w:val="22"/>
      <w:sz w:val="24"/>
      <w:szCs w:val="22"/>
      <w:lang w:val="en-AU" w:eastAsia="en-US"/>
    </w:rPr>
  </w:style>
  <w:style w:type="paragraph" w:customStyle="1" w:styleId="tablenotes">
    <w:name w:val="table notes"/>
    <w:basedOn w:val="FootnoteText"/>
    <w:link w:val="tablenotesChar"/>
    <w:autoRedefine/>
    <w:qFormat/>
    <w:rsid w:val="00D57D1D"/>
    <w:pPr>
      <w:tabs>
        <w:tab w:val="left" w:pos="8222"/>
      </w:tabs>
      <w:spacing w:before="0" w:after="240"/>
      <w:contextualSpacing/>
      <w:jc w:val="both"/>
    </w:pPr>
    <w:rPr>
      <w:noProof/>
      <w:color w:val="auto"/>
      <w:szCs w:val="16"/>
      <w:lang w:val="en-AU" w:eastAsia="en-AU"/>
    </w:rPr>
  </w:style>
  <w:style w:type="character" w:customStyle="1" w:styleId="tablenotesChar">
    <w:name w:val="table notes Char"/>
    <w:basedOn w:val="FootnoteTextChar"/>
    <w:link w:val="tablenotes"/>
    <w:rsid w:val="00D57D1D"/>
    <w:rPr>
      <w:rFonts w:ascii="Calibri Light" w:hAnsi="Calibri Light"/>
      <w:noProof/>
      <w:color w:val="auto"/>
      <w:spacing w:val="20"/>
      <w:sz w:val="18"/>
      <w:szCs w:val="16"/>
      <w:lang w:val="en-AU" w:eastAsia="en-AU"/>
    </w:rPr>
  </w:style>
  <w:style w:type="character" w:customStyle="1" w:styleId="ListParagraphChar">
    <w:name w:val="List Paragraph Char"/>
    <w:aliases w:val="Recommendation Char,Bullet point Char,List Paragraph1 Char,List Paragraph11 Char,List Paragraph Number Char,Bullet Point Char,L Char,Bullet points Char,Content descriptions Char,Bulleted Para Char,NFP GP Bulleted List Char,L1 Char"/>
    <w:link w:val="ListParagraph"/>
    <w:uiPriority w:val="34"/>
    <w:locked/>
    <w:rsid w:val="002A0168"/>
    <w:rPr>
      <w:rFonts w:ascii="Calibri Light" w:hAnsi="Calibri Light"/>
      <w:color w:val="323536" w:themeColor="background2" w:themeShade="40"/>
      <w:spacing w:val="20"/>
      <w:szCs w:val="19"/>
      <w:lang w:val="en-GB"/>
    </w:rPr>
  </w:style>
  <w:style w:type="paragraph" w:customStyle="1" w:styleId="Figures">
    <w:name w:val="Figures"/>
    <w:basedOn w:val="Table"/>
    <w:next w:val="TableofFigures"/>
    <w:link w:val="FiguresChar"/>
    <w:autoRedefine/>
    <w:qFormat/>
    <w:rsid w:val="00EF1B43"/>
    <w:pPr>
      <w:numPr>
        <w:ilvl w:val="0"/>
      </w:numPr>
      <w:spacing w:before="0" w:after="0"/>
      <w:jc w:val="both"/>
      <w:outlineLvl w:val="9"/>
    </w:pPr>
    <w:rPr>
      <w:noProof/>
      <w:lang w:eastAsia="en-AU"/>
    </w:rPr>
  </w:style>
  <w:style w:type="character" w:customStyle="1" w:styleId="FiguresChar">
    <w:name w:val="Figures Char"/>
    <w:basedOn w:val="TableChar"/>
    <w:link w:val="Figures"/>
    <w:rsid w:val="00EF1B43"/>
    <w:rPr>
      <w:rFonts w:asciiTheme="majorHAnsi" w:eastAsiaTheme="majorEastAsia" w:hAnsiTheme="majorHAnsi" w:cstheme="majorBidi"/>
      <w:i w:val="0"/>
      <w:noProof/>
      <w:color w:val="15202A" w:themeColor="accent1" w:themeShade="BF"/>
      <w:spacing w:val="22"/>
      <w:sz w:val="24"/>
      <w:szCs w:val="22"/>
      <w:lang w:val="en-AU" w:eastAsia="en-AU"/>
    </w:rPr>
  </w:style>
  <w:style w:type="table" w:customStyle="1" w:styleId="GridTable5Dark-Accent61">
    <w:name w:val="Grid Table 5 Dark - Accent 61"/>
    <w:basedOn w:val="TableNormal"/>
    <w:uiPriority w:val="50"/>
    <w:rsid w:val="0025705E"/>
    <w:pPr>
      <w:spacing w:before="0" w:after="0" w:line="240" w:lineRule="auto"/>
    </w:pPr>
    <w:rPr>
      <w:rFonts w:eastAsiaTheme="minorEastAsia"/>
      <w:color w:val="auto"/>
      <w:sz w:val="22"/>
      <w:szCs w:val="22"/>
      <w:lang w:val="en-AU" w:eastAsia="en-US"/>
    </w:rPr>
    <w:tblPr>
      <w:tblStyleRowBandSize w:val="1"/>
      <w:tblStyleColBandSize w:val="1"/>
      <w:tblBorders>
        <w:top w:val="single" w:sz="4" w:space="0" w:color="262626" w:themeColor="background1"/>
        <w:left w:val="single" w:sz="4" w:space="0" w:color="262626" w:themeColor="background1"/>
        <w:bottom w:val="single" w:sz="4" w:space="0" w:color="262626" w:themeColor="background1"/>
        <w:right w:val="single" w:sz="4" w:space="0" w:color="262626" w:themeColor="background1"/>
        <w:insideH w:val="single" w:sz="4" w:space="0" w:color="262626" w:themeColor="background1"/>
        <w:insideV w:val="single" w:sz="4" w:space="0" w:color="262626" w:themeColor="background1"/>
      </w:tblBorders>
    </w:tblPr>
    <w:tcPr>
      <w:shd w:val="clear" w:color="auto" w:fill="FFF2CC" w:themeFill="accent6" w:themeFillTint="33"/>
    </w:tcPr>
    <w:tblStylePr w:type="firstRow">
      <w:rPr>
        <w:b/>
        <w:bCs/>
        <w:color w:val="262626" w:themeColor="background1"/>
      </w:rPr>
      <w:tblPr/>
      <w:tcPr>
        <w:tcBorders>
          <w:top w:val="single" w:sz="4" w:space="0" w:color="262626" w:themeColor="background1"/>
          <w:left w:val="single" w:sz="4" w:space="0" w:color="262626" w:themeColor="background1"/>
          <w:right w:val="single" w:sz="4" w:space="0" w:color="262626" w:themeColor="background1"/>
          <w:insideH w:val="nil"/>
          <w:insideV w:val="nil"/>
        </w:tcBorders>
        <w:shd w:val="clear" w:color="auto" w:fill="FFC000" w:themeFill="accent6"/>
      </w:tcPr>
    </w:tblStylePr>
    <w:tblStylePr w:type="lastRow">
      <w:rPr>
        <w:b/>
        <w:bCs/>
        <w:color w:val="262626" w:themeColor="background1"/>
      </w:rPr>
      <w:tblPr/>
      <w:tcPr>
        <w:tcBorders>
          <w:left w:val="single" w:sz="4" w:space="0" w:color="262626" w:themeColor="background1"/>
          <w:bottom w:val="single" w:sz="4" w:space="0" w:color="262626" w:themeColor="background1"/>
          <w:right w:val="single" w:sz="4" w:space="0" w:color="262626" w:themeColor="background1"/>
          <w:insideH w:val="nil"/>
          <w:insideV w:val="nil"/>
        </w:tcBorders>
        <w:shd w:val="clear" w:color="auto" w:fill="FFC000" w:themeFill="accent6"/>
      </w:tcPr>
    </w:tblStylePr>
    <w:tblStylePr w:type="firstCol">
      <w:rPr>
        <w:b/>
        <w:bCs/>
        <w:color w:val="262626" w:themeColor="background1"/>
      </w:rPr>
      <w:tblPr/>
      <w:tcPr>
        <w:tcBorders>
          <w:top w:val="single" w:sz="4" w:space="0" w:color="262626" w:themeColor="background1"/>
          <w:left w:val="single" w:sz="4" w:space="0" w:color="262626" w:themeColor="background1"/>
          <w:bottom w:val="single" w:sz="4" w:space="0" w:color="262626" w:themeColor="background1"/>
          <w:insideV w:val="nil"/>
        </w:tcBorders>
        <w:shd w:val="clear" w:color="auto" w:fill="FFC000" w:themeFill="accent6"/>
      </w:tcPr>
    </w:tblStylePr>
    <w:tblStylePr w:type="lastCol">
      <w:rPr>
        <w:b/>
        <w:bCs/>
        <w:color w:val="262626" w:themeColor="background1"/>
      </w:rPr>
      <w:tblPr/>
      <w:tcPr>
        <w:tcBorders>
          <w:top w:val="single" w:sz="4" w:space="0" w:color="262626" w:themeColor="background1"/>
          <w:bottom w:val="single" w:sz="4" w:space="0" w:color="262626" w:themeColor="background1"/>
          <w:right w:val="single" w:sz="4" w:space="0" w:color="262626"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paragraph" w:customStyle="1" w:styleId="Heading51">
    <w:name w:val="Heading 51"/>
    <w:basedOn w:val="Normal"/>
    <w:next w:val="Normal"/>
    <w:uiPriority w:val="9"/>
    <w:unhideWhenUsed/>
    <w:qFormat/>
    <w:rsid w:val="0025705E"/>
    <w:pPr>
      <w:keepNext/>
      <w:keepLines/>
      <w:spacing w:before="200" w:after="0" w:line="276" w:lineRule="auto"/>
      <w:ind w:left="1080" w:hanging="1080"/>
      <w:outlineLvl w:val="4"/>
    </w:pPr>
    <w:rPr>
      <w:rFonts w:ascii="Cambria" w:eastAsia="Times New Roman" w:hAnsi="Cambria" w:cs="Times New Roman"/>
      <w:color w:val="243F60"/>
      <w:spacing w:val="0"/>
      <w:szCs w:val="22"/>
      <w:lang w:val="en-AU" w:eastAsia="en-US"/>
    </w:rPr>
  </w:style>
  <w:style w:type="paragraph" w:customStyle="1" w:styleId="Heading61">
    <w:name w:val="Heading 61"/>
    <w:basedOn w:val="Normal"/>
    <w:next w:val="Normal"/>
    <w:uiPriority w:val="9"/>
    <w:unhideWhenUsed/>
    <w:qFormat/>
    <w:rsid w:val="0025705E"/>
    <w:pPr>
      <w:keepNext/>
      <w:keepLines/>
      <w:spacing w:before="200" w:after="0" w:line="276" w:lineRule="auto"/>
      <w:ind w:left="1080" w:hanging="1080"/>
      <w:outlineLvl w:val="5"/>
    </w:pPr>
    <w:rPr>
      <w:rFonts w:ascii="Cambria" w:eastAsia="Times New Roman" w:hAnsi="Cambria" w:cs="Times New Roman"/>
      <w:i/>
      <w:iCs/>
      <w:color w:val="243F60"/>
      <w:spacing w:val="0"/>
      <w:szCs w:val="22"/>
      <w:lang w:val="en-AU" w:eastAsia="en-US"/>
    </w:rPr>
  </w:style>
  <w:style w:type="paragraph" w:customStyle="1" w:styleId="Heading71">
    <w:name w:val="Heading 71"/>
    <w:basedOn w:val="Normal"/>
    <w:next w:val="Normal"/>
    <w:uiPriority w:val="9"/>
    <w:unhideWhenUsed/>
    <w:qFormat/>
    <w:rsid w:val="0025705E"/>
    <w:pPr>
      <w:keepNext/>
      <w:keepLines/>
      <w:spacing w:before="200" w:after="0" w:line="276" w:lineRule="auto"/>
      <w:ind w:left="1440" w:hanging="1440"/>
      <w:outlineLvl w:val="6"/>
    </w:pPr>
    <w:rPr>
      <w:rFonts w:ascii="Cambria" w:eastAsia="Times New Roman" w:hAnsi="Cambria" w:cs="Times New Roman"/>
      <w:i/>
      <w:iCs/>
      <w:color w:val="404040"/>
      <w:spacing w:val="0"/>
      <w:szCs w:val="22"/>
      <w:lang w:val="en-AU" w:eastAsia="en-US"/>
    </w:rPr>
  </w:style>
  <w:style w:type="paragraph" w:customStyle="1" w:styleId="Heading81">
    <w:name w:val="Heading 81"/>
    <w:basedOn w:val="Normal"/>
    <w:next w:val="Normal"/>
    <w:uiPriority w:val="9"/>
    <w:unhideWhenUsed/>
    <w:qFormat/>
    <w:rsid w:val="0025705E"/>
    <w:pPr>
      <w:keepNext/>
      <w:keepLines/>
      <w:spacing w:before="200" w:after="0" w:line="276" w:lineRule="auto"/>
      <w:ind w:left="1440" w:hanging="1440"/>
      <w:outlineLvl w:val="7"/>
    </w:pPr>
    <w:rPr>
      <w:rFonts w:ascii="Cambria" w:eastAsia="Times New Roman" w:hAnsi="Cambria" w:cs="Times New Roman"/>
      <w:color w:val="4F81BD"/>
      <w:spacing w:val="0"/>
      <w:szCs w:val="20"/>
      <w:lang w:val="en-AU" w:eastAsia="en-US"/>
    </w:rPr>
  </w:style>
  <w:style w:type="paragraph" w:customStyle="1" w:styleId="Heading91">
    <w:name w:val="Heading 91"/>
    <w:basedOn w:val="Normal"/>
    <w:next w:val="Normal"/>
    <w:uiPriority w:val="9"/>
    <w:unhideWhenUsed/>
    <w:qFormat/>
    <w:rsid w:val="0025705E"/>
    <w:pPr>
      <w:keepNext/>
      <w:keepLines/>
      <w:spacing w:before="200" w:after="0" w:line="276" w:lineRule="auto"/>
      <w:ind w:left="1440" w:hanging="1440"/>
      <w:outlineLvl w:val="8"/>
    </w:pPr>
    <w:rPr>
      <w:rFonts w:ascii="Cambria" w:eastAsia="Times New Roman" w:hAnsi="Cambria" w:cs="Times New Roman"/>
      <w:i/>
      <w:iCs/>
      <w:color w:val="404040"/>
      <w:spacing w:val="0"/>
      <w:szCs w:val="20"/>
      <w:lang w:val="en-AU" w:eastAsia="en-US"/>
    </w:rPr>
  </w:style>
  <w:style w:type="table" w:customStyle="1" w:styleId="TableGridLight1">
    <w:name w:val="Table Grid Light1"/>
    <w:basedOn w:val="TableNormal"/>
    <w:uiPriority w:val="40"/>
    <w:rsid w:val="0025705E"/>
    <w:pPr>
      <w:spacing w:before="0" w:after="0" w:line="240" w:lineRule="auto"/>
    </w:pPr>
    <w:rPr>
      <w:rFonts w:eastAsiaTheme="minorEastAsia"/>
      <w:color w:val="auto"/>
      <w:sz w:val="22"/>
      <w:szCs w:val="22"/>
      <w:lang w:val="en-AU" w:eastAsia="en-US"/>
    </w:rPr>
    <w:tblPr>
      <w:tblBorders>
        <w:top w:val="single" w:sz="4" w:space="0" w:color="1C1C1C" w:themeColor="background1" w:themeShade="BF"/>
        <w:left w:val="single" w:sz="4" w:space="0" w:color="1C1C1C" w:themeColor="background1" w:themeShade="BF"/>
        <w:bottom w:val="single" w:sz="4" w:space="0" w:color="1C1C1C" w:themeColor="background1" w:themeShade="BF"/>
        <w:right w:val="single" w:sz="4" w:space="0" w:color="1C1C1C" w:themeColor="background1" w:themeShade="BF"/>
        <w:insideH w:val="single" w:sz="4" w:space="0" w:color="1C1C1C" w:themeColor="background1" w:themeShade="BF"/>
        <w:insideV w:val="single" w:sz="4" w:space="0" w:color="1C1C1C" w:themeColor="background1" w:themeShade="BF"/>
      </w:tblBorders>
    </w:tblPr>
  </w:style>
  <w:style w:type="character" w:customStyle="1" w:styleId="FootnoteTextChar2">
    <w:name w:val="Footnote Text Char2"/>
    <w:basedOn w:val="DefaultParagraphFont"/>
    <w:uiPriority w:val="99"/>
    <w:rsid w:val="0025705E"/>
    <w:rPr>
      <w:rFonts w:ascii="Calibri" w:hAnsi="Calibri"/>
      <w:sz w:val="18"/>
      <w:szCs w:val="20"/>
    </w:rPr>
  </w:style>
  <w:style w:type="table" w:customStyle="1" w:styleId="ListTable3-Accent11">
    <w:name w:val="List Table 3 - Accent 11"/>
    <w:basedOn w:val="TableNormal"/>
    <w:uiPriority w:val="48"/>
    <w:rsid w:val="0025705E"/>
    <w:pPr>
      <w:spacing w:before="0" w:after="0" w:line="240" w:lineRule="auto"/>
    </w:pPr>
    <w:rPr>
      <w:color w:val="auto"/>
      <w:sz w:val="22"/>
      <w:szCs w:val="22"/>
      <w:lang w:val="en-AU" w:eastAsia="en-US"/>
    </w:rPr>
    <w:tblPr>
      <w:tblStyleRowBandSize w:val="1"/>
      <w:tblStyleColBandSize w:val="1"/>
      <w:tblBorders>
        <w:top w:val="single" w:sz="4" w:space="0" w:color="1C2B39" w:themeColor="accent1"/>
        <w:left w:val="single" w:sz="4" w:space="0" w:color="1C2B39" w:themeColor="accent1"/>
        <w:bottom w:val="single" w:sz="4" w:space="0" w:color="1C2B39" w:themeColor="accent1"/>
        <w:right w:val="single" w:sz="4" w:space="0" w:color="1C2B39" w:themeColor="accent1"/>
      </w:tblBorders>
    </w:tblPr>
    <w:tblStylePr w:type="firstRow">
      <w:rPr>
        <w:b/>
        <w:bCs/>
        <w:color w:val="262626" w:themeColor="background1"/>
      </w:rPr>
      <w:tblPr/>
      <w:tcPr>
        <w:shd w:val="clear" w:color="auto" w:fill="1C2B39" w:themeFill="accent1"/>
      </w:tcPr>
    </w:tblStylePr>
    <w:tblStylePr w:type="lastRow">
      <w:rPr>
        <w:b/>
        <w:bCs/>
      </w:rPr>
      <w:tblPr/>
      <w:tcPr>
        <w:tcBorders>
          <w:top w:val="double" w:sz="4" w:space="0" w:color="1C2B39" w:themeColor="accent1"/>
        </w:tcBorders>
        <w:shd w:val="clear" w:color="auto" w:fill="262626" w:themeFill="background1"/>
      </w:tcPr>
    </w:tblStylePr>
    <w:tblStylePr w:type="firstCol">
      <w:rPr>
        <w:b/>
        <w:bCs/>
      </w:rPr>
      <w:tblPr/>
      <w:tcPr>
        <w:tcBorders>
          <w:right w:val="nil"/>
        </w:tcBorders>
        <w:shd w:val="clear" w:color="auto" w:fill="262626" w:themeFill="background1"/>
      </w:tcPr>
    </w:tblStylePr>
    <w:tblStylePr w:type="lastCol">
      <w:rPr>
        <w:b/>
        <w:bCs/>
      </w:rPr>
      <w:tblPr/>
      <w:tcPr>
        <w:tcBorders>
          <w:left w:val="nil"/>
        </w:tcBorders>
        <w:shd w:val="clear" w:color="auto" w:fill="262626" w:themeFill="background1"/>
      </w:tcPr>
    </w:tblStylePr>
    <w:tblStylePr w:type="band1Vert">
      <w:tblPr/>
      <w:tcPr>
        <w:tcBorders>
          <w:left w:val="single" w:sz="4" w:space="0" w:color="1C2B39" w:themeColor="accent1"/>
          <w:right w:val="single" w:sz="4" w:space="0" w:color="1C2B39" w:themeColor="accent1"/>
        </w:tcBorders>
      </w:tcPr>
    </w:tblStylePr>
    <w:tblStylePr w:type="band1Horz">
      <w:tblPr/>
      <w:tcPr>
        <w:tcBorders>
          <w:top w:val="single" w:sz="4" w:space="0" w:color="1C2B39" w:themeColor="accent1"/>
          <w:bottom w:val="single" w:sz="4" w:space="0" w:color="1C2B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2B39" w:themeColor="accent1"/>
          <w:left w:val="nil"/>
        </w:tcBorders>
      </w:tcPr>
    </w:tblStylePr>
    <w:tblStylePr w:type="swCell">
      <w:tblPr/>
      <w:tcPr>
        <w:tcBorders>
          <w:top w:val="double" w:sz="4" w:space="0" w:color="1C2B39" w:themeColor="accent1"/>
          <w:right w:val="nil"/>
        </w:tcBorders>
      </w:tcPr>
    </w:tblStylePr>
  </w:style>
  <w:style w:type="table" w:customStyle="1" w:styleId="ListTable3-Accent51">
    <w:name w:val="List Table 3 - Accent 51"/>
    <w:basedOn w:val="TableNormal"/>
    <w:uiPriority w:val="48"/>
    <w:rsid w:val="0025705E"/>
    <w:pPr>
      <w:spacing w:before="0" w:after="0" w:line="240" w:lineRule="auto"/>
    </w:pPr>
    <w:rPr>
      <w:color w:val="auto"/>
      <w:sz w:val="22"/>
      <w:szCs w:val="22"/>
      <w:lang w:val="en-AU" w:eastAsia="en-US"/>
    </w:rPr>
    <w:tblPr>
      <w:tblStyleRowBandSize w:val="1"/>
      <w:tblStyleColBandSize w:val="1"/>
      <w:tblBorders>
        <w:top w:val="single" w:sz="4" w:space="0" w:color="9F2233" w:themeColor="accent5"/>
        <w:left w:val="single" w:sz="4" w:space="0" w:color="9F2233" w:themeColor="accent5"/>
        <w:bottom w:val="single" w:sz="4" w:space="0" w:color="9F2233" w:themeColor="accent5"/>
        <w:right w:val="single" w:sz="4" w:space="0" w:color="9F2233" w:themeColor="accent5"/>
      </w:tblBorders>
    </w:tblPr>
    <w:tblStylePr w:type="firstRow">
      <w:rPr>
        <w:b/>
        <w:bCs/>
        <w:color w:val="262626" w:themeColor="background1"/>
      </w:rPr>
      <w:tblPr/>
      <w:tcPr>
        <w:shd w:val="clear" w:color="auto" w:fill="9F2233" w:themeFill="accent5"/>
      </w:tcPr>
    </w:tblStylePr>
    <w:tblStylePr w:type="lastRow">
      <w:rPr>
        <w:b/>
        <w:bCs/>
      </w:rPr>
      <w:tblPr/>
      <w:tcPr>
        <w:tcBorders>
          <w:top w:val="double" w:sz="4" w:space="0" w:color="9F2233" w:themeColor="accent5"/>
        </w:tcBorders>
        <w:shd w:val="clear" w:color="auto" w:fill="262626" w:themeFill="background1"/>
      </w:tcPr>
    </w:tblStylePr>
    <w:tblStylePr w:type="firstCol">
      <w:rPr>
        <w:b/>
        <w:bCs/>
      </w:rPr>
      <w:tblPr/>
      <w:tcPr>
        <w:tcBorders>
          <w:right w:val="nil"/>
        </w:tcBorders>
        <w:shd w:val="clear" w:color="auto" w:fill="262626" w:themeFill="background1"/>
      </w:tcPr>
    </w:tblStylePr>
    <w:tblStylePr w:type="lastCol">
      <w:rPr>
        <w:b/>
        <w:bCs/>
      </w:rPr>
      <w:tblPr/>
      <w:tcPr>
        <w:tcBorders>
          <w:left w:val="nil"/>
        </w:tcBorders>
        <w:shd w:val="clear" w:color="auto" w:fill="262626" w:themeFill="background1"/>
      </w:tcPr>
    </w:tblStylePr>
    <w:tblStylePr w:type="band1Vert">
      <w:tblPr/>
      <w:tcPr>
        <w:tcBorders>
          <w:left w:val="single" w:sz="4" w:space="0" w:color="9F2233" w:themeColor="accent5"/>
          <w:right w:val="single" w:sz="4" w:space="0" w:color="9F2233" w:themeColor="accent5"/>
        </w:tcBorders>
      </w:tcPr>
    </w:tblStylePr>
    <w:tblStylePr w:type="band1Horz">
      <w:tblPr/>
      <w:tcPr>
        <w:tcBorders>
          <w:top w:val="single" w:sz="4" w:space="0" w:color="9F2233" w:themeColor="accent5"/>
          <w:bottom w:val="single" w:sz="4" w:space="0" w:color="9F22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233" w:themeColor="accent5"/>
          <w:left w:val="nil"/>
        </w:tcBorders>
      </w:tcPr>
    </w:tblStylePr>
    <w:tblStylePr w:type="swCell">
      <w:tblPr/>
      <w:tcPr>
        <w:tcBorders>
          <w:top w:val="double" w:sz="4" w:space="0" w:color="9F2233" w:themeColor="accent5"/>
          <w:right w:val="nil"/>
        </w:tcBorders>
      </w:tcPr>
    </w:tblStylePr>
  </w:style>
  <w:style w:type="table" w:customStyle="1" w:styleId="TableGrid10">
    <w:name w:val="Table Grid1"/>
    <w:basedOn w:val="TableNormal"/>
    <w:next w:val="TableGrid"/>
    <w:uiPriority w:val="39"/>
    <w:rsid w:val="0025705E"/>
    <w:pPr>
      <w:spacing w:before="0" w:after="0" w:line="240" w:lineRule="auto"/>
    </w:pPr>
    <w:rPr>
      <w:rFonts w:eastAsia="Times New Roman"/>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5705E"/>
    <w:pPr>
      <w:spacing w:before="0" w:after="0" w:line="240" w:lineRule="auto"/>
    </w:pPr>
    <w:rPr>
      <w:color w:val="auto"/>
      <w:szCs w:val="22"/>
      <w:lang w:val="en-AU" w:eastAsia="en-US"/>
    </w:rPr>
  </w:style>
  <w:style w:type="paragraph" w:customStyle="1" w:styleId="execsummary">
    <w:name w:val="exec summary"/>
    <w:basedOn w:val="Heading1"/>
    <w:link w:val="execsummaryChar"/>
    <w:qFormat/>
    <w:rsid w:val="0025705E"/>
    <w:pPr>
      <w:keepNext/>
      <w:keepLines/>
      <w:pageBreakBefore w:val="0"/>
      <w:spacing w:before="240" w:after="0" w:line="259" w:lineRule="auto"/>
      <w:ind w:left="709" w:hanging="720"/>
    </w:pPr>
    <w:rPr>
      <w:rFonts w:asciiTheme="majorHAnsi" w:eastAsiaTheme="minorEastAsia" w:hAnsiTheme="majorHAnsi" w:cstheme="majorBidi"/>
      <w:caps w:val="0"/>
      <w:color w:val="15202A" w:themeColor="accent1" w:themeShade="BF"/>
      <w:sz w:val="36"/>
      <w:szCs w:val="32"/>
      <w:lang w:val="en-AU" w:eastAsia="en-US"/>
    </w:rPr>
  </w:style>
  <w:style w:type="table" w:customStyle="1" w:styleId="ListTable7Colorful-Accent11">
    <w:name w:val="List Table 7 Colorful - Accent 11"/>
    <w:basedOn w:val="TableNormal"/>
    <w:uiPriority w:val="52"/>
    <w:rsid w:val="0025705E"/>
    <w:pPr>
      <w:spacing w:before="0" w:after="0" w:line="240" w:lineRule="auto"/>
    </w:pPr>
    <w:rPr>
      <w:color w:val="15202A" w:themeColor="accent1" w:themeShade="BF"/>
      <w:sz w:val="22"/>
      <w:szCs w:val="22"/>
      <w:lang w:val="en-AU"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2B39" w:themeColor="accent1"/>
        </w:tcBorders>
        <w:shd w:val="clear" w:color="auto" w:fill="262626" w:themeFill="background1"/>
      </w:tcPr>
    </w:tblStylePr>
    <w:tblStylePr w:type="lastRow">
      <w:rPr>
        <w:rFonts w:asciiTheme="majorHAnsi" w:eastAsiaTheme="majorEastAsia" w:hAnsiTheme="majorHAnsi" w:cstheme="majorBidi"/>
        <w:i/>
        <w:iCs/>
        <w:sz w:val="26"/>
      </w:rPr>
      <w:tblPr/>
      <w:tcPr>
        <w:tcBorders>
          <w:top w:val="single" w:sz="4" w:space="0" w:color="1C2B39" w:themeColor="accent1"/>
        </w:tcBorders>
        <w:shd w:val="clear" w:color="auto" w:fill="262626"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2B39" w:themeColor="accent1"/>
        </w:tcBorders>
        <w:shd w:val="clear" w:color="auto" w:fill="262626" w:themeFill="background1"/>
      </w:tcPr>
    </w:tblStylePr>
    <w:tblStylePr w:type="lastCol">
      <w:rPr>
        <w:rFonts w:asciiTheme="majorHAnsi" w:eastAsiaTheme="majorEastAsia" w:hAnsiTheme="majorHAnsi" w:cstheme="majorBidi"/>
        <w:i/>
        <w:iCs/>
        <w:sz w:val="26"/>
      </w:rPr>
      <w:tblPr/>
      <w:tcPr>
        <w:tcBorders>
          <w:left w:val="single" w:sz="4" w:space="0" w:color="1C2B39" w:themeColor="accent1"/>
        </w:tcBorders>
        <w:shd w:val="clear" w:color="auto" w:fill="262626" w:themeFill="background1"/>
      </w:tcPr>
    </w:tblStylePr>
    <w:tblStylePr w:type="band1Vert">
      <w:tblPr/>
      <w:tcPr>
        <w:shd w:val="clear" w:color="auto" w:fill="C6D4E3" w:themeFill="accent1" w:themeFillTint="33"/>
      </w:tcPr>
    </w:tblStylePr>
    <w:tblStylePr w:type="band1Horz">
      <w:tblPr/>
      <w:tcPr>
        <w:shd w:val="clear" w:color="auto" w:fill="C6D4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xecsummaryChar">
    <w:name w:val="exec summary Char"/>
    <w:basedOn w:val="Heading1Char"/>
    <w:link w:val="execsummary"/>
    <w:rsid w:val="0025705E"/>
    <w:rPr>
      <w:rFonts w:asciiTheme="majorHAnsi" w:eastAsiaTheme="minorEastAsia" w:hAnsiTheme="majorHAnsi" w:cstheme="majorBidi"/>
      <w:b/>
      <w:caps w:val="0"/>
      <w:color w:val="15202A" w:themeColor="accent1" w:themeShade="BF"/>
      <w:spacing w:val="20"/>
      <w:sz w:val="36"/>
      <w:szCs w:val="32"/>
      <w:lang w:val="en-AU" w:eastAsia="en-US"/>
    </w:rPr>
  </w:style>
  <w:style w:type="paragraph" w:customStyle="1" w:styleId="Default">
    <w:name w:val="Default"/>
    <w:rsid w:val="0025705E"/>
    <w:pPr>
      <w:autoSpaceDE w:val="0"/>
      <w:autoSpaceDN w:val="0"/>
      <w:adjustRightInd w:val="0"/>
      <w:spacing w:before="0" w:after="0" w:line="240" w:lineRule="auto"/>
    </w:pPr>
    <w:rPr>
      <w:rFonts w:ascii="Calibri" w:eastAsiaTheme="minorEastAsia" w:hAnsi="Calibri" w:cs="Calibri"/>
      <w:color w:val="000000"/>
      <w:sz w:val="24"/>
      <w:szCs w:val="24"/>
      <w:lang w:val="en-AU" w:eastAsia="en-US"/>
    </w:rPr>
  </w:style>
  <w:style w:type="paragraph" w:customStyle="1" w:styleId="CABNETParagraph">
    <w:name w:val="CABNET Paragraph"/>
    <w:basedOn w:val="Normal"/>
    <w:link w:val="CABNETParagraphChar"/>
    <w:qFormat/>
    <w:rsid w:val="0025705E"/>
    <w:pPr>
      <w:spacing w:before="120" w:after="120" w:line="240" w:lineRule="auto"/>
    </w:pPr>
    <w:rPr>
      <w:rFonts w:ascii="Verdana" w:hAnsi="Verdana"/>
      <w:color w:val="auto"/>
      <w:spacing w:val="0"/>
      <w:sz w:val="22"/>
      <w:szCs w:val="22"/>
      <w:lang w:val="en-AU" w:eastAsia="en-US"/>
    </w:rPr>
  </w:style>
  <w:style w:type="character" w:customStyle="1" w:styleId="CABNETParagraphChar">
    <w:name w:val="CABNET Paragraph Char"/>
    <w:basedOn w:val="DefaultParagraphFont"/>
    <w:link w:val="CABNETParagraph"/>
    <w:rsid w:val="0025705E"/>
    <w:rPr>
      <w:rFonts w:ascii="Verdana" w:hAnsi="Verdana"/>
      <w:color w:val="auto"/>
      <w:sz w:val="22"/>
      <w:szCs w:val="22"/>
      <w:lang w:val="en-AU" w:eastAsia="en-US"/>
    </w:rPr>
  </w:style>
  <w:style w:type="character" w:customStyle="1" w:styleId="FootnoteTextChar1">
    <w:name w:val="Footnote Text Char1"/>
    <w:aliases w:val="Footnote Text Char1 Char Char1,Footnote Text Char Char1 Char Char1,Footnote Text Char Char Char Char Char1 Char1,Footnote Text Char Char Char Char11,Footnote Text Char Char Char Char Char2"/>
    <w:basedOn w:val="DefaultParagraphFont"/>
    <w:uiPriority w:val="99"/>
    <w:rsid w:val="0025705E"/>
    <w:rPr>
      <w:rFonts w:ascii="Arial" w:hAnsi="Arial"/>
      <w:sz w:val="20"/>
      <w:szCs w:val="20"/>
    </w:rPr>
  </w:style>
  <w:style w:type="character" w:customStyle="1" w:styleId="FooterChar1">
    <w:name w:val="Footer Char1"/>
    <w:basedOn w:val="DefaultParagraphFont"/>
    <w:uiPriority w:val="99"/>
    <w:rsid w:val="0025705E"/>
    <w:rPr>
      <w:rFonts w:ascii="Arial" w:hAnsi="Arial"/>
    </w:rPr>
  </w:style>
  <w:style w:type="character" w:customStyle="1" w:styleId="CommentTextChar1">
    <w:name w:val="Comment Text Char1"/>
    <w:basedOn w:val="DefaultParagraphFont"/>
    <w:uiPriority w:val="99"/>
    <w:semiHidden/>
    <w:rsid w:val="0025705E"/>
    <w:rPr>
      <w:rFonts w:ascii="Arial" w:hAnsi="Arial"/>
      <w:sz w:val="20"/>
      <w:szCs w:val="20"/>
    </w:rPr>
  </w:style>
  <w:style w:type="character" w:customStyle="1" w:styleId="CommentTextChar2">
    <w:name w:val="Comment Text Char2"/>
    <w:basedOn w:val="DefaultParagraphFont"/>
    <w:uiPriority w:val="99"/>
    <w:semiHidden/>
    <w:rsid w:val="0025705E"/>
    <w:rPr>
      <w:rFonts w:ascii="Arial" w:hAnsi="Arial"/>
      <w:sz w:val="20"/>
      <w:szCs w:val="20"/>
    </w:rPr>
  </w:style>
  <w:style w:type="character" w:customStyle="1" w:styleId="BalloonTextChar1">
    <w:name w:val="Balloon Text Char1"/>
    <w:basedOn w:val="DefaultParagraphFont"/>
    <w:uiPriority w:val="99"/>
    <w:semiHidden/>
    <w:rsid w:val="0025705E"/>
    <w:rPr>
      <w:rFonts w:ascii="Tahoma" w:hAnsi="Tahoma" w:cs="Tahoma"/>
      <w:sz w:val="16"/>
      <w:szCs w:val="16"/>
    </w:rPr>
  </w:style>
  <w:style w:type="character" w:customStyle="1" w:styleId="CommentSubjectChar1">
    <w:name w:val="Comment Subject Char1"/>
    <w:basedOn w:val="CommentTextChar"/>
    <w:uiPriority w:val="99"/>
    <w:semiHidden/>
    <w:rsid w:val="0025705E"/>
    <w:rPr>
      <w:rFonts w:ascii="Arial" w:eastAsiaTheme="minorEastAsia" w:hAnsi="Arial"/>
      <w:b/>
      <w:bCs/>
      <w:sz w:val="20"/>
      <w:szCs w:val="20"/>
    </w:rPr>
  </w:style>
  <w:style w:type="character" w:customStyle="1" w:styleId="HeaderChar1">
    <w:name w:val="Header Char1"/>
    <w:basedOn w:val="DefaultParagraphFont"/>
    <w:uiPriority w:val="99"/>
    <w:semiHidden/>
    <w:rsid w:val="0025705E"/>
    <w:rPr>
      <w:rFonts w:ascii="Arial" w:hAnsi="Arial"/>
    </w:rPr>
  </w:style>
  <w:style w:type="paragraph" w:customStyle="1" w:styleId="Default1">
    <w:name w:val="Default1"/>
    <w:rsid w:val="0025705E"/>
    <w:pPr>
      <w:autoSpaceDE w:val="0"/>
      <w:autoSpaceDN w:val="0"/>
      <w:adjustRightInd w:val="0"/>
      <w:spacing w:before="0" w:after="0" w:line="240" w:lineRule="auto"/>
    </w:pPr>
    <w:rPr>
      <w:rFonts w:ascii="Calibri" w:eastAsiaTheme="minorEastAsia" w:hAnsi="Calibri" w:cs="Calibri"/>
      <w:color w:val="000000"/>
      <w:sz w:val="24"/>
      <w:szCs w:val="24"/>
      <w:lang w:val="en-AU" w:eastAsia="en-US"/>
    </w:rPr>
  </w:style>
  <w:style w:type="table" w:customStyle="1" w:styleId="GridTable4-Accent21">
    <w:name w:val="Grid Table 4 - Accent 21"/>
    <w:basedOn w:val="TableNormal"/>
    <w:uiPriority w:val="49"/>
    <w:rsid w:val="0025705E"/>
    <w:pPr>
      <w:spacing w:before="0" w:after="0" w:line="240" w:lineRule="auto"/>
    </w:pPr>
    <w:rPr>
      <w:color w:val="auto"/>
      <w:sz w:val="22"/>
      <w:szCs w:val="22"/>
      <w:lang w:val="en-AU" w:eastAsia="en-US"/>
    </w:rPr>
    <w:tblPr>
      <w:tblStyleRowBandSize w:val="1"/>
      <w:tblStyleColBandSize w:val="1"/>
      <w:tblBorders>
        <w:top w:val="single" w:sz="4" w:space="0" w:color="C2AC8A" w:themeColor="accent2" w:themeTint="99"/>
        <w:left w:val="single" w:sz="4" w:space="0" w:color="C2AC8A" w:themeColor="accent2" w:themeTint="99"/>
        <w:bottom w:val="single" w:sz="4" w:space="0" w:color="C2AC8A" w:themeColor="accent2" w:themeTint="99"/>
        <w:right w:val="single" w:sz="4" w:space="0" w:color="C2AC8A" w:themeColor="accent2" w:themeTint="99"/>
        <w:insideH w:val="single" w:sz="4" w:space="0" w:color="C2AC8A" w:themeColor="accent2" w:themeTint="99"/>
        <w:insideV w:val="single" w:sz="4" w:space="0" w:color="C2AC8A" w:themeColor="accent2" w:themeTint="99"/>
      </w:tblBorders>
    </w:tblPr>
    <w:tblStylePr w:type="firstRow">
      <w:rPr>
        <w:b/>
        <w:bCs/>
        <w:color w:val="262626" w:themeColor="background1"/>
      </w:rPr>
      <w:tblPr/>
      <w:tcPr>
        <w:tcBorders>
          <w:top w:val="single" w:sz="4" w:space="0" w:color="8E734A" w:themeColor="accent2"/>
          <w:left w:val="single" w:sz="4" w:space="0" w:color="8E734A" w:themeColor="accent2"/>
          <w:bottom w:val="single" w:sz="4" w:space="0" w:color="8E734A" w:themeColor="accent2"/>
          <w:right w:val="single" w:sz="4" w:space="0" w:color="8E734A" w:themeColor="accent2"/>
          <w:insideH w:val="nil"/>
          <w:insideV w:val="nil"/>
        </w:tcBorders>
        <w:shd w:val="clear" w:color="auto" w:fill="8E734A" w:themeFill="accent2"/>
      </w:tcPr>
    </w:tblStylePr>
    <w:tblStylePr w:type="lastRow">
      <w:rPr>
        <w:b/>
        <w:bCs/>
      </w:rPr>
      <w:tblPr/>
      <w:tcPr>
        <w:tcBorders>
          <w:top w:val="double" w:sz="4" w:space="0" w:color="8E734A" w:themeColor="accent2"/>
        </w:tcBorders>
      </w:tcPr>
    </w:tblStylePr>
    <w:tblStylePr w:type="firstCol">
      <w:rPr>
        <w:b/>
        <w:bCs/>
      </w:rPr>
    </w:tblStylePr>
    <w:tblStylePr w:type="lastCol">
      <w:rPr>
        <w:b/>
        <w:bCs/>
      </w:rPr>
    </w:tblStylePr>
    <w:tblStylePr w:type="band1Vert">
      <w:tblPr/>
      <w:tcPr>
        <w:shd w:val="clear" w:color="auto" w:fill="EAE3D8" w:themeFill="accent2" w:themeFillTint="33"/>
      </w:tcPr>
    </w:tblStylePr>
    <w:tblStylePr w:type="band1Horz">
      <w:tblPr/>
      <w:tcPr>
        <w:shd w:val="clear" w:color="auto" w:fill="EAE3D8" w:themeFill="accent2" w:themeFillTint="33"/>
      </w:tcPr>
    </w:tblStylePr>
  </w:style>
  <w:style w:type="table" w:customStyle="1" w:styleId="GridTable5Dark-Accent31">
    <w:name w:val="Grid Table 5 Dark - Accent 31"/>
    <w:basedOn w:val="TableNormal"/>
    <w:uiPriority w:val="50"/>
    <w:rsid w:val="0025705E"/>
    <w:pPr>
      <w:spacing w:before="0" w:after="0" w:line="240" w:lineRule="auto"/>
    </w:pPr>
    <w:rPr>
      <w:rFonts w:eastAsiaTheme="minorEastAsia"/>
      <w:color w:val="auto"/>
      <w:sz w:val="22"/>
      <w:szCs w:val="22"/>
      <w:lang w:val="en-AU" w:eastAsia="en-US"/>
    </w:rPr>
    <w:tblPr>
      <w:tblStyleRowBandSize w:val="1"/>
      <w:tblStyleColBandSize w:val="1"/>
      <w:tblBorders>
        <w:top w:val="single" w:sz="4" w:space="0" w:color="262626" w:themeColor="background1"/>
        <w:left w:val="single" w:sz="4" w:space="0" w:color="262626" w:themeColor="background1"/>
        <w:bottom w:val="single" w:sz="4" w:space="0" w:color="262626" w:themeColor="background1"/>
        <w:right w:val="single" w:sz="4" w:space="0" w:color="262626" w:themeColor="background1"/>
        <w:insideH w:val="single" w:sz="4" w:space="0" w:color="262626" w:themeColor="background1"/>
        <w:insideV w:val="single" w:sz="4" w:space="0" w:color="262626" w:themeColor="background1"/>
      </w:tblBorders>
    </w:tblPr>
    <w:tcPr>
      <w:shd w:val="clear" w:color="auto" w:fill="B5F8FC" w:themeFill="accent3" w:themeFillTint="33"/>
    </w:tcPr>
    <w:tblStylePr w:type="firstRow">
      <w:rPr>
        <w:b/>
        <w:bCs/>
        <w:color w:val="262626" w:themeColor="background1"/>
      </w:rPr>
      <w:tblPr/>
      <w:tcPr>
        <w:tcBorders>
          <w:top w:val="single" w:sz="4" w:space="0" w:color="262626" w:themeColor="background1"/>
          <w:left w:val="single" w:sz="4" w:space="0" w:color="262626" w:themeColor="background1"/>
          <w:right w:val="single" w:sz="4" w:space="0" w:color="262626" w:themeColor="background1"/>
          <w:insideH w:val="nil"/>
          <w:insideV w:val="nil"/>
        </w:tcBorders>
        <w:shd w:val="clear" w:color="auto" w:fill="057479" w:themeFill="accent3"/>
      </w:tcPr>
    </w:tblStylePr>
    <w:tblStylePr w:type="lastRow">
      <w:rPr>
        <w:b/>
        <w:bCs/>
        <w:color w:val="262626" w:themeColor="background1"/>
      </w:rPr>
      <w:tblPr/>
      <w:tcPr>
        <w:tcBorders>
          <w:left w:val="single" w:sz="4" w:space="0" w:color="262626" w:themeColor="background1"/>
          <w:bottom w:val="single" w:sz="4" w:space="0" w:color="262626" w:themeColor="background1"/>
          <w:right w:val="single" w:sz="4" w:space="0" w:color="262626" w:themeColor="background1"/>
          <w:insideH w:val="nil"/>
          <w:insideV w:val="nil"/>
        </w:tcBorders>
        <w:shd w:val="clear" w:color="auto" w:fill="057479" w:themeFill="accent3"/>
      </w:tcPr>
    </w:tblStylePr>
    <w:tblStylePr w:type="firstCol">
      <w:rPr>
        <w:b/>
        <w:bCs/>
        <w:color w:val="262626" w:themeColor="background1"/>
      </w:rPr>
      <w:tblPr/>
      <w:tcPr>
        <w:tcBorders>
          <w:top w:val="single" w:sz="4" w:space="0" w:color="262626" w:themeColor="background1"/>
          <w:left w:val="single" w:sz="4" w:space="0" w:color="262626" w:themeColor="background1"/>
          <w:bottom w:val="single" w:sz="4" w:space="0" w:color="262626" w:themeColor="background1"/>
          <w:insideV w:val="nil"/>
        </w:tcBorders>
        <w:shd w:val="clear" w:color="auto" w:fill="057479" w:themeFill="accent3"/>
      </w:tcPr>
    </w:tblStylePr>
    <w:tblStylePr w:type="lastCol">
      <w:rPr>
        <w:b/>
        <w:bCs/>
        <w:color w:val="262626" w:themeColor="background1"/>
      </w:rPr>
      <w:tblPr/>
      <w:tcPr>
        <w:tcBorders>
          <w:top w:val="single" w:sz="4" w:space="0" w:color="262626" w:themeColor="background1"/>
          <w:bottom w:val="single" w:sz="4" w:space="0" w:color="262626" w:themeColor="background1"/>
          <w:right w:val="single" w:sz="4" w:space="0" w:color="262626" w:themeColor="background1"/>
          <w:insideV w:val="nil"/>
        </w:tcBorders>
        <w:shd w:val="clear" w:color="auto" w:fill="057479" w:themeFill="accent3"/>
      </w:tcPr>
    </w:tblStylePr>
    <w:tblStylePr w:type="band1Vert">
      <w:tblPr/>
      <w:tcPr>
        <w:shd w:val="clear" w:color="auto" w:fill="6BF2F9" w:themeFill="accent3" w:themeFillTint="66"/>
      </w:tcPr>
    </w:tblStylePr>
    <w:tblStylePr w:type="band1Horz">
      <w:tblPr/>
      <w:tcPr>
        <w:shd w:val="clear" w:color="auto" w:fill="6BF2F9" w:themeFill="accent3" w:themeFillTint="66"/>
      </w:tcPr>
    </w:tblStylePr>
  </w:style>
  <w:style w:type="table" w:customStyle="1" w:styleId="GridTable4-Accent31">
    <w:name w:val="Grid Table 4 - Accent 31"/>
    <w:basedOn w:val="TableNormal"/>
    <w:uiPriority w:val="49"/>
    <w:rsid w:val="0025705E"/>
    <w:pPr>
      <w:spacing w:before="0" w:after="0" w:line="240" w:lineRule="auto"/>
    </w:pPr>
    <w:rPr>
      <w:rFonts w:eastAsiaTheme="minorEastAsia"/>
      <w:color w:val="auto"/>
      <w:sz w:val="22"/>
      <w:szCs w:val="22"/>
      <w:lang w:val="en-AU" w:eastAsia="en-US"/>
    </w:rPr>
    <w:tblPr>
      <w:tblStyleRowBandSize w:val="1"/>
      <w:tblStyleColBandSize w:val="1"/>
      <w:tblBorders>
        <w:top w:val="single" w:sz="4" w:space="0" w:color="21ECF5" w:themeColor="accent3" w:themeTint="99"/>
        <w:left w:val="single" w:sz="4" w:space="0" w:color="21ECF5" w:themeColor="accent3" w:themeTint="99"/>
        <w:bottom w:val="single" w:sz="4" w:space="0" w:color="21ECF5" w:themeColor="accent3" w:themeTint="99"/>
        <w:right w:val="single" w:sz="4" w:space="0" w:color="21ECF5" w:themeColor="accent3" w:themeTint="99"/>
        <w:insideH w:val="single" w:sz="4" w:space="0" w:color="21ECF5" w:themeColor="accent3" w:themeTint="99"/>
        <w:insideV w:val="single" w:sz="4" w:space="0" w:color="21ECF5" w:themeColor="accent3" w:themeTint="99"/>
      </w:tblBorders>
    </w:tblPr>
    <w:tblStylePr w:type="firstRow">
      <w:rPr>
        <w:b/>
        <w:bCs/>
        <w:color w:val="262626" w:themeColor="background1"/>
      </w:rPr>
      <w:tblPr/>
      <w:tcPr>
        <w:tcBorders>
          <w:top w:val="single" w:sz="4" w:space="0" w:color="057479" w:themeColor="accent3"/>
          <w:left w:val="single" w:sz="4" w:space="0" w:color="057479" w:themeColor="accent3"/>
          <w:bottom w:val="single" w:sz="4" w:space="0" w:color="057479" w:themeColor="accent3"/>
          <w:right w:val="single" w:sz="4" w:space="0" w:color="057479" w:themeColor="accent3"/>
          <w:insideH w:val="nil"/>
          <w:insideV w:val="nil"/>
        </w:tcBorders>
        <w:shd w:val="clear" w:color="auto" w:fill="057479" w:themeFill="accent3"/>
      </w:tcPr>
    </w:tblStylePr>
    <w:tblStylePr w:type="lastRow">
      <w:rPr>
        <w:b/>
        <w:bCs/>
      </w:rPr>
      <w:tblPr/>
      <w:tcPr>
        <w:tcBorders>
          <w:top w:val="double" w:sz="4" w:space="0" w:color="057479" w:themeColor="accent3"/>
        </w:tcBorders>
      </w:tcPr>
    </w:tblStylePr>
    <w:tblStylePr w:type="firstCol">
      <w:rPr>
        <w:b/>
        <w:bCs/>
      </w:rPr>
    </w:tblStylePr>
    <w:tblStylePr w:type="lastCol">
      <w:rPr>
        <w:b/>
        <w:bCs/>
      </w:rPr>
    </w:tblStylePr>
    <w:tblStylePr w:type="band1Vert">
      <w:tblPr/>
      <w:tcPr>
        <w:shd w:val="clear" w:color="auto" w:fill="B5F8FC" w:themeFill="accent3" w:themeFillTint="33"/>
      </w:tcPr>
    </w:tblStylePr>
    <w:tblStylePr w:type="band1Horz">
      <w:tblPr/>
      <w:tcPr>
        <w:shd w:val="clear" w:color="auto" w:fill="B5F8FC" w:themeFill="accent3" w:themeFillTint="33"/>
      </w:tcPr>
    </w:tblStylePr>
  </w:style>
  <w:style w:type="table" w:customStyle="1" w:styleId="GridTable4-Accent61">
    <w:name w:val="Grid Table 4 - Accent 61"/>
    <w:basedOn w:val="TableNormal"/>
    <w:uiPriority w:val="49"/>
    <w:rsid w:val="0025705E"/>
    <w:pPr>
      <w:spacing w:before="0" w:after="0" w:line="240" w:lineRule="auto"/>
    </w:pPr>
    <w:rPr>
      <w:rFonts w:eastAsiaTheme="minorEastAsia"/>
      <w:color w:val="auto"/>
      <w:sz w:val="22"/>
      <w:szCs w:val="22"/>
      <w:lang w:val="en-AU" w:eastAsia="en-US"/>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262626"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customStyle="1" w:styleId="PlainTable21">
    <w:name w:val="Plain Table 21"/>
    <w:basedOn w:val="TableNormal"/>
    <w:uiPriority w:val="42"/>
    <w:rsid w:val="0025705E"/>
    <w:pPr>
      <w:spacing w:before="0" w:after="0" w:line="240" w:lineRule="auto"/>
    </w:pPr>
    <w:rPr>
      <w:color w:val="auto"/>
      <w:sz w:val="22"/>
      <w:szCs w:val="22"/>
      <w:lang w:val="en-AU" w:eastAsia="en-US"/>
    </w:rPr>
    <w:tblPr>
      <w:tblStyleRowBandSize w:val="1"/>
      <w:tblStyleColBandSize w:val="1"/>
      <w:tblBorders>
        <w:top w:val="single" w:sz="4" w:space="0" w:color="1590F1" w:themeColor="text1" w:themeTint="80"/>
        <w:bottom w:val="single" w:sz="4" w:space="0" w:color="1590F1" w:themeColor="text1" w:themeTint="80"/>
      </w:tblBorders>
    </w:tblPr>
    <w:tblStylePr w:type="firstRow">
      <w:rPr>
        <w:b/>
        <w:bCs/>
      </w:rPr>
      <w:tblPr/>
      <w:tcPr>
        <w:tcBorders>
          <w:bottom w:val="single" w:sz="4" w:space="0" w:color="1590F1" w:themeColor="text1" w:themeTint="80"/>
        </w:tcBorders>
      </w:tcPr>
    </w:tblStylePr>
    <w:tblStylePr w:type="lastRow">
      <w:rPr>
        <w:b/>
        <w:bCs/>
      </w:rPr>
      <w:tblPr/>
      <w:tcPr>
        <w:tcBorders>
          <w:top w:val="single" w:sz="4" w:space="0" w:color="1590F1" w:themeColor="text1" w:themeTint="80"/>
        </w:tcBorders>
      </w:tcPr>
    </w:tblStylePr>
    <w:tblStylePr w:type="firstCol">
      <w:rPr>
        <w:b/>
        <w:bCs/>
      </w:rPr>
    </w:tblStylePr>
    <w:tblStylePr w:type="lastCol">
      <w:rPr>
        <w:b/>
        <w:bCs/>
      </w:rPr>
    </w:tblStylePr>
    <w:tblStylePr w:type="band1Vert">
      <w:tblPr/>
      <w:tcPr>
        <w:tcBorders>
          <w:left w:val="single" w:sz="4" w:space="0" w:color="1590F1" w:themeColor="text1" w:themeTint="80"/>
          <w:right w:val="single" w:sz="4" w:space="0" w:color="1590F1" w:themeColor="text1" w:themeTint="80"/>
        </w:tcBorders>
      </w:tcPr>
    </w:tblStylePr>
    <w:tblStylePr w:type="band2Vert">
      <w:tblPr/>
      <w:tcPr>
        <w:tcBorders>
          <w:left w:val="single" w:sz="4" w:space="0" w:color="1590F1" w:themeColor="text1" w:themeTint="80"/>
          <w:right w:val="single" w:sz="4" w:space="0" w:color="1590F1" w:themeColor="text1" w:themeTint="80"/>
        </w:tcBorders>
      </w:tcPr>
    </w:tblStylePr>
    <w:tblStylePr w:type="band1Horz">
      <w:tblPr/>
      <w:tcPr>
        <w:tcBorders>
          <w:top w:val="single" w:sz="4" w:space="0" w:color="1590F1" w:themeColor="text1" w:themeTint="80"/>
          <w:bottom w:val="single" w:sz="4" w:space="0" w:color="1590F1" w:themeColor="text1" w:themeTint="80"/>
        </w:tcBorders>
      </w:tcPr>
    </w:tblStylePr>
  </w:style>
  <w:style w:type="paragraph" w:customStyle="1" w:styleId="anao-caption">
    <w:name w:val="anao-caption"/>
    <w:basedOn w:val="Normal"/>
    <w:rsid w:val="0025705E"/>
    <w:pPr>
      <w:spacing w:before="0" w:after="375" w:line="240" w:lineRule="auto"/>
    </w:pPr>
    <w:rPr>
      <w:rFonts w:ascii="Times New Roman" w:eastAsia="Times New Roman" w:hAnsi="Times New Roman" w:cs="Times New Roman"/>
      <w:color w:val="auto"/>
      <w:spacing w:val="0"/>
      <w:sz w:val="24"/>
      <w:szCs w:val="24"/>
      <w:lang w:val="en-AU" w:eastAsia="en-AU"/>
    </w:rPr>
  </w:style>
  <w:style w:type="paragraph" w:customStyle="1" w:styleId="anao-p-source">
    <w:name w:val="anao-p-source"/>
    <w:basedOn w:val="Normal"/>
    <w:rsid w:val="0025705E"/>
    <w:pPr>
      <w:spacing w:before="0" w:after="375" w:line="240" w:lineRule="auto"/>
    </w:pPr>
    <w:rPr>
      <w:rFonts w:ascii="Times New Roman" w:eastAsia="Times New Roman" w:hAnsi="Times New Roman" w:cs="Times New Roman"/>
      <w:color w:val="auto"/>
      <w:spacing w:val="0"/>
      <w:sz w:val="24"/>
      <w:szCs w:val="24"/>
      <w:lang w:val="en-AU" w:eastAsia="en-AU"/>
    </w:rPr>
  </w:style>
  <w:style w:type="paragraph" w:customStyle="1" w:styleId="NormalS">
    <w:name w:val="Normal S"/>
    <w:basedOn w:val="Normal"/>
    <w:link w:val="NormalSChar"/>
    <w:qFormat/>
    <w:rsid w:val="0025705E"/>
    <w:pPr>
      <w:spacing w:before="0" w:after="200" w:line="276" w:lineRule="auto"/>
    </w:pPr>
    <w:rPr>
      <w:rFonts w:asciiTheme="minorHAnsi" w:hAnsiTheme="minorHAnsi"/>
      <w:color w:val="auto"/>
      <w:spacing w:val="0"/>
      <w:sz w:val="22"/>
      <w:szCs w:val="24"/>
      <w:lang w:val="en-AU" w:eastAsia="en-US"/>
    </w:rPr>
  </w:style>
  <w:style w:type="character" w:customStyle="1" w:styleId="NormalSChar">
    <w:name w:val="Normal S Char"/>
    <w:basedOn w:val="DefaultParagraphFont"/>
    <w:link w:val="NormalS"/>
    <w:rsid w:val="0025705E"/>
    <w:rPr>
      <w:color w:val="auto"/>
      <w:sz w:val="22"/>
      <w:szCs w:val="24"/>
      <w:lang w:val="en-AU" w:eastAsia="en-US"/>
    </w:rPr>
  </w:style>
  <w:style w:type="table" w:customStyle="1" w:styleId="ListTable3-Accent511">
    <w:name w:val="List Table 3 - Accent 511"/>
    <w:basedOn w:val="TableNormal"/>
    <w:uiPriority w:val="48"/>
    <w:rsid w:val="00404559"/>
    <w:pPr>
      <w:spacing w:before="0" w:after="0" w:line="240" w:lineRule="auto"/>
    </w:pPr>
    <w:rPr>
      <w:color w:val="auto"/>
      <w:sz w:val="22"/>
      <w:szCs w:val="22"/>
      <w:lang w:val="en-AU"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TableHeadingNew">
    <w:name w:val="Table Heading New"/>
    <w:basedOn w:val="TableText"/>
    <w:qFormat/>
    <w:rsid w:val="00404559"/>
    <w:pPr>
      <w:spacing w:before="0" w:after="0"/>
      <w:ind w:left="142" w:right="142"/>
    </w:pPr>
    <w:rPr>
      <w:sz w:val="24"/>
    </w:rPr>
  </w:style>
  <w:style w:type="paragraph" w:customStyle="1" w:styleId="Heading1nonumber">
    <w:name w:val="Heading 1 no number"/>
    <w:basedOn w:val="Heading1"/>
    <w:qFormat/>
    <w:rsid w:val="00880A58"/>
    <w:pPr>
      <w:numPr>
        <w:numId w:val="0"/>
      </w:numPr>
    </w:pPr>
  </w:style>
  <w:style w:type="paragraph" w:customStyle="1" w:styleId="introheader">
    <w:name w:val="intro header"/>
    <w:link w:val="introheaderChar"/>
    <w:qFormat/>
    <w:rsid w:val="002F2D99"/>
    <w:pPr>
      <w:spacing w:before="0" w:after="0" w:line="480" w:lineRule="auto"/>
    </w:pPr>
    <w:rPr>
      <w:rFonts w:ascii="Montserrat Light" w:eastAsiaTheme="majorEastAsia" w:hAnsi="Montserrat Light" w:cstheme="majorBidi"/>
      <w:i/>
      <w:color w:val="4A4848" w:themeColor="text2"/>
      <w:spacing w:val="22"/>
      <w:szCs w:val="19"/>
      <w:lang w:val="en-GB"/>
    </w:rPr>
  </w:style>
  <w:style w:type="paragraph" w:customStyle="1" w:styleId="Contents">
    <w:name w:val="Contents"/>
    <w:basedOn w:val="TOCHeading"/>
    <w:link w:val="ContentsChar"/>
    <w:qFormat/>
    <w:rsid w:val="002F2D99"/>
    <w:pPr>
      <w:outlineLvl w:val="0"/>
    </w:pPr>
  </w:style>
  <w:style w:type="character" w:customStyle="1" w:styleId="introheaderChar">
    <w:name w:val="intro header Char"/>
    <w:basedOn w:val="Heading5Char"/>
    <w:link w:val="introheader"/>
    <w:rsid w:val="002F2D99"/>
    <w:rPr>
      <w:rFonts w:ascii="Montserrat Light" w:eastAsiaTheme="majorEastAsia" w:hAnsi="Montserrat Light" w:cstheme="majorBidi"/>
      <w:i/>
      <w:color w:val="4A4848" w:themeColor="text2"/>
      <w:spacing w:val="22"/>
      <w:szCs w:val="19"/>
      <w:lang w:val="en-GB"/>
    </w:rPr>
  </w:style>
  <w:style w:type="character" w:customStyle="1" w:styleId="TOCHeadingChar">
    <w:name w:val="TOC Heading Char"/>
    <w:basedOn w:val="DefaultParagraphFont"/>
    <w:link w:val="TOCHeading"/>
    <w:uiPriority w:val="39"/>
    <w:rsid w:val="002F2D99"/>
    <w:rPr>
      <w:rFonts w:ascii="Calibri Light" w:hAnsi="Calibri Light"/>
      <w:color w:val="323536" w:themeColor="background2" w:themeShade="40"/>
      <w:spacing w:val="20"/>
      <w:kern w:val="20"/>
      <w:sz w:val="36"/>
      <w:szCs w:val="19"/>
      <w:lang w:val="en-GB"/>
    </w:rPr>
  </w:style>
  <w:style w:type="character" w:customStyle="1" w:styleId="ContentsChar">
    <w:name w:val="Contents Char"/>
    <w:basedOn w:val="TOCHeadingChar"/>
    <w:link w:val="Contents"/>
    <w:rsid w:val="002F2D99"/>
    <w:rPr>
      <w:rFonts w:ascii="Calibri Light" w:hAnsi="Calibri Light"/>
      <w:color w:val="323536" w:themeColor="background2" w:themeShade="40"/>
      <w:spacing w:val="20"/>
      <w:kern w:val="20"/>
      <w:sz w:val="36"/>
      <w:szCs w:val="19"/>
      <w:lang w:val="en-GB"/>
    </w:rPr>
  </w:style>
  <w:style w:type="character" w:customStyle="1" w:styleId="news-list-date7">
    <w:name w:val="news-list-date7"/>
    <w:basedOn w:val="DefaultParagraphFont"/>
    <w:rsid w:val="00E6010C"/>
    <w:rPr>
      <w:vanish/>
      <w:webHidden w:val="0"/>
      <w:specVanish w:val="0"/>
    </w:rPr>
  </w:style>
  <w:style w:type="paragraph" w:customStyle="1" w:styleId="bodytext0">
    <w:name w:val="bodytext"/>
    <w:basedOn w:val="Normal"/>
    <w:rsid w:val="00E6010C"/>
    <w:pPr>
      <w:spacing w:before="0" w:after="150" w:line="240" w:lineRule="auto"/>
    </w:pPr>
    <w:rPr>
      <w:rFonts w:ascii="Times New Roman" w:eastAsia="Times New Roman" w:hAnsi="Times New Roman" w:cs="Times New Roman"/>
      <w:color w:val="auto"/>
      <w:spacing w:val="0"/>
      <w:sz w:val="24"/>
      <w:szCs w:val="24"/>
      <w:lang w:val="en-AU" w:eastAsia="en-AU"/>
    </w:rPr>
  </w:style>
  <w:style w:type="paragraph" w:customStyle="1" w:styleId="Pa2">
    <w:name w:val="Pa2"/>
    <w:basedOn w:val="Default"/>
    <w:next w:val="Default"/>
    <w:uiPriority w:val="99"/>
    <w:rsid w:val="002B69D8"/>
    <w:pPr>
      <w:spacing w:line="601" w:lineRule="atLeast"/>
    </w:pPr>
    <w:rPr>
      <w:rFonts w:ascii="Century Gothic" w:eastAsiaTheme="minorHAnsi" w:hAnsi="Century Gothic" w:cstheme="minorBidi"/>
      <w:color w:val="0A69B3" w:themeColor="text1" w:themeTint="A6"/>
      <w:lang w:eastAsia="ja-JP"/>
    </w:rPr>
  </w:style>
  <w:style w:type="character" w:customStyle="1" w:styleId="A2">
    <w:name w:val="A2"/>
    <w:uiPriority w:val="99"/>
    <w:rsid w:val="002B69D8"/>
    <w:rPr>
      <w:rFonts w:cs="Century Gothic"/>
      <w:b/>
      <w:bCs/>
      <w:color w:val="3BBEB1"/>
      <w:sz w:val="32"/>
      <w:szCs w:val="32"/>
    </w:rPr>
  </w:style>
  <w:style w:type="paragraph" w:customStyle="1" w:styleId="Pa4">
    <w:name w:val="Pa4"/>
    <w:basedOn w:val="Default"/>
    <w:next w:val="Default"/>
    <w:uiPriority w:val="99"/>
    <w:rsid w:val="002B69D8"/>
    <w:pPr>
      <w:spacing w:line="181" w:lineRule="atLeast"/>
    </w:pPr>
    <w:rPr>
      <w:rFonts w:ascii="Century Gothic" w:eastAsiaTheme="minorHAnsi" w:hAnsi="Century Gothic" w:cstheme="minorBidi"/>
      <w:color w:val="0A69B3" w:themeColor="text1" w:themeTint="A6"/>
      <w:lang w:eastAsia="ja-JP"/>
    </w:rPr>
  </w:style>
  <w:style w:type="paragraph" w:customStyle="1" w:styleId="Pa5">
    <w:name w:val="Pa5"/>
    <w:basedOn w:val="Default"/>
    <w:next w:val="Default"/>
    <w:uiPriority w:val="99"/>
    <w:rsid w:val="002B69D8"/>
    <w:pPr>
      <w:spacing w:line="261" w:lineRule="atLeast"/>
    </w:pPr>
    <w:rPr>
      <w:rFonts w:ascii="Century Gothic" w:eastAsiaTheme="minorHAnsi" w:hAnsi="Century Gothic" w:cstheme="minorBidi"/>
      <w:color w:val="0A69B3" w:themeColor="text1" w:themeTint="A6"/>
      <w:lang w:eastAsia="ja-JP"/>
    </w:rPr>
  </w:style>
  <w:style w:type="paragraph" w:customStyle="1" w:styleId="Pa3">
    <w:name w:val="Pa3"/>
    <w:basedOn w:val="Default"/>
    <w:next w:val="Default"/>
    <w:uiPriority w:val="99"/>
    <w:rsid w:val="002B69D8"/>
    <w:pPr>
      <w:spacing w:line="181" w:lineRule="atLeast"/>
    </w:pPr>
    <w:rPr>
      <w:rFonts w:ascii="Century Gothic" w:eastAsiaTheme="minorHAnsi" w:hAnsi="Century Gothic" w:cstheme="minorBidi"/>
      <w:color w:val="0A69B3" w:themeColor="text1" w:themeTint="A6"/>
      <w:lang w:eastAsia="ja-JP"/>
    </w:rPr>
  </w:style>
  <w:style w:type="paragraph" w:customStyle="1" w:styleId="ZED1">
    <w:name w:val="ZED1"/>
    <w:basedOn w:val="Heading1"/>
    <w:link w:val="ZED1Char"/>
    <w:qFormat/>
    <w:rsid w:val="001C5031"/>
    <w:pPr>
      <w:numPr>
        <w:numId w:val="0"/>
      </w:numPr>
    </w:pPr>
    <w:rPr>
      <w:lang w:val="en-AU"/>
    </w:rPr>
  </w:style>
  <w:style w:type="paragraph" w:customStyle="1" w:styleId="ZED11">
    <w:name w:val="ZED11"/>
    <w:basedOn w:val="Heading1"/>
    <w:link w:val="ZED11Char"/>
    <w:qFormat/>
    <w:rsid w:val="001C5031"/>
    <w:pPr>
      <w:numPr>
        <w:numId w:val="9"/>
      </w:numPr>
      <w:spacing w:after="480"/>
    </w:pPr>
    <w:rPr>
      <w:lang w:val="en-AU"/>
    </w:rPr>
  </w:style>
  <w:style w:type="character" w:customStyle="1" w:styleId="ZED1Char">
    <w:name w:val="ZED1 Char"/>
    <w:basedOn w:val="Heading1Char"/>
    <w:link w:val="ZED1"/>
    <w:rsid w:val="001C5031"/>
    <w:rPr>
      <w:rFonts w:ascii="Montserrat" w:hAnsi="Montserrat"/>
      <w:b/>
      <w:caps/>
      <w:color w:val="1C2B39" w:themeColor="accent1"/>
      <w:spacing w:val="20"/>
      <w:sz w:val="40"/>
      <w:szCs w:val="19"/>
      <w:lang w:val="en-AU"/>
    </w:rPr>
  </w:style>
  <w:style w:type="paragraph" w:customStyle="1" w:styleId="ZED3">
    <w:name w:val="ZED3"/>
    <w:basedOn w:val="Heading2"/>
    <w:link w:val="ZED3Char"/>
    <w:qFormat/>
    <w:rsid w:val="001C5031"/>
    <w:rPr>
      <w:caps w:val="0"/>
      <w:sz w:val="20"/>
    </w:rPr>
  </w:style>
  <w:style w:type="character" w:customStyle="1" w:styleId="ZED11Char">
    <w:name w:val="ZED11 Char"/>
    <w:basedOn w:val="Heading1Char"/>
    <w:link w:val="ZED11"/>
    <w:rsid w:val="001C5031"/>
    <w:rPr>
      <w:rFonts w:ascii="Montserrat" w:hAnsi="Montserrat"/>
      <w:b/>
      <w:caps/>
      <w:color w:val="1C2B39" w:themeColor="accent1"/>
      <w:spacing w:val="20"/>
      <w:sz w:val="40"/>
      <w:szCs w:val="19"/>
      <w:lang w:val="en-AU"/>
    </w:rPr>
  </w:style>
  <w:style w:type="paragraph" w:customStyle="1" w:styleId="ZED4">
    <w:name w:val="ZED4"/>
    <w:basedOn w:val="Heading2"/>
    <w:link w:val="ZED4Char"/>
    <w:qFormat/>
    <w:rsid w:val="002521AA"/>
  </w:style>
  <w:style w:type="character" w:customStyle="1" w:styleId="ZED3Char">
    <w:name w:val="ZED3 Char"/>
    <w:basedOn w:val="Heading2Char"/>
    <w:link w:val="ZED3"/>
    <w:rsid w:val="001C5031"/>
    <w:rPr>
      <w:rFonts w:ascii="Montserrat" w:eastAsiaTheme="majorEastAsia" w:hAnsi="Montserrat" w:cstheme="majorBidi"/>
      <w:b/>
      <w:caps w:val="0"/>
      <w:color w:val="8E734A" w:themeColor="accent2"/>
      <w:kern w:val="20"/>
      <w:sz w:val="36"/>
      <w:lang w:val="en-AU"/>
      <w14:ligatures w14:val="standardContextual"/>
    </w:rPr>
  </w:style>
  <w:style w:type="paragraph" w:customStyle="1" w:styleId="ZED5">
    <w:name w:val="ZED5"/>
    <w:basedOn w:val="Heading3"/>
    <w:link w:val="ZED5Char"/>
    <w:qFormat/>
    <w:rsid w:val="002521AA"/>
    <w:rPr>
      <w:rFonts w:eastAsiaTheme="minorEastAsia"/>
      <w:lang w:val="en-AU"/>
    </w:rPr>
  </w:style>
  <w:style w:type="character" w:customStyle="1" w:styleId="ZED4Char">
    <w:name w:val="ZED4 Char"/>
    <w:basedOn w:val="Heading2Char"/>
    <w:link w:val="ZED4"/>
    <w:rsid w:val="002521AA"/>
    <w:rPr>
      <w:rFonts w:ascii="Montserrat" w:eastAsiaTheme="majorEastAsia" w:hAnsi="Montserrat" w:cstheme="majorBidi"/>
      <w:b/>
      <w:caps/>
      <w:color w:val="8E734A" w:themeColor="accent2"/>
      <w:kern w:val="20"/>
      <w:sz w:val="36"/>
      <w:lang w:val="en-AU"/>
      <w14:ligatures w14:val="standardContextual"/>
    </w:rPr>
  </w:style>
  <w:style w:type="paragraph" w:customStyle="1" w:styleId="ZED6">
    <w:name w:val="ZED6"/>
    <w:basedOn w:val="Heading4"/>
    <w:link w:val="ZED6Char"/>
    <w:qFormat/>
    <w:rsid w:val="002521AA"/>
    <w:rPr>
      <w:rFonts w:eastAsiaTheme="minorEastAsia"/>
      <w:lang w:val="en-AU"/>
    </w:rPr>
  </w:style>
  <w:style w:type="character" w:customStyle="1" w:styleId="ZED5Char">
    <w:name w:val="ZED5 Char"/>
    <w:basedOn w:val="Heading3Char"/>
    <w:link w:val="ZED5"/>
    <w:rsid w:val="002521AA"/>
    <w:rPr>
      <w:rFonts w:ascii="Montserrat" w:eastAsiaTheme="minorEastAsia" w:hAnsi="Montserrat" w:cstheme="majorBidi"/>
      <w:b/>
      <w:bCs/>
      <w:color w:val="1C2B39" w:themeColor="accent1"/>
      <w:kern w:val="20"/>
      <w:sz w:val="28"/>
      <w:lang w:val="en-AU"/>
      <w14:ligatures w14:val="standardContextual"/>
    </w:rPr>
  </w:style>
  <w:style w:type="paragraph" w:customStyle="1" w:styleId="zed55">
    <w:name w:val="zed55"/>
    <w:basedOn w:val="Heading4"/>
    <w:link w:val="zed55Char"/>
    <w:qFormat/>
    <w:rsid w:val="00F35F78"/>
    <w:rPr>
      <w:lang w:val="en-AU"/>
    </w:rPr>
  </w:style>
  <w:style w:type="character" w:customStyle="1" w:styleId="ZED6Char">
    <w:name w:val="ZED6 Char"/>
    <w:basedOn w:val="Heading4Char"/>
    <w:link w:val="ZED6"/>
    <w:rsid w:val="002521AA"/>
    <w:rPr>
      <w:rFonts w:ascii="Montserrat" w:eastAsiaTheme="minorEastAsia" w:hAnsi="Montserrat" w:cstheme="majorBidi"/>
      <w:b/>
      <w:bCs/>
      <w:iCs/>
      <w:color w:val="4A4848" w:themeColor="text2"/>
      <w:spacing w:val="20"/>
      <w:kern w:val="20"/>
      <w:lang w:val="en-AU"/>
    </w:rPr>
  </w:style>
  <w:style w:type="paragraph" w:customStyle="1" w:styleId="zed66">
    <w:name w:val="zed66"/>
    <w:basedOn w:val="Heading4"/>
    <w:link w:val="zed66Char"/>
    <w:qFormat/>
    <w:rsid w:val="00221CB8"/>
    <w:rPr>
      <w:rFonts w:ascii="Montserrat Light" w:hAnsi="Montserrat Light"/>
      <w:b w:val="0"/>
      <w:i/>
    </w:rPr>
  </w:style>
  <w:style w:type="character" w:customStyle="1" w:styleId="zed55Char">
    <w:name w:val="zed55 Char"/>
    <w:basedOn w:val="Heading4Char"/>
    <w:link w:val="zed55"/>
    <w:rsid w:val="00F35F78"/>
    <w:rPr>
      <w:rFonts w:ascii="Montserrat" w:eastAsiaTheme="majorEastAsia" w:hAnsi="Montserrat" w:cstheme="majorBidi"/>
      <w:b/>
      <w:bCs/>
      <w:iCs/>
      <w:color w:val="4A4848" w:themeColor="text2"/>
      <w:spacing w:val="20"/>
      <w:kern w:val="20"/>
      <w:lang w:val="en-AU"/>
    </w:rPr>
  </w:style>
  <w:style w:type="paragraph" w:customStyle="1" w:styleId="zed77">
    <w:name w:val="zed77"/>
    <w:basedOn w:val="Heading2"/>
    <w:link w:val="zed77Char"/>
    <w:qFormat/>
    <w:rsid w:val="008406DD"/>
    <w:rPr>
      <w:rFonts w:eastAsiaTheme="minorHAnsi"/>
      <w:caps w:val="0"/>
      <w:color w:val="auto"/>
      <w:sz w:val="20"/>
    </w:rPr>
  </w:style>
  <w:style w:type="character" w:customStyle="1" w:styleId="zed66Char">
    <w:name w:val="zed66 Char"/>
    <w:basedOn w:val="Heading4Char"/>
    <w:link w:val="zed66"/>
    <w:rsid w:val="00221CB8"/>
    <w:rPr>
      <w:rFonts w:ascii="Montserrat Light" w:eastAsiaTheme="majorEastAsia" w:hAnsi="Montserrat Light" w:cstheme="majorBidi"/>
      <w:b w:val="0"/>
      <w:bCs/>
      <w:i/>
      <w:iCs/>
      <w:color w:val="4A4848" w:themeColor="text2"/>
      <w:spacing w:val="20"/>
      <w:kern w:val="20"/>
    </w:rPr>
  </w:style>
  <w:style w:type="character" w:customStyle="1" w:styleId="zed77Char">
    <w:name w:val="zed77 Char"/>
    <w:basedOn w:val="Heading2Char"/>
    <w:link w:val="zed77"/>
    <w:rsid w:val="008406DD"/>
    <w:rPr>
      <w:rFonts w:ascii="Montserrat" w:eastAsiaTheme="majorEastAsia" w:hAnsi="Montserrat" w:cstheme="majorBidi"/>
      <w:b/>
      <w:caps w:val="0"/>
      <w:color w:val="auto"/>
      <w:kern w:val="20"/>
      <w:sz w:val="36"/>
      <w:lang w:val="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39417">
      <w:bodyDiv w:val="1"/>
      <w:marLeft w:val="0"/>
      <w:marRight w:val="0"/>
      <w:marTop w:val="0"/>
      <w:marBottom w:val="0"/>
      <w:divBdr>
        <w:top w:val="none" w:sz="0" w:space="0" w:color="auto"/>
        <w:left w:val="none" w:sz="0" w:space="0" w:color="auto"/>
        <w:bottom w:val="none" w:sz="0" w:space="0" w:color="auto"/>
        <w:right w:val="none" w:sz="0" w:space="0" w:color="auto"/>
      </w:divBdr>
    </w:div>
    <w:div w:id="61223174">
      <w:bodyDiv w:val="1"/>
      <w:marLeft w:val="0"/>
      <w:marRight w:val="0"/>
      <w:marTop w:val="0"/>
      <w:marBottom w:val="0"/>
      <w:divBdr>
        <w:top w:val="none" w:sz="0" w:space="0" w:color="auto"/>
        <w:left w:val="none" w:sz="0" w:space="0" w:color="auto"/>
        <w:bottom w:val="none" w:sz="0" w:space="0" w:color="auto"/>
        <w:right w:val="none" w:sz="0" w:space="0" w:color="auto"/>
      </w:divBdr>
    </w:div>
    <w:div w:id="76707571">
      <w:bodyDiv w:val="1"/>
      <w:marLeft w:val="0"/>
      <w:marRight w:val="0"/>
      <w:marTop w:val="0"/>
      <w:marBottom w:val="0"/>
      <w:divBdr>
        <w:top w:val="none" w:sz="0" w:space="0" w:color="auto"/>
        <w:left w:val="none" w:sz="0" w:space="0" w:color="auto"/>
        <w:bottom w:val="none" w:sz="0" w:space="0" w:color="auto"/>
        <w:right w:val="none" w:sz="0" w:space="0" w:color="auto"/>
      </w:divBdr>
    </w:div>
    <w:div w:id="92866718">
      <w:bodyDiv w:val="1"/>
      <w:marLeft w:val="0"/>
      <w:marRight w:val="0"/>
      <w:marTop w:val="0"/>
      <w:marBottom w:val="0"/>
      <w:divBdr>
        <w:top w:val="none" w:sz="0" w:space="0" w:color="auto"/>
        <w:left w:val="none" w:sz="0" w:space="0" w:color="auto"/>
        <w:bottom w:val="none" w:sz="0" w:space="0" w:color="auto"/>
        <w:right w:val="none" w:sz="0" w:space="0" w:color="auto"/>
      </w:divBdr>
    </w:div>
    <w:div w:id="179585922">
      <w:bodyDiv w:val="1"/>
      <w:marLeft w:val="0"/>
      <w:marRight w:val="0"/>
      <w:marTop w:val="0"/>
      <w:marBottom w:val="0"/>
      <w:divBdr>
        <w:top w:val="none" w:sz="0" w:space="0" w:color="auto"/>
        <w:left w:val="none" w:sz="0" w:space="0" w:color="auto"/>
        <w:bottom w:val="none" w:sz="0" w:space="0" w:color="auto"/>
        <w:right w:val="none" w:sz="0" w:space="0" w:color="auto"/>
      </w:divBdr>
    </w:div>
    <w:div w:id="274946733">
      <w:bodyDiv w:val="1"/>
      <w:marLeft w:val="0"/>
      <w:marRight w:val="0"/>
      <w:marTop w:val="0"/>
      <w:marBottom w:val="0"/>
      <w:divBdr>
        <w:top w:val="none" w:sz="0" w:space="0" w:color="auto"/>
        <w:left w:val="none" w:sz="0" w:space="0" w:color="auto"/>
        <w:bottom w:val="none" w:sz="0" w:space="0" w:color="auto"/>
        <w:right w:val="none" w:sz="0" w:space="0" w:color="auto"/>
      </w:divBdr>
    </w:div>
    <w:div w:id="391199177">
      <w:bodyDiv w:val="1"/>
      <w:marLeft w:val="0"/>
      <w:marRight w:val="0"/>
      <w:marTop w:val="0"/>
      <w:marBottom w:val="0"/>
      <w:divBdr>
        <w:top w:val="none" w:sz="0" w:space="0" w:color="auto"/>
        <w:left w:val="none" w:sz="0" w:space="0" w:color="auto"/>
        <w:bottom w:val="none" w:sz="0" w:space="0" w:color="auto"/>
        <w:right w:val="none" w:sz="0" w:space="0" w:color="auto"/>
      </w:divBdr>
    </w:div>
    <w:div w:id="461458237">
      <w:bodyDiv w:val="1"/>
      <w:marLeft w:val="0"/>
      <w:marRight w:val="0"/>
      <w:marTop w:val="0"/>
      <w:marBottom w:val="0"/>
      <w:divBdr>
        <w:top w:val="none" w:sz="0" w:space="0" w:color="auto"/>
        <w:left w:val="none" w:sz="0" w:space="0" w:color="auto"/>
        <w:bottom w:val="none" w:sz="0" w:space="0" w:color="auto"/>
        <w:right w:val="none" w:sz="0" w:space="0" w:color="auto"/>
      </w:divBdr>
    </w:div>
    <w:div w:id="470170416">
      <w:bodyDiv w:val="1"/>
      <w:marLeft w:val="0"/>
      <w:marRight w:val="0"/>
      <w:marTop w:val="0"/>
      <w:marBottom w:val="0"/>
      <w:divBdr>
        <w:top w:val="none" w:sz="0" w:space="0" w:color="auto"/>
        <w:left w:val="none" w:sz="0" w:space="0" w:color="auto"/>
        <w:bottom w:val="none" w:sz="0" w:space="0" w:color="auto"/>
        <w:right w:val="none" w:sz="0" w:space="0" w:color="auto"/>
      </w:divBdr>
    </w:div>
    <w:div w:id="473571500">
      <w:bodyDiv w:val="1"/>
      <w:marLeft w:val="0"/>
      <w:marRight w:val="0"/>
      <w:marTop w:val="0"/>
      <w:marBottom w:val="0"/>
      <w:divBdr>
        <w:top w:val="none" w:sz="0" w:space="0" w:color="auto"/>
        <w:left w:val="none" w:sz="0" w:space="0" w:color="auto"/>
        <w:bottom w:val="none" w:sz="0" w:space="0" w:color="auto"/>
        <w:right w:val="none" w:sz="0" w:space="0" w:color="auto"/>
      </w:divBdr>
      <w:divsChild>
        <w:div w:id="1601794220">
          <w:marLeft w:val="0"/>
          <w:marRight w:val="0"/>
          <w:marTop w:val="100"/>
          <w:marBottom w:val="100"/>
          <w:divBdr>
            <w:top w:val="none" w:sz="0" w:space="0" w:color="auto"/>
            <w:left w:val="none" w:sz="0" w:space="0" w:color="auto"/>
            <w:bottom w:val="none" w:sz="0" w:space="0" w:color="auto"/>
            <w:right w:val="none" w:sz="0" w:space="0" w:color="auto"/>
          </w:divBdr>
          <w:divsChild>
            <w:div w:id="1584990451">
              <w:marLeft w:val="0"/>
              <w:marRight w:val="0"/>
              <w:marTop w:val="0"/>
              <w:marBottom w:val="0"/>
              <w:divBdr>
                <w:top w:val="none" w:sz="0" w:space="0" w:color="auto"/>
                <w:left w:val="none" w:sz="0" w:space="0" w:color="auto"/>
                <w:bottom w:val="none" w:sz="0" w:space="0" w:color="auto"/>
                <w:right w:val="none" w:sz="0" w:space="0" w:color="auto"/>
              </w:divBdr>
              <w:divsChild>
                <w:div w:id="1531917465">
                  <w:marLeft w:val="105"/>
                  <w:marRight w:val="105"/>
                  <w:marTop w:val="105"/>
                  <w:marBottom w:val="105"/>
                  <w:divBdr>
                    <w:top w:val="none" w:sz="0" w:space="0" w:color="auto"/>
                    <w:left w:val="none" w:sz="0" w:space="0" w:color="auto"/>
                    <w:bottom w:val="none" w:sz="0" w:space="0" w:color="auto"/>
                    <w:right w:val="none" w:sz="0" w:space="0" w:color="auto"/>
                  </w:divBdr>
                  <w:divsChild>
                    <w:div w:id="1243490516">
                      <w:marLeft w:val="0"/>
                      <w:marRight w:val="0"/>
                      <w:marTop w:val="0"/>
                      <w:marBottom w:val="0"/>
                      <w:divBdr>
                        <w:top w:val="none" w:sz="0" w:space="0" w:color="auto"/>
                        <w:left w:val="none" w:sz="0" w:space="0" w:color="auto"/>
                        <w:bottom w:val="none" w:sz="0" w:space="0" w:color="auto"/>
                        <w:right w:val="none" w:sz="0" w:space="0" w:color="auto"/>
                      </w:divBdr>
                      <w:divsChild>
                        <w:div w:id="199631736">
                          <w:marLeft w:val="0"/>
                          <w:marRight w:val="0"/>
                          <w:marTop w:val="0"/>
                          <w:marBottom w:val="0"/>
                          <w:divBdr>
                            <w:top w:val="none" w:sz="0" w:space="0" w:color="auto"/>
                            <w:left w:val="none" w:sz="0" w:space="0" w:color="auto"/>
                            <w:bottom w:val="none" w:sz="0" w:space="0" w:color="auto"/>
                            <w:right w:val="none" w:sz="0" w:space="0" w:color="auto"/>
                          </w:divBdr>
                          <w:divsChild>
                            <w:div w:id="21715407">
                              <w:marLeft w:val="105"/>
                              <w:marRight w:val="105"/>
                              <w:marTop w:val="105"/>
                              <w:marBottom w:val="105"/>
                              <w:divBdr>
                                <w:top w:val="none" w:sz="0" w:space="0" w:color="auto"/>
                                <w:left w:val="none" w:sz="0" w:space="0" w:color="auto"/>
                                <w:bottom w:val="none" w:sz="0" w:space="0" w:color="auto"/>
                                <w:right w:val="none" w:sz="0" w:space="0" w:color="auto"/>
                              </w:divBdr>
                              <w:divsChild>
                                <w:div w:id="1588884298">
                                  <w:marLeft w:val="0"/>
                                  <w:marRight w:val="0"/>
                                  <w:marTop w:val="0"/>
                                  <w:marBottom w:val="0"/>
                                  <w:divBdr>
                                    <w:top w:val="none" w:sz="0" w:space="0" w:color="auto"/>
                                    <w:left w:val="none" w:sz="0" w:space="0" w:color="auto"/>
                                    <w:bottom w:val="none" w:sz="0" w:space="0" w:color="auto"/>
                                    <w:right w:val="none" w:sz="0" w:space="0" w:color="auto"/>
                                  </w:divBdr>
                                  <w:divsChild>
                                    <w:div w:id="1304650941">
                                      <w:marLeft w:val="0"/>
                                      <w:marRight w:val="0"/>
                                      <w:marTop w:val="0"/>
                                      <w:marBottom w:val="0"/>
                                      <w:divBdr>
                                        <w:top w:val="none" w:sz="0" w:space="0" w:color="auto"/>
                                        <w:left w:val="none" w:sz="0" w:space="0" w:color="auto"/>
                                        <w:bottom w:val="none" w:sz="0" w:space="0" w:color="auto"/>
                                        <w:right w:val="none" w:sz="0" w:space="0" w:color="auto"/>
                                      </w:divBdr>
                                      <w:divsChild>
                                        <w:div w:id="710960050">
                                          <w:marLeft w:val="0"/>
                                          <w:marRight w:val="0"/>
                                          <w:marTop w:val="0"/>
                                          <w:marBottom w:val="0"/>
                                          <w:divBdr>
                                            <w:top w:val="none" w:sz="0" w:space="0" w:color="auto"/>
                                            <w:left w:val="none" w:sz="0" w:space="0" w:color="auto"/>
                                            <w:bottom w:val="none" w:sz="0" w:space="0" w:color="auto"/>
                                            <w:right w:val="none" w:sz="0" w:space="0" w:color="auto"/>
                                          </w:divBdr>
                                          <w:divsChild>
                                            <w:div w:id="1971328012">
                                              <w:marLeft w:val="0"/>
                                              <w:marRight w:val="0"/>
                                              <w:marTop w:val="0"/>
                                              <w:marBottom w:val="0"/>
                                              <w:divBdr>
                                                <w:top w:val="none" w:sz="0" w:space="0" w:color="auto"/>
                                                <w:left w:val="none" w:sz="0" w:space="0" w:color="auto"/>
                                                <w:bottom w:val="none" w:sz="0" w:space="0" w:color="auto"/>
                                                <w:right w:val="none" w:sz="0" w:space="0" w:color="auto"/>
                                              </w:divBdr>
                                              <w:divsChild>
                                                <w:div w:id="253976489">
                                                  <w:marLeft w:val="0"/>
                                                  <w:marRight w:val="0"/>
                                                  <w:marTop w:val="0"/>
                                                  <w:marBottom w:val="0"/>
                                                  <w:divBdr>
                                                    <w:top w:val="none" w:sz="0" w:space="0" w:color="auto"/>
                                                    <w:left w:val="none" w:sz="0" w:space="0" w:color="auto"/>
                                                    <w:bottom w:val="none" w:sz="0" w:space="0" w:color="auto"/>
                                                    <w:right w:val="none" w:sz="0" w:space="0" w:color="auto"/>
                                                  </w:divBdr>
                                                  <w:divsChild>
                                                    <w:div w:id="1904022289">
                                                      <w:marLeft w:val="0"/>
                                                      <w:marRight w:val="0"/>
                                                      <w:marTop w:val="0"/>
                                                      <w:marBottom w:val="0"/>
                                                      <w:divBdr>
                                                        <w:top w:val="none" w:sz="0" w:space="0" w:color="auto"/>
                                                        <w:left w:val="none" w:sz="0" w:space="0" w:color="auto"/>
                                                        <w:bottom w:val="none" w:sz="0" w:space="0" w:color="auto"/>
                                                        <w:right w:val="none" w:sz="0" w:space="0" w:color="auto"/>
                                                      </w:divBdr>
                                                      <w:divsChild>
                                                        <w:div w:id="311445922">
                                                          <w:marLeft w:val="105"/>
                                                          <w:marRight w:val="105"/>
                                                          <w:marTop w:val="105"/>
                                                          <w:marBottom w:val="105"/>
                                                          <w:divBdr>
                                                            <w:top w:val="none" w:sz="0" w:space="0" w:color="auto"/>
                                                            <w:left w:val="none" w:sz="0" w:space="0" w:color="auto"/>
                                                            <w:bottom w:val="none" w:sz="0" w:space="0" w:color="auto"/>
                                                            <w:right w:val="none" w:sz="0" w:space="0" w:color="auto"/>
                                                          </w:divBdr>
                                                          <w:divsChild>
                                                            <w:div w:id="931549257">
                                                              <w:marLeft w:val="0"/>
                                                              <w:marRight w:val="0"/>
                                                              <w:marTop w:val="0"/>
                                                              <w:marBottom w:val="0"/>
                                                              <w:divBdr>
                                                                <w:top w:val="none" w:sz="0" w:space="0" w:color="auto"/>
                                                                <w:left w:val="none" w:sz="0" w:space="0" w:color="auto"/>
                                                                <w:bottom w:val="none" w:sz="0" w:space="0" w:color="auto"/>
                                                                <w:right w:val="none" w:sz="0" w:space="0" w:color="auto"/>
                                                              </w:divBdr>
                                                              <w:divsChild>
                                                                <w:div w:id="1728723563">
                                                                  <w:marLeft w:val="0"/>
                                                                  <w:marRight w:val="0"/>
                                                                  <w:marTop w:val="0"/>
                                                                  <w:marBottom w:val="0"/>
                                                                  <w:divBdr>
                                                                    <w:top w:val="none" w:sz="0" w:space="0" w:color="auto"/>
                                                                    <w:left w:val="none" w:sz="0" w:space="0" w:color="auto"/>
                                                                    <w:bottom w:val="none" w:sz="0" w:space="0" w:color="auto"/>
                                                                    <w:right w:val="none" w:sz="0" w:space="0" w:color="auto"/>
                                                                  </w:divBdr>
                                                                  <w:divsChild>
                                                                    <w:div w:id="2031760163">
                                                                      <w:marLeft w:val="0"/>
                                                                      <w:marRight w:val="0"/>
                                                                      <w:marTop w:val="0"/>
                                                                      <w:marBottom w:val="0"/>
                                                                      <w:divBdr>
                                                                        <w:top w:val="none" w:sz="0" w:space="0" w:color="auto"/>
                                                                        <w:left w:val="none" w:sz="0" w:space="0" w:color="auto"/>
                                                                        <w:bottom w:val="none" w:sz="0" w:space="0" w:color="auto"/>
                                                                        <w:right w:val="none" w:sz="0" w:space="0" w:color="auto"/>
                                                                      </w:divBdr>
                                                                      <w:divsChild>
                                                                        <w:div w:id="250815193">
                                                                          <w:marLeft w:val="0"/>
                                                                          <w:marRight w:val="0"/>
                                                                          <w:marTop w:val="0"/>
                                                                          <w:marBottom w:val="0"/>
                                                                          <w:divBdr>
                                                                            <w:top w:val="none" w:sz="0" w:space="0" w:color="auto"/>
                                                                            <w:left w:val="none" w:sz="0" w:space="0" w:color="auto"/>
                                                                            <w:bottom w:val="none" w:sz="0" w:space="0" w:color="auto"/>
                                                                            <w:right w:val="none" w:sz="0" w:space="0" w:color="auto"/>
                                                                          </w:divBdr>
                                                                          <w:divsChild>
                                                                            <w:div w:id="1936160983">
                                                                              <w:marLeft w:val="0"/>
                                                                              <w:marRight w:val="0"/>
                                                                              <w:marTop w:val="0"/>
                                                                              <w:marBottom w:val="0"/>
                                                                              <w:divBdr>
                                                                                <w:top w:val="none" w:sz="0" w:space="0" w:color="auto"/>
                                                                                <w:left w:val="none" w:sz="0" w:space="0" w:color="auto"/>
                                                                                <w:bottom w:val="none" w:sz="0" w:space="0" w:color="auto"/>
                                                                                <w:right w:val="none" w:sz="0" w:space="0" w:color="auto"/>
                                                                              </w:divBdr>
                                                                              <w:divsChild>
                                                                                <w:div w:id="1341618197">
                                                                                  <w:marLeft w:val="105"/>
                                                                                  <w:marRight w:val="105"/>
                                                                                  <w:marTop w:val="105"/>
                                                                                  <w:marBottom w:val="105"/>
                                                                                  <w:divBdr>
                                                                                    <w:top w:val="none" w:sz="0" w:space="0" w:color="auto"/>
                                                                                    <w:left w:val="none" w:sz="0" w:space="0" w:color="auto"/>
                                                                                    <w:bottom w:val="none" w:sz="0" w:space="0" w:color="auto"/>
                                                                                    <w:right w:val="none" w:sz="0" w:space="0" w:color="auto"/>
                                                                                  </w:divBdr>
                                                                                  <w:divsChild>
                                                                                    <w:div w:id="400953417">
                                                                                      <w:marLeft w:val="0"/>
                                                                                      <w:marRight w:val="0"/>
                                                                                      <w:marTop w:val="0"/>
                                                                                      <w:marBottom w:val="0"/>
                                                                                      <w:divBdr>
                                                                                        <w:top w:val="none" w:sz="0" w:space="0" w:color="auto"/>
                                                                                        <w:left w:val="none" w:sz="0" w:space="0" w:color="auto"/>
                                                                                        <w:bottom w:val="none" w:sz="0" w:space="0" w:color="auto"/>
                                                                                        <w:right w:val="none" w:sz="0" w:space="0" w:color="auto"/>
                                                                                      </w:divBdr>
                                                                                      <w:divsChild>
                                                                                        <w:div w:id="751002888">
                                                                                          <w:marLeft w:val="0"/>
                                                                                          <w:marRight w:val="0"/>
                                                                                          <w:marTop w:val="0"/>
                                                                                          <w:marBottom w:val="0"/>
                                                                                          <w:divBdr>
                                                                                            <w:top w:val="none" w:sz="0" w:space="0" w:color="auto"/>
                                                                                            <w:left w:val="none" w:sz="0" w:space="0" w:color="auto"/>
                                                                                            <w:bottom w:val="none" w:sz="0" w:space="0" w:color="auto"/>
                                                                                            <w:right w:val="none" w:sz="0" w:space="0" w:color="auto"/>
                                                                                          </w:divBdr>
                                                                                          <w:divsChild>
                                                                                            <w:div w:id="55394853">
                                                                                              <w:marLeft w:val="0"/>
                                                                                              <w:marRight w:val="0"/>
                                                                                              <w:marTop w:val="0"/>
                                                                                              <w:marBottom w:val="0"/>
                                                                                              <w:divBdr>
                                                                                                <w:top w:val="none" w:sz="0" w:space="0" w:color="auto"/>
                                                                                                <w:left w:val="none" w:sz="0" w:space="0" w:color="auto"/>
                                                                                                <w:bottom w:val="none" w:sz="0" w:space="0" w:color="auto"/>
                                                                                                <w:right w:val="none" w:sz="0" w:space="0" w:color="auto"/>
                                                                                              </w:divBdr>
                                                                                              <w:divsChild>
                                                                                                <w:div w:id="752314575">
                                                                                                  <w:marLeft w:val="0"/>
                                                                                                  <w:marRight w:val="0"/>
                                                                                                  <w:marTop w:val="0"/>
                                                                                                  <w:marBottom w:val="0"/>
                                                                                                  <w:divBdr>
                                                                                                    <w:top w:val="none" w:sz="0" w:space="0" w:color="auto"/>
                                                                                                    <w:left w:val="none" w:sz="0" w:space="0" w:color="auto"/>
                                                                                                    <w:bottom w:val="none" w:sz="0" w:space="0" w:color="auto"/>
                                                                                                    <w:right w:val="none" w:sz="0" w:space="0" w:color="auto"/>
                                                                                                  </w:divBdr>
                                                                                                  <w:divsChild>
                                                                                                    <w:div w:id="1313562158">
                                                                                                      <w:marLeft w:val="0"/>
                                                                                                      <w:marRight w:val="0"/>
                                                                                                      <w:marTop w:val="0"/>
                                                                                                      <w:marBottom w:val="0"/>
                                                                                                      <w:divBdr>
                                                                                                        <w:top w:val="none" w:sz="0" w:space="0" w:color="auto"/>
                                                                                                        <w:left w:val="none" w:sz="0" w:space="0" w:color="auto"/>
                                                                                                        <w:bottom w:val="none" w:sz="0" w:space="0" w:color="auto"/>
                                                                                                        <w:right w:val="none" w:sz="0" w:space="0" w:color="auto"/>
                                                                                                      </w:divBdr>
                                                                                                      <w:divsChild>
                                                                                                        <w:div w:id="1793208595">
                                                                                                          <w:marLeft w:val="0"/>
                                                                                                          <w:marRight w:val="0"/>
                                                                                                          <w:marTop w:val="0"/>
                                                                                                          <w:marBottom w:val="0"/>
                                                                                                          <w:divBdr>
                                                                                                            <w:top w:val="none" w:sz="0" w:space="0" w:color="auto"/>
                                                                                                            <w:left w:val="none" w:sz="0" w:space="0" w:color="auto"/>
                                                                                                            <w:bottom w:val="none" w:sz="0" w:space="0" w:color="auto"/>
                                                                                                            <w:right w:val="none" w:sz="0" w:space="0" w:color="auto"/>
                                                                                                          </w:divBdr>
                                                                                                          <w:divsChild>
                                                                                                            <w:div w:id="100146254">
                                                                                                              <w:marLeft w:val="105"/>
                                                                                                              <w:marRight w:val="105"/>
                                                                                                              <w:marTop w:val="105"/>
                                                                                                              <w:marBottom w:val="105"/>
                                                                                                              <w:divBdr>
                                                                                                                <w:top w:val="none" w:sz="0" w:space="0" w:color="auto"/>
                                                                                                                <w:left w:val="none" w:sz="0" w:space="0" w:color="auto"/>
                                                                                                                <w:bottom w:val="none" w:sz="0" w:space="0" w:color="auto"/>
                                                                                                                <w:right w:val="none" w:sz="0" w:space="0" w:color="auto"/>
                                                                                                              </w:divBdr>
                                                                                                              <w:divsChild>
                                                                                                                <w:div w:id="1613631886">
                                                                                                                  <w:marLeft w:val="0"/>
                                                                                                                  <w:marRight w:val="0"/>
                                                                                                                  <w:marTop w:val="0"/>
                                                                                                                  <w:marBottom w:val="0"/>
                                                                                                                  <w:divBdr>
                                                                                                                    <w:top w:val="none" w:sz="0" w:space="0" w:color="auto"/>
                                                                                                                    <w:left w:val="none" w:sz="0" w:space="0" w:color="auto"/>
                                                                                                                    <w:bottom w:val="none" w:sz="0" w:space="0" w:color="auto"/>
                                                                                                                    <w:right w:val="none" w:sz="0" w:space="0" w:color="auto"/>
                                                                                                                  </w:divBdr>
                                                                                                                  <w:divsChild>
                                                                                                                    <w:div w:id="9270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3351981">
      <w:bodyDiv w:val="1"/>
      <w:marLeft w:val="0"/>
      <w:marRight w:val="0"/>
      <w:marTop w:val="0"/>
      <w:marBottom w:val="0"/>
      <w:divBdr>
        <w:top w:val="none" w:sz="0" w:space="0" w:color="auto"/>
        <w:left w:val="none" w:sz="0" w:space="0" w:color="auto"/>
        <w:bottom w:val="none" w:sz="0" w:space="0" w:color="auto"/>
        <w:right w:val="none" w:sz="0" w:space="0" w:color="auto"/>
      </w:divBdr>
    </w:div>
    <w:div w:id="580716793">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597250841">
      <w:bodyDiv w:val="1"/>
      <w:marLeft w:val="0"/>
      <w:marRight w:val="0"/>
      <w:marTop w:val="0"/>
      <w:marBottom w:val="0"/>
      <w:divBdr>
        <w:top w:val="none" w:sz="0" w:space="0" w:color="auto"/>
        <w:left w:val="none" w:sz="0" w:space="0" w:color="auto"/>
        <w:bottom w:val="none" w:sz="0" w:space="0" w:color="auto"/>
        <w:right w:val="none" w:sz="0" w:space="0" w:color="auto"/>
      </w:divBdr>
    </w:div>
    <w:div w:id="824857488">
      <w:bodyDiv w:val="1"/>
      <w:marLeft w:val="0"/>
      <w:marRight w:val="0"/>
      <w:marTop w:val="0"/>
      <w:marBottom w:val="0"/>
      <w:divBdr>
        <w:top w:val="none" w:sz="0" w:space="0" w:color="auto"/>
        <w:left w:val="none" w:sz="0" w:space="0" w:color="auto"/>
        <w:bottom w:val="none" w:sz="0" w:space="0" w:color="auto"/>
        <w:right w:val="none" w:sz="0" w:space="0" w:color="auto"/>
      </w:divBdr>
    </w:div>
    <w:div w:id="891306088">
      <w:bodyDiv w:val="1"/>
      <w:marLeft w:val="0"/>
      <w:marRight w:val="0"/>
      <w:marTop w:val="0"/>
      <w:marBottom w:val="0"/>
      <w:divBdr>
        <w:top w:val="none" w:sz="0" w:space="0" w:color="auto"/>
        <w:left w:val="none" w:sz="0" w:space="0" w:color="auto"/>
        <w:bottom w:val="none" w:sz="0" w:space="0" w:color="auto"/>
        <w:right w:val="none" w:sz="0" w:space="0" w:color="auto"/>
      </w:divBdr>
    </w:div>
    <w:div w:id="899243567">
      <w:bodyDiv w:val="1"/>
      <w:marLeft w:val="0"/>
      <w:marRight w:val="0"/>
      <w:marTop w:val="0"/>
      <w:marBottom w:val="0"/>
      <w:divBdr>
        <w:top w:val="none" w:sz="0" w:space="0" w:color="auto"/>
        <w:left w:val="none" w:sz="0" w:space="0" w:color="auto"/>
        <w:bottom w:val="none" w:sz="0" w:space="0" w:color="auto"/>
        <w:right w:val="none" w:sz="0" w:space="0" w:color="auto"/>
      </w:divBdr>
      <w:divsChild>
        <w:div w:id="1889102466">
          <w:marLeft w:val="0"/>
          <w:marRight w:val="0"/>
          <w:marTop w:val="0"/>
          <w:marBottom w:val="0"/>
          <w:divBdr>
            <w:top w:val="none" w:sz="0" w:space="0" w:color="auto"/>
            <w:left w:val="none" w:sz="0" w:space="0" w:color="auto"/>
            <w:bottom w:val="none" w:sz="0" w:space="0" w:color="auto"/>
            <w:right w:val="none" w:sz="0" w:space="0" w:color="auto"/>
          </w:divBdr>
          <w:divsChild>
            <w:div w:id="1502699012">
              <w:marLeft w:val="0"/>
              <w:marRight w:val="0"/>
              <w:marTop w:val="0"/>
              <w:marBottom w:val="0"/>
              <w:divBdr>
                <w:top w:val="none" w:sz="0" w:space="0" w:color="auto"/>
                <w:left w:val="none" w:sz="0" w:space="0" w:color="auto"/>
                <w:bottom w:val="none" w:sz="0" w:space="0" w:color="auto"/>
                <w:right w:val="none" w:sz="0" w:space="0" w:color="auto"/>
              </w:divBdr>
              <w:divsChild>
                <w:div w:id="1531410046">
                  <w:marLeft w:val="0"/>
                  <w:marRight w:val="0"/>
                  <w:marTop w:val="0"/>
                  <w:marBottom w:val="192"/>
                  <w:divBdr>
                    <w:top w:val="none" w:sz="0" w:space="0" w:color="auto"/>
                    <w:left w:val="none" w:sz="0" w:space="0" w:color="auto"/>
                    <w:bottom w:val="none" w:sz="0" w:space="0" w:color="auto"/>
                    <w:right w:val="none" w:sz="0" w:space="0" w:color="auto"/>
                  </w:divBdr>
                  <w:divsChild>
                    <w:div w:id="1814324397">
                      <w:marLeft w:val="0"/>
                      <w:marRight w:val="0"/>
                      <w:marTop w:val="0"/>
                      <w:marBottom w:val="0"/>
                      <w:divBdr>
                        <w:top w:val="none" w:sz="0" w:space="0" w:color="auto"/>
                        <w:left w:val="none" w:sz="0" w:space="0" w:color="auto"/>
                        <w:bottom w:val="none" w:sz="0" w:space="0" w:color="auto"/>
                        <w:right w:val="none" w:sz="0" w:space="0" w:color="auto"/>
                      </w:divBdr>
                      <w:divsChild>
                        <w:div w:id="1093553137">
                          <w:marLeft w:val="0"/>
                          <w:marRight w:val="0"/>
                          <w:marTop w:val="0"/>
                          <w:marBottom w:val="0"/>
                          <w:divBdr>
                            <w:top w:val="none" w:sz="0" w:space="0" w:color="auto"/>
                            <w:left w:val="none" w:sz="0" w:space="0" w:color="auto"/>
                            <w:bottom w:val="none" w:sz="0" w:space="0" w:color="auto"/>
                            <w:right w:val="none" w:sz="0" w:space="0" w:color="auto"/>
                          </w:divBdr>
                          <w:divsChild>
                            <w:div w:id="159844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349192">
      <w:bodyDiv w:val="1"/>
      <w:marLeft w:val="0"/>
      <w:marRight w:val="0"/>
      <w:marTop w:val="0"/>
      <w:marBottom w:val="0"/>
      <w:divBdr>
        <w:top w:val="none" w:sz="0" w:space="0" w:color="auto"/>
        <w:left w:val="none" w:sz="0" w:space="0" w:color="auto"/>
        <w:bottom w:val="none" w:sz="0" w:space="0" w:color="auto"/>
        <w:right w:val="none" w:sz="0" w:space="0" w:color="auto"/>
      </w:divBdr>
    </w:div>
    <w:div w:id="915288827">
      <w:bodyDiv w:val="1"/>
      <w:marLeft w:val="0"/>
      <w:marRight w:val="0"/>
      <w:marTop w:val="0"/>
      <w:marBottom w:val="0"/>
      <w:divBdr>
        <w:top w:val="none" w:sz="0" w:space="0" w:color="auto"/>
        <w:left w:val="none" w:sz="0" w:space="0" w:color="auto"/>
        <w:bottom w:val="none" w:sz="0" w:space="0" w:color="auto"/>
        <w:right w:val="none" w:sz="0" w:space="0" w:color="auto"/>
      </w:divBdr>
      <w:divsChild>
        <w:div w:id="939262257">
          <w:marLeft w:val="0"/>
          <w:marRight w:val="0"/>
          <w:marTop w:val="0"/>
          <w:marBottom w:val="0"/>
          <w:divBdr>
            <w:top w:val="none" w:sz="0" w:space="0" w:color="auto"/>
            <w:left w:val="none" w:sz="0" w:space="0" w:color="auto"/>
            <w:bottom w:val="none" w:sz="0" w:space="0" w:color="auto"/>
            <w:right w:val="none" w:sz="0" w:space="0" w:color="auto"/>
          </w:divBdr>
          <w:divsChild>
            <w:div w:id="1502500481">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75262531">
      <w:bodyDiv w:val="1"/>
      <w:marLeft w:val="0"/>
      <w:marRight w:val="0"/>
      <w:marTop w:val="0"/>
      <w:marBottom w:val="0"/>
      <w:divBdr>
        <w:top w:val="none" w:sz="0" w:space="0" w:color="auto"/>
        <w:left w:val="none" w:sz="0" w:space="0" w:color="auto"/>
        <w:bottom w:val="none" w:sz="0" w:space="0" w:color="auto"/>
        <w:right w:val="none" w:sz="0" w:space="0" w:color="auto"/>
      </w:divBdr>
      <w:divsChild>
        <w:div w:id="996499421">
          <w:marLeft w:val="0"/>
          <w:marRight w:val="0"/>
          <w:marTop w:val="100"/>
          <w:marBottom w:val="100"/>
          <w:divBdr>
            <w:top w:val="none" w:sz="0" w:space="0" w:color="auto"/>
            <w:left w:val="none" w:sz="0" w:space="0" w:color="auto"/>
            <w:bottom w:val="none" w:sz="0" w:space="0" w:color="auto"/>
            <w:right w:val="none" w:sz="0" w:space="0" w:color="auto"/>
          </w:divBdr>
          <w:divsChild>
            <w:div w:id="57634955">
              <w:marLeft w:val="0"/>
              <w:marRight w:val="0"/>
              <w:marTop w:val="0"/>
              <w:marBottom w:val="0"/>
              <w:divBdr>
                <w:top w:val="none" w:sz="0" w:space="0" w:color="auto"/>
                <w:left w:val="none" w:sz="0" w:space="0" w:color="auto"/>
                <w:bottom w:val="none" w:sz="0" w:space="0" w:color="auto"/>
                <w:right w:val="none" w:sz="0" w:space="0" w:color="auto"/>
              </w:divBdr>
              <w:divsChild>
                <w:div w:id="1123114671">
                  <w:marLeft w:val="105"/>
                  <w:marRight w:val="105"/>
                  <w:marTop w:val="105"/>
                  <w:marBottom w:val="105"/>
                  <w:divBdr>
                    <w:top w:val="none" w:sz="0" w:space="0" w:color="auto"/>
                    <w:left w:val="none" w:sz="0" w:space="0" w:color="auto"/>
                    <w:bottom w:val="none" w:sz="0" w:space="0" w:color="auto"/>
                    <w:right w:val="none" w:sz="0" w:space="0" w:color="auto"/>
                  </w:divBdr>
                  <w:divsChild>
                    <w:div w:id="1681853422">
                      <w:marLeft w:val="0"/>
                      <w:marRight w:val="0"/>
                      <w:marTop w:val="0"/>
                      <w:marBottom w:val="0"/>
                      <w:divBdr>
                        <w:top w:val="none" w:sz="0" w:space="0" w:color="auto"/>
                        <w:left w:val="none" w:sz="0" w:space="0" w:color="auto"/>
                        <w:bottom w:val="none" w:sz="0" w:space="0" w:color="auto"/>
                        <w:right w:val="none" w:sz="0" w:space="0" w:color="auto"/>
                      </w:divBdr>
                      <w:divsChild>
                        <w:div w:id="336226791">
                          <w:marLeft w:val="0"/>
                          <w:marRight w:val="0"/>
                          <w:marTop w:val="0"/>
                          <w:marBottom w:val="0"/>
                          <w:divBdr>
                            <w:top w:val="none" w:sz="0" w:space="0" w:color="auto"/>
                            <w:left w:val="none" w:sz="0" w:space="0" w:color="auto"/>
                            <w:bottom w:val="none" w:sz="0" w:space="0" w:color="auto"/>
                            <w:right w:val="none" w:sz="0" w:space="0" w:color="auto"/>
                          </w:divBdr>
                          <w:divsChild>
                            <w:div w:id="598417341">
                              <w:marLeft w:val="105"/>
                              <w:marRight w:val="105"/>
                              <w:marTop w:val="105"/>
                              <w:marBottom w:val="105"/>
                              <w:divBdr>
                                <w:top w:val="none" w:sz="0" w:space="0" w:color="auto"/>
                                <w:left w:val="none" w:sz="0" w:space="0" w:color="auto"/>
                                <w:bottom w:val="none" w:sz="0" w:space="0" w:color="auto"/>
                                <w:right w:val="none" w:sz="0" w:space="0" w:color="auto"/>
                              </w:divBdr>
                              <w:divsChild>
                                <w:div w:id="613751871">
                                  <w:marLeft w:val="0"/>
                                  <w:marRight w:val="0"/>
                                  <w:marTop w:val="0"/>
                                  <w:marBottom w:val="0"/>
                                  <w:divBdr>
                                    <w:top w:val="none" w:sz="0" w:space="0" w:color="auto"/>
                                    <w:left w:val="none" w:sz="0" w:space="0" w:color="auto"/>
                                    <w:bottom w:val="none" w:sz="0" w:space="0" w:color="auto"/>
                                    <w:right w:val="none" w:sz="0" w:space="0" w:color="auto"/>
                                  </w:divBdr>
                                  <w:divsChild>
                                    <w:div w:id="681979918">
                                      <w:marLeft w:val="0"/>
                                      <w:marRight w:val="0"/>
                                      <w:marTop w:val="0"/>
                                      <w:marBottom w:val="0"/>
                                      <w:divBdr>
                                        <w:top w:val="none" w:sz="0" w:space="0" w:color="auto"/>
                                        <w:left w:val="none" w:sz="0" w:space="0" w:color="auto"/>
                                        <w:bottom w:val="none" w:sz="0" w:space="0" w:color="auto"/>
                                        <w:right w:val="none" w:sz="0" w:space="0" w:color="auto"/>
                                      </w:divBdr>
                                      <w:divsChild>
                                        <w:div w:id="1174221748">
                                          <w:marLeft w:val="0"/>
                                          <w:marRight w:val="0"/>
                                          <w:marTop w:val="0"/>
                                          <w:marBottom w:val="0"/>
                                          <w:divBdr>
                                            <w:top w:val="none" w:sz="0" w:space="0" w:color="auto"/>
                                            <w:left w:val="none" w:sz="0" w:space="0" w:color="auto"/>
                                            <w:bottom w:val="none" w:sz="0" w:space="0" w:color="auto"/>
                                            <w:right w:val="none" w:sz="0" w:space="0" w:color="auto"/>
                                          </w:divBdr>
                                          <w:divsChild>
                                            <w:div w:id="1714840171">
                                              <w:marLeft w:val="0"/>
                                              <w:marRight w:val="0"/>
                                              <w:marTop w:val="0"/>
                                              <w:marBottom w:val="0"/>
                                              <w:divBdr>
                                                <w:top w:val="none" w:sz="0" w:space="0" w:color="auto"/>
                                                <w:left w:val="none" w:sz="0" w:space="0" w:color="auto"/>
                                                <w:bottom w:val="none" w:sz="0" w:space="0" w:color="auto"/>
                                                <w:right w:val="none" w:sz="0" w:space="0" w:color="auto"/>
                                              </w:divBdr>
                                              <w:divsChild>
                                                <w:div w:id="1939483900">
                                                  <w:marLeft w:val="105"/>
                                                  <w:marRight w:val="105"/>
                                                  <w:marTop w:val="105"/>
                                                  <w:marBottom w:val="105"/>
                                                  <w:divBdr>
                                                    <w:top w:val="none" w:sz="0" w:space="0" w:color="auto"/>
                                                    <w:left w:val="none" w:sz="0" w:space="0" w:color="auto"/>
                                                    <w:bottom w:val="none" w:sz="0" w:space="0" w:color="auto"/>
                                                    <w:right w:val="none" w:sz="0" w:space="0" w:color="auto"/>
                                                  </w:divBdr>
                                                  <w:divsChild>
                                                    <w:div w:id="1949041941">
                                                      <w:marLeft w:val="0"/>
                                                      <w:marRight w:val="0"/>
                                                      <w:marTop w:val="0"/>
                                                      <w:marBottom w:val="0"/>
                                                      <w:divBdr>
                                                        <w:top w:val="none" w:sz="0" w:space="0" w:color="auto"/>
                                                        <w:left w:val="none" w:sz="0" w:space="0" w:color="auto"/>
                                                        <w:bottom w:val="none" w:sz="0" w:space="0" w:color="auto"/>
                                                        <w:right w:val="none" w:sz="0" w:space="0" w:color="auto"/>
                                                      </w:divBdr>
                                                      <w:divsChild>
                                                        <w:div w:id="1072462396">
                                                          <w:marLeft w:val="0"/>
                                                          <w:marRight w:val="0"/>
                                                          <w:marTop w:val="0"/>
                                                          <w:marBottom w:val="0"/>
                                                          <w:divBdr>
                                                            <w:top w:val="none" w:sz="0" w:space="0" w:color="auto"/>
                                                            <w:left w:val="none" w:sz="0" w:space="0" w:color="auto"/>
                                                            <w:bottom w:val="none" w:sz="0" w:space="0" w:color="auto"/>
                                                            <w:right w:val="none" w:sz="0" w:space="0" w:color="auto"/>
                                                          </w:divBdr>
                                                          <w:divsChild>
                                                            <w:div w:id="31852306">
                                                              <w:marLeft w:val="0"/>
                                                              <w:marRight w:val="0"/>
                                                              <w:marTop w:val="0"/>
                                                              <w:marBottom w:val="0"/>
                                                              <w:divBdr>
                                                                <w:top w:val="none" w:sz="0" w:space="0" w:color="auto"/>
                                                                <w:left w:val="none" w:sz="0" w:space="0" w:color="auto"/>
                                                                <w:bottom w:val="none" w:sz="0" w:space="0" w:color="auto"/>
                                                                <w:right w:val="none" w:sz="0" w:space="0" w:color="auto"/>
                                                              </w:divBdr>
                                                              <w:divsChild>
                                                                <w:div w:id="2125539241">
                                                                  <w:marLeft w:val="0"/>
                                                                  <w:marRight w:val="0"/>
                                                                  <w:marTop w:val="0"/>
                                                                  <w:marBottom w:val="0"/>
                                                                  <w:divBdr>
                                                                    <w:top w:val="none" w:sz="0" w:space="0" w:color="auto"/>
                                                                    <w:left w:val="none" w:sz="0" w:space="0" w:color="auto"/>
                                                                    <w:bottom w:val="none" w:sz="0" w:space="0" w:color="auto"/>
                                                                    <w:right w:val="none" w:sz="0" w:space="0" w:color="auto"/>
                                                                  </w:divBdr>
                                                                  <w:divsChild>
                                                                    <w:div w:id="1382174675">
                                                                      <w:marLeft w:val="0"/>
                                                                      <w:marRight w:val="0"/>
                                                                      <w:marTop w:val="0"/>
                                                                      <w:marBottom w:val="0"/>
                                                                      <w:divBdr>
                                                                        <w:top w:val="none" w:sz="0" w:space="0" w:color="auto"/>
                                                                        <w:left w:val="none" w:sz="0" w:space="0" w:color="auto"/>
                                                                        <w:bottom w:val="none" w:sz="0" w:space="0" w:color="auto"/>
                                                                        <w:right w:val="none" w:sz="0" w:space="0" w:color="auto"/>
                                                                      </w:divBdr>
                                                                      <w:divsChild>
                                                                        <w:div w:id="1683623262">
                                                                          <w:marLeft w:val="105"/>
                                                                          <w:marRight w:val="105"/>
                                                                          <w:marTop w:val="105"/>
                                                                          <w:marBottom w:val="105"/>
                                                                          <w:divBdr>
                                                                            <w:top w:val="none" w:sz="0" w:space="0" w:color="auto"/>
                                                                            <w:left w:val="none" w:sz="0" w:space="0" w:color="auto"/>
                                                                            <w:bottom w:val="none" w:sz="0" w:space="0" w:color="auto"/>
                                                                            <w:right w:val="none" w:sz="0" w:space="0" w:color="auto"/>
                                                                          </w:divBdr>
                                                                          <w:divsChild>
                                                                            <w:div w:id="1883010139">
                                                                              <w:marLeft w:val="0"/>
                                                                              <w:marRight w:val="0"/>
                                                                              <w:marTop w:val="0"/>
                                                                              <w:marBottom w:val="0"/>
                                                                              <w:divBdr>
                                                                                <w:top w:val="none" w:sz="0" w:space="0" w:color="auto"/>
                                                                                <w:left w:val="none" w:sz="0" w:space="0" w:color="auto"/>
                                                                                <w:bottom w:val="none" w:sz="0" w:space="0" w:color="auto"/>
                                                                                <w:right w:val="none" w:sz="0" w:space="0" w:color="auto"/>
                                                                              </w:divBdr>
                                                                              <w:divsChild>
                                                                                <w:div w:id="1199127956">
                                                                                  <w:marLeft w:val="0"/>
                                                                                  <w:marRight w:val="0"/>
                                                                                  <w:marTop w:val="0"/>
                                                                                  <w:marBottom w:val="0"/>
                                                                                  <w:divBdr>
                                                                                    <w:top w:val="none" w:sz="0" w:space="0" w:color="auto"/>
                                                                                    <w:left w:val="none" w:sz="0" w:space="0" w:color="auto"/>
                                                                                    <w:bottom w:val="none" w:sz="0" w:space="0" w:color="auto"/>
                                                                                    <w:right w:val="none" w:sz="0" w:space="0" w:color="auto"/>
                                                                                  </w:divBdr>
                                                                                  <w:divsChild>
                                                                                    <w:div w:id="924191626">
                                                                                      <w:marLeft w:val="0"/>
                                                                                      <w:marRight w:val="0"/>
                                                                                      <w:marTop w:val="0"/>
                                                                                      <w:marBottom w:val="0"/>
                                                                                      <w:divBdr>
                                                                                        <w:top w:val="none" w:sz="0" w:space="0" w:color="auto"/>
                                                                                        <w:left w:val="none" w:sz="0" w:space="0" w:color="auto"/>
                                                                                        <w:bottom w:val="none" w:sz="0" w:space="0" w:color="auto"/>
                                                                                        <w:right w:val="none" w:sz="0" w:space="0" w:color="auto"/>
                                                                                      </w:divBdr>
                                                                                      <w:divsChild>
                                                                                        <w:div w:id="496580513">
                                                                                          <w:marLeft w:val="0"/>
                                                                                          <w:marRight w:val="0"/>
                                                                                          <w:marTop w:val="0"/>
                                                                                          <w:marBottom w:val="0"/>
                                                                                          <w:divBdr>
                                                                                            <w:top w:val="none" w:sz="0" w:space="0" w:color="auto"/>
                                                                                            <w:left w:val="none" w:sz="0" w:space="0" w:color="auto"/>
                                                                                            <w:bottom w:val="none" w:sz="0" w:space="0" w:color="auto"/>
                                                                                            <w:right w:val="none" w:sz="0" w:space="0" w:color="auto"/>
                                                                                          </w:divBdr>
                                                                                          <w:divsChild>
                                                                                            <w:div w:id="1019312818">
                                                                                              <w:marLeft w:val="0"/>
                                                                                              <w:marRight w:val="0"/>
                                                                                              <w:marTop w:val="0"/>
                                                                                              <w:marBottom w:val="0"/>
                                                                                              <w:divBdr>
                                                                                                <w:top w:val="none" w:sz="0" w:space="0" w:color="auto"/>
                                                                                                <w:left w:val="none" w:sz="0" w:space="0" w:color="auto"/>
                                                                                                <w:bottom w:val="none" w:sz="0" w:space="0" w:color="auto"/>
                                                                                                <w:right w:val="none" w:sz="0" w:space="0" w:color="auto"/>
                                                                                              </w:divBdr>
                                                                                              <w:divsChild>
                                                                                                <w:div w:id="2132090053">
                                                                                                  <w:marLeft w:val="0"/>
                                                                                                  <w:marRight w:val="0"/>
                                                                                                  <w:marTop w:val="0"/>
                                                                                                  <w:marBottom w:val="0"/>
                                                                                                  <w:divBdr>
                                                                                                    <w:top w:val="none" w:sz="0" w:space="0" w:color="auto"/>
                                                                                                    <w:left w:val="none" w:sz="0" w:space="0" w:color="auto"/>
                                                                                                    <w:bottom w:val="none" w:sz="0" w:space="0" w:color="auto"/>
                                                                                                    <w:right w:val="none" w:sz="0" w:space="0" w:color="auto"/>
                                                                                                  </w:divBdr>
                                                                                                  <w:divsChild>
                                                                                                    <w:div w:id="1212769711">
                                                                                                      <w:marLeft w:val="105"/>
                                                                                                      <w:marRight w:val="105"/>
                                                                                                      <w:marTop w:val="105"/>
                                                                                                      <w:marBottom w:val="105"/>
                                                                                                      <w:divBdr>
                                                                                                        <w:top w:val="none" w:sz="0" w:space="0" w:color="auto"/>
                                                                                                        <w:left w:val="none" w:sz="0" w:space="0" w:color="auto"/>
                                                                                                        <w:bottom w:val="none" w:sz="0" w:space="0" w:color="auto"/>
                                                                                                        <w:right w:val="none" w:sz="0" w:space="0" w:color="auto"/>
                                                                                                      </w:divBdr>
                                                                                                      <w:divsChild>
                                                                                                        <w:div w:id="281303045">
                                                                                                          <w:marLeft w:val="0"/>
                                                                                                          <w:marRight w:val="0"/>
                                                                                                          <w:marTop w:val="0"/>
                                                                                                          <w:marBottom w:val="0"/>
                                                                                                          <w:divBdr>
                                                                                                            <w:top w:val="none" w:sz="0" w:space="0" w:color="auto"/>
                                                                                                            <w:left w:val="none" w:sz="0" w:space="0" w:color="auto"/>
                                                                                                            <w:bottom w:val="none" w:sz="0" w:space="0" w:color="auto"/>
                                                                                                            <w:right w:val="none" w:sz="0" w:space="0" w:color="auto"/>
                                                                                                          </w:divBdr>
                                                                                                          <w:divsChild>
                                                                                                            <w:div w:id="400446747">
                                                                                                              <w:marLeft w:val="0"/>
                                                                                                              <w:marRight w:val="0"/>
                                                                                                              <w:marTop w:val="0"/>
                                                                                                              <w:marBottom w:val="0"/>
                                                                                                              <w:divBdr>
                                                                                                                <w:top w:val="none" w:sz="0" w:space="0" w:color="auto"/>
                                                                                                                <w:left w:val="none" w:sz="0" w:space="0" w:color="auto"/>
                                                                                                                <w:bottom w:val="none" w:sz="0" w:space="0" w:color="auto"/>
                                                                                                                <w:right w:val="none" w:sz="0" w:space="0" w:color="auto"/>
                                                                                                              </w:divBdr>
                                                                                                              <w:divsChild>
                                                                                                                <w:div w:id="795492864">
                                                                                                                  <w:marLeft w:val="0"/>
                                                                                                                  <w:marRight w:val="0"/>
                                                                                                                  <w:marTop w:val="0"/>
                                                                                                                  <w:marBottom w:val="0"/>
                                                                                                                  <w:divBdr>
                                                                                                                    <w:top w:val="none" w:sz="0" w:space="0" w:color="auto"/>
                                                                                                                    <w:left w:val="none" w:sz="0" w:space="0" w:color="auto"/>
                                                                                                                    <w:bottom w:val="none" w:sz="0" w:space="0" w:color="auto"/>
                                                                                                                    <w:right w:val="none" w:sz="0" w:space="0" w:color="auto"/>
                                                                                                                  </w:divBdr>
                                                                                                                  <w:divsChild>
                                                                                                                    <w:div w:id="1100835078">
                                                                                                                      <w:marLeft w:val="0"/>
                                                                                                                      <w:marRight w:val="0"/>
                                                                                                                      <w:marTop w:val="0"/>
                                                                                                                      <w:marBottom w:val="0"/>
                                                                                                                      <w:divBdr>
                                                                                                                        <w:top w:val="none" w:sz="0" w:space="0" w:color="auto"/>
                                                                                                                        <w:left w:val="none" w:sz="0" w:space="0" w:color="auto"/>
                                                                                                                        <w:bottom w:val="none" w:sz="0" w:space="0" w:color="auto"/>
                                                                                                                        <w:right w:val="none" w:sz="0" w:space="0" w:color="auto"/>
                                                                                                                      </w:divBdr>
                                                                                                                      <w:divsChild>
                                                                                                                        <w:div w:id="305283328">
                                                                                                                          <w:marLeft w:val="0"/>
                                                                                                                          <w:marRight w:val="0"/>
                                                                                                                          <w:marTop w:val="0"/>
                                                                                                                          <w:marBottom w:val="0"/>
                                                                                                                          <w:divBdr>
                                                                                                                            <w:top w:val="none" w:sz="0" w:space="0" w:color="auto"/>
                                                                                                                            <w:left w:val="none" w:sz="0" w:space="0" w:color="auto"/>
                                                                                                                            <w:bottom w:val="none" w:sz="0" w:space="0" w:color="auto"/>
                                                                                                                            <w:right w:val="none" w:sz="0" w:space="0" w:color="auto"/>
                                                                                                                          </w:divBdr>
                                                                                                                          <w:divsChild>
                                                                                                                            <w:div w:id="1343047735">
                                                                                                                              <w:marLeft w:val="105"/>
                                                                                                                              <w:marRight w:val="105"/>
                                                                                                                              <w:marTop w:val="105"/>
                                                                                                                              <w:marBottom w:val="105"/>
                                                                                                                              <w:divBdr>
                                                                                                                                <w:top w:val="none" w:sz="0" w:space="0" w:color="auto"/>
                                                                                                                                <w:left w:val="none" w:sz="0" w:space="0" w:color="auto"/>
                                                                                                                                <w:bottom w:val="none" w:sz="0" w:space="0" w:color="auto"/>
                                                                                                                                <w:right w:val="none" w:sz="0" w:space="0" w:color="auto"/>
                                                                                                                              </w:divBdr>
                                                                                                                              <w:divsChild>
                                                                                                                                <w:div w:id="1539902060">
                                                                                                                                  <w:marLeft w:val="0"/>
                                                                                                                                  <w:marRight w:val="0"/>
                                                                                                                                  <w:marTop w:val="0"/>
                                                                                                                                  <w:marBottom w:val="0"/>
                                                                                                                                  <w:divBdr>
                                                                                                                                    <w:top w:val="none" w:sz="0" w:space="0" w:color="auto"/>
                                                                                                                                    <w:left w:val="none" w:sz="0" w:space="0" w:color="auto"/>
                                                                                                                                    <w:bottom w:val="none" w:sz="0" w:space="0" w:color="auto"/>
                                                                                                                                    <w:right w:val="none" w:sz="0" w:space="0" w:color="auto"/>
                                                                                                                                  </w:divBdr>
                                                                                                                                  <w:divsChild>
                                                                                                                                    <w:div w:id="853499346">
                                                                                                                                      <w:marLeft w:val="0"/>
                                                                                                                                      <w:marRight w:val="0"/>
                                                                                                                                      <w:marTop w:val="0"/>
                                                                                                                                      <w:marBottom w:val="0"/>
                                                                                                                                      <w:divBdr>
                                                                                                                                        <w:top w:val="none" w:sz="0" w:space="0" w:color="auto"/>
                                                                                                                                        <w:left w:val="none" w:sz="0" w:space="0" w:color="auto"/>
                                                                                                                                        <w:bottom w:val="none" w:sz="0" w:space="0" w:color="auto"/>
                                                                                                                                        <w:right w:val="none" w:sz="0" w:space="0" w:color="auto"/>
                                                                                                                                      </w:divBdr>
                                                                                                                                      <w:divsChild>
                                                                                                                                        <w:div w:id="828982558">
                                                                                                                                          <w:marLeft w:val="0"/>
                                                                                                                                          <w:marRight w:val="0"/>
                                                                                                                                          <w:marTop w:val="0"/>
                                                                                                                                          <w:marBottom w:val="0"/>
                                                                                                                                          <w:divBdr>
                                                                                                                                            <w:top w:val="none" w:sz="0" w:space="0" w:color="auto"/>
                                                                                                                                            <w:left w:val="none" w:sz="0" w:space="0" w:color="auto"/>
                                                                                                                                            <w:bottom w:val="none" w:sz="0" w:space="0" w:color="auto"/>
                                                                                                                                            <w:right w:val="none" w:sz="0" w:space="0" w:color="auto"/>
                                                                                                                                          </w:divBdr>
                                                                                                                                          <w:divsChild>
                                                                                                                                            <w:div w:id="1556503193">
                                                                                                                                              <w:marLeft w:val="0"/>
                                                                                                                                              <w:marRight w:val="0"/>
                                                                                                                                              <w:marTop w:val="0"/>
                                                                                                                                              <w:marBottom w:val="0"/>
                                                                                                                                              <w:divBdr>
                                                                                                                                                <w:top w:val="none" w:sz="0" w:space="0" w:color="auto"/>
                                                                                                                                                <w:left w:val="none" w:sz="0" w:space="0" w:color="auto"/>
                                                                                                                                                <w:bottom w:val="none" w:sz="0" w:space="0" w:color="auto"/>
                                                                                                                                                <w:right w:val="none" w:sz="0" w:space="0" w:color="auto"/>
                                                                                                                                              </w:divBdr>
                                                                                                                                              <w:divsChild>
                                                                                                                                                <w:div w:id="1005279190">
                                                                                                                                                  <w:marLeft w:val="0"/>
                                                                                                                                                  <w:marRight w:val="0"/>
                                                                                                                                                  <w:marTop w:val="0"/>
                                                                                                                                                  <w:marBottom w:val="0"/>
                                                                                                                                                  <w:divBdr>
                                                                                                                                                    <w:top w:val="none" w:sz="0" w:space="0" w:color="auto"/>
                                                                                                                                                    <w:left w:val="none" w:sz="0" w:space="0" w:color="auto"/>
                                                                                                                                                    <w:bottom w:val="none" w:sz="0" w:space="0" w:color="auto"/>
                                                                                                                                                    <w:right w:val="none" w:sz="0" w:space="0" w:color="auto"/>
                                                                                                                                                  </w:divBdr>
                                                                                                                                                  <w:divsChild>
                                                                                                                                                    <w:div w:id="2072069276">
                                                                                                                                                      <w:marLeft w:val="105"/>
                                                                                                                                                      <w:marRight w:val="105"/>
                                                                                                                                                      <w:marTop w:val="105"/>
                                                                                                                                                      <w:marBottom w:val="105"/>
                                                                                                                                                      <w:divBdr>
                                                                                                                                                        <w:top w:val="none" w:sz="0" w:space="0" w:color="auto"/>
                                                                                                                                                        <w:left w:val="none" w:sz="0" w:space="0" w:color="auto"/>
                                                                                                                                                        <w:bottom w:val="none" w:sz="0" w:space="0" w:color="auto"/>
                                                                                                                                                        <w:right w:val="none" w:sz="0" w:space="0" w:color="auto"/>
                                                                                                                                                      </w:divBdr>
                                                                                                                                                      <w:divsChild>
                                                                                                                                                        <w:div w:id="839001864">
                                                                                                                                                          <w:marLeft w:val="0"/>
                                                                                                                                                          <w:marRight w:val="0"/>
                                                                                                                                                          <w:marTop w:val="0"/>
                                                                                                                                                          <w:marBottom w:val="0"/>
                                                                                                                                                          <w:divBdr>
                                                                                                                                                            <w:top w:val="none" w:sz="0" w:space="0" w:color="auto"/>
                                                                                                                                                            <w:left w:val="none" w:sz="0" w:space="0" w:color="auto"/>
                                                                                                                                                            <w:bottom w:val="single" w:sz="6" w:space="11" w:color="CCCCCC"/>
                                                                                                                                                            <w:right w:val="none" w:sz="0" w:space="0" w:color="auto"/>
                                                                                                                                                          </w:divBdr>
                                                                                                                                                          <w:divsChild>
                                                                                                                                                            <w:div w:id="1846482113">
                                                                                                                                                              <w:marLeft w:val="0"/>
                                                                                                                                                              <w:marRight w:val="0"/>
                                                                                                                                                              <w:marTop w:val="0"/>
                                                                                                                                                              <w:marBottom w:val="0"/>
                                                                                                                                                              <w:divBdr>
                                                                                                                                                                <w:top w:val="none" w:sz="0" w:space="0" w:color="auto"/>
                                                                                                                                                                <w:left w:val="none" w:sz="0" w:space="0" w:color="auto"/>
                                                                                                                                                                <w:bottom w:val="none" w:sz="0" w:space="0" w:color="auto"/>
                                                                                                                                                                <w:right w:val="none" w:sz="0" w:space="0" w:color="auto"/>
                                                                                                                                                              </w:divBdr>
                                                                                                                                                              <w:divsChild>
                                                                                                                                                                <w:div w:id="1818571862">
                                                                                                                                                                  <w:marLeft w:val="0"/>
                                                                                                                                                                  <w:marRight w:val="0"/>
                                                                                                                                                                  <w:marTop w:val="0"/>
                                                                                                                                                                  <w:marBottom w:val="0"/>
                                                                                                                                                                  <w:divBdr>
                                                                                                                                                                    <w:top w:val="none" w:sz="0" w:space="0" w:color="auto"/>
                                                                                                                                                                    <w:left w:val="none" w:sz="0" w:space="0" w:color="auto"/>
                                                                                                                                                                    <w:bottom w:val="none" w:sz="0" w:space="0" w:color="auto"/>
                                                                                                                                                                    <w:right w:val="none" w:sz="0" w:space="0" w:color="auto"/>
                                                                                                                                                                  </w:divBdr>
                                                                                                                                                                  <w:divsChild>
                                                                                                                                                                    <w:div w:id="1048533018">
                                                                                                                                                                      <w:marLeft w:val="0"/>
                                                                                                                                                                      <w:marRight w:val="0"/>
                                                                                                                                                                      <w:marTop w:val="0"/>
                                                                                                                                                                      <w:marBottom w:val="0"/>
                                                                                                                                                                      <w:divBdr>
                                                                                                                                                                        <w:top w:val="none" w:sz="0" w:space="0" w:color="auto"/>
                                                                                                                                                                        <w:left w:val="none" w:sz="0" w:space="0" w:color="auto"/>
                                                                                                                                                                        <w:bottom w:val="none" w:sz="0" w:space="0" w:color="auto"/>
                                                                                                                                                                        <w:right w:val="none" w:sz="0" w:space="0" w:color="auto"/>
                                                                                                                                                                      </w:divBdr>
                                                                                                                                                                    </w:div>
                                                                                                                                                                    <w:div w:id="187033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8823344">
      <w:bodyDiv w:val="1"/>
      <w:marLeft w:val="0"/>
      <w:marRight w:val="0"/>
      <w:marTop w:val="0"/>
      <w:marBottom w:val="0"/>
      <w:divBdr>
        <w:top w:val="none" w:sz="0" w:space="0" w:color="auto"/>
        <w:left w:val="none" w:sz="0" w:space="0" w:color="auto"/>
        <w:bottom w:val="none" w:sz="0" w:space="0" w:color="auto"/>
        <w:right w:val="none" w:sz="0" w:space="0" w:color="auto"/>
      </w:divBdr>
    </w:div>
    <w:div w:id="1018585822">
      <w:bodyDiv w:val="1"/>
      <w:marLeft w:val="0"/>
      <w:marRight w:val="0"/>
      <w:marTop w:val="0"/>
      <w:marBottom w:val="0"/>
      <w:divBdr>
        <w:top w:val="none" w:sz="0" w:space="0" w:color="auto"/>
        <w:left w:val="none" w:sz="0" w:space="0" w:color="auto"/>
        <w:bottom w:val="none" w:sz="0" w:space="0" w:color="auto"/>
        <w:right w:val="none" w:sz="0" w:space="0" w:color="auto"/>
      </w:divBdr>
    </w:div>
    <w:div w:id="1024986279">
      <w:bodyDiv w:val="1"/>
      <w:marLeft w:val="0"/>
      <w:marRight w:val="0"/>
      <w:marTop w:val="0"/>
      <w:marBottom w:val="0"/>
      <w:divBdr>
        <w:top w:val="none" w:sz="0" w:space="0" w:color="auto"/>
        <w:left w:val="none" w:sz="0" w:space="0" w:color="auto"/>
        <w:bottom w:val="none" w:sz="0" w:space="0" w:color="auto"/>
        <w:right w:val="none" w:sz="0" w:space="0" w:color="auto"/>
      </w:divBdr>
    </w:div>
    <w:div w:id="1037705757">
      <w:bodyDiv w:val="1"/>
      <w:marLeft w:val="0"/>
      <w:marRight w:val="0"/>
      <w:marTop w:val="0"/>
      <w:marBottom w:val="0"/>
      <w:divBdr>
        <w:top w:val="none" w:sz="0" w:space="0" w:color="auto"/>
        <w:left w:val="none" w:sz="0" w:space="0" w:color="auto"/>
        <w:bottom w:val="none" w:sz="0" w:space="0" w:color="auto"/>
        <w:right w:val="none" w:sz="0" w:space="0" w:color="auto"/>
      </w:divBdr>
      <w:divsChild>
        <w:div w:id="314645094">
          <w:marLeft w:val="0"/>
          <w:marRight w:val="0"/>
          <w:marTop w:val="0"/>
          <w:marBottom w:val="0"/>
          <w:divBdr>
            <w:top w:val="none" w:sz="0" w:space="0" w:color="auto"/>
            <w:left w:val="none" w:sz="0" w:space="0" w:color="auto"/>
            <w:bottom w:val="none" w:sz="0" w:space="0" w:color="auto"/>
            <w:right w:val="none" w:sz="0" w:space="0" w:color="auto"/>
          </w:divBdr>
          <w:divsChild>
            <w:div w:id="1935937828">
              <w:marLeft w:val="0"/>
              <w:marRight w:val="0"/>
              <w:marTop w:val="0"/>
              <w:marBottom w:val="0"/>
              <w:divBdr>
                <w:top w:val="none" w:sz="0" w:space="0" w:color="auto"/>
                <w:left w:val="none" w:sz="0" w:space="0" w:color="auto"/>
                <w:bottom w:val="none" w:sz="0" w:space="0" w:color="auto"/>
                <w:right w:val="none" w:sz="0" w:space="0" w:color="auto"/>
              </w:divBdr>
              <w:divsChild>
                <w:div w:id="1735853059">
                  <w:marLeft w:val="0"/>
                  <w:marRight w:val="0"/>
                  <w:marTop w:val="0"/>
                  <w:marBottom w:val="0"/>
                  <w:divBdr>
                    <w:top w:val="none" w:sz="0" w:space="0" w:color="auto"/>
                    <w:left w:val="none" w:sz="0" w:space="0" w:color="auto"/>
                    <w:bottom w:val="none" w:sz="0" w:space="0" w:color="auto"/>
                    <w:right w:val="none" w:sz="0" w:space="0" w:color="auto"/>
                  </w:divBdr>
                  <w:divsChild>
                    <w:div w:id="69156227">
                      <w:marLeft w:val="0"/>
                      <w:marRight w:val="0"/>
                      <w:marTop w:val="0"/>
                      <w:marBottom w:val="0"/>
                      <w:divBdr>
                        <w:top w:val="none" w:sz="0" w:space="0" w:color="auto"/>
                        <w:left w:val="none" w:sz="0" w:space="0" w:color="auto"/>
                        <w:bottom w:val="none" w:sz="0" w:space="0" w:color="auto"/>
                        <w:right w:val="none" w:sz="0" w:space="0" w:color="auto"/>
                      </w:divBdr>
                      <w:divsChild>
                        <w:div w:id="4927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033671">
      <w:bodyDiv w:val="1"/>
      <w:marLeft w:val="0"/>
      <w:marRight w:val="0"/>
      <w:marTop w:val="0"/>
      <w:marBottom w:val="0"/>
      <w:divBdr>
        <w:top w:val="none" w:sz="0" w:space="0" w:color="auto"/>
        <w:left w:val="none" w:sz="0" w:space="0" w:color="auto"/>
        <w:bottom w:val="none" w:sz="0" w:space="0" w:color="auto"/>
        <w:right w:val="none" w:sz="0" w:space="0" w:color="auto"/>
      </w:divBdr>
    </w:div>
    <w:div w:id="1080828189">
      <w:bodyDiv w:val="1"/>
      <w:marLeft w:val="0"/>
      <w:marRight w:val="0"/>
      <w:marTop w:val="0"/>
      <w:marBottom w:val="0"/>
      <w:divBdr>
        <w:top w:val="none" w:sz="0" w:space="0" w:color="auto"/>
        <w:left w:val="none" w:sz="0" w:space="0" w:color="auto"/>
        <w:bottom w:val="none" w:sz="0" w:space="0" w:color="auto"/>
        <w:right w:val="none" w:sz="0" w:space="0" w:color="auto"/>
      </w:divBdr>
    </w:div>
    <w:div w:id="1203404337">
      <w:bodyDiv w:val="1"/>
      <w:marLeft w:val="0"/>
      <w:marRight w:val="0"/>
      <w:marTop w:val="0"/>
      <w:marBottom w:val="0"/>
      <w:divBdr>
        <w:top w:val="none" w:sz="0" w:space="0" w:color="auto"/>
        <w:left w:val="none" w:sz="0" w:space="0" w:color="auto"/>
        <w:bottom w:val="none" w:sz="0" w:space="0" w:color="auto"/>
        <w:right w:val="none" w:sz="0" w:space="0" w:color="auto"/>
      </w:divBdr>
    </w:div>
    <w:div w:id="1255673313">
      <w:bodyDiv w:val="1"/>
      <w:marLeft w:val="0"/>
      <w:marRight w:val="0"/>
      <w:marTop w:val="0"/>
      <w:marBottom w:val="0"/>
      <w:divBdr>
        <w:top w:val="none" w:sz="0" w:space="0" w:color="auto"/>
        <w:left w:val="none" w:sz="0" w:space="0" w:color="auto"/>
        <w:bottom w:val="none" w:sz="0" w:space="0" w:color="auto"/>
        <w:right w:val="none" w:sz="0" w:space="0" w:color="auto"/>
      </w:divBdr>
      <w:divsChild>
        <w:div w:id="753815800">
          <w:marLeft w:val="0"/>
          <w:marRight w:val="0"/>
          <w:marTop w:val="0"/>
          <w:marBottom w:val="0"/>
          <w:divBdr>
            <w:top w:val="none" w:sz="0" w:space="0" w:color="auto"/>
            <w:left w:val="none" w:sz="0" w:space="0" w:color="auto"/>
            <w:bottom w:val="none" w:sz="0" w:space="0" w:color="auto"/>
            <w:right w:val="none" w:sz="0" w:space="0" w:color="auto"/>
          </w:divBdr>
          <w:divsChild>
            <w:div w:id="1667161">
              <w:marLeft w:val="0"/>
              <w:marRight w:val="0"/>
              <w:marTop w:val="0"/>
              <w:marBottom w:val="0"/>
              <w:divBdr>
                <w:top w:val="none" w:sz="0" w:space="0" w:color="auto"/>
                <w:left w:val="none" w:sz="0" w:space="0" w:color="auto"/>
                <w:bottom w:val="none" w:sz="0" w:space="0" w:color="auto"/>
                <w:right w:val="none" w:sz="0" w:space="0" w:color="auto"/>
              </w:divBdr>
              <w:divsChild>
                <w:div w:id="1038287021">
                  <w:marLeft w:val="0"/>
                  <w:marRight w:val="0"/>
                  <w:marTop w:val="0"/>
                  <w:marBottom w:val="0"/>
                  <w:divBdr>
                    <w:top w:val="none" w:sz="0" w:space="0" w:color="auto"/>
                    <w:left w:val="none" w:sz="0" w:space="0" w:color="auto"/>
                    <w:bottom w:val="none" w:sz="0" w:space="0" w:color="auto"/>
                    <w:right w:val="none" w:sz="0" w:space="0" w:color="auto"/>
                  </w:divBdr>
                  <w:divsChild>
                    <w:div w:id="652874962">
                      <w:marLeft w:val="-225"/>
                      <w:marRight w:val="-225"/>
                      <w:marTop w:val="0"/>
                      <w:marBottom w:val="0"/>
                      <w:divBdr>
                        <w:top w:val="none" w:sz="0" w:space="0" w:color="auto"/>
                        <w:left w:val="none" w:sz="0" w:space="0" w:color="auto"/>
                        <w:bottom w:val="none" w:sz="0" w:space="0" w:color="auto"/>
                        <w:right w:val="none" w:sz="0" w:space="0" w:color="auto"/>
                      </w:divBdr>
                      <w:divsChild>
                        <w:div w:id="140118404">
                          <w:marLeft w:val="0"/>
                          <w:marRight w:val="0"/>
                          <w:marTop w:val="0"/>
                          <w:marBottom w:val="0"/>
                          <w:divBdr>
                            <w:top w:val="none" w:sz="0" w:space="0" w:color="auto"/>
                            <w:left w:val="none" w:sz="0" w:space="0" w:color="auto"/>
                            <w:bottom w:val="none" w:sz="0" w:space="0" w:color="auto"/>
                            <w:right w:val="none" w:sz="0" w:space="0" w:color="auto"/>
                          </w:divBdr>
                          <w:divsChild>
                            <w:div w:id="555120939">
                              <w:marLeft w:val="-225"/>
                              <w:marRight w:val="-225"/>
                              <w:marTop w:val="0"/>
                              <w:marBottom w:val="0"/>
                              <w:divBdr>
                                <w:top w:val="none" w:sz="0" w:space="0" w:color="auto"/>
                                <w:left w:val="none" w:sz="0" w:space="0" w:color="auto"/>
                                <w:bottom w:val="none" w:sz="0" w:space="0" w:color="auto"/>
                                <w:right w:val="none" w:sz="0" w:space="0" w:color="auto"/>
                              </w:divBdr>
                              <w:divsChild>
                                <w:div w:id="1322272610">
                                  <w:marLeft w:val="0"/>
                                  <w:marRight w:val="0"/>
                                  <w:marTop w:val="0"/>
                                  <w:marBottom w:val="0"/>
                                  <w:divBdr>
                                    <w:top w:val="none" w:sz="0" w:space="0" w:color="auto"/>
                                    <w:left w:val="none" w:sz="0" w:space="0" w:color="auto"/>
                                    <w:bottom w:val="none" w:sz="0" w:space="0" w:color="auto"/>
                                    <w:right w:val="none" w:sz="0" w:space="0" w:color="auto"/>
                                  </w:divBdr>
                                  <w:divsChild>
                                    <w:div w:id="1978221942">
                                      <w:marLeft w:val="600"/>
                                      <w:marRight w:val="0"/>
                                      <w:marTop w:val="0"/>
                                      <w:marBottom w:val="0"/>
                                      <w:divBdr>
                                        <w:top w:val="none" w:sz="0" w:space="0" w:color="auto"/>
                                        <w:left w:val="none" w:sz="0" w:space="0" w:color="auto"/>
                                        <w:bottom w:val="none" w:sz="0" w:space="0" w:color="auto"/>
                                        <w:right w:val="none" w:sz="0" w:space="0" w:color="auto"/>
                                      </w:divBdr>
                                      <w:divsChild>
                                        <w:div w:id="1544440814">
                                          <w:marLeft w:val="0"/>
                                          <w:marRight w:val="0"/>
                                          <w:marTop w:val="0"/>
                                          <w:marBottom w:val="0"/>
                                          <w:divBdr>
                                            <w:top w:val="none" w:sz="0" w:space="0" w:color="auto"/>
                                            <w:left w:val="none" w:sz="0" w:space="0" w:color="auto"/>
                                            <w:bottom w:val="none" w:sz="0" w:space="0" w:color="auto"/>
                                            <w:right w:val="none" w:sz="0" w:space="0" w:color="auto"/>
                                          </w:divBdr>
                                          <w:divsChild>
                                            <w:div w:id="756291488">
                                              <w:marLeft w:val="0"/>
                                              <w:marRight w:val="0"/>
                                              <w:marTop w:val="0"/>
                                              <w:marBottom w:val="0"/>
                                              <w:divBdr>
                                                <w:top w:val="none" w:sz="0" w:space="0" w:color="auto"/>
                                                <w:left w:val="none" w:sz="0" w:space="0" w:color="auto"/>
                                                <w:bottom w:val="none" w:sz="0" w:space="0" w:color="auto"/>
                                                <w:right w:val="none" w:sz="0" w:space="0" w:color="auto"/>
                                              </w:divBdr>
                                              <w:divsChild>
                                                <w:div w:id="1254244297">
                                                  <w:marLeft w:val="0"/>
                                                  <w:marRight w:val="0"/>
                                                  <w:marTop w:val="0"/>
                                                  <w:marBottom w:val="0"/>
                                                  <w:divBdr>
                                                    <w:top w:val="none" w:sz="0" w:space="0" w:color="auto"/>
                                                    <w:left w:val="none" w:sz="0" w:space="0" w:color="auto"/>
                                                    <w:bottom w:val="none" w:sz="0" w:space="0" w:color="auto"/>
                                                    <w:right w:val="none" w:sz="0" w:space="0" w:color="auto"/>
                                                  </w:divBdr>
                                                  <w:divsChild>
                                                    <w:div w:id="2130473000">
                                                      <w:marLeft w:val="0"/>
                                                      <w:marRight w:val="0"/>
                                                      <w:marTop w:val="0"/>
                                                      <w:marBottom w:val="150"/>
                                                      <w:divBdr>
                                                        <w:top w:val="none" w:sz="0" w:space="0" w:color="auto"/>
                                                        <w:left w:val="none" w:sz="0" w:space="0" w:color="auto"/>
                                                        <w:bottom w:val="none" w:sz="0" w:space="0" w:color="auto"/>
                                                        <w:right w:val="none" w:sz="0" w:space="0" w:color="auto"/>
                                                      </w:divBdr>
                                                      <w:divsChild>
                                                        <w:div w:id="677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154404">
      <w:bodyDiv w:val="1"/>
      <w:marLeft w:val="0"/>
      <w:marRight w:val="0"/>
      <w:marTop w:val="0"/>
      <w:marBottom w:val="0"/>
      <w:divBdr>
        <w:top w:val="none" w:sz="0" w:space="0" w:color="auto"/>
        <w:left w:val="none" w:sz="0" w:space="0" w:color="auto"/>
        <w:bottom w:val="none" w:sz="0" w:space="0" w:color="auto"/>
        <w:right w:val="none" w:sz="0" w:space="0" w:color="auto"/>
      </w:divBdr>
    </w:div>
    <w:div w:id="1281299537">
      <w:bodyDiv w:val="1"/>
      <w:marLeft w:val="0"/>
      <w:marRight w:val="0"/>
      <w:marTop w:val="0"/>
      <w:marBottom w:val="0"/>
      <w:divBdr>
        <w:top w:val="none" w:sz="0" w:space="0" w:color="auto"/>
        <w:left w:val="none" w:sz="0" w:space="0" w:color="auto"/>
        <w:bottom w:val="none" w:sz="0" w:space="0" w:color="auto"/>
        <w:right w:val="none" w:sz="0" w:space="0" w:color="auto"/>
      </w:divBdr>
    </w:div>
    <w:div w:id="1314680845">
      <w:bodyDiv w:val="1"/>
      <w:marLeft w:val="0"/>
      <w:marRight w:val="0"/>
      <w:marTop w:val="0"/>
      <w:marBottom w:val="0"/>
      <w:divBdr>
        <w:top w:val="none" w:sz="0" w:space="0" w:color="auto"/>
        <w:left w:val="none" w:sz="0" w:space="0" w:color="auto"/>
        <w:bottom w:val="none" w:sz="0" w:space="0" w:color="auto"/>
        <w:right w:val="none" w:sz="0" w:space="0" w:color="auto"/>
      </w:divBdr>
    </w:div>
    <w:div w:id="1335064198">
      <w:bodyDiv w:val="1"/>
      <w:marLeft w:val="0"/>
      <w:marRight w:val="0"/>
      <w:marTop w:val="0"/>
      <w:marBottom w:val="0"/>
      <w:divBdr>
        <w:top w:val="none" w:sz="0" w:space="0" w:color="auto"/>
        <w:left w:val="none" w:sz="0" w:space="0" w:color="auto"/>
        <w:bottom w:val="none" w:sz="0" w:space="0" w:color="auto"/>
        <w:right w:val="none" w:sz="0" w:space="0" w:color="auto"/>
      </w:divBdr>
    </w:div>
    <w:div w:id="1459110022">
      <w:bodyDiv w:val="1"/>
      <w:marLeft w:val="0"/>
      <w:marRight w:val="0"/>
      <w:marTop w:val="0"/>
      <w:marBottom w:val="0"/>
      <w:divBdr>
        <w:top w:val="none" w:sz="0" w:space="0" w:color="auto"/>
        <w:left w:val="none" w:sz="0" w:space="0" w:color="auto"/>
        <w:bottom w:val="none" w:sz="0" w:space="0" w:color="auto"/>
        <w:right w:val="none" w:sz="0" w:space="0" w:color="auto"/>
      </w:divBdr>
    </w:div>
    <w:div w:id="1582444488">
      <w:bodyDiv w:val="1"/>
      <w:marLeft w:val="0"/>
      <w:marRight w:val="0"/>
      <w:marTop w:val="0"/>
      <w:marBottom w:val="0"/>
      <w:divBdr>
        <w:top w:val="none" w:sz="0" w:space="0" w:color="auto"/>
        <w:left w:val="none" w:sz="0" w:space="0" w:color="auto"/>
        <w:bottom w:val="none" w:sz="0" w:space="0" w:color="auto"/>
        <w:right w:val="none" w:sz="0" w:space="0" w:color="auto"/>
      </w:divBdr>
      <w:divsChild>
        <w:div w:id="1968733332">
          <w:marLeft w:val="0"/>
          <w:marRight w:val="0"/>
          <w:marTop w:val="100"/>
          <w:marBottom w:val="100"/>
          <w:divBdr>
            <w:top w:val="none" w:sz="0" w:space="0" w:color="auto"/>
            <w:left w:val="none" w:sz="0" w:space="0" w:color="auto"/>
            <w:bottom w:val="none" w:sz="0" w:space="0" w:color="auto"/>
            <w:right w:val="none" w:sz="0" w:space="0" w:color="auto"/>
          </w:divBdr>
          <w:divsChild>
            <w:div w:id="1317034437">
              <w:marLeft w:val="0"/>
              <w:marRight w:val="0"/>
              <w:marTop w:val="0"/>
              <w:marBottom w:val="0"/>
              <w:divBdr>
                <w:top w:val="none" w:sz="0" w:space="0" w:color="auto"/>
                <w:left w:val="none" w:sz="0" w:space="0" w:color="auto"/>
                <w:bottom w:val="none" w:sz="0" w:space="0" w:color="auto"/>
                <w:right w:val="none" w:sz="0" w:space="0" w:color="auto"/>
              </w:divBdr>
              <w:divsChild>
                <w:div w:id="709306233">
                  <w:marLeft w:val="105"/>
                  <w:marRight w:val="105"/>
                  <w:marTop w:val="105"/>
                  <w:marBottom w:val="105"/>
                  <w:divBdr>
                    <w:top w:val="none" w:sz="0" w:space="0" w:color="auto"/>
                    <w:left w:val="none" w:sz="0" w:space="0" w:color="auto"/>
                    <w:bottom w:val="none" w:sz="0" w:space="0" w:color="auto"/>
                    <w:right w:val="none" w:sz="0" w:space="0" w:color="auto"/>
                  </w:divBdr>
                  <w:divsChild>
                    <w:div w:id="1901286614">
                      <w:marLeft w:val="0"/>
                      <w:marRight w:val="0"/>
                      <w:marTop w:val="0"/>
                      <w:marBottom w:val="0"/>
                      <w:divBdr>
                        <w:top w:val="none" w:sz="0" w:space="0" w:color="auto"/>
                        <w:left w:val="none" w:sz="0" w:space="0" w:color="auto"/>
                        <w:bottom w:val="none" w:sz="0" w:space="0" w:color="auto"/>
                        <w:right w:val="none" w:sz="0" w:space="0" w:color="auto"/>
                      </w:divBdr>
                      <w:divsChild>
                        <w:div w:id="1581060644">
                          <w:marLeft w:val="0"/>
                          <w:marRight w:val="0"/>
                          <w:marTop w:val="0"/>
                          <w:marBottom w:val="0"/>
                          <w:divBdr>
                            <w:top w:val="none" w:sz="0" w:space="0" w:color="auto"/>
                            <w:left w:val="none" w:sz="0" w:space="0" w:color="auto"/>
                            <w:bottom w:val="none" w:sz="0" w:space="0" w:color="auto"/>
                            <w:right w:val="none" w:sz="0" w:space="0" w:color="auto"/>
                          </w:divBdr>
                          <w:divsChild>
                            <w:div w:id="1638412834">
                              <w:marLeft w:val="0"/>
                              <w:marRight w:val="0"/>
                              <w:marTop w:val="0"/>
                              <w:marBottom w:val="0"/>
                              <w:divBdr>
                                <w:top w:val="none" w:sz="0" w:space="0" w:color="auto"/>
                                <w:left w:val="none" w:sz="0" w:space="0" w:color="auto"/>
                                <w:bottom w:val="none" w:sz="0" w:space="0" w:color="auto"/>
                                <w:right w:val="none" w:sz="0" w:space="0" w:color="auto"/>
                              </w:divBdr>
                              <w:divsChild>
                                <w:div w:id="251283173">
                                  <w:marLeft w:val="0"/>
                                  <w:marRight w:val="0"/>
                                  <w:marTop w:val="0"/>
                                  <w:marBottom w:val="0"/>
                                  <w:divBdr>
                                    <w:top w:val="none" w:sz="0" w:space="0" w:color="auto"/>
                                    <w:left w:val="none" w:sz="0" w:space="0" w:color="auto"/>
                                    <w:bottom w:val="none" w:sz="0" w:space="0" w:color="auto"/>
                                    <w:right w:val="none" w:sz="0" w:space="0" w:color="auto"/>
                                  </w:divBdr>
                                  <w:divsChild>
                                    <w:div w:id="1116021299">
                                      <w:marLeft w:val="105"/>
                                      <w:marRight w:val="105"/>
                                      <w:marTop w:val="105"/>
                                      <w:marBottom w:val="105"/>
                                      <w:divBdr>
                                        <w:top w:val="none" w:sz="0" w:space="0" w:color="auto"/>
                                        <w:left w:val="none" w:sz="0" w:space="0" w:color="auto"/>
                                        <w:bottom w:val="none" w:sz="0" w:space="0" w:color="auto"/>
                                        <w:right w:val="none" w:sz="0" w:space="0" w:color="auto"/>
                                      </w:divBdr>
                                      <w:divsChild>
                                        <w:div w:id="334847121">
                                          <w:marLeft w:val="0"/>
                                          <w:marRight w:val="0"/>
                                          <w:marTop w:val="0"/>
                                          <w:marBottom w:val="0"/>
                                          <w:divBdr>
                                            <w:top w:val="none" w:sz="0" w:space="0" w:color="auto"/>
                                            <w:left w:val="none" w:sz="0" w:space="0" w:color="auto"/>
                                            <w:bottom w:val="none" w:sz="0" w:space="0" w:color="auto"/>
                                            <w:right w:val="none" w:sz="0" w:space="0" w:color="auto"/>
                                          </w:divBdr>
                                          <w:divsChild>
                                            <w:div w:id="153885221">
                                              <w:marLeft w:val="0"/>
                                              <w:marRight w:val="0"/>
                                              <w:marTop w:val="0"/>
                                              <w:marBottom w:val="0"/>
                                              <w:divBdr>
                                                <w:top w:val="none" w:sz="0" w:space="0" w:color="auto"/>
                                                <w:left w:val="none" w:sz="0" w:space="0" w:color="auto"/>
                                                <w:bottom w:val="none" w:sz="0" w:space="0" w:color="auto"/>
                                                <w:right w:val="none" w:sz="0" w:space="0" w:color="auto"/>
                                              </w:divBdr>
                                              <w:divsChild>
                                                <w:div w:id="1183084699">
                                                  <w:marLeft w:val="0"/>
                                                  <w:marRight w:val="0"/>
                                                  <w:marTop w:val="0"/>
                                                  <w:marBottom w:val="0"/>
                                                  <w:divBdr>
                                                    <w:top w:val="none" w:sz="0" w:space="0" w:color="auto"/>
                                                    <w:left w:val="none" w:sz="0" w:space="0" w:color="auto"/>
                                                    <w:bottom w:val="none" w:sz="0" w:space="0" w:color="auto"/>
                                                    <w:right w:val="none" w:sz="0" w:space="0" w:color="auto"/>
                                                  </w:divBdr>
                                                  <w:divsChild>
                                                    <w:div w:id="477116872">
                                                      <w:marLeft w:val="0"/>
                                                      <w:marRight w:val="0"/>
                                                      <w:marTop w:val="0"/>
                                                      <w:marBottom w:val="0"/>
                                                      <w:divBdr>
                                                        <w:top w:val="none" w:sz="0" w:space="0" w:color="auto"/>
                                                        <w:left w:val="none" w:sz="0" w:space="0" w:color="auto"/>
                                                        <w:bottom w:val="none" w:sz="0" w:space="0" w:color="auto"/>
                                                        <w:right w:val="none" w:sz="0" w:space="0" w:color="auto"/>
                                                      </w:divBdr>
                                                      <w:divsChild>
                                                        <w:div w:id="1663385652">
                                                          <w:marLeft w:val="0"/>
                                                          <w:marRight w:val="0"/>
                                                          <w:marTop w:val="0"/>
                                                          <w:marBottom w:val="0"/>
                                                          <w:divBdr>
                                                            <w:top w:val="none" w:sz="0" w:space="0" w:color="auto"/>
                                                            <w:left w:val="none" w:sz="0" w:space="0" w:color="auto"/>
                                                            <w:bottom w:val="none" w:sz="0" w:space="0" w:color="auto"/>
                                                            <w:right w:val="none" w:sz="0" w:space="0" w:color="auto"/>
                                                          </w:divBdr>
                                                          <w:divsChild>
                                                            <w:div w:id="527525888">
                                                              <w:marLeft w:val="0"/>
                                                              <w:marRight w:val="0"/>
                                                              <w:marTop w:val="0"/>
                                                              <w:marBottom w:val="0"/>
                                                              <w:divBdr>
                                                                <w:top w:val="none" w:sz="0" w:space="0" w:color="auto"/>
                                                                <w:left w:val="none" w:sz="0" w:space="0" w:color="auto"/>
                                                                <w:bottom w:val="none" w:sz="0" w:space="0" w:color="auto"/>
                                                                <w:right w:val="none" w:sz="0" w:space="0" w:color="auto"/>
                                                              </w:divBdr>
                                                              <w:divsChild>
                                                                <w:div w:id="1675913651">
                                                                  <w:marLeft w:val="105"/>
                                                                  <w:marRight w:val="105"/>
                                                                  <w:marTop w:val="105"/>
                                                                  <w:marBottom w:val="105"/>
                                                                  <w:divBdr>
                                                                    <w:top w:val="none" w:sz="0" w:space="0" w:color="auto"/>
                                                                    <w:left w:val="none" w:sz="0" w:space="0" w:color="auto"/>
                                                                    <w:bottom w:val="none" w:sz="0" w:space="0" w:color="auto"/>
                                                                    <w:right w:val="none" w:sz="0" w:space="0" w:color="auto"/>
                                                                  </w:divBdr>
                                                                  <w:divsChild>
                                                                    <w:div w:id="1859387955">
                                                                      <w:marLeft w:val="0"/>
                                                                      <w:marRight w:val="0"/>
                                                                      <w:marTop w:val="0"/>
                                                                      <w:marBottom w:val="0"/>
                                                                      <w:divBdr>
                                                                        <w:top w:val="none" w:sz="0" w:space="0" w:color="auto"/>
                                                                        <w:left w:val="none" w:sz="0" w:space="0" w:color="auto"/>
                                                                        <w:bottom w:val="none" w:sz="0" w:space="0" w:color="auto"/>
                                                                        <w:right w:val="none" w:sz="0" w:space="0" w:color="auto"/>
                                                                      </w:divBdr>
                                                                      <w:divsChild>
                                                                        <w:div w:id="2072993535">
                                                                          <w:marLeft w:val="0"/>
                                                                          <w:marRight w:val="0"/>
                                                                          <w:marTop w:val="0"/>
                                                                          <w:marBottom w:val="0"/>
                                                                          <w:divBdr>
                                                                            <w:top w:val="none" w:sz="0" w:space="0" w:color="auto"/>
                                                                            <w:left w:val="none" w:sz="0" w:space="0" w:color="auto"/>
                                                                            <w:bottom w:val="none" w:sz="0" w:space="0" w:color="auto"/>
                                                                            <w:right w:val="none" w:sz="0" w:space="0" w:color="auto"/>
                                                                          </w:divBdr>
                                                                          <w:divsChild>
                                                                            <w:div w:id="732657669">
                                                                              <w:marLeft w:val="0"/>
                                                                              <w:marRight w:val="0"/>
                                                                              <w:marTop w:val="0"/>
                                                                              <w:marBottom w:val="0"/>
                                                                              <w:divBdr>
                                                                                <w:top w:val="none" w:sz="0" w:space="0" w:color="auto"/>
                                                                                <w:left w:val="none" w:sz="0" w:space="0" w:color="auto"/>
                                                                                <w:bottom w:val="none" w:sz="0" w:space="0" w:color="auto"/>
                                                                                <w:right w:val="none" w:sz="0" w:space="0" w:color="auto"/>
                                                                              </w:divBdr>
                                                                              <w:divsChild>
                                                                                <w:div w:id="1917206864">
                                                                                  <w:marLeft w:val="0"/>
                                                                                  <w:marRight w:val="0"/>
                                                                                  <w:marTop w:val="0"/>
                                                                                  <w:marBottom w:val="0"/>
                                                                                  <w:divBdr>
                                                                                    <w:top w:val="none" w:sz="0" w:space="0" w:color="auto"/>
                                                                                    <w:left w:val="none" w:sz="0" w:space="0" w:color="auto"/>
                                                                                    <w:bottom w:val="none" w:sz="0" w:space="0" w:color="auto"/>
                                                                                    <w:right w:val="none" w:sz="0" w:space="0" w:color="auto"/>
                                                                                  </w:divBdr>
                                                                                  <w:divsChild>
                                                                                    <w:div w:id="15929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4236094">
      <w:bodyDiv w:val="1"/>
      <w:marLeft w:val="0"/>
      <w:marRight w:val="0"/>
      <w:marTop w:val="0"/>
      <w:marBottom w:val="0"/>
      <w:divBdr>
        <w:top w:val="none" w:sz="0" w:space="0" w:color="auto"/>
        <w:left w:val="none" w:sz="0" w:space="0" w:color="auto"/>
        <w:bottom w:val="none" w:sz="0" w:space="0" w:color="auto"/>
        <w:right w:val="none" w:sz="0" w:space="0" w:color="auto"/>
      </w:divBdr>
    </w:div>
    <w:div w:id="1678458405">
      <w:bodyDiv w:val="1"/>
      <w:marLeft w:val="0"/>
      <w:marRight w:val="0"/>
      <w:marTop w:val="0"/>
      <w:marBottom w:val="0"/>
      <w:divBdr>
        <w:top w:val="none" w:sz="0" w:space="0" w:color="auto"/>
        <w:left w:val="none" w:sz="0" w:space="0" w:color="auto"/>
        <w:bottom w:val="none" w:sz="0" w:space="0" w:color="auto"/>
        <w:right w:val="none" w:sz="0" w:space="0" w:color="auto"/>
      </w:divBdr>
    </w:div>
    <w:div w:id="1885216215">
      <w:bodyDiv w:val="1"/>
      <w:marLeft w:val="0"/>
      <w:marRight w:val="0"/>
      <w:marTop w:val="0"/>
      <w:marBottom w:val="0"/>
      <w:divBdr>
        <w:top w:val="none" w:sz="0" w:space="0" w:color="auto"/>
        <w:left w:val="none" w:sz="0" w:space="0" w:color="auto"/>
        <w:bottom w:val="none" w:sz="0" w:space="0" w:color="auto"/>
        <w:right w:val="none" w:sz="0" w:space="0" w:color="auto"/>
      </w:divBdr>
    </w:div>
    <w:div w:id="2024552762">
      <w:bodyDiv w:val="1"/>
      <w:marLeft w:val="0"/>
      <w:marRight w:val="0"/>
      <w:marTop w:val="0"/>
      <w:marBottom w:val="0"/>
      <w:divBdr>
        <w:top w:val="none" w:sz="0" w:space="0" w:color="auto"/>
        <w:left w:val="none" w:sz="0" w:space="0" w:color="auto"/>
        <w:bottom w:val="none" w:sz="0" w:space="0" w:color="auto"/>
        <w:right w:val="none" w:sz="0" w:space="0" w:color="auto"/>
      </w:divBdr>
    </w:div>
    <w:div w:id="2050765505">
      <w:bodyDiv w:val="1"/>
      <w:marLeft w:val="0"/>
      <w:marRight w:val="0"/>
      <w:marTop w:val="0"/>
      <w:marBottom w:val="0"/>
      <w:divBdr>
        <w:top w:val="none" w:sz="0" w:space="0" w:color="auto"/>
        <w:left w:val="none" w:sz="0" w:space="0" w:color="auto"/>
        <w:bottom w:val="none" w:sz="0" w:space="0" w:color="auto"/>
        <w:right w:val="none" w:sz="0" w:space="0" w:color="auto"/>
      </w:divBdr>
      <w:divsChild>
        <w:div w:id="1809200425">
          <w:marLeft w:val="0"/>
          <w:marRight w:val="0"/>
          <w:marTop w:val="0"/>
          <w:marBottom w:val="0"/>
          <w:divBdr>
            <w:top w:val="none" w:sz="0" w:space="0" w:color="auto"/>
            <w:left w:val="none" w:sz="0" w:space="0" w:color="auto"/>
            <w:bottom w:val="none" w:sz="0" w:space="0" w:color="auto"/>
            <w:right w:val="none" w:sz="0" w:space="0" w:color="auto"/>
          </w:divBdr>
          <w:divsChild>
            <w:div w:id="1200434712">
              <w:marLeft w:val="0"/>
              <w:marRight w:val="0"/>
              <w:marTop w:val="0"/>
              <w:marBottom w:val="0"/>
              <w:divBdr>
                <w:top w:val="none" w:sz="0" w:space="0" w:color="auto"/>
                <w:left w:val="none" w:sz="0" w:space="0" w:color="auto"/>
                <w:bottom w:val="none" w:sz="0" w:space="0" w:color="auto"/>
                <w:right w:val="none" w:sz="0" w:space="0" w:color="auto"/>
              </w:divBdr>
              <w:divsChild>
                <w:div w:id="613055892">
                  <w:marLeft w:val="0"/>
                  <w:marRight w:val="0"/>
                  <w:marTop w:val="300"/>
                  <w:marBottom w:val="0"/>
                  <w:divBdr>
                    <w:top w:val="none" w:sz="0" w:space="0" w:color="auto"/>
                    <w:left w:val="none" w:sz="0" w:space="0" w:color="auto"/>
                    <w:bottom w:val="none" w:sz="0" w:space="0" w:color="auto"/>
                    <w:right w:val="none" w:sz="0" w:space="0" w:color="auto"/>
                  </w:divBdr>
                  <w:divsChild>
                    <w:div w:id="1601765474">
                      <w:marLeft w:val="4650"/>
                      <w:marRight w:val="4800"/>
                      <w:marTop w:val="0"/>
                      <w:marBottom w:val="0"/>
                      <w:divBdr>
                        <w:top w:val="none" w:sz="0" w:space="0" w:color="auto"/>
                        <w:left w:val="none" w:sz="0" w:space="0" w:color="auto"/>
                        <w:bottom w:val="none" w:sz="0" w:space="0" w:color="auto"/>
                        <w:right w:val="none" w:sz="0" w:space="0" w:color="auto"/>
                      </w:divBdr>
                      <w:divsChild>
                        <w:div w:id="1263534456">
                          <w:marLeft w:val="0"/>
                          <w:marRight w:val="0"/>
                          <w:marTop w:val="0"/>
                          <w:marBottom w:val="0"/>
                          <w:divBdr>
                            <w:top w:val="none" w:sz="0" w:space="0" w:color="auto"/>
                            <w:left w:val="none" w:sz="0" w:space="0" w:color="auto"/>
                            <w:bottom w:val="none" w:sz="0" w:space="0" w:color="auto"/>
                            <w:right w:val="none" w:sz="0" w:space="0" w:color="auto"/>
                          </w:divBdr>
                          <w:divsChild>
                            <w:div w:id="562907427">
                              <w:marLeft w:val="0"/>
                              <w:marRight w:val="0"/>
                              <w:marTop w:val="0"/>
                              <w:marBottom w:val="0"/>
                              <w:divBdr>
                                <w:top w:val="none" w:sz="0" w:space="0" w:color="auto"/>
                                <w:left w:val="none" w:sz="0" w:space="0" w:color="auto"/>
                                <w:bottom w:val="none" w:sz="0" w:space="0" w:color="auto"/>
                                <w:right w:val="none" w:sz="0" w:space="0" w:color="auto"/>
                              </w:divBdr>
                            </w:div>
                            <w:div w:id="18983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11386">
      <w:bodyDiv w:val="1"/>
      <w:marLeft w:val="0"/>
      <w:marRight w:val="0"/>
      <w:marTop w:val="0"/>
      <w:marBottom w:val="0"/>
      <w:divBdr>
        <w:top w:val="none" w:sz="0" w:space="0" w:color="auto"/>
        <w:left w:val="none" w:sz="0" w:space="0" w:color="auto"/>
        <w:bottom w:val="none" w:sz="0" w:space="0" w:color="auto"/>
        <w:right w:val="none" w:sz="0" w:space="0" w:color="auto"/>
      </w:divBdr>
    </w:div>
    <w:div w:id="2075544040">
      <w:bodyDiv w:val="1"/>
      <w:marLeft w:val="0"/>
      <w:marRight w:val="0"/>
      <w:marTop w:val="0"/>
      <w:marBottom w:val="0"/>
      <w:divBdr>
        <w:top w:val="none" w:sz="0" w:space="0" w:color="auto"/>
        <w:left w:val="none" w:sz="0" w:space="0" w:color="auto"/>
        <w:bottom w:val="none" w:sz="0" w:space="0" w:color="auto"/>
        <w:right w:val="none" w:sz="0" w:space="0" w:color="auto"/>
      </w:divBdr>
    </w:div>
    <w:div w:id="2106881641">
      <w:bodyDiv w:val="1"/>
      <w:marLeft w:val="0"/>
      <w:marRight w:val="0"/>
      <w:marTop w:val="0"/>
      <w:marBottom w:val="0"/>
      <w:divBdr>
        <w:top w:val="none" w:sz="0" w:space="0" w:color="auto"/>
        <w:left w:val="none" w:sz="0" w:space="0" w:color="auto"/>
        <w:bottom w:val="none" w:sz="0" w:space="0" w:color="auto"/>
        <w:right w:val="none" w:sz="0" w:space="0" w:color="auto"/>
      </w:divBdr>
    </w:div>
    <w:div w:id="214160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guides.dss.gov.au/guide-social-security-law/" TargetMode="Externa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itsanhonour.gov.au/coat-arms/" TargetMode="Externa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jobs.gov.au/components-and-results-job-seeker-classification-instrume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www.jobs.gov.au/evaluation-work-dole-2014-15" TargetMode="External"/><Relationship Id="rId5" Type="http://schemas.openxmlformats.org/officeDocument/2006/relationships/customXml" Target="../customXml/item5.xml"/><Relationship Id="rId15" Type="http://schemas.openxmlformats.org/officeDocument/2006/relationships/hyperlink" Target="http://creativecommons.org/licenses/by/4.0/deed.en" TargetMode="Externa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6.emf"/><Relationship Id="rId44" Type="http://schemas.openxmlformats.org/officeDocument/2006/relationships/hyperlink" Target="https://figshare.com/articles/2001_2006_and_2011_raster_data_The_Open_Accessibility_and_Remoteness_Index_for_Australia/157419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www.dss.gov.au/freedom-of-information/operational-information/disability-employment-and-carers-group/des-user-guide" TargetMode="Externa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6484\Downloads\TS102896593.dotx" TargetMode="External"/></Relationships>
</file>

<file path=word/theme/theme1.xml><?xml version="1.0" encoding="utf-8"?>
<a:theme xmlns:a="http://schemas.openxmlformats.org/drawingml/2006/main" name="Annual Report">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3.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DOC19-35031</ShareHubID>
    <TaxCatchAll xmlns="166541c0-0594-4e6a-9105-c24d4b6de6f7">
      <Value>39</Value>
      <Value>18</Value>
      <Value>29</Value>
      <Value>30</Value>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Meeting Minute</TermName>
          <TermId xmlns="http://schemas.microsoft.com/office/infopath/2007/PartnerControls">ad799f49-bdf8-4ec2-bcb1-44d38b617948</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Info xmlns="http://schemas.microsoft.com/office/infopath/2007/PartnerControls">
          <TermName xmlns="http://schemas.microsoft.com/office/infopath/2007/PartnerControls">Election</TermName>
          <TermId xmlns="http://schemas.microsoft.com/office/infopath/2007/PartnerControls">4090d51f-fccc-4f41-80dd-86270166a8a3</TermId>
        </TermInfo>
      </Terms>
    </hc4a8f51d7584793bcee84017ea96cb3>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PMC Document" ma:contentTypeID="0x0101002825A64A6E1845A99A9D8EE8A5686ECB009B58D7D72C3ED54C851955501673F8AC" ma:contentTypeVersion="11" ma:contentTypeDescription="PMC Document" ma:contentTypeScope="" ma:versionID="dce88d5783c8e6ea69d4384014b5f83d">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35b41bab6e866c3568f1ad78d1998483"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F679E4D8-73D9-412D-B716-777944E71373}"/>
</file>

<file path=customXml/itemProps3.xml><?xml version="1.0" encoding="utf-8"?>
<ds:datastoreItem xmlns:ds="http://schemas.openxmlformats.org/officeDocument/2006/customXml" ds:itemID="{B1A401B5-1F49-418D-A9FF-834666F7E1D6}"/>
</file>

<file path=customXml/itemProps4.xml><?xml version="1.0" encoding="utf-8"?>
<ds:datastoreItem xmlns:ds="http://schemas.openxmlformats.org/officeDocument/2006/customXml" ds:itemID="{20584631-8809-4B2B-A03F-0EF8D7711B6D}"/>
</file>

<file path=customXml/itemProps5.xml><?xml version="1.0" encoding="utf-8"?>
<ds:datastoreItem xmlns:ds="http://schemas.openxmlformats.org/officeDocument/2006/customXml" ds:itemID="{5D2A9CB7-EEDE-4414-857B-E6A527150BD2}"/>
</file>

<file path=customXml/itemProps6.xml><?xml version="1.0" encoding="utf-8"?>
<ds:datastoreItem xmlns:ds="http://schemas.openxmlformats.org/officeDocument/2006/customXml" ds:itemID="{3CFDC081-EE3F-40E0-95DD-D2920F9CF1A9}"/>
</file>

<file path=docProps/app.xml><?xml version="1.0" encoding="utf-8"?>
<Properties xmlns="http://schemas.openxmlformats.org/officeDocument/2006/extended-properties" xmlns:vt="http://schemas.openxmlformats.org/officeDocument/2006/docPropsVTypes">
  <Template>TS102896593</Template>
  <TotalTime>3128</TotalTime>
  <Pages>110</Pages>
  <Words>35698</Words>
  <Characters>203484</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The Community Development Programme: Evaluation of Participation and Employment Outcomes</vt:lpstr>
    </vt:vector>
  </TitlesOfParts>
  <Company>Department of the Prime Minister and Cabinet</Company>
  <LinksUpToDate>false</LinksUpToDate>
  <CharactersWithSpaces>238705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Community Development Programme: Evaluation of Participation and Employment Outcomes</dc:title>
  <dc:creator>Department of the Prime Minister and Cabinet</dc:creator>
  <cp:lastModifiedBy>Roberts, Sarah</cp:lastModifiedBy>
  <cp:revision>116</cp:revision>
  <cp:lastPrinted>2019-01-29T03:36:00Z</cp:lastPrinted>
  <dcterms:created xsi:type="dcterms:W3CDTF">2018-11-23T03:31:00Z</dcterms:created>
  <dcterms:modified xsi:type="dcterms:W3CDTF">2019-01-31T06:13:00Z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y fmtid="{D5CDD505-2E9C-101B-9397-08002B2CF9AE}" pid="3" name="ContentTypeId">
    <vt:lpwstr>0x0101002825A64A6E1845A99A9D8EE8A5686ECB009B58D7D72C3ED54C851955501673F8AC</vt:lpwstr>
  </property>
  <property fmtid="{D5CDD505-2E9C-101B-9397-08002B2CF9AE}" pid="4" name="HPRMSecurityLevel">
    <vt:lpwstr>1;#UNCLASSIFIED|9c49a7c7-17c7-412f-8077-62dec89b9196</vt:lpwstr>
  </property>
  <property fmtid="{D5CDD505-2E9C-101B-9397-08002B2CF9AE}" pid="5" name="HPRMSecurityCaveat">
    <vt:lpwstr/>
  </property>
  <property fmtid="{D5CDD505-2E9C-101B-9397-08002B2CF9AE}" pid="6" name="ESearchTags">
    <vt:lpwstr>29;#Training|2f396fb6-baad-479d-8254-1550153bbe31;#30;#Meeting Minute|ad799f49-bdf8-4ec2-bcb1-44d38b617948;#18;#Cabinet|84cba657-17c1-4642-9e59-a0df180c2be5;#39;#Election|4090d51f-fccc-4f41-80dd-86270166a8a3</vt:lpwstr>
  </property>
  <property fmtid="{D5CDD505-2E9C-101B-9397-08002B2CF9AE}" pid="7" name="PMC.ESearch.TagGeneratedTime">
    <vt:lpwstr>2019-01-31T16:54:13</vt:lpwstr>
  </property>
  <property fmtid="{D5CDD505-2E9C-101B-9397-08002B2CF9AE}" pid="8" name="PMC.ESearch.AutoGenerateTags">
    <vt:lpwstr>False</vt:lpwstr>
  </property>
</Properties>
</file>