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74545AEB" w14:textId="77777777" w:rsidR="00733692" w:rsidRPr="00733692" w:rsidRDefault="00733692" w:rsidP="00733692">
          <w:pPr>
            <w:pStyle w:val="Title"/>
          </w:pPr>
          <w:r w:rsidRPr="00733692">
            <w:t xml:space="preserve">Community Development Program (CDP) </w:t>
          </w:r>
          <w:r w:rsidR="00BA30DD">
            <w:t>June</w:t>
          </w:r>
          <w:r w:rsidR="008A526B">
            <w:t xml:space="preserve"> 2022</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330DCE9" w14:textId="77777777" w:rsidR="00733692" w:rsidRDefault="007A3CAF">
          <w:pPr>
            <w:pStyle w:val="TOCHeading"/>
          </w:pPr>
          <w:r>
            <w:t>Table of Contents</w:t>
          </w:r>
        </w:p>
        <w:p w14:paraId="6497B414"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AE45083" w14:textId="77777777" w:rsidR="00A835FD" w:rsidRDefault="0021307D">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13F184FD" w14:textId="77777777" w:rsidR="00A835FD" w:rsidRDefault="0021307D">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338797C2" w14:textId="77777777" w:rsidR="00A835FD" w:rsidRPr="00A835FD" w:rsidRDefault="0021307D">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73D5A9A4" w14:textId="77777777" w:rsidR="00A835FD" w:rsidRPr="00A835FD" w:rsidRDefault="0021307D">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66D9F34F" w14:textId="77777777" w:rsidR="00A835FD" w:rsidRDefault="0021307D">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52580BEB" w14:textId="77777777" w:rsidR="00A835FD" w:rsidRDefault="0021307D">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16CE17A1" w14:textId="77777777" w:rsidR="00A835FD" w:rsidRDefault="0021307D">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7B6D4C7C" w14:textId="77777777" w:rsidR="00A835FD" w:rsidRDefault="0021307D">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B1C1873" w14:textId="77777777" w:rsidR="00A835FD" w:rsidRDefault="0021307D">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6FE2C0BA" w14:textId="77777777" w:rsidR="00A835FD" w:rsidRPr="00A835FD" w:rsidRDefault="0021307D">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69088E50" w14:textId="77777777" w:rsidR="00A835FD" w:rsidRPr="00A835FD" w:rsidRDefault="0021307D">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08487EE3" w14:textId="77777777" w:rsidR="00A835FD" w:rsidRPr="00A835FD" w:rsidRDefault="0021307D">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60388C8D" w14:textId="77777777" w:rsidR="00A835FD" w:rsidRPr="00A835FD" w:rsidRDefault="0021307D">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7474DF00" w14:textId="77777777" w:rsidR="00A835FD" w:rsidRDefault="0021307D">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E91581">
              <w:rPr>
                <w:rStyle w:val="Hyperlink"/>
                <w:noProof/>
              </w:rPr>
              <w:t>3</w:t>
            </w:r>
            <w:r w:rsidR="00BA30DD">
              <w:rPr>
                <w:rStyle w:val="Hyperlink"/>
                <w:noProof/>
              </w:rPr>
              <w:t>0 June</w:t>
            </w:r>
            <w:r w:rsidR="008A526B">
              <w:rPr>
                <w:rStyle w:val="Hyperlink"/>
                <w:noProof/>
              </w:rPr>
              <w:t xml:space="preserve"> 2022</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429C04C7" w14:textId="77777777" w:rsidR="00A835FD" w:rsidRDefault="0021307D">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767010D8" w14:textId="77777777" w:rsidR="00A835FD" w:rsidRDefault="0021307D">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44432468" w14:textId="77777777" w:rsidR="00A835FD" w:rsidRPr="00A835FD" w:rsidRDefault="0021307D">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ED88006" w14:textId="77777777" w:rsidR="00A835FD" w:rsidRPr="00A835FD" w:rsidRDefault="0021307D">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32B442A4" w14:textId="77777777" w:rsidR="00A835FD" w:rsidRDefault="0021307D">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486D6CF6" w14:textId="77777777" w:rsidR="00A835FD" w:rsidRDefault="0021307D">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28F9FBF9" w14:textId="77777777" w:rsidR="00A835FD" w:rsidRDefault="0021307D">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19445ACC" w14:textId="77777777" w:rsidR="00A835FD" w:rsidRPr="00A835FD" w:rsidRDefault="0021307D">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A30DD">
              <w:rPr>
                <w:rStyle w:val="Hyperlink"/>
                <w:noProof/>
              </w:rPr>
              <w:t>1 April to</w:t>
            </w:r>
            <w:r w:rsidR="00132589">
              <w:rPr>
                <w:rStyle w:val="Hyperlink"/>
                <w:noProof/>
              </w:rPr>
              <w:t xml:space="preserve"> </w:t>
            </w:r>
            <w:r w:rsidR="00E91581">
              <w:rPr>
                <w:rStyle w:val="Hyperlink"/>
                <w:noProof/>
              </w:rPr>
              <w:t>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E5C07B1" w14:textId="77777777" w:rsidR="00A835FD" w:rsidRPr="00A835FD" w:rsidRDefault="0021307D">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A30DD">
              <w:rPr>
                <w:rStyle w:val="Hyperlink"/>
                <w:noProof/>
              </w:rPr>
              <w:t>1 April to</w:t>
            </w:r>
            <w:r w:rsidR="00132589">
              <w:rPr>
                <w:rStyle w:val="Hyperlink"/>
                <w:noProof/>
              </w:rPr>
              <w:t xml:space="preserve"> </w:t>
            </w:r>
            <w:r w:rsidR="00E91581">
              <w:rPr>
                <w:rStyle w:val="Hyperlink"/>
                <w:noProof/>
              </w:rPr>
              <w:t>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BA00B5C" w14:textId="77777777" w:rsidR="00A835FD" w:rsidRPr="00A835FD" w:rsidRDefault="0021307D">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A30DD">
              <w:rPr>
                <w:rStyle w:val="Hyperlink"/>
                <w:noProof/>
              </w:rPr>
              <w:t>1 April to</w:t>
            </w:r>
            <w:r w:rsidR="00132589">
              <w:rPr>
                <w:rStyle w:val="Hyperlink"/>
                <w:noProof/>
              </w:rPr>
              <w:t xml:space="preserve"> 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25E09E37" w14:textId="77777777" w:rsidR="00A835FD" w:rsidRPr="00A835FD" w:rsidRDefault="0021307D">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 xml:space="preserve">1 </w:t>
            </w:r>
            <w:r w:rsidR="00BA30DD">
              <w:rPr>
                <w:rStyle w:val="Hyperlink"/>
                <w:noProof/>
              </w:rPr>
              <w:t>April</w:t>
            </w:r>
            <w:r w:rsidR="00132589">
              <w:rPr>
                <w:rStyle w:val="Hyperlink"/>
                <w:noProof/>
              </w:rPr>
              <w:t xml:space="preserve"> to 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35227CFF" w14:textId="77777777" w:rsidR="00A835FD" w:rsidRDefault="0021307D">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07221463" w14:textId="77777777" w:rsidR="00A835FD" w:rsidRPr="00A835FD" w:rsidRDefault="0021307D">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 xml:space="preserve">1 </w:t>
            </w:r>
            <w:r w:rsidR="00BA30DD">
              <w:rPr>
                <w:rStyle w:val="Hyperlink"/>
                <w:noProof/>
              </w:rPr>
              <w:t>April</w:t>
            </w:r>
            <w:r w:rsidR="00132589">
              <w:rPr>
                <w:rStyle w:val="Hyperlink"/>
                <w:noProof/>
              </w:rPr>
              <w:t xml:space="preserve"> to 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4174D3F6" w14:textId="77777777" w:rsidR="00A835FD" w:rsidRPr="00A835FD" w:rsidRDefault="0021307D">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 xml:space="preserve">1 </w:t>
            </w:r>
            <w:r w:rsidR="00BA30DD">
              <w:rPr>
                <w:rStyle w:val="Hyperlink"/>
                <w:noProof/>
              </w:rPr>
              <w:t>April</w:t>
            </w:r>
            <w:r w:rsidR="00E91581">
              <w:rPr>
                <w:rStyle w:val="Hyperlink"/>
                <w:noProof/>
              </w:rPr>
              <w:t xml:space="preserve"> to 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39F44E79" w14:textId="77777777" w:rsidR="00A835FD" w:rsidRPr="00A835FD" w:rsidRDefault="0021307D">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 xml:space="preserve">1 </w:t>
            </w:r>
            <w:r w:rsidR="00BA30DD">
              <w:rPr>
                <w:rStyle w:val="Hyperlink"/>
                <w:noProof/>
              </w:rPr>
              <w:t>April</w:t>
            </w:r>
            <w:r w:rsidR="00132589">
              <w:rPr>
                <w:rStyle w:val="Hyperlink"/>
                <w:noProof/>
              </w:rPr>
              <w:t xml:space="preserve"> to 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C734415" w14:textId="77777777" w:rsidR="00A835FD" w:rsidRPr="00A835FD" w:rsidRDefault="0021307D">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 xml:space="preserve">1 </w:t>
            </w:r>
            <w:r w:rsidR="00BA30DD">
              <w:rPr>
                <w:rStyle w:val="Hyperlink"/>
                <w:noProof/>
              </w:rPr>
              <w:t>April</w:t>
            </w:r>
            <w:r w:rsidR="00132589">
              <w:rPr>
                <w:rStyle w:val="Hyperlink"/>
                <w:noProof/>
              </w:rPr>
              <w:t xml:space="preserve"> to </w:t>
            </w:r>
            <w:r w:rsidR="00E91581" w:rsidRPr="00E91581">
              <w:rPr>
                <w:rStyle w:val="Hyperlink"/>
                <w:noProof/>
              </w:rPr>
              <w:t>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1D07C873" w14:textId="77777777" w:rsidR="00A835FD" w:rsidRDefault="0021307D">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4EA1B021" w14:textId="77777777" w:rsidR="00A835FD" w:rsidRPr="00A835FD" w:rsidRDefault="0021307D">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 xml:space="preserve">1 </w:t>
            </w:r>
            <w:r w:rsidR="00BA30DD">
              <w:rPr>
                <w:rStyle w:val="Hyperlink"/>
                <w:noProof/>
              </w:rPr>
              <w:t>April</w:t>
            </w:r>
            <w:r w:rsidR="00132589">
              <w:rPr>
                <w:rStyle w:val="Hyperlink"/>
                <w:noProof/>
              </w:rPr>
              <w:t xml:space="preserve"> to </w:t>
            </w:r>
            <w:r w:rsidR="00E91581" w:rsidRPr="00E91581">
              <w:rPr>
                <w:rStyle w:val="Hyperlink"/>
                <w:noProof/>
              </w:rPr>
              <w:t>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BEEBF5A" w14:textId="77777777" w:rsidR="00A835FD" w:rsidRPr="00A835FD" w:rsidRDefault="0021307D">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 xml:space="preserve">1 </w:t>
            </w:r>
            <w:r w:rsidR="00BA30DD">
              <w:rPr>
                <w:rStyle w:val="Hyperlink"/>
                <w:noProof/>
              </w:rPr>
              <w:t>April</w:t>
            </w:r>
            <w:r w:rsidR="00132589">
              <w:rPr>
                <w:rStyle w:val="Hyperlink"/>
                <w:noProof/>
              </w:rPr>
              <w:t xml:space="preserve"> to </w:t>
            </w:r>
            <w:r w:rsidR="00E91581" w:rsidRPr="00E91581">
              <w:rPr>
                <w:rStyle w:val="Hyperlink"/>
                <w:noProof/>
              </w:rPr>
              <w:t>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012F9F9D" w14:textId="77777777" w:rsidR="00A835FD" w:rsidRPr="00A835FD" w:rsidRDefault="0021307D">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 xml:space="preserve">1 </w:t>
            </w:r>
            <w:r w:rsidR="00BA30DD">
              <w:rPr>
                <w:rStyle w:val="Hyperlink"/>
                <w:noProof/>
              </w:rPr>
              <w:t>April</w:t>
            </w:r>
            <w:r w:rsidR="00132589">
              <w:rPr>
                <w:rStyle w:val="Hyperlink"/>
                <w:noProof/>
              </w:rPr>
              <w:t xml:space="preserve"> to </w:t>
            </w:r>
            <w:r w:rsidR="00BA30DD">
              <w:rPr>
                <w:rStyle w:val="Hyperlink"/>
                <w:noProof/>
              </w:rPr>
              <w:t>30</w:t>
            </w:r>
            <w:r w:rsidR="00E91581" w:rsidRPr="00E91581">
              <w:rPr>
                <w:rStyle w:val="Hyperlink"/>
                <w:noProof/>
              </w:rPr>
              <w:t xml:space="preserve"> </w:t>
            </w:r>
            <w:r w:rsidR="00BA30DD">
              <w:rPr>
                <w:rStyle w:val="Hyperlink"/>
                <w:noProof/>
              </w:rPr>
              <w:t>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B0AFB31" w14:textId="77777777" w:rsidR="00A835FD" w:rsidRPr="00A835FD" w:rsidRDefault="0021307D">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 xml:space="preserve">1 </w:t>
            </w:r>
            <w:r w:rsidR="00BA30DD">
              <w:rPr>
                <w:rStyle w:val="Hyperlink"/>
                <w:noProof/>
              </w:rPr>
              <w:t>April</w:t>
            </w:r>
            <w:r w:rsidR="00132589">
              <w:rPr>
                <w:rStyle w:val="Hyperlink"/>
                <w:noProof/>
              </w:rPr>
              <w:t xml:space="preserve"> to </w:t>
            </w:r>
            <w:r w:rsidR="00E91581" w:rsidRPr="00E91581">
              <w:rPr>
                <w:rStyle w:val="Hyperlink"/>
                <w:noProof/>
              </w:rPr>
              <w:t>3</w:t>
            </w:r>
            <w:r w:rsidR="00BA30DD">
              <w:rPr>
                <w:rStyle w:val="Hyperlink"/>
                <w:noProof/>
              </w:rPr>
              <w:t>0 June</w:t>
            </w:r>
            <w:r w:rsidR="008A526B">
              <w:rPr>
                <w:rStyle w:val="Hyperlink"/>
                <w:noProof/>
              </w:rPr>
              <w:t xml:space="preserv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0F534046" w14:textId="77777777" w:rsidR="00A835FD" w:rsidRPr="00A835FD" w:rsidRDefault="0021307D">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07D588A0" w14:textId="77777777" w:rsidR="00A835FD" w:rsidRDefault="0021307D"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25E70D06" w14:textId="77777777" w:rsidR="00A835FD" w:rsidRPr="00A835FD" w:rsidRDefault="0021307D"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2BEB656D" w14:textId="77777777" w:rsidR="00A835FD" w:rsidRPr="00A835FD" w:rsidRDefault="0021307D"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009ED850" w14:textId="77777777" w:rsidR="00A835FD" w:rsidRPr="00A835FD" w:rsidRDefault="0021307D"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68DD1864" w14:textId="77777777" w:rsidR="00A835FD" w:rsidRDefault="0021307D">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04FD93AE" w14:textId="77777777" w:rsidR="00A835FD" w:rsidRPr="00A835FD" w:rsidRDefault="0021307D">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0F172B4B" w14:textId="77777777" w:rsidR="00A835FD" w:rsidRPr="00A835FD" w:rsidRDefault="0021307D">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06E48EC0" w14:textId="77777777" w:rsidR="00A835FD" w:rsidRPr="00A835FD" w:rsidRDefault="0021307D">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09451F90" w14:textId="77777777" w:rsidR="00A835FD" w:rsidRPr="00A835FD" w:rsidRDefault="0021307D">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BA30DD" w:rsidRPr="00BA30DD">
              <w:rPr>
                <w:rStyle w:val="Hyperlink"/>
                <w:noProof/>
              </w:rPr>
              <w:t>1 April to 30 June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3BD8998D" w14:textId="77777777" w:rsidR="00A835FD" w:rsidRDefault="0021307D">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7F877F93" w14:textId="77777777" w:rsidR="007A3CAF" w:rsidRDefault="007A3CAF">
          <w:r>
            <w:rPr>
              <w:b/>
              <w:bCs/>
              <w:noProof/>
            </w:rPr>
            <w:fldChar w:fldCharType="end"/>
          </w:r>
        </w:p>
      </w:sdtContent>
    </w:sdt>
    <w:p w14:paraId="0C3623F1" w14:textId="77777777" w:rsidR="001E2B75" w:rsidRDefault="001E2B75">
      <w:pPr>
        <w:spacing w:before="0"/>
        <w:ind w:left="0"/>
      </w:pPr>
      <w:r>
        <w:br w:type="page"/>
      </w:r>
    </w:p>
    <w:p w14:paraId="140D79A5"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xml:space="preserve">, </w:t>
      </w:r>
      <w:r w:rsidR="00E014AC">
        <w:t xml:space="preserve">and Workforce Australia from 4 July 2022, </w:t>
      </w:r>
      <w:r w:rsidRPr="00023622">
        <w:t>Disability Employment Services and ParentsNext are subject to the Targeted Compliance Framework (TCF). The TCF does not apply to CDP.</w:t>
      </w:r>
    </w:p>
    <w:p w14:paraId="64005F0B"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xml:space="preserve">, based on data held in the CDP IT System by </w:t>
      </w:r>
      <w:r w:rsidR="00707410">
        <w:t xml:space="preserve">the </w:t>
      </w:r>
      <w:r w:rsidR="00707410" w:rsidRPr="00023622">
        <w:t xml:space="preserve">Department of </w:t>
      </w:r>
      <w:r w:rsidR="00707410">
        <w:t xml:space="preserve">Employment and Workplace Relations (DEWR) </w:t>
      </w:r>
      <w:r w:rsidR="009D41E5">
        <w:t>on behalf of the NIAA.</w:t>
      </w:r>
    </w:p>
    <w:p w14:paraId="7D4B1A5C" w14:textId="77777777" w:rsidR="001E2B75" w:rsidRDefault="001E2B75" w:rsidP="001E2B75">
      <w:r w:rsidRPr="00023622">
        <w:t xml:space="preserve">TCF reporting is published separately by </w:t>
      </w:r>
      <w:r w:rsidR="00707410">
        <w:t>DEWR</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453F34CE" w14:textId="77777777" w:rsidR="00743AD1" w:rsidRDefault="00743AD1" w:rsidP="00C37BAC">
      <w:pPr>
        <w:outlineLvl w:val="0"/>
      </w:pPr>
      <w:r w:rsidRPr="00D3672D">
        <w:rPr>
          <w:b/>
          <w:bCs/>
        </w:rPr>
        <w:t>Terms of use</w:t>
      </w:r>
    </w:p>
    <w:p w14:paraId="24D9A691"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4CD7D973"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0FBDE34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2C4CDC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5315DFA5"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09318CD2"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4CF41088"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4A2B0CB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7094BEF8"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lastRenderedPageBreak/>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156F2A28"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64B0EFF5" w14:textId="77777777"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72F28961" w14:textId="77777777" w:rsidR="00C24E8B" w:rsidRPr="004439F4" w:rsidRDefault="00C24E8B" w:rsidP="00A75C1F">
      <w:pPr>
        <w:pStyle w:val="Heading1"/>
        <w:spacing w:before="240"/>
        <w:rPr>
          <w:sz w:val="20"/>
          <w:szCs w:val="20"/>
        </w:rPr>
      </w:pPr>
      <w:bookmarkStart w:id="1" w:name="_Toc30005435"/>
      <w:r w:rsidRPr="00325EF7">
        <w:t>Part A</w:t>
      </w:r>
      <w:bookmarkEnd w:id="1"/>
      <w:bookmarkEnd w:id="0"/>
    </w:p>
    <w:p w14:paraId="5D8D4659" w14:textId="77777777"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BA30DD">
        <w:t>30 June</w:t>
      </w:r>
      <w:r w:rsidR="008A526B">
        <w:t xml:space="preserve"> 2022</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3C132D18" w14:textId="77777777" w:rsidTr="00535F4F">
        <w:trPr>
          <w:trHeight w:val="702"/>
          <w:tblHeader/>
        </w:trPr>
        <w:tc>
          <w:tcPr>
            <w:tcW w:w="1452" w:type="pct"/>
          </w:tcPr>
          <w:p w14:paraId="0FD0A4C5" w14:textId="77777777" w:rsidR="00A24584" w:rsidRPr="00631147" w:rsidRDefault="00A24584" w:rsidP="00631147">
            <w:pPr>
              <w:jc w:val="center"/>
              <w:rPr>
                <w:b/>
              </w:rPr>
            </w:pPr>
            <w:r w:rsidRPr="00631147">
              <w:rPr>
                <w:b/>
              </w:rPr>
              <w:t>Active CDP job seekers</w:t>
            </w:r>
          </w:p>
          <w:p w14:paraId="524DC446" w14:textId="77777777" w:rsidR="00A24584" w:rsidRPr="00631147" w:rsidRDefault="00A24584" w:rsidP="00631147">
            <w:pPr>
              <w:jc w:val="center"/>
              <w:rPr>
                <w:b/>
              </w:rPr>
            </w:pPr>
          </w:p>
        </w:tc>
        <w:tc>
          <w:tcPr>
            <w:tcW w:w="1855" w:type="pct"/>
            <w:hideMark/>
          </w:tcPr>
          <w:p w14:paraId="0C6F9FCD"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3152444E" w14:textId="77777777" w:rsidR="00A24584" w:rsidRPr="00631147" w:rsidRDefault="00A24584" w:rsidP="00631147">
            <w:pPr>
              <w:jc w:val="center"/>
              <w:rPr>
                <w:b/>
              </w:rPr>
            </w:pPr>
            <w:r w:rsidRPr="00631147">
              <w:rPr>
                <w:b/>
              </w:rPr>
              <w:t>% of all CDP job seekers with a vulnerability indicator</w:t>
            </w:r>
          </w:p>
        </w:tc>
      </w:tr>
      <w:tr w:rsidR="008947F9" w14:paraId="16EE5C4F" w14:textId="77777777" w:rsidTr="00981F68">
        <w:trPr>
          <w:trHeight w:val="515"/>
        </w:trPr>
        <w:tc>
          <w:tcPr>
            <w:tcW w:w="1452" w:type="pct"/>
            <w:vAlign w:val="center"/>
          </w:tcPr>
          <w:p w14:paraId="46B5B381" w14:textId="77777777" w:rsidR="008947F9" w:rsidRDefault="00954A0C" w:rsidP="00981F68">
            <w:pPr>
              <w:jc w:val="center"/>
            </w:pPr>
            <w:r>
              <w:t>37,925</w:t>
            </w:r>
          </w:p>
        </w:tc>
        <w:tc>
          <w:tcPr>
            <w:tcW w:w="1855" w:type="pct"/>
            <w:vAlign w:val="center"/>
          </w:tcPr>
          <w:p w14:paraId="43B44822" w14:textId="77777777" w:rsidR="008947F9" w:rsidRDefault="00954A0C" w:rsidP="00981F68">
            <w:pPr>
              <w:jc w:val="center"/>
            </w:pPr>
            <w:r>
              <w:t>3,622</w:t>
            </w:r>
          </w:p>
        </w:tc>
        <w:tc>
          <w:tcPr>
            <w:tcW w:w="1693" w:type="pct"/>
            <w:vAlign w:val="center"/>
          </w:tcPr>
          <w:p w14:paraId="76402C3F" w14:textId="77777777" w:rsidR="008947F9" w:rsidRDefault="00954A0C" w:rsidP="00981F68">
            <w:pPr>
              <w:jc w:val="center"/>
            </w:pPr>
            <w:r>
              <w:t>10%</w:t>
            </w:r>
          </w:p>
        </w:tc>
      </w:tr>
    </w:tbl>
    <w:p w14:paraId="5157FA12"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3721674C" w14:textId="77777777" w:rsidR="00C36BF8" w:rsidRDefault="00B51AA6" w:rsidP="009E0535">
      <w:pPr>
        <w:spacing w:before="60" w:after="0" w:line="240" w:lineRule="auto"/>
        <w:ind w:left="-142"/>
        <w:rPr>
          <w:noProof/>
        </w:rPr>
      </w:pPr>
      <w:r>
        <w:rPr>
          <w:noProof/>
        </w:rPr>
        <w:t xml:space="preserve"> </w:t>
      </w:r>
    </w:p>
    <w:p w14:paraId="17849186" w14:textId="77777777" w:rsidR="002522E1" w:rsidRDefault="002522E1">
      <w:pPr>
        <w:spacing w:before="0"/>
        <w:ind w:left="0"/>
        <w:rPr>
          <w:noProof/>
        </w:rPr>
      </w:pPr>
      <w:r>
        <w:rPr>
          <w:noProof/>
        </w:rPr>
        <w:br w:type="page"/>
      </w:r>
    </w:p>
    <w:p w14:paraId="53CF7D06"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59FC239F" w14:textId="77777777"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4732" w:type="dxa"/>
        <w:tblLook w:val="04A0" w:firstRow="1" w:lastRow="0" w:firstColumn="1" w:lastColumn="0" w:noHBand="0" w:noVBand="1"/>
        <w:tblCaption w:val="Attendance at Appointments with CDP employment services providers 1 July to 30 September 2019"/>
      </w:tblPr>
      <w:tblGrid>
        <w:gridCol w:w="5837"/>
        <w:gridCol w:w="2373"/>
        <w:gridCol w:w="2354"/>
        <w:gridCol w:w="2084"/>
        <w:gridCol w:w="2084"/>
      </w:tblGrid>
      <w:tr w:rsidR="005412A2" w14:paraId="49963C36" w14:textId="77777777" w:rsidTr="005412A2">
        <w:trPr>
          <w:trHeight w:val="464"/>
          <w:tblHeader/>
        </w:trPr>
        <w:tc>
          <w:tcPr>
            <w:tcW w:w="5837" w:type="dxa"/>
          </w:tcPr>
          <w:p w14:paraId="38EF7FCD" w14:textId="77777777" w:rsidR="005412A2" w:rsidRPr="00116BAB" w:rsidRDefault="005412A2" w:rsidP="005412A2">
            <w:pPr>
              <w:pStyle w:val="Heading2"/>
              <w:numPr>
                <w:ilvl w:val="0"/>
                <w:numId w:val="0"/>
              </w:numPr>
              <w:spacing w:before="120" w:after="120"/>
              <w:outlineLvl w:val="1"/>
              <w:rPr>
                <w:rFonts w:ascii="Gill Sans MT" w:hAnsi="Gill Sans MT"/>
              </w:rPr>
            </w:pPr>
            <w:bookmarkStart w:id="5" w:name="_GoBack"/>
            <w:bookmarkEnd w:id="5"/>
          </w:p>
        </w:tc>
        <w:tc>
          <w:tcPr>
            <w:tcW w:w="4727" w:type="dxa"/>
            <w:gridSpan w:val="2"/>
            <w:vAlign w:val="center"/>
          </w:tcPr>
          <w:p w14:paraId="5706AAAC"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4168" w:type="dxa"/>
            <w:gridSpan w:val="2"/>
            <w:vAlign w:val="center"/>
          </w:tcPr>
          <w:p w14:paraId="35CE6219"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5412A2" w14:paraId="0786D473" w14:textId="77777777" w:rsidTr="005412A2">
        <w:trPr>
          <w:trHeight w:val="464"/>
          <w:tblHeader/>
        </w:trPr>
        <w:tc>
          <w:tcPr>
            <w:tcW w:w="5837" w:type="dxa"/>
          </w:tcPr>
          <w:p w14:paraId="2390C95F"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048A0E9E"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3F5F735A"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084" w:type="dxa"/>
            <w:vAlign w:val="center"/>
          </w:tcPr>
          <w:p w14:paraId="4BD92720"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084" w:type="dxa"/>
            <w:vAlign w:val="center"/>
          </w:tcPr>
          <w:p w14:paraId="64BED1E3"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14:paraId="5C95D5B5" w14:textId="77777777" w:rsidTr="005412A2">
        <w:trPr>
          <w:trHeight w:val="450"/>
        </w:trPr>
        <w:tc>
          <w:tcPr>
            <w:tcW w:w="5837" w:type="dxa"/>
          </w:tcPr>
          <w:p w14:paraId="5A90F13B"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vAlign w:val="center"/>
          </w:tcPr>
          <w:p w14:paraId="058339C8"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70,200</w:t>
            </w:r>
          </w:p>
        </w:tc>
        <w:tc>
          <w:tcPr>
            <w:tcW w:w="2354" w:type="dxa"/>
            <w:vAlign w:val="center"/>
          </w:tcPr>
          <w:p w14:paraId="164C5CDD"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48%</w:t>
            </w:r>
          </w:p>
        </w:tc>
        <w:tc>
          <w:tcPr>
            <w:tcW w:w="2084" w:type="dxa"/>
            <w:vAlign w:val="center"/>
          </w:tcPr>
          <w:p w14:paraId="0A934E66"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270,244</w:t>
            </w:r>
          </w:p>
        </w:tc>
        <w:tc>
          <w:tcPr>
            <w:tcW w:w="2084" w:type="dxa"/>
            <w:vAlign w:val="center"/>
          </w:tcPr>
          <w:p w14:paraId="503356CD"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48%</w:t>
            </w:r>
          </w:p>
        </w:tc>
      </w:tr>
      <w:tr w:rsidR="005412A2" w14:paraId="0A67BB63" w14:textId="77777777" w:rsidTr="005412A2">
        <w:trPr>
          <w:trHeight w:val="464"/>
        </w:trPr>
        <w:tc>
          <w:tcPr>
            <w:tcW w:w="5837" w:type="dxa"/>
          </w:tcPr>
          <w:p w14:paraId="7B34556B"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vAlign w:val="center"/>
          </w:tcPr>
          <w:p w14:paraId="21BDF3D1"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41,519</w:t>
            </w:r>
          </w:p>
        </w:tc>
        <w:tc>
          <w:tcPr>
            <w:tcW w:w="2354" w:type="dxa"/>
            <w:vAlign w:val="center"/>
          </w:tcPr>
          <w:p w14:paraId="0F3F5BD7"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28%</w:t>
            </w:r>
          </w:p>
        </w:tc>
        <w:tc>
          <w:tcPr>
            <w:tcW w:w="2084" w:type="dxa"/>
            <w:shd w:val="clear" w:color="auto" w:fill="auto"/>
            <w:vAlign w:val="center"/>
          </w:tcPr>
          <w:p w14:paraId="0CB30274"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159,493</w:t>
            </w:r>
          </w:p>
        </w:tc>
        <w:tc>
          <w:tcPr>
            <w:tcW w:w="2084" w:type="dxa"/>
            <w:vAlign w:val="center"/>
          </w:tcPr>
          <w:p w14:paraId="4A71CA39"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28%</w:t>
            </w:r>
          </w:p>
        </w:tc>
      </w:tr>
      <w:tr w:rsidR="005412A2" w14:paraId="14EF54E8" w14:textId="77777777" w:rsidTr="005412A2">
        <w:trPr>
          <w:trHeight w:val="464"/>
        </w:trPr>
        <w:tc>
          <w:tcPr>
            <w:tcW w:w="5837" w:type="dxa"/>
          </w:tcPr>
          <w:p w14:paraId="488C6DCD"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vAlign w:val="center"/>
          </w:tcPr>
          <w:p w14:paraId="4E5D2B16"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30,733</w:t>
            </w:r>
          </w:p>
        </w:tc>
        <w:tc>
          <w:tcPr>
            <w:tcW w:w="2354" w:type="dxa"/>
            <w:vAlign w:val="center"/>
          </w:tcPr>
          <w:p w14:paraId="674ACE1F"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21%</w:t>
            </w:r>
          </w:p>
        </w:tc>
        <w:tc>
          <w:tcPr>
            <w:tcW w:w="2084" w:type="dxa"/>
            <w:shd w:val="clear" w:color="auto" w:fill="auto"/>
            <w:vAlign w:val="center"/>
          </w:tcPr>
          <w:p w14:paraId="3BD26104"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115,720</w:t>
            </w:r>
          </w:p>
        </w:tc>
        <w:tc>
          <w:tcPr>
            <w:tcW w:w="2084" w:type="dxa"/>
            <w:vAlign w:val="center"/>
          </w:tcPr>
          <w:p w14:paraId="10E0A38F"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21%</w:t>
            </w:r>
          </w:p>
        </w:tc>
      </w:tr>
      <w:tr w:rsidR="005412A2" w14:paraId="62DCF3A1" w14:textId="77777777" w:rsidTr="005412A2">
        <w:trPr>
          <w:trHeight w:val="450"/>
        </w:trPr>
        <w:tc>
          <w:tcPr>
            <w:tcW w:w="5837" w:type="dxa"/>
          </w:tcPr>
          <w:p w14:paraId="3C990559"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vAlign w:val="center"/>
          </w:tcPr>
          <w:p w14:paraId="556F0298"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3,699</w:t>
            </w:r>
          </w:p>
        </w:tc>
        <w:tc>
          <w:tcPr>
            <w:tcW w:w="2354" w:type="dxa"/>
            <w:vAlign w:val="center"/>
          </w:tcPr>
          <w:p w14:paraId="1EC36434"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w:t>
            </w:r>
          </w:p>
        </w:tc>
        <w:tc>
          <w:tcPr>
            <w:tcW w:w="2084" w:type="dxa"/>
            <w:shd w:val="clear" w:color="auto" w:fill="auto"/>
            <w:vAlign w:val="center"/>
          </w:tcPr>
          <w:p w14:paraId="48E7D058"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15,715</w:t>
            </w:r>
          </w:p>
        </w:tc>
        <w:tc>
          <w:tcPr>
            <w:tcW w:w="2084" w:type="dxa"/>
            <w:vAlign w:val="center"/>
          </w:tcPr>
          <w:p w14:paraId="00309551"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w:t>
            </w:r>
          </w:p>
        </w:tc>
      </w:tr>
      <w:tr w:rsidR="005412A2" w:rsidRPr="00116BAB" w14:paraId="504B2425" w14:textId="77777777" w:rsidTr="005412A2">
        <w:trPr>
          <w:trHeight w:val="464"/>
        </w:trPr>
        <w:tc>
          <w:tcPr>
            <w:tcW w:w="5837" w:type="dxa"/>
          </w:tcPr>
          <w:p w14:paraId="517B51F6"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vAlign w:val="center"/>
          </w:tcPr>
          <w:p w14:paraId="030436DE"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75,951</w:t>
            </w:r>
          </w:p>
        </w:tc>
        <w:tc>
          <w:tcPr>
            <w:tcW w:w="2354" w:type="dxa"/>
            <w:vAlign w:val="center"/>
          </w:tcPr>
          <w:p w14:paraId="53B996B9"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52%</w:t>
            </w:r>
          </w:p>
        </w:tc>
        <w:tc>
          <w:tcPr>
            <w:tcW w:w="2084" w:type="dxa"/>
            <w:vAlign w:val="center"/>
          </w:tcPr>
          <w:p w14:paraId="11D81A45"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290,928</w:t>
            </w:r>
          </w:p>
        </w:tc>
        <w:tc>
          <w:tcPr>
            <w:tcW w:w="2084" w:type="dxa"/>
            <w:vAlign w:val="center"/>
          </w:tcPr>
          <w:p w14:paraId="2A747221"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52%</w:t>
            </w:r>
          </w:p>
        </w:tc>
      </w:tr>
      <w:tr w:rsidR="005412A2" w:rsidRPr="00116BAB" w14:paraId="1236B5B4" w14:textId="77777777" w:rsidTr="005412A2">
        <w:trPr>
          <w:trHeight w:val="450"/>
        </w:trPr>
        <w:tc>
          <w:tcPr>
            <w:tcW w:w="5837" w:type="dxa"/>
          </w:tcPr>
          <w:p w14:paraId="6DB67635"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vAlign w:val="center"/>
          </w:tcPr>
          <w:p w14:paraId="0BE1B622"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146,151</w:t>
            </w:r>
          </w:p>
        </w:tc>
        <w:tc>
          <w:tcPr>
            <w:tcW w:w="2354" w:type="dxa"/>
            <w:vAlign w:val="center"/>
          </w:tcPr>
          <w:p w14:paraId="6D14F8F6" w14:textId="77777777" w:rsidR="005412A2" w:rsidRPr="002B2493"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084" w:type="dxa"/>
            <w:vAlign w:val="center"/>
          </w:tcPr>
          <w:p w14:paraId="589FE190"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561,172</w:t>
            </w:r>
          </w:p>
        </w:tc>
        <w:tc>
          <w:tcPr>
            <w:tcW w:w="2084" w:type="dxa"/>
            <w:vAlign w:val="center"/>
          </w:tcPr>
          <w:p w14:paraId="089D363F" w14:textId="77777777" w:rsidR="005412A2" w:rsidRPr="002D5768"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57E57150" w14:textId="77777777" w:rsidR="005412A2"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gridCol w:w="2571"/>
        <w:gridCol w:w="2571"/>
      </w:tblGrid>
      <w:tr w:rsidR="005412A2" w14:paraId="5D7E05EA" w14:textId="77777777" w:rsidTr="005412A2">
        <w:trPr>
          <w:tblHeader/>
        </w:trPr>
        <w:tc>
          <w:tcPr>
            <w:tcW w:w="4120" w:type="dxa"/>
          </w:tcPr>
          <w:p w14:paraId="1838E960" w14:textId="77777777" w:rsidR="005412A2" w:rsidRPr="00116BAB" w:rsidRDefault="005412A2"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5A5DBD26"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5142" w:type="dxa"/>
            <w:gridSpan w:val="2"/>
            <w:vAlign w:val="center"/>
          </w:tcPr>
          <w:p w14:paraId="592E3A43"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5412A2" w14:paraId="2A11132D" w14:textId="77777777" w:rsidTr="005412A2">
        <w:trPr>
          <w:tblHeader/>
        </w:trPr>
        <w:tc>
          <w:tcPr>
            <w:tcW w:w="4120" w:type="dxa"/>
          </w:tcPr>
          <w:p w14:paraId="46B5B939"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448FAA08"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567AC514"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71" w:type="dxa"/>
            <w:vAlign w:val="center"/>
          </w:tcPr>
          <w:p w14:paraId="3EE777BE"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71" w:type="dxa"/>
            <w:vAlign w:val="center"/>
          </w:tcPr>
          <w:p w14:paraId="50E987F1"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14:paraId="3CD5F6E3" w14:textId="77777777" w:rsidTr="005412A2">
        <w:tc>
          <w:tcPr>
            <w:tcW w:w="4120" w:type="dxa"/>
          </w:tcPr>
          <w:p w14:paraId="6C196B07"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vAlign w:val="center"/>
          </w:tcPr>
          <w:p w14:paraId="262BE8E6"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18,192</w:t>
            </w:r>
          </w:p>
        </w:tc>
        <w:tc>
          <w:tcPr>
            <w:tcW w:w="2919" w:type="dxa"/>
            <w:tcBorders>
              <w:top w:val="nil"/>
              <w:left w:val="nil"/>
              <w:bottom w:val="single" w:sz="4" w:space="0" w:color="auto"/>
              <w:right w:val="single" w:sz="4" w:space="0" w:color="auto"/>
            </w:tcBorders>
            <w:shd w:val="clear" w:color="auto" w:fill="auto"/>
            <w:vAlign w:val="center"/>
          </w:tcPr>
          <w:p w14:paraId="7D92950B"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93%</w:t>
            </w:r>
          </w:p>
        </w:tc>
        <w:tc>
          <w:tcPr>
            <w:tcW w:w="2571" w:type="dxa"/>
            <w:tcBorders>
              <w:top w:val="nil"/>
              <w:left w:val="nil"/>
              <w:bottom w:val="single" w:sz="4" w:space="0" w:color="auto"/>
              <w:right w:val="single" w:sz="4" w:space="0" w:color="auto"/>
            </w:tcBorders>
            <w:vAlign w:val="center"/>
          </w:tcPr>
          <w:p w14:paraId="7B6CD0DC"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67,305</w:t>
            </w:r>
          </w:p>
        </w:tc>
        <w:tc>
          <w:tcPr>
            <w:tcW w:w="2571" w:type="dxa"/>
            <w:tcBorders>
              <w:top w:val="nil"/>
              <w:left w:val="nil"/>
              <w:bottom w:val="single" w:sz="4" w:space="0" w:color="auto"/>
              <w:right w:val="single" w:sz="4" w:space="0" w:color="auto"/>
            </w:tcBorders>
            <w:vAlign w:val="center"/>
          </w:tcPr>
          <w:p w14:paraId="18959085"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91%</w:t>
            </w:r>
          </w:p>
        </w:tc>
      </w:tr>
      <w:tr w:rsidR="005412A2" w14:paraId="0872EFC8" w14:textId="77777777" w:rsidTr="005412A2">
        <w:tc>
          <w:tcPr>
            <w:tcW w:w="4120" w:type="dxa"/>
          </w:tcPr>
          <w:p w14:paraId="776D419F" w14:textId="77777777" w:rsidR="005412A2" w:rsidRPr="00116BAB" w:rsidRDefault="005412A2" w:rsidP="005412A2">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vAlign w:val="center"/>
          </w:tcPr>
          <w:p w14:paraId="357B64D4"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370</w:t>
            </w:r>
          </w:p>
        </w:tc>
        <w:tc>
          <w:tcPr>
            <w:tcW w:w="2919" w:type="dxa"/>
            <w:vAlign w:val="center"/>
          </w:tcPr>
          <w:p w14:paraId="59D7DA6D"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w:t>
            </w:r>
          </w:p>
        </w:tc>
        <w:tc>
          <w:tcPr>
            <w:tcW w:w="2571" w:type="dxa"/>
            <w:vAlign w:val="center"/>
          </w:tcPr>
          <w:p w14:paraId="48E37764"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1,767</w:t>
            </w:r>
          </w:p>
        </w:tc>
        <w:tc>
          <w:tcPr>
            <w:tcW w:w="2571" w:type="dxa"/>
            <w:vAlign w:val="center"/>
          </w:tcPr>
          <w:p w14:paraId="59681177"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w:t>
            </w:r>
          </w:p>
        </w:tc>
      </w:tr>
      <w:tr w:rsidR="005412A2" w14:paraId="71848E9F" w14:textId="77777777" w:rsidTr="005412A2">
        <w:tc>
          <w:tcPr>
            <w:tcW w:w="4120" w:type="dxa"/>
          </w:tcPr>
          <w:p w14:paraId="3C656E33" w14:textId="77777777" w:rsidR="005412A2" w:rsidRPr="0046777C"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vAlign w:val="center"/>
          </w:tcPr>
          <w:p w14:paraId="1A416A41"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1,025</w:t>
            </w:r>
          </w:p>
        </w:tc>
        <w:tc>
          <w:tcPr>
            <w:tcW w:w="2919" w:type="dxa"/>
            <w:vAlign w:val="center"/>
          </w:tcPr>
          <w:p w14:paraId="5A95FD47"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w:t>
            </w:r>
          </w:p>
        </w:tc>
        <w:tc>
          <w:tcPr>
            <w:tcW w:w="2571" w:type="dxa"/>
            <w:vAlign w:val="center"/>
          </w:tcPr>
          <w:p w14:paraId="47227970"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4,661</w:t>
            </w:r>
          </w:p>
        </w:tc>
        <w:tc>
          <w:tcPr>
            <w:tcW w:w="2571" w:type="dxa"/>
            <w:vAlign w:val="center"/>
          </w:tcPr>
          <w:p w14:paraId="1099A611"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6%</w:t>
            </w:r>
          </w:p>
        </w:tc>
      </w:tr>
      <w:tr w:rsidR="005412A2" w:rsidRPr="00116BAB" w14:paraId="674E26EE" w14:textId="77777777" w:rsidTr="005412A2">
        <w:tc>
          <w:tcPr>
            <w:tcW w:w="4120" w:type="dxa"/>
          </w:tcPr>
          <w:p w14:paraId="05606FAA"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vAlign w:val="center"/>
          </w:tcPr>
          <w:p w14:paraId="5FA870A6"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1,395</w:t>
            </w:r>
          </w:p>
        </w:tc>
        <w:tc>
          <w:tcPr>
            <w:tcW w:w="2919" w:type="dxa"/>
            <w:vAlign w:val="center"/>
          </w:tcPr>
          <w:p w14:paraId="5BF66A5E"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w:t>
            </w:r>
          </w:p>
        </w:tc>
        <w:tc>
          <w:tcPr>
            <w:tcW w:w="2571" w:type="dxa"/>
            <w:vAlign w:val="center"/>
          </w:tcPr>
          <w:p w14:paraId="175B7EBA"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6,428</w:t>
            </w:r>
          </w:p>
        </w:tc>
        <w:tc>
          <w:tcPr>
            <w:tcW w:w="2571" w:type="dxa"/>
            <w:vAlign w:val="center"/>
          </w:tcPr>
          <w:p w14:paraId="2C197299"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9%</w:t>
            </w:r>
          </w:p>
        </w:tc>
      </w:tr>
      <w:tr w:rsidR="005412A2" w:rsidRPr="00116BAB" w14:paraId="3863660A" w14:textId="77777777" w:rsidTr="005412A2">
        <w:tc>
          <w:tcPr>
            <w:tcW w:w="4120" w:type="dxa"/>
          </w:tcPr>
          <w:p w14:paraId="3C386003"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vAlign w:val="center"/>
          </w:tcPr>
          <w:p w14:paraId="59C82DFA"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19,587</w:t>
            </w:r>
          </w:p>
        </w:tc>
        <w:tc>
          <w:tcPr>
            <w:tcW w:w="2919" w:type="dxa"/>
            <w:vAlign w:val="center"/>
          </w:tcPr>
          <w:p w14:paraId="6F98B652" w14:textId="77777777" w:rsidR="005412A2" w:rsidRPr="006F383D" w:rsidRDefault="00954A0C"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c>
          <w:tcPr>
            <w:tcW w:w="2571" w:type="dxa"/>
            <w:vAlign w:val="center"/>
          </w:tcPr>
          <w:p w14:paraId="50975436"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73,733</w:t>
            </w:r>
          </w:p>
        </w:tc>
        <w:tc>
          <w:tcPr>
            <w:tcW w:w="2571" w:type="dxa"/>
            <w:vAlign w:val="center"/>
          </w:tcPr>
          <w:p w14:paraId="58866F29" w14:textId="77777777" w:rsidR="005412A2" w:rsidRDefault="00954A0C"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584E67EC" w14:textId="77777777" w:rsidR="00AC2859" w:rsidRPr="001053D0" w:rsidRDefault="00AC2859" w:rsidP="001053D0">
      <w:pPr>
        <w:pStyle w:val="Heading3"/>
        <w:numPr>
          <w:ilvl w:val="0"/>
          <w:numId w:val="0"/>
        </w:numPr>
        <w:rPr>
          <w:rFonts w:ascii="Arial" w:hAnsi="Arial" w:cs="Arial"/>
          <w:i/>
        </w:rPr>
      </w:pPr>
    </w:p>
    <w:p w14:paraId="52F59DDA"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33B59B39"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5910AA2E" w14:textId="77777777" w:rsidR="00CC1242" w:rsidRDefault="00CC1242">
      <w:pPr>
        <w:spacing w:before="0"/>
        <w:ind w:left="0"/>
        <w:rPr>
          <w:noProof/>
        </w:rPr>
      </w:pPr>
      <w:r>
        <w:rPr>
          <w:noProof/>
        </w:rPr>
        <w:br w:type="page"/>
      </w:r>
    </w:p>
    <w:p w14:paraId="6F5D83B2"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1D36E781"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71922D76" w14:textId="77777777" w:rsidR="008D181C" w:rsidRPr="00325EF7" w:rsidRDefault="008D181C" w:rsidP="00FB2293">
            <w:pPr>
              <w:ind w:left="0"/>
            </w:pPr>
          </w:p>
        </w:tc>
        <w:tc>
          <w:tcPr>
            <w:tcW w:w="1163" w:type="pct"/>
          </w:tcPr>
          <w:p w14:paraId="0FE6F3FE"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2A2B0EF2"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50E9322E"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233722DA" w14:textId="77777777" w:rsidTr="00151147">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E5BFCB4" w14:textId="77777777" w:rsidR="008D181C" w:rsidRDefault="008D181C" w:rsidP="008D181C">
            <w:pPr>
              <w:spacing w:before="0"/>
              <w:ind w:left="-142" w:firstLine="142"/>
              <w:rPr>
                <w:rFonts w:ascii="Arial" w:hAnsi="Arial" w:cs="Arial"/>
                <w:i/>
              </w:rPr>
            </w:pPr>
            <w:r>
              <w:rPr>
                <w:rFonts w:ascii="Arial" w:hAnsi="Arial" w:cs="Arial"/>
                <w:i/>
              </w:rPr>
              <w:t>1 April 2022 to 30 June 2022</w:t>
            </w:r>
          </w:p>
        </w:tc>
        <w:tc>
          <w:tcPr>
            <w:tcW w:w="1163" w:type="pct"/>
            <w:vAlign w:val="center"/>
          </w:tcPr>
          <w:p w14:paraId="09FA721D" w14:textId="77777777" w:rsidR="008D181C" w:rsidRPr="005412A2"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i/>
              </w:rPr>
            </w:pPr>
            <w:r>
              <w:rPr>
                <w:rFonts w:cs="Arial"/>
              </w:rPr>
              <w:t>24,484</w:t>
            </w:r>
          </w:p>
        </w:tc>
        <w:tc>
          <w:tcPr>
            <w:tcW w:w="1595" w:type="pct"/>
            <w:vAlign w:val="center"/>
          </w:tcPr>
          <w:p w14:paraId="67F88B83" w14:textId="77777777" w:rsidR="008D181C" w:rsidRPr="006F383D"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450D1DA5" w14:textId="77777777" w:rsidR="008D181C" w:rsidRPr="006F383D"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24,484</w:t>
            </w:r>
          </w:p>
        </w:tc>
      </w:tr>
      <w:tr w:rsidR="008D181C" w:rsidRPr="00287925" w14:paraId="30D28574" w14:textId="77777777" w:rsidTr="00151147">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1540CBDB" w14:textId="77777777" w:rsidR="008D181C" w:rsidRDefault="008D181C" w:rsidP="008D181C">
            <w:pPr>
              <w:spacing w:before="0"/>
              <w:ind w:left="-142" w:firstLine="142"/>
              <w:rPr>
                <w:rFonts w:ascii="Arial" w:hAnsi="Arial" w:cs="Arial"/>
                <w:i/>
              </w:rPr>
            </w:pPr>
            <w:r>
              <w:rPr>
                <w:rFonts w:ascii="Arial" w:hAnsi="Arial" w:cs="Arial"/>
                <w:i/>
              </w:rPr>
              <w:t>1 July 2021 to 30 June 2022</w:t>
            </w:r>
          </w:p>
        </w:tc>
        <w:tc>
          <w:tcPr>
            <w:tcW w:w="1163" w:type="pct"/>
            <w:vAlign w:val="center"/>
          </w:tcPr>
          <w:p w14:paraId="71D94F0C" w14:textId="77777777" w:rsidR="008D181C" w:rsidRPr="005412A2"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i/>
              </w:rPr>
            </w:pPr>
            <w:r>
              <w:rPr>
                <w:rFonts w:cs="Arial"/>
              </w:rPr>
              <w:t>92,294</w:t>
            </w:r>
          </w:p>
        </w:tc>
        <w:tc>
          <w:tcPr>
            <w:tcW w:w="1595" w:type="pct"/>
            <w:vAlign w:val="center"/>
          </w:tcPr>
          <w:p w14:paraId="38BA6BEE" w14:textId="77777777" w:rsidR="008D181C"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62CB6AF1" w14:textId="77777777" w:rsidR="008D181C" w:rsidRPr="006F383D"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92,294</w:t>
            </w:r>
          </w:p>
        </w:tc>
      </w:tr>
    </w:tbl>
    <w:p w14:paraId="17568E2E"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6E9948C9"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098A2B34"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14A817D3"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FA6BA65"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DF0BAF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A4965C6" w14:textId="77777777" w:rsidR="00A67E67" w:rsidRPr="001523BE" w:rsidRDefault="00A67E67" w:rsidP="00FB2293">
            <w:pPr>
              <w:ind w:left="-142" w:firstLine="142"/>
            </w:pPr>
          </w:p>
        </w:tc>
        <w:tc>
          <w:tcPr>
            <w:tcW w:w="1160" w:type="pct"/>
            <w:vAlign w:val="center"/>
          </w:tcPr>
          <w:p w14:paraId="3CD20F6F" w14:textId="77777777"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61A6D92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58E4D5F3"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69B59459"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77429BCE" w14:textId="77777777" w:rsidR="00A67E67" w:rsidRDefault="00A67E67" w:rsidP="00296DD8">
            <w:pPr>
              <w:autoSpaceDE w:val="0"/>
              <w:autoSpaceDN w:val="0"/>
              <w:adjustRightInd w:val="0"/>
              <w:spacing w:before="0"/>
              <w:ind w:left="0"/>
              <w:rPr>
                <w:rFonts w:ascii="Arial" w:hAnsi="Arial" w:cs="Arial"/>
                <w:i/>
              </w:rPr>
            </w:pPr>
            <w:r>
              <w:rPr>
                <w:rFonts w:ascii="Arial" w:hAnsi="Arial" w:cs="Arial"/>
                <w:i/>
              </w:rPr>
              <w:t xml:space="preserve">1 April </w:t>
            </w:r>
            <w:r w:rsidR="00296DD8">
              <w:rPr>
                <w:rFonts w:ascii="Arial" w:hAnsi="Arial" w:cs="Arial"/>
                <w:i/>
              </w:rPr>
              <w:t>2022</w:t>
            </w:r>
            <w:r>
              <w:rPr>
                <w:rFonts w:ascii="Arial" w:hAnsi="Arial" w:cs="Arial"/>
                <w:i/>
              </w:rPr>
              <w:t xml:space="preserve"> to 30 June 2022</w:t>
            </w:r>
          </w:p>
        </w:tc>
        <w:tc>
          <w:tcPr>
            <w:tcW w:w="1160" w:type="pct"/>
            <w:vAlign w:val="center"/>
          </w:tcPr>
          <w:p w14:paraId="51601F80" w14:textId="77777777" w:rsidR="00A67E67" w:rsidRPr="00A67E67" w:rsidRDefault="00A67E67"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7E67">
              <w:rPr>
                <w:rFonts w:cs="Gill Sans MT"/>
                <w:color w:val="000000"/>
              </w:rPr>
              <w:t>30,423</w:t>
            </w:r>
          </w:p>
        </w:tc>
        <w:tc>
          <w:tcPr>
            <w:tcW w:w="1577" w:type="pct"/>
            <w:vAlign w:val="center"/>
          </w:tcPr>
          <w:p w14:paraId="6FA56077" w14:textId="77777777" w:rsidR="00A67E67" w:rsidRPr="00A67E67" w:rsidRDefault="00A67E67"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7E67">
              <w:rPr>
                <w:rFonts w:cs="Gill Sans MT"/>
                <w:color w:val="000000"/>
              </w:rPr>
              <w:t>88.4%</w:t>
            </w:r>
          </w:p>
        </w:tc>
        <w:tc>
          <w:tcPr>
            <w:tcW w:w="1103" w:type="pct"/>
            <w:vAlign w:val="center"/>
          </w:tcPr>
          <w:p w14:paraId="3672B5CF" w14:textId="77777777" w:rsidR="00A67E67" w:rsidRPr="00A67E67" w:rsidRDefault="00414937"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r>
      <w:tr w:rsidR="00A67E67" w:rsidRPr="0079507A" w14:paraId="3CCA1AC0"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7609057A" w14:textId="77777777" w:rsidR="00A67E67" w:rsidRDefault="00A67E67" w:rsidP="00A67E67">
            <w:pPr>
              <w:autoSpaceDE w:val="0"/>
              <w:autoSpaceDN w:val="0"/>
              <w:adjustRightInd w:val="0"/>
              <w:spacing w:before="0"/>
              <w:ind w:left="0"/>
              <w:rPr>
                <w:rFonts w:ascii="Arial" w:hAnsi="Arial" w:cs="Arial"/>
                <w:i/>
              </w:rPr>
            </w:pPr>
            <w:r>
              <w:rPr>
                <w:rFonts w:ascii="Arial" w:hAnsi="Arial" w:cs="Arial"/>
                <w:i/>
              </w:rPr>
              <w:t>1 July 2021 to 30 June 2022</w:t>
            </w:r>
          </w:p>
        </w:tc>
        <w:tc>
          <w:tcPr>
            <w:tcW w:w="1160" w:type="pct"/>
            <w:vAlign w:val="center"/>
          </w:tcPr>
          <w:p w14:paraId="53240FC8" w14:textId="77777777" w:rsidR="00A67E67" w:rsidRPr="00A67E67" w:rsidRDefault="00A67E67"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7E67">
              <w:rPr>
                <w:rFonts w:cs="Gill Sans MT"/>
                <w:color w:val="000000"/>
              </w:rPr>
              <w:t>114,597</w:t>
            </w:r>
          </w:p>
        </w:tc>
        <w:tc>
          <w:tcPr>
            <w:tcW w:w="1577" w:type="pct"/>
            <w:vAlign w:val="center"/>
          </w:tcPr>
          <w:p w14:paraId="297E4C3E" w14:textId="77777777" w:rsidR="00A67E67" w:rsidRPr="00A67E67" w:rsidRDefault="00A67E67"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7E67">
              <w:rPr>
                <w:rFonts w:cs="Gill Sans MT"/>
                <w:color w:val="000000"/>
              </w:rPr>
              <w:t>87.2%</w:t>
            </w:r>
          </w:p>
        </w:tc>
        <w:tc>
          <w:tcPr>
            <w:tcW w:w="1103" w:type="pct"/>
            <w:vAlign w:val="center"/>
          </w:tcPr>
          <w:p w14:paraId="6D3F9F2B" w14:textId="77777777" w:rsidR="00A67E67" w:rsidRPr="00A67E67" w:rsidRDefault="00414937"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r>
    </w:tbl>
    <w:p w14:paraId="30710168"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7A4FBB75"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5FD77F0C"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6931DFD3"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39649425"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629417E5" w14:textId="77777777" w:rsidR="00D1085F" w:rsidRDefault="00456F16" w:rsidP="00366AB0">
      <w:pPr>
        <w:pStyle w:val="Heading2"/>
        <w:spacing w:after="240"/>
        <w:ind w:left="-142" w:firstLine="142"/>
      </w:pPr>
      <w:bookmarkStart w:id="9" w:name="_Toc30005442"/>
      <w:r w:rsidRPr="00325EF7">
        <w:t xml:space="preserve">Reasons for providers reporting non-compliance to </w:t>
      </w:r>
      <w:r w:rsidR="00284489">
        <w:t>Services Australia</w:t>
      </w:r>
      <w:bookmarkEnd w:id="9"/>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gridCol w:w="2593"/>
        <w:gridCol w:w="2593"/>
      </w:tblGrid>
      <w:tr w:rsidR="005412A2" w:rsidRPr="00116BAB" w14:paraId="4322CCDF" w14:textId="77777777" w:rsidTr="005412A2">
        <w:trPr>
          <w:tblHeader/>
        </w:trPr>
        <w:tc>
          <w:tcPr>
            <w:tcW w:w="3452" w:type="dxa"/>
          </w:tcPr>
          <w:p w14:paraId="66659ED4" w14:textId="77777777" w:rsidR="005412A2" w:rsidRDefault="005412A2"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638B27C5"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5186" w:type="dxa"/>
            <w:gridSpan w:val="2"/>
            <w:vAlign w:val="center"/>
          </w:tcPr>
          <w:p w14:paraId="6C819AF6"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5412A2" w:rsidRPr="00116BAB" w14:paraId="197B94BE" w14:textId="77777777" w:rsidTr="005412A2">
        <w:trPr>
          <w:tblHeader/>
        </w:trPr>
        <w:tc>
          <w:tcPr>
            <w:tcW w:w="3452" w:type="dxa"/>
          </w:tcPr>
          <w:p w14:paraId="291A6A71" w14:textId="77777777" w:rsidR="005412A2" w:rsidRPr="00116BAB" w:rsidRDefault="005412A2"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75724C4F"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3CE67C0B"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93" w:type="dxa"/>
            <w:vAlign w:val="center"/>
          </w:tcPr>
          <w:p w14:paraId="713189E2"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93" w:type="dxa"/>
            <w:vAlign w:val="center"/>
          </w:tcPr>
          <w:p w14:paraId="1483A5C8"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rsidRPr="00116BAB" w14:paraId="7A26EF43" w14:textId="77777777" w:rsidTr="005412A2">
        <w:tc>
          <w:tcPr>
            <w:tcW w:w="3452" w:type="dxa"/>
          </w:tcPr>
          <w:p w14:paraId="35060182"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4274B2D1" w14:textId="77777777" w:rsidR="005412A2" w:rsidRPr="000C0C0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30,475</w:t>
            </w:r>
          </w:p>
        </w:tc>
        <w:tc>
          <w:tcPr>
            <w:tcW w:w="2938" w:type="dxa"/>
            <w:vAlign w:val="center"/>
          </w:tcPr>
          <w:p w14:paraId="11FCC68F" w14:textId="77777777" w:rsidR="005412A2" w:rsidRPr="000C0C08" w:rsidRDefault="00BE13E8"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c>
          <w:tcPr>
            <w:tcW w:w="2593" w:type="dxa"/>
            <w:vAlign w:val="center"/>
          </w:tcPr>
          <w:p w14:paraId="295A0C21"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114,752</w:t>
            </w:r>
          </w:p>
        </w:tc>
        <w:tc>
          <w:tcPr>
            <w:tcW w:w="2593" w:type="dxa"/>
            <w:vAlign w:val="center"/>
          </w:tcPr>
          <w:p w14:paraId="7E901FF5"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r w:rsidR="005412A2" w:rsidRPr="00116BAB" w14:paraId="1BA9EB05" w14:textId="77777777" w:rsidTr="005412A2">
        <w:tc>
          <w:tcPr>
            <w:tcW w:w="3452" w:type="dxa"/>
          </w:tcPr>
          <w:p w14:paraId="42B5E7E2"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578D9D65" w14:textId="77777777" w:rsidR="005412A2" w:rsidRPr="00C02E7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6EDC12CA" w14:textId="77777777" w:rsidR="005412A2" w:rsidRPr="00C02E7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0BC9CD31"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57D18360"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5412A2" w:rsidRPr="00116BAB" w14:paraId="21FC3F0C" w14:textId="77777777" w:rsidTr="005412A2">
        <w:tc>
          <w:tcPr>
            <w:tcW w:w="3452" w:type="dxa"/>
          </w:tcPr>
          <w:p w14:paraId="60A9DCEE"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6F8D868D" w14:textId="77777777" w:rsidR="005412A2" w:rsidRPr="000C0C0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30,475</w:t>
            </w:r>
          </w:p>
        </w:tc>
        <w:tc>
          <w:tcPr>
            <w:tcW w:w="2938" w:type="dxa"/>
            <w:vAlign w:val="center"/>
          </w:tcPr>
          <w:p w14:paraId="236FC53D" w14:textId="77777777" w:rsidR="005412A2" w:rsidRPr="000C0C0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593" w:type="dxa"/>
            <w:vAlign w:val="center"/>
          </w:tcPr>
          <w:p w14:paraId="11EE6BF0"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114,752</w:t>
            </w:r>
          </w:p>
        </w:tc>
        <w:tc>
          <w:tcPr>
            <w:tcW w:w="2593" w:type="dxa"/>
            <w:vAlign w:val="center"/>
          </w:tcPr>
          <w:p w14:paraId="02AF8133"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650B67B5"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01966C04" w14:textId="77777777" w:rsidR="00E909FA" w:rsidRPr="00E55094" w:rsidRDefault="0022570C"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02BA8017" w14:textId="77777777" w:rsidR="005412A2"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gridCol w:w="2585"/>
        <w:gridCol w:w="2585"/>
      </w:tblGrid>
      <w:tr w:rsidR="005412A2" w:rsidRPr="00116BAB" w14:paraId="5A1A0B51" w14:textId="77777777" w:rsidTr="005412A2">
        <w:trPr>
          <w:tblHeader/>
        </w:trPr>
        <w:tc>
          <w:tcPr>
            <w:tcW w:w="3482" w:type="dxa"/>
          </w:tcPr>
          <w:p w14:paraId="47D0B365" w14:textId="77777777" w:rsidR="005412A2" w:rsidRDefault="005412A2"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2C7F0225"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5170" w:type="dxa"/>
            <w:gridSpan w:val="2"/>
            <w:vAlign w:val="center"/>
          </w:tcPr>
          <w:p w14:paraId="1F820582"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5412A2" w:rsidRPr="00116BAB" w14:paraId="663398C3" w14:textId="77777777" w:rsidTr="005412A2">
        <w:trPr>
          <w:tblHeader/>
        </w:trPr>
        <w:tc>
          <w:tcPr>
            <w:tcW w:w="3482" w:type="dxa"/>
          </w:tcPr>
          <w:p w14:paraId="3430FA05" w14:textId="77777777" w:rsidR="005412A2" w:rsidRPr="00116BAB" w:rsidRDefault="005412A2"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55F45241"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1904698C"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85" w:type="dxa"/>
            <w:vAlign w:val="center"/>
          </w:tcPr>
          <w:p w14:paraId="5951E2D8"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85" w:type="dxa"/>
            <w:vAlign w:val="center"/>
          </w:tcPr>
          <w:p w14:paraId="35786125"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rsidRPr="000C0C08" w14:paraId="291B778E" w14:textId="77777777" w:rsidTr="005412A2">
        <w:tc>
          <w:tcPr>
            <w:tcW w:w="3482" w:type="dxa"/>
          </w:tcPr>
          <w:p w14:paraId="64786640"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79F7974A" w14:textId="77777777" w:rsidR="005412A2" w:rsidRPr="002619C1" w:rsidRDefault="00D65DC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931" w:type="dxa"/>
            <w:vAlign w:val="center"/>
          </w:tcPr>
          <w:p w14:paraId="2A73DD42" w14:textId="77777777" w:rsidR="005412A2" w:rsidRPr="002619C1" w:rsidRDefault="00BE13E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73%</w:t>
            </w:r>
          </w:p>
        </w:tc>
        <w:tc>
          <w:tcPr>
            <w:tcW w:w="2585" w:type="dxa"/>
            <w:vAlign w:val="center"/>
          </w:tcPr>
          <w:p w14:paraId="39FBEBB1" w14:textId="77777777" w:rsidR="005412A2" w:rsidRDefault="00E95C5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85" w:type="dxa"/>
            <w:vAlign w:val="center"/>
          </w:tcPr>
          <w:p w14:paraId="108DC06B" w14:textId="77777777" w:rsidR="005412A2" w:rsidRDefault="00E95C5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5412A2" w:rsidRPr="000C0C08" w14:paraId="459A52EC" w14:textId="77777777" w:rsidTr="005412A2">
        <w:tc>
          <w:tcPr>
            <w:tcW w:w="3482" w:type="dxa"/>
          </w:tcPr>
          <w:p w14:paraId="1DC63C48"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59036AC0" w14:textId="77777777" w:rsidR="005412A2" w:rsidRPr="002619C1" w:rsidRDefault="00D65DC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323245C" w14:textId="77777777" w:rsidR="005412A2" w:rsidRPr="002619C1" w:rsidRDefault="00BE13E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27%</w:t>
            </w:r>
          </w:p>
        </w:tc>
        <w:tc>
          <w:tcPr>
            <w:tcW w:w="2585" w:type="dxa"/>
            <w:vAlign w:val="center"/>
          </w:tcPr>
          <w:p w14:paraId="2636CABF" w14:textId="77777777" w:rsidR="005412A2" w:rsidRDefault="00E95C5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85" w:type="dxa"/>
            <w:vAlign w:val="center"/>
          </w:tcPr>
          <w:p w14:paraId="1F0CB577" w14:textId="77777777" w:rsidR="005412A2" w:rsidRDefault="00E95C5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5412A2" w:rsidRPr="000C0C08" w14:paraId="7DC89DEB" w14:textId="77777777" w:rsidTr="005412A2">
        <w:tc>
          <w:tcPr>
            <w:tcW w:w="3482" w:type="dxa"/>
          </w:tcPr>
          <w:p w14:paraId="4C6C0685"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6742ED89" w14:textId="77777777" w:rsidR="005412A2" w:rsidRPr="002619C1" w:rsidRDefault="00D65DC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931" w:type="dxa"/>
            <w:vAlign w:val="center"/>
          </w:tcPr>
          <w:p w14:paraId="0D9F9D14" w14:textId="77777777" w:rsidR="005412A2" w:rsidRPr="002619C1" w:rsidRDefault="00BE13E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c>
          <w:tcPr>
            <w:tcW w:w="2585" w:type="dxa"/>
            <w:vAlign w:val="center"/>
          </w:tcPr>
          <w:p w14:paraId="3F59C8DB" w14:textId="77777777" w:rsidR="005412A2" w:rsidRDefault="00E95C5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w:t>
            </w:r>
          </w:p>
        </w:tc>
        <w:tc>
          <w:tcPr>
            <w:tcW w:w="2585" w:type="dxa"/>
            <w:vAlign w:val="center"/>
          </w:tcPr>
          <w:p w14:paraId="727B430F" w14:textId="77777777" w:rsidR="005412A2" w:rsidRDefault="00E95C5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bl>
    <w:p w14:paraId="145F29CC"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21D34077"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405CE867"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474C82B9" w14:textId="77777777" w:rsidR="005412A2" w:rsidRPr="00325EF7" w:rsidRDefault="00954B8A" w:rsidP="005412A2">
      <w:pPr>
        <w:pStyle w:val="Heading3"/>
        <w:numPr>
          <w:ilvl w:val="0"/>
          <w:numId w:val="0"/>
        </w:num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BA30DD">
        <w:rPr>
          <w:rFonts w:ascii="Arial" w:hAnsi="Arial" w:cs="Arial"/>
          <w:i/>
        </w:rPr>
        <w:t>1 April to 30 June 2022</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17A53E26"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5D3FBBBC"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711214E7"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DB8DA8D"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5412A2" w:rsidRPr="00023622" w14:paraId="748F58E3"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DF300" w14:textId="77777777" w:rsidR="005412A2" w:rsidRPr="00023622" w:rsidRDefault="005412A2" w:rsidP="005412A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7E700D81" w14:textId="77777777" w:rsidR="005412A2" w:rsidRPr="00023622" w:rsidRDefault="005412A2" w:rsidP="005412A2">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BC30B25" w14:textId="77777777" w:rsidR="005412A2" w:rsidRPr="00023622" w:rsidRDefault="005412A2" w:rsidP="005412A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54CB1952"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3A52037C"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775C922C"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6091EE"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5A20537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E975208"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E32BE51"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BBC1938"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36137E8C"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52F833B"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2ACA3757"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AB9D455"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6059542C"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4EA8725"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544F5874"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30134F5"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2E1CA99"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5DFF0C8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1C908125"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EB723B5"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6DB1A88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2B25FC2A" w14:textId="77777777" w:rsidR="005412A2" w:rsidRPr="00023622" w:rsidRDefault="005412A2" w:rsidP="005412A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6B47B405" w14:textId="77777777" w:rsidR="005412A2" w:rsidRPr="00023622" w:rsidRDefault="005412A2" w:rsidP="005412A2">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8D20FB7" w14:textId="77777777" w:rsidR="005412A2" w:rsidRPr="00023622" w:rsidRDefault="005412A2" w:rsidP="005412A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430CF9C5"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539B6D6E"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0CC1F0E7" w14:textId="77777777" w:rsidR="005412A2" w:rsidRPr="00023622" w:rsidRDefault="005412A2" w:rsidP="005412A2">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7437C87" w14:textId="77777777" w:rsidR="005412A2" w:rsidRPr="00023622" w:rsidRDefault="005412A2" w:rsidP="005412A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5F8FEE97"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3D6D348"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43744D65"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FC9E62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4C309017"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FC0F112"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7ED0DB1"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C330415"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4A58AE7"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7E14A2EF"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8BBB032" w14:textId="77777777" w:rsidR="005412A2" w:rsidRPr="00023622" w:rsidRDefault="00D65DC8" w:rsidP="005412A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5363544A" w14:textId="77777777" w:rsidR="005412A2" w:rsidRPr="00023622" w:rsidRDefault="00BE13E8" w:rsidP="00BE13E8">
            <w:pPr>
              <w:pStyle w:val="TableParagraph"/>
              <w:spacing w:before="22"/>
              <w:ind w:left="3"/>
              <w:jc w:val="center"/>
              <w:rPr>
                <w:rFonts w:ascii="Gill Sans MT" w:eastAsia="Gill Sans MT" w:hAnsi="Gill Sans MT" w:cs="Gill Sans MT"/>
              </w:rPr>
            </w:pPr>
            <w:r>
              <w:rPr>
                <w:rFonts w:ascii="Gill Sans MT" w:eastAsia="Gill Sans MT" w:hAnsi="Gill Sans MT" w:cs="Gill Sans MT"/>
              </w:rPr>
              <w:t>32%</w:t>
            </w:r>
          </w:p>
        </w:tc>
      </w:tr>
      <w:tr w:rsidR="005412A2" w:rsidRPr="00023622" w14:paraId="12FAEDE8"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DCE8898"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775B36C3" w14:textId="77777777" w:rsidR="005412A2" w:rsidRPr="00023622" w:rsidRDefault="00D65DC8" w:rsidP="005412A2">
            <w:pPr>
              <w:pStyle w:val="TableParagraph"/>
              <w:spacing w:before="20"/>
              <w:ind w:left="4"/>
              <w:jc w:val="center"/>
              <w:rPr>
                <w:rFonts w:ascii="Gill Sans MT" w:eastAsia="Gill Sans MT" w:hAnsi="Gill Sans MT" w:cs="Gill Sans MT"/>
              </w:rPr>
            </w:pPr>
            <w:r>
              <w:rPr>
                <w:rFonts w:ascii="Gill Sans MT" w:eastAsia="Gill Sans MT" w:hAnsi="Gill Sans MT" w:cs="Gill Sans MT"/>
              </w:rPr>
              <w:t>NP</w:t>
            </w:r>
          </w:p>
        </w:tc>
        <w:tc>
          <w:tcPr>
            <w:tcW w:w="4913" w:type="dxa"/>
            <w:tcBorders>
              <w:top w:val="single" w:sz="5" w:space="0" w:color="000000"/>
              <w:left w:val="single" w:sz="5" w:space="0" w:color="000000"/>
              <w:bottom w:val="single" w:sz="5" w:space="0" w:color="000000"/>
              <w:right w:val="single" w:sz="5" w:space="0" w:color="000000"/>
            </w:tcBorders>
          </w:tcPr>
          <w:p w14:paraId="0150C750" w14:textId="77777777" w:rsidR="005412A2" w:rsidRPr="00023622" w:rsidRDefault="00BE13E8" w:rsidP="005412A2">
            <w:pPr>
              <w:pStyle w:val="TableParagraph"/>
              <w:spacing w:before="20"/>
              <w:ind w:left="3"/>
              <w:jc w:val="center"/>
              <w:rPr>
                <w:rFonts w:ascii="Gill Sans MT" w:eastAsia="Gill Sans MT" w:hAnsi="Gill Sans MT" w:cs="Gill Sans MT"/>
              </w:rPr>
            </w:pPr>
            <w:r>
              <w:rPr>
                <w:rFonts w:ascii="Gill Sans MT" w:eastAsia="Gill Sans MT" w:hAnsi="Gill Sans MT" w:cs="Gill Sans MT"/>
              </w:rPr>
              <w:t>68</w:t>
            </w:r>
            <w:r w:rsidR="005412A2" w:rsidRPr="00B34C0B">
              <w:rPr>
                <w:rFonts w:ascii="Gill Sans MT" w:eastAsia="Gill Sans MT" w:hAnsi="Gill Sans MT" w:cs="Gill Sans MT"/>
              </w:rPr>
              <w:t>%</w:t>
            </w:r>
          </w:p>
        </w:tc>
      </w:tr>
      <w:tr w:rsidR="005412A2" w:rsidRPr="00023622" w14:paraId="2991015C"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F858658"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007FB1A1" w14:textId="77777777" w:rsidR="005412A2" w:rsidRPr="00023622" w:rsidRDefault="00D65DC8" w:rsidP="005412A2">
            <w:pPr>
              <w:pStyle w:val="TableParagraph"/>
              <w:spacing w:before="15"/>
              <w:ind w:left="5"/>
              <w:jc w:val="center"/>
              <w:rPr>
                <w:rFonts w:ascii="Gill Sans MT" w:eastAsia="Gill Sans MT" w:hAnsi="Gill Sans MT" w:cs="Gill Sans MT"/>
              </w:rPr>
            </w:pPr>
            <w:r>
              <w:rPr>
                <w:rFonts w:ascii="Gill Sans MT" w:eastAsia="Gill Sans MT" w:hAnsi="Gill Sans MT" w:cs="Gill Sans MT"/>
              </w:rPr>
              <w:t>NP</w:t>
            </w:r>
          </w:p>
        </w:tc>
        <w:tc>
          <w:tcPr>
            <w:tcW w:w="4913" w:type="dxa"/>
            <w:tcBorders>
              <w:top w:val="single" w:sz="5" w:space="0" w:color="000000"/>
              <w:left w:val="single" w:sz="5" w:space="0" w:color="000000"/>
              <w:bottom w:val="single" w:sz="5" w:space="0" w:color="000000"/>
              <w:right w:val="single" w:sz="5" w:space="0" w:color="000000"/>
            </w:tcBorders>
          </w:tcPr>
          <w:p w14:paraId="3DCE2C94" w14:textId="77777777" w:rsidR="005412A2" w:rsidRPr="00023622" w:rsidRDefault="005412A2" w:rsidP="005412A2">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r w:rsidRPr="00B34C0B">
              <w:rPr>
                <w:rFonts w:ascii="Gill Sans MT" w:eastAsia="Gill Sans MT" w:hAnsi="Gill Sans MT" w:cs="Gill Sans MT"/>
              </w:rPr>
              <w:t>%</w:t>
            </w:r>
          </w:p>
        </w:tc>
      </w:tr>
    </w:tbl>
    <w:p w14:paraId="3AEDF253" w14:textId="77777777"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55763411"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32B848D1"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62CE4F31"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1FC0FFC4" w14:textId="77777777" w:rsidR="005412A2"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gridCol w:w="2618"/>
        <w:gridCol w:w="2618"/>
      </w:tblGrid>
      <w:tr w:rsidR="005412A2" w:rsidRPr="00116BAB" w14:paraId="4EBD802A" w14:textId="77777777" w:rsidTr="005412A2">
        <w:trPr>
          <w:tblHeader/>
        </w:trPr>
        <w:tc>
          <w:tcPr>
            <w:tcW w:w="3356" w:type="dxa"/>
          </w:tcPr>
          <w:p w14:paraId="4A20CA6F" w14:textId="77777777" w:rsidR="005412A2" w:rsidRPr="00346E3B" w:rsidRDefault="005412A2"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6702E20F"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5236" w:type="dxa"/>
            <w:gridSpan w:val="2"/>
            <w:vAlign w:val="center"/>
          </w:tcPr>
          <w:p w14:paraId="74A73C34" w14:textId="77777777" w:rsidR="005412A2" w:rsidRDefault="005412A2" w:rsidP="005412A2">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5412A2" w:rsidRPr="00116BAB" w14:paraId="302ADD4F" w14:textId="77777777" w:rsidTr="005412A2">
        <w:trPr>
          <w:tblHeader/>
        </w:trPr>
        <w:tc>
          <w:tcPr>
            <w:tcW w:w="3356" w:type="dxa"/>
          </w:tcPr>
          <w:p w14:paraId="56EAAD0A"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03FD340D"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23C27AEA"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618" w:type="dxa"/>
            <w:vAlign w:val="center"/>
          </w:tcPr>
          <w:p w14:paraId="76F23294"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618" w:type="dxa"/>
            <w:vAlign w:val="center"/>
          </w:tcPr>
          <w:p w14:paraId="448B5439"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rsidRPr="00116BAB" w14:paraId="711BA0D7" w14:textId="77777777" w:rsidTr="005412A2">
        <w:tc>
          <w:tcPr>
            <w:tcW w:w="3356" w:type="dxa"/>
          </w:tcPr>
          <w:p w14:paraId="7778E7ED"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4667332" w14:textId="77777777" w:rsidR="005412A2" w:rsidRPr="00992FCC" w:rsidRDefault="00D65DC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62" w:type="dxa"/>
            <w:vAlign w:val="center"/>
          </w:tcPr>
          <w:p w14:paraId="195E27FF" w14:textId="77777777" w:rsidR="005412A2" w:rsidRPr="00992FCC"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68%</w:t>
            </w:r>
          </w:p>
        </w:tc>
        <w:tc>
          <w:tcPr>
            <w:tcW w:w="2618" w:type="dxa"/>
            <w:vAlign w:val="center"/>
          </w:tcPr>
          <w:p w14:paraId="4C312B97" w14:textId="77777777" w:rsidR="005412A2" w:rsidRPr="00992FCC" w:rsidRDefault="00E95C51"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NP</w:t>
            </w:r>
          </w:p>
        </w:tc>
        <w:tc>
          <w:tcPr>
            <w:tcW w:w="2618" w:type="dxa"/>
            <w:vAlign w:val="center"/>
          </w:tcPr>
          <w:p w14:paraId="1562246A" w14:textId="77777777"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75%</w:t>
            </w:r>
          </w:p>
        </w:tc>
      </w:tr>
      <w:tr w:rsidR="005412A2" w:rsidRPr="00116BAB" w14:paraId="29ABDA7A" w14:textId="77777777" w:rsidTr="005412A2">
        <w:tc>
          <w:tcPr>
            <w:tcW w:w="3356" w:type="dxa"/>
          </w:tcPr>
          <w:p w14:paraId="4BF649FF"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42819913" w14:textId="77777777" w:rsidR="005412A2" w:rsidRPr="00992FCC"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62" w:type="dxa"/>
            <w:shd w:val="clear" w:color="auto" w:fill="auto"/>
            <w:vAlign w:val="center"/>
          </w:tcPr>
          <w:p w14:paraId="00DA34CA" w14:textId="77777777" w:rsidR="005412A2" w:rsidRPr="00992FCC"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618" w:type="dxa"/>
            <w:vAlign w:val="center"/>
          </w:tcPr>
          <w:p w14:paraId="4E27D66A" w14:textId="77777777"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0</w:t>
            </w:r>
          </w:p>
        </w:tc>
        <w:tc>
          <w:tcPr>
            <w:tcW w:w="2618" w:type="dxa"/>
            <w:vAlign w:val="center"/>
          </w:tcPr>
          <w:p w14:paraId="695980B7" w14:textId="77777777"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0</w:t>
            </w:r>
          </w:p>
        </w:tc>
      </w:tr>
      <w:tr w:rsidR="005412A2" w:rsidRPr="00116BAB" w14:paraId="0423EFCE" w14:textId="77777777" w:rsidTr="005412A2">
        <w:tc>
          <w:tcPr>
            <w:tcW w:w="3356" w:type="dxa"/>
          </w:tcPr>
          <w:p w14:paraId="40E946AC" w14:textId="77777777" w:rsidR="005412A2" w:rsidRPr="00346E3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504911D8" w14:textId="77777777" w:rsidR="005412A2" w:rsidRPr="00992FCC" w:rsidRDefault="00D65DC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1E3E71C0" w14:textId="77777777" w:rsidR="005412A2" w:rsidRPr="00992FCC"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32%</w:t>
            </w:r>
          </w:p>
        </w:tc>
        <w:tc>
          <w:tcPr>
            <w:tcW w:w="2618" w:type="dxa"/>
            <w:vAlign w:val="center"/>
          </w:tcPr>
          <w:p w14:paraId="5C9E83E7" w14:textId="77777777" w:rsidR="005412A2" w:rsidRPr="00992FCC" w:rsidRDefault="00E95C51"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NP</w:t>
            </w:r>
          </w:p>
        </w:tc>
        <w:tc>
          <w:tcPr>
            <w:tcW w:w="2618" w:type="dxa"/>
            <w:vAlign w:val="center"/>
          </w:tcPr>
          <w:p w14:paraId="483714C0" w14:textId="77777777"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25%</w:t>
            </w:r>
          </w:p>
        </w:tc>
      </w:tr>
      <w:tr w:rsidR="005412A2" w:rsidRPr="00116BAB" w14:paraId="2BE84B2B" w14:textId="77777777" w:rsidTr="005412A2">
        <w:tc>
          <w:tcPr>
            <w:tcW w:w="3356" w:type="dxa"/>
          </w:tcPr>
          <w:p w14:paraId="71B37472"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0C87259D" w14:textId="77777777" w:rsidR="005412A2" w:rsidRPr="000C0C08" w:rsidRDefault="00D65DC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962" w:type="dxa"/>
            <w:vAlign w:val="center"/>
          </w:tcPr>
          <w:p w14:paraId="37BAB69A" w14:textId="77777777"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618" w:type="dxa"/>
            <w:vAlign w:val="center"/>
          </w:tcPr>
          <w:p w14:paraId="10FBFF20" w14:textId="77777777" w:rsidR="005412A2" w:rsidRPr="00992FCC" w:rsidRDefault="00E95C51"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NP</w:t>
            </w:r>
          </w:p>
        </w:tc>
        <w:tc>
          <w:tcPr>
            <w:tcW w:w="2618" w:type="dxa"/>
            <w:vAlign w:val="center"/>
          </w:tcPr>
          <w:p w14:paraId="2E77258D" w14:textId="77777777"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100%</w:t>
            </w:r>
          </w:p>
        </w:tc>
      </w:tr>
    </w:tbl>
    <w:p w14:paraId="09988C43"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w:t>
      </w:r>
      <w:r w:rsidR="00AB5930">
        <w:t xml:space="preserve"> </w:t>
      </w:r>
      <w:r w:rsidRPr="002B3DDA">
        <w:t>from 12 May 2021 attending activities is no longer compulsory for CDP job seekers, meaning that non-attendance no longer attracts a penalty). Job seekers can therefore have penalties applied where:</w:t>
      </w:r>
      <w:r w:rsidR="00CF167F" w:rsidRPr="00325EF7">
        <w:t xml:space="preserve"> </w:t>
      </w:r>
    </w:p>
    <w:p w14:paraId="3C499F70"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6F764EE5"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28BDA4C6"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0E6703E5"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210D1201"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0D78717B" w14:textId="77777777"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60A6293D" w14:textId="77777777" w:rsidR="00B51AA6" w:rsidRDefault="00F41E83" w:rsidP="006D18C4">
      <w:pPr>
        <w:pStyle w:val="Heading2"/>
        <w:numPr>
          <w:ilvl w:val="0"/>
          <w:numId w:val="0"/>
        </w:numPr>
        <w:spacing w:after="240"/>
        <w:ind w:left="709" w:hanging="709"/>
      </w:pPr>
      <w:r>
        <w:br w:type="page"/>
      </w:r>
    </w:p>
    <w:p w14:paraId="6188F3C8" w14:textId="77777777" w:rsidR="0096129B"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gridCol w:w="2571"/>
        <w:gridCol w:w="2571"/>
      </w:tblGrid>
      <w:tr w:rsidR="0096129B" w:rsidRPr="00116BAB" w14:paraId="0127145B" w14:textId="77777777" w:rsidTr="00C3663B">
        <w:trPr>
          <w:tblHeader/>
        </w:trPr>
        <w:tc>
          <w:tcPr>
            <w:tcW w:w="3532" w:type="dxa"/>
          </w:tcPr>
          <w:p w14:paraId="5DFD2BB4" w14:textId="77777777" w:rsidR="0096129B" w:rsidRDefault="0096129B"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54826F62" w14:textId="77777777" w:rsidR="0096129B" w:rsidRDefault="0096129B" w:rsidP="0096129B">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5142" w:type="dxa"/>
            <w:gridSpan w:val="2"/>
            <w:vAlign w:val="center"/>
          </w:tcPr>
          <w:p w14:paraId="2AF7D805" w14:textId="77777777" w:rsidR="0096129B" w:rsidRDefault="0096129B" w:rsidP="0096129B">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96129B" w:rsidRPr="00116BAB" w14:paraId="5ACB363D" w14:textId="77777777" w:rsidTr="00C3663B">
        <w:trPr>
          <w:tblHeader/>
        </w:trPr>
        <w:tc>
          <w:tcPr>
            <w:tcW w:w="3532" w:type="dxa"/>
          </w:tcPr>
          <w:p w14:paraId="5344A70C" w14:textId="77777777" w:rsidR="0096129B" w:rsidRPr="00116BAB" w:rsidRDefault="0096129B"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0BC955D9"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5EF26A5"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71" w:type="dxa"/>
            <w:vAlign w:val="center"/>
          </w:tcPr>
          <w:p w14:paraId="02AA665B" w14:textId="77777777" w:rsidR="0096129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71" w:type="dxa"/>
            <w:vAlign w:val="center"/>
          </w:tcPr>
          <w:p w14:paraId="5E255F70" w14:textId="77777777" w:rsidR="0096129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96129B" w:rsidRPr="00116BAB" w14:paraId="35000127" w14:textId="77777777" w:rsidTr="00C3663B">
        <w:tc>
          <w:tcPr>
            <w:tcW w:w="3532" w:type="dxa"/>
          </w:tcPr>
          <w:p w14:paraId="40EC97E1" w14:textId="77777777" w:rsidR="0096129B" w:rsidRPr="00116BA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4F8B64C9" w14:textId="77777777" w:rsidR="0096129B" w:rsidRPr="002619C1"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31A648E3" w14:textId="77777777" w:rsidR="0096129B" w:rsidRPr="002619C1"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43%</w:t>
            </w:r>
          </w:p>
        </w:tc>
        <w:tc>
          <w:tcPr>
            <w:tcW w:w="2571" w:type="dxa"/>
            <w:vAlign w:val="center"/>
          </w:tcPr>
          <w:p w14:paraId="53470C72" w14:textId="77777777" w:rsidR="0096129B"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 xml:space="preserve"> &lt;20</w:t>
            </w:r>
          </w:p>
        </w:tc>
        <w:tc>
          <w:tcPr>
            <w:tcW w:w="2571" w:type="dxa"/>
            <w:vAlign w:val="center"/>
          </w:tcPr>
          <w:p w14:paraId="67B56567" w14:textId="77777777" w:rsidR="0096129B"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39%</w:t>
            </w:r>
          </w:p>
        </w:tc>
      </w:tr>
      <w:tr w:rsidR="0096129B" w:rsidRPr="00116BAB" w14:paraId="2BE726E7" w14:textId="77777777" w:rsidTr="00C3663B">
        <w:tc>
          <w:tcPr>
            <w:tcW w:w="3532" w:type="dxa"/>
          </w:tcPr>
          <w:p w14:paraId="5C38FBC0" w14:textId="77777777" w:rsidR="0096129B" w:rsidRPr="00FB0ECB" w:rsidRDefault="0096129B" w:rsidP="00C3663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111ED2A3" w14:textId="77777777" w:rsidR="0096129B" w:rsidRPr="002619C1"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6683818B" w14:textId="77777777" w:rsidR="0096129B" w:rsidRPr="002619C1"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57%</w:t>
            </w:r>
          </w:p>
        </w:tc>
        <w:tc>
          <w:tcPr>
            <w:tcW w:w="2571" w:type="dxa"/>
            <w:vAlign w:val="center"/>
          </w:tcPr>
          <w:p w14:paraId="5E0D9287" w14:textId="77777777" w:rsidR="0096129B"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71" w:type="dxa"/>
            <w:vAlign w:val="center"/>
          </w:tcPr>
          <w:p w14:paraId="49BB2780" w14:textId="77777777" w:rsidR="0096129B"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61%</w:t>
            </w:r>
          </w:p>
        </w:tc>
      </w:tr>
      <w:tr w:rsidR="0096129B" w:rsidRPr="00116BAB" w14:paraId="5C68F608" w14:textId="77777777" w:rsidTr="00C3663B">
        <w:tc>
          <w:tcPr>
            <w:tcW w:w="3532" w:type="dxa"/>
          </w:tcPr>
          <w:p w14:paraId="5DCC37BE" w14:textId="77777777" w:rsidR="0096129B" w:rsidRPr="00116BA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vAlign w:val="center"/>
          </w:tcPr>
          <w:p w14:paraId="7E836D54" w14:textId="77777777" w:rsidR="0096129B" w:rsidRPr="002619C1" w:rsidRDefault="00D65DC8" w:rsidP="00C3663B">
            <w:pPr>
              <w:pStyle w:val="Heading2"/>
              <w:numPr>
                <w:ilvl w:val="0"/>
                <w:numId w:val="0"/>
              </w:numPr>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130632A5" w14:textId="77777777" w:rsidR="0096129B" w:rsidRPr="002619C1"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14%</w:t>
            </w:r>
          </w:p>
        </w:tc>
        <w:tc>
          <w:tcPr>
            <w:tcW w:w="2571" w:type="dxa"/>
            <w:vAlign w:val="center"/>
          </w:tcPr>
          <w:p w14:paraId="6FD1929F" w14:textId="77777777" w:rsidR="0096129B"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571" w:type="dxa"/>
            <w:vAlign w:val="center"/>
          </w:tcPr>
          <w:p w14:paraId="55F2BDD2" w14:textId="77777777" w:rsidR="0096129B" w:rsidRDefault="00BE13E8"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19%</w:t>
            </w:r>
          </w:p>
        </w:tc>
      </w:tr>
      <w:tr w:rsidR="0096129B" w:rsidRPr="00116BAB" w14:paraId="10C053F8" w14:textId="77777777" w:rsidTr="00C3663B">
        <w:tc>
          <w:tcPr>
            <w:tcW w:w="3532" w:type="dxa"/>
          </w:tcPr>
          <w:p w14:paraId="41B37B74" w14:textId="77777777" w:rsidR="0096129B" w:rsidRPr="00346E3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1D93F639" w14:textId="77777777" w:rsidR="0096129B" w:rsidRPr="002619C1" w:rsidRDefault="00D65DC8" w:rsidP="00C3663B">
            <w:pPr>
              <w:pStyle w:val="Heading2"/>
              <w:numPr>
                <w:ilvl w:val="0"/>
                <w:numId w:val="0"/>
              </w:numPr>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50599D75" w14:textId="77777777" w:rsidR="0096129B" w:rsidRPr="002619C1"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w:t>
            </w:r>
          </w:p>
        </w:tc>
        <w:tc>
          <w:tcPr>
            <w:tcW w:w="2571" w:type="dxa"/>
            <w:vAlign w:val="center"/>
          </w:tcPr>
          <w:p w14:paraId="18FA668D" w14:textId="77777777" w:rsidR="0096129B"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571" w:type="dxa"/>
            <w:vAlign w:val="center"/>
          </w:tcPr>
          <w:p w14:paraId="593CE8EB" w14:textId="77777777" w:rsidR="0096129B"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13%</w:t>
            </w:r>
          </w:p>
        </w:tc>
      </w:tr>
      <w:tr w:rsidR="0096129B" w:rsidRPr="00116BAB" w14:paraId="2D05E77D" w14:textId="77777777" w:rsidTr="00C3663B">
        <w:tc>
          <w:tcPr>
            <w:tcW w:w="3532" w:type="dxa"/>
          </w:tcPr>
          <w:p w14:paraId="3D620758" w14:textId="77777777" w:rsidR="0096129B" w:rsidRPr="00346E3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74C081EC" w14:textId="77777777" w:rsidR="0096129B" w:rsidRPr="002619C1" w:rsidRDefault="00D65DC8" w:rsidP="00C3663B">
            <w:pPr>
              <w:pStyle w:val="Heading2"/>
              <w:numPr>
                <w:ilvl w:val="0"/>
                <w:numId w:val="0"/>
              </w:numPr>
              <w:jc w:val="center"/>
              <w:outlineLvl w:val="1"/>
              <w:rPr>
                <w:rFonts w:ascii="Gill Sans MT" w:hAnsi="Gill Sans MT"/>
                <w:b w:val="0"/>
                <w:szCs w:val="22"/>
              </w:rPr>
            </w:pPr>
            <w:r>
              <w:rPr>
                <w:rFonts w:ascii="Gill Sans MT" w:hAnsi="Gill Sans MT"/>
                <w:b w:val="0"/>
                <w:szCs w:val="22"/>
              </w:rPr>
              <w:t xml:space="preserve"> &lt;20</w:t>
            </w:r>
          </w:p>
        </w:tc>
        <w:tc>
          <w:tcPr>
            <w:tcW w:w="2920" w:type="dxa"/>
            <w:vAlign w:val="center"/>
          </w:tcPr>
          <w:p w14:paraId="18453B77" w14:textId="77777777" w:rsidR="0096129B" w:rsidRPr="002619C1" w:rsidRDefault="00BE13E8"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36%</w:t>
            </w:r>
          </w:p>
        </w:tc>
        <w:tc>
          <w:tcPr>
            <w:tcW w:w="2571" w:type="dxa"/>
            <w:vAlign w:val="center"/>
          </w:tcPr>
          <w:p w14:paraId="3306FA1B" w14:textId="77777777" w:rsidR="0096129B" w:rsidRDefault="00D65DC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571" w:type="dxa"/>
            <w:vAlign w:val="center"/>
          </w:tcPr>
          <w:p w14:paraId="2DB5A84A" w14:textId="77777777" w:rsidR="0096129B" w:rsidRDefault="00BE13E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29%</w:t>
            </w:r>
          </w:p>
        </w:tc>
      </w:tr>
      <w:tr w:rsidR="0096129B" w:rsidRPr="00116BAB" w14:paraId="7AF6FEC9" w14:textId="77777777" w:rsidTr="00C3663B">
        <w:tc>
          <w:tcPr>
            <w:tcW w:w="3532" w:type="dxa"/>
          </w:tcPr>
          <w:p w14:paraId="568E809F" w14:textId="77777777" w:rsidR="0096129B" w:rsidRPr="00B622A4" w:rsidRDefault="0096129B"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33E94847" w14:textId="77777777" w:rsidR="0096129B" w:rsidRPr="002619C1" w:rsidRDefault="00D65DC8"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 xml:space="preserve"> </w:t>
            </w:r>
            <w:r>
              <w:rPr>
                <w:rFonts w:ascii="Gill Sans MT" w:hAnsi="Gill Sans MT"/>
                <w:b w:val="0"/>
                <w:szCs w:val="22"/>
              </w:rPr>
              <w:t>&lt;20</w:t>
            </w:r>
          </w:p>
        </w:tc>
        <w:tc>
          <w:tcPr>
            <w:tcW w:w="2920" w:type="dxa"/>
            <w:vAlign w:val="center"/>
          </w:tcPr>
          <w:p w14:paraId="17869094" w14:textId="77777777" w:rsidR="0096129B" w:rsidRPr="002619C1" w:rsidRDefault="00BE13E8"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c>
          <w:tcPr>
            <w:tcW w:w="2571" w:type="dxa"/>
            <w:vAlign w:val="center"/>
          </w:tcPr>
          <w:p w14:paraId="20654DDE" w14:textId="77777777" w:rsidR="0096129B" w:rsidRPr="002619C1" w:rsidRDefault="00D65DC8"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NP</w:t>
            </w:r>
          </w:p>
        </w:tc>
        <w:tc>
          <w:tcPr>
            <w:tcW w:w="2571" w:type="dxa"/>
            <w:vAlign w:val="center"/>
          </w:tcPr>
          <w:p w14:paraId="6968F7CA" w14:textId="77777777" w:rsidR="0096129B" w:rsidRPr="002619C1" w:rsidRDefault="00BE13E8"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70994F44" w14:textId="77777777" w:rsidR="00366AB0" w:rsidRPr="001053D0" w:rsidRDefault="00366AB0" w:rsidP="001053D0">
      <w:pPr>
        <w:pStyle w:val="Heading3"/>
        <w:numPr>
          <w:ilvl w:val="0"/>
          <w:numId w:val="0"/>
        </w:numPr>
        <w:rPr>
          <w:rFonts w:ascii="Arial" w:hAnsi="Arial" w:cs="Arial"/>
          <w:i/>
        </w:rPr>
      </w:pPr>
    </w:p>
    <w:p w14:paraId="4482D36C"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69F5A97A" w14:textId="77777777" w:rsidR="002522E1" w:rsidRDefault="002522E1">
      <w:pPr>
        <w:spacing w:before="0"/>
        <w:ind w:left="0"/>
      </w:pPr>
      <w:r>
        <w:br w:type="page"/>
      </w:r>
    </w:p>
    <w:p w14:paraId="1073A5F5" w14:textId="77777777"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4732"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gridCol w:w="4604"/>
      </w:tblGrid>
      <w:tr w:rsidR="0096129B" w14:paraId="7FE0EAD3" w14:textId="77777777" w:rsidTr="00C3663B">
        <w:trPr>
          <w:trHeight w:val="303"/>
          <w:tblHeader/>
        </w:trPr>
        <w:tc>
          <w:tcPr>
            <w:tcW w:w="5301" w:type="dxa"/>
            <w:vAlign w:val="center"/>
          </w:tcPr>
          <w:p w14:paraId="3FB26C6A" w14:textId="77777777" w:rsidR="0096129B" w:rsidRPr="00AF49AF" w:rsidRDefault="0096129B"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3AF5F221" w14:textId="77777777" w:rsidR="0096129B" w:rsidRPr="00AF49AF" w:rsidRDefault="0096129B"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April 2022 to 30 June 2022</w:t>
            </w:r>
          </w:p>
        </w:tc>
        <w:tc>
          <w:tcPr>
            <w:tcW w:w="4604" w:type="dxa"/>
            <w:vAlign w:val="center"/>
          </w:tcPr>
          <w:p w14:paraId="0856AABE" w14:textId="77777777" w:rsidR="0096129B" w:rsidRPr="00AF49AF" w:rsidRDefault="0096129B"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July 2021 to 30 June 2022</w:t>
            </w:r>
          </w:p>
        </w:tc>
      </w:tr>
      <w:tr w:rsidR="0096129B" w14:paraId="406C95E1" w14:textId="77777777" w:rsidTr="00C3663B">
        <w:trPr>
          <w:trHeight w:val="303"/>
          <w:tblHeader/>
        </w:trPr>
        <w:tc>
          <w:tcPr>
            <w:tcW w:w="5301" w:type="dxa"/>
            <w:vAlign w:val="center"/>
          </w:tcPr>
          <w:p w14:paraId="729D9C82"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238A0ACF" w14:textId="77777777" w:rsidR="0096129B" w:rsidRPr="00AF49AF" w:rsidRDefault="0096129B"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c>
          <w:tcPr>
            <w:tcW w:w="4604" w:type="dxa"/>
            <w:vAlign w:val="center"/>
          </w:tcPr>
          <w:p w14:paraId="01CD6A1D" w14:textId="77777777" w:rsidR="0096129B" w:rsidRPr="00AF49AF" w:rsidRDefault="0096129B" w:rsidP="00C3663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ascii="Gill Sans MT" w:eastAsia="Times New Roman" w:hAnsi="Gill Sans MT" w:cs="Calibri"/>
                <w:color w:val="000000"/>
                <w:szCs w:val="22"/>
                <w:lang w:eastAsia="en-AU"/>
              </w:rPr>
              <w:t>Percent</w:t>
            </w:r>
          </w:p>
        </w:tc>
      </w:tr>
      <w:tr w:rsidR="0096129B" w14:paraId="6660C653" w14:textId="77777777" w:rsidTr="00C3663B">
        <w:trPr>
          <w:trHeight w:val="293"/>
        </w:trPr>
        <w:tc>
          <w:tcPr>
            <w:tcW w:w="5301" w:type="dxa"/>
            <w:vAlign w:val="center"/>
          </w:tcPr>
          <w:p w14:paraId="20BEAD30"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4E06C9C0"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7576B73E"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96129B" w14:paraId="61769CB4" w14:textId="77777777" w:rsidTr="00C3663B">
        <w:trPr>
          <w:trHeight w:val="293"/>
        </w:trPr>
        <w:tc>
          <w:tcPr>
            <w:tcW w:w="5301" w:type="dxa"/>
            <w:vAlign w:val="center"/>
          </w:tcPr>
          <w:p w14:paraId="29A54149"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43C64CE9"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298153BF"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96129B" w14:paraId="495CE9B5" w14:textId="77777777" w:rsidTr="00C3663B">
        <w:trPr>
          <w:trHeight w:val="293"/>
        </w:trPr>
        <w:tc>
          <w:tcPr>
            <w:tcW w:w="5301" w:type="dxa"/>
            <w:vAlign w:val="center"/>
          </w:tcPr>
          <w:p w14:paraId="1E6688D3"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5E9BBB8D" w14:textId="77777777" w:rsidR="00BE13E8" w:rsidRPr="00BE13E8" w:rsidRDefault="00BE13E8" w:rsidP="00BE13E8">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1776F335"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5.3%</w:t>
            </w:r>
          </w:p>
        </w:tc>
      </w:tr>
      <w:tr w:rsidR="0096129B" w14:paraId="11F2487B" w14:textId="77777777" w:rsidTr="00C3663B">
        <w:trPr>
          <w:trHeight w:val="293"/>
        </w:trPr>
        <w:tc>
          <w:tcPr>
            <w:tcW w:w="5301" w:type="dxa"/>
            <w:vAlign w:val="center"/>
          </w:tcPr>
          <w:p w14:paraId="0C7E9A1A"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6FEA86A6"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14.3%</w:t>
            </w:r>
          </w:p>
        </w:tc>
        <w:tc>
          <w:tcPr>
            <w:tcW w:w="4604" w:type="dxa"/>
            <w:vAlign w:val="center"/>
          </w:tcPr>
          <w:p w14:paraId="133C78C8"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7.9%</w:t>
            </w:r>
          </w:p>
        </w:tc>
      </w:tr>
      <w:tr w:rsidR="0096129B" w14:paraId="063867DC" w14:textId="77777777" w:rsidTr="00C3663B">
        <w:trPr>
          <w:trHeight w:val="293"/>
        </w:trPr>
        <w:tc>
          <w:tcPr>
            <w:tcW w:w="5301" w:type="dxa"/>
            <w:vAlign w:val="center"/>
          </w:tcPr>
          <w:p w14:paraId="16D35686"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4AB233A"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74734C06"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2.6%</w:t>
            </w:r>
          </w:p>
        </w:tc>
      </w:tr>
      <w:tr w:rsidR="0096129B" w14:paraId="770EAE48" w14:textId="77777777" w:rsidTr="00C3663B">
        <w:trPr>
          <w:trHeight w:val="293"/>
        </w:trPr>
        <w:tc>
          <w:tcPr>
            <w:tcW w:w="5301" w:type="dxa"/>
            <w:vAlign w:val="center"/>
          </w:tcPr>
          <w:p w14:paraId="3CF52921"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437B866"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7.1%</w:t>
            </w:r>
          </w:p>
        </w:tc>
        <w:tc>
          <w:tcPr>
            <w:tcW w:w="4604" w:type="dxa"/>
            <w:vAlign w:val="center"/>
          </w:tcPr>
          <w:p w14:paraId="08A9D9A1"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2.6%</w:t>
            </w:r>
          </w:p>
        </w:tc>
      </w:tr>
      <w:tr w:rsidR="0096129B" w14:paraId="4089C671" w14:textId="77777777" w:rsidTr="00C3663B">
        <w:trPr>
          <w:trHeight w:val="293"/>
        </w:trPr>
        <w:tc>
          <w:tcPr>
            <w:tcW w:w="5301" w:type="dxa"/>
            <w:vAlign w:val="center"/>
          </w:tcPr>
          <w:p w14:paraId="0940F439"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1BE5F01F"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14.3%</w:t>
            </w:r>
          </w:p>
        </w:tc>
        <w:tc>
          <w:tcPr>
            <w:tcW w:w="4604" w:type="dxa"/>
            <w:vAlign w:val="center"/>
          </w:tcPr>
          <w:p w14:paraId="5F399EB1"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5.3%</w:t>
            </w:r>
          </w:p>
        </w:tc>
      </w:tr>
      <w:tr w:rsidR="0096129B" w14:paraId="108AF71B" w14:textId="77777777" w:rsidTr="00C3663B">
        <w:trPr>
          <w:trHeight w:val="293"/>
        </w:trPr>
        <w:tc>
          <w:tcPr>
            <w:tcW w:w="5301" w:type="dxa"/>
            <w:vAlign w:val="center"/>
          </w:tcPr>
          <w:p w14:paraId="008EA43D"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7B3F5AB3"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48877B1E"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2.6%</w:t>
            </w:r>
          </w:p>
        </w:tc>
      </w:tr>
      <w:tr w:rsidR="0096129B" w14:paraId="6097E714" w14:textId="77777777" w:rsidTr="00C3663B">
        <w:trPr>
          <w:trHeight w:val="293"/>
        </w:trPr>
        <w:tc>
          <w:tcPr>
            <w:tcW w:w="5301" w:type="dxa"/>
            <w:vAlign w:val="center"/>
          </w:tcPr>
          <w:p w14:paraId="3E368C0B"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4DA7558A" w14:textId="77777777"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7.1%</w:t>
            </w:r>
          </w:p>
        </w:tc>
        <w:tc>
          <w:tcPr>
            <w:tcW w:w="4604" w:type="dxa"/>
            <w:vAlign w:val="center"/>
          </w:tcPr>
          <w:p w14:paraId="27897D47"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13.2%</w:t>
            </w:r>
          </w:p>
        </w:tc>
      </w:tr>
    </w:tbl>
    <w:p w14:paraId="3E88E5BF" w14:textId="77777777" w:rsidR="0096129B" w:rsidRDefault="0096129B" w:rsidP="00476675">
      <w:pPr>
        <w:ind w:left="-142"/>
      </w:pPr>
    </w:p>
    <w:p w14:paraId="24E2B76A" w14:textId="77777777"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8A32DFC"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727D32C"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6DDD026B"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557031">
        <w:t>30 June 2022</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578D0F85"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2B2AEFE"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2BF0244F"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36ADC2F7"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431D568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EB76ED" w:rsidRPr="00325EF7" w14:paraId="2C8EB358" w14:textId="77777777" w:rsidTr="00EB76ED">
        <w:tc>
          <w:tcPr>
            <w:cnfStyle w:val="001000000000" w:firstRow="0" w:lastRow="0" w:firstColumn="1" w:lastColumn="0" w:oddVBand="0" w:evenVBand="0" w:oddHBand="0" w:evenHBand="0" w:firstRowFirstColumn="0" w:firstRowLastColumn="0" w:lastRowFirstColumn="0" w:lastRowLastColumn="0"/>
            <w:tcW w:w="1429" w:type="pct"/>
            <w:vAlign w:val="center"/>
          </w:tcPr>
          <w:p w14:paraId="59994E09" w14:textId="77777777" w:rsidR="00EB76ED" w:rsidRPr="004741B6" w:rsidRDefault="00EB76ED" w:rsidP="00EB76ED">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69539E9C"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10,781</w:t>
            </w:r>
          </w:p>
        </w:tc>
        <w:tc>
          <w:tcPr>
            <w:tcW w:w="1049" w:type="pct"/>
            <w:tcBorders>
              <w:top w:val="single" w:sz="4" w:space="0" w:color="auto"/>
              <w:left w:val="nil"/>
              <w:bottom w:val="single" w:sz="4" w:space="0" w:color="auto"/>
              <w:right w:val="single" w:sz="4" w:space="0" w:color="auto"/>
            </w:tcBorders>
            <w:shd w:val="clear" w:color="auto" w:fill="auto"/>
            <w:vAlign w:val="center"/>
          </w:tcPr>
          <w:p w14:paraId="47F8C3BA"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28.4%</w:t>
            </w:r>
          </w:p>
        </w:tc>
        <w:tc>
          <w:tcPr>
            <w:tcW w:w="1013" w:type="pct"/>
            <w:tcBorders>
              <w:top w:val="single" w:sz="4" w:space="0" w:color="auto"/>
              <w:left w:val="nil"/>
              <w:bottom w:val="single" w:sz="4" w:space="0" w:color="auto"/>
              <w:right w:val="single" w:sz="4" w:space="0" w:color="auto"/>
            </w:tcBorders>
            <w:shd w:val="clear" w:color="auto" w:fill="auto"/>
            <w:vAlign w:val="center"/>
          </w:tcPr>
          <w:p w14:paraId="2D79967B"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N/A</w:t>
            </w:r>
          </w:p>
        </w:tc>
      </w:tr>
      <w:tr w:rsidR="00EB76ED" w:rsidRPr="00325EF7" w14:paraId="746BA8E6" w14:textId="77777777" w:rsidTr="00EB76ED">
        <w:tc>
          <w:tcPr>
            <w:cnfStyle w:val="001000000000" w:firstRow="0" w:lastRow="0" w:firstColumn="1" w:lastColumn="0" w:oddVBand="0" w:evenVBand="0" w:oddHBand="0" w:evenHBand="0" w:firstRowFirstColumn="0" w:firstRowLastColumn="0" w:lastRowFirstColumn="0" w:lastRowLastColumn="0"/>
            <w:tcW w:w="1429" w:type="pct"/>
            <w:vAlign w:val="center"/>
          </w:tcPr>
          <w:p w14:paraId="7982F575" w14:textId="77777777" w:rsidR="00EB76ED" w:rsidRPr="004741B6" w:rsidRDefault="00EB76ED" w:rsidP="00EB76ED">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300F7614"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6,689</w:t>
            </w:r>
          </w:p>
        </w:tc>
        <w:tc>
          <w:tcPr>
            <w:tcW w:w="1049" w:type="pct"/>
            <w:tcBorders>
              <w:top w:val="nil"/>
              <w:left w:val="nil"/>
              <w:bottom w:val="single" w:sz="4" w:space="0" w:color="auto"/>
              <w:right w:val="single" w:sz="4" w:space="0" w:color="auto"/>
            </w:tcBorders>
            <w:shd w:val="clear" w:color="auto" w:fill="auto"/>
            <w:vAlign w:val="center"/>
          </w:tcPr>
          <w:p w14:paraId="5C319862"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17.6%</w:t>
            </w:r>
          </w:p>
        </w:tc>
        <w:tc>
          <w:tcPr>
            <w:tcW w:w="1013" w:type="pct"/>
            <w:tcBorders>
              <w:top w:val="nil"/>
              <w:left w:val="nil"/>
              <w:bottom w:val="single" w:sz="4" w:space="0" w:color="auto"/>
              <w:right w:val="single" w:sz="4" w:space="0" w:color="auto"/>
            </w:tcBorders>
            <w:shd w:val="clear" w:color="auto" w:fill="auto"/>
            <w:vAlign w:val="center"/>
          </w:tcPr>
          <w:p w14:paraId="75AFCD80"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7.3%</w:t>
            </w:r>
          </w:p>
        </w:tc>
      </w:tr>
      <w:tr w:rsidR="00EB76ED" w:rsidRPr="00325EF7" w14:paraId="74D7BCB8" w14:textId="77777777" w:rsidTr="00EB76ED">
        <w:tc>
          <w:tcPr>
            <w:cnfStyle w:val="001000000000" w:firstRow="0" w:lastRow="0" w:firstColumn="1" w:lastColumn="0" w:oddVBand="0" w:evenVBand="0" w:oddHBand="0" w:evenHBand="0" w:firstRowFirstColumn="0" w:firstRowLastColumn="0" w:lastRowFirstColumn="0" w:lastRowLastColumn="0"/>
            <w:tcW w:w="1429" w:type="pct"/>
            <w:vAlign w:val="center"/>
          </w:tcPr>
          <w:p w14:paraId="613B7411" w14:textId="77777777" w:rsidR="00EB76ED" w:rsidRPr="004741B6" w:rsidRDefault="00EB76ED" w:rsidP="00EB76ED">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0E09B66"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5,166</w:t>
            </w:r>
          </w:p>
        </w:tc>
        <w:tc>
          <w:tcPr>
            <w:tcW w:w="1049" w:type="pct"/>
            <w:tcBorders>
              <w:top w:val="nil"/>
              <w:left w:val="nil"/>
              <w:bottom w:val="single" w:sz="4" w:space="0" w:color="auto"/>
              <w:right w:val="single" w:sz="4" w:space="0" w:color="auto"/>
            </w:tcBorders>
            <w:shd w:val="clear" w:color="auto" w:fill="auto"/>
            <w:vAlign w:val="center"/>
          </w:tcPr>
          <w:p w14:paraId="03B66F20"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13.6%</w:t>
            </w:r>
          </w:p>
        </w:tc>
        <w:tc>
          <w:tcPr>
            <w:tcW w:w="1013" w:type="pct"/>
            <w:tcBorders>
              <w:top w:val="nil"/>
              <w:left w:val="nil"/>
              <w:bottom w:val="single" w:sz="4" w:space="0" w:color="auto"/>
              <w:right w:val="single" w:sz="4" w:space="0" w:color="auto"/>
            </w:tcBorders>
            <w:shd w:val="clear" w:color="auto" w:fill="auto"/>
            <w:vAlign w:val="center"/>
          </w:tcPr>
          <w:p w14:paraId="08D1D4A7"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11.2%</w:t>
            </w:r>
          </w:p>
        </w:tc>
      </w:tr>
      <w:tr w:rsidR="00EB76ED" w:rsidRPr="00325EF7" w14:paraId="3E95823D" w14:textId="77777777" w:rsidTr="00EB76ED">
        <w:tc>
          <w:tcPr>
            <w:cnfStyle w:val="001000000000" w:firstRow="0" w:lastRow="0" w:firstColumn="1" w:lastColumn="0" w:oddVBand="0" w:evenVBand="0" w:oddHBand="0" w:evenHBand="0" w:firstRowFirstColumn="0" w:firstRowLastColumn="0" w:lastRowFirstColumn="0" w:lastRowLastColumn="0"/>
            <w:tcW w:w="1429" w:type="pct"/>
            <w:vAlign w:val="center"/>
          </w:tcPr>
          <w:p w14:paraId="136FC593" w14:textId="77777777" w:rsidR="00EB76ED" w:rsidRPr="004741B6" w:rsidRDefault="00EB76ED" w:rsidP="00EB76ED">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FB4D14"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4,349</w:t>
            </w:r>
          </w:p>
        </w:tc>
        <w:tc>
          <w:tcPr>
            <w:tcW w:w="1049" w:type="pct"/>
            <w:tcBorders>
              <w:top w:val="nil"/>
              <w:left w:val="nil"/>
              <w:bottom w:val="single" w:sz="4" w:space="0" w:color="auto"/>
              <w:right w:val="single" w:sz="4" w:space="0" w:color="auto"/>
            </w:tcBorders>
            <w:shd w:val="clear" w:color="auto" w:fill="auto"/>
            <w:vAlign w:val="center"/>
          </w:tcPr>
          <w:p w14:paraId="60C8C657"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11.5%</w:t>
            </w:r>
          </w:p>
        </w:tc>
        <w:tc>
          <w:tcPr>
            <w:tcW w:w="1013" w:type="pct"/>
            <w:tcBorders>
              <w:top w:val="nil"/>
              <w:left w:val="nil"/>
              <w:bottom w:val="single" w:sz="4" w:space="0" w:color="auto"/>
              <w:right w:val="single" w:sz="4" w:space="0" w:color="auto"/>
            </w:tcBorders>
            <w:shd w:val="clear" w:color="auto" w:fill="auto"/>
            <w:vAlign w:val="center"/>
          </w:tcPr>
          <w:p w14:paraId="116DDBCA"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14.2%</w:t>
            </w:r>
          </w:p>
        </w:tc>
      </w:tr>
      <w:tr w:rsidR="00EB76ED" w:rsidRPr="00325EF7" w14:paraId="1B22B1B2" w14:textId="77777777" w:rsidTr="00EB76ED">
        <w:tc>
          <w:tcPr>
            <w:cnfStyle w:val="001000000000" w:firstRow="0" w:lastRow="0" w:firstColumn="1" w:lastColumn="0" w:oddVBand="0" w:evenVBand="0" w:oddHBand="0" w:evenHBand="0" w:firstRowFirstColumn="0" w:firstRowLastColumn="0" w:lastRowFirstColumn="0" w:lastRowLastColumn="0"/>
            <w:tcW w:w="1429" w:type="pct"/>
            <w:vAlign w:val="center"/>
          </w:tcPr>
          <w:p w14:paraId="08B23E4C" w14:textId="77777777" w:rsidR="00EB76ED" w:rsidRPr="004741B6" w:rsidRDefault="00EB76ED" w:rsidP="00EB76ED">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390C9ECF"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3,495</w:t>
            </w:r>
          </w:p>
        </w:tc>
        <w:tc>
          <w:tcPr>
            <w:tcW w:w="1049" w:type="pct"/>
            <w:tcBorders>
              <w:top w:val="nil"/>
              <w:left w:val="nil"/>
              <w:bottom w:val="single" w:sz="4" w:space="0" w:color="auto"/>
              <w:right w:val="single" w:sz="4" w:space="0" w:color="auto"/>
            </w:tcBorders>
            <w:shd w:val="clear" w:color="auto" w:fill="auto"/>
            <w:vAlign w:val="center"/>
          </w:tcPr>
          <w:p w14:paraId="343543B1"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9.2%</w:t>
            </w:r>
          </w:p>
        </w:tc>
        <w:tc>
          <w:tcPr>
            <w:tcW w:w="1013" w:type="pct"/>
            <w:tcBorders>
              <w:top w:val="nil"/>
              <w:left w:val="nil"/>
              <w:bottom w:val="single" w:sz="4" w:space="0" w:color="auto"/>
              <w:right w:val="single" w:sz="4" w:space="0" w:color="auto"/>
            </w:tcBorders>
            <w:shd w:val="clear" w:color="auto" w:fill="auto"/>
            <w:vAlign w:val="center"/>
          </w:tcPr>
          <w:p w14:paraId="7A72A4A1"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15.2%</w:t>
            </w:r>
          </w:p>
        </w:tc>
      </w:tr>
      <w:tr w:rsidR="00EB76ED" w:rsidRPr="00325EF7" w14:paraId="71239BFA" w14:textId="77777777" w:rsidTr="00EB76ED">
        <w:tc>
          <w:tcPr>
            <w:cnfStyle w:val="001000000000" w:firstRow="0" w:lastRow="0" w:firstColumn="1" w:lastColumn="0" w:oddVBand="0" w:evenVBand="0" w:oddHBand="0" w:evenHBand="0" w:firstRowFirstColumn="0" w:firstRowLastColumn="0" w:lastRowFirstColumn="0" w:lastRowLastColumn="0"/>
            <w:tcW w:w="1429" w:type="pct"/>
            <w:vAlign w:val="center"/>
          </w:tcPr>
          <w:p w14:paraId="1D07C139" w14:textId="77777777" w:rsidR="00EB76ED" w:rsidRPr="004741B6" w:rsidRDefault="00EB76ED" w:rsidP="00EB76ED">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4D8C6D17"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7,445</w:t>
            </w:r>
          </w:p>
        </w:tc>
        <w:tc>
          <w:tcPr>
            <w:tcW w:w="1049" w:type="pct"/>
            <w:tcBorders>
              <w:top w:val="nil"/>
              <w:left w:val="nil"/>
              <w:bottom w:val="single" w:sz="4" w:space="0" w:color="auto"/>
              <w:right w:val="single" w:sz="4" w:space="0" w:color="auto"/>
            </w:tcBorders>
            <w:shd w:val="clear" w:color="auto" w:fill="auto"/>
            <w:vAlign w:val="center"/>
          </w:tcPr>
          <w:p w14:paraId="1F41ECD7"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19.6%</w:t>
            </w:r>
          </w:p>
        </w:tc>
        <w:tc>
          <w:tcPr>
            <w:tcW w:w="1013" w:type="pct"/>
            <w:tcBorders>
              <w:top w:val="nil"/>
              <w:left w:val="nil"/>
              <w:bottom w:val="single" w:sz="4" w:space="0" w:color="auto"/>
              <w:right w:val="single" w:sz="4" w:space="0" w:color="auto"/>
            </w:tcBorders>
            <w:shd w:val="clear" w:color="auto" w:fill="auto"/>
            <w:vAlign w:val="center"/>
          </w:tcPr>
          <w:p w14:paraId="3F27B3A5" w14:textId="77777777" w:rsidR="00EB76ED" w:rsidRPr="00EB76ED" w:rsidRDefault="00EB76ED" w:rsidP="00EB76ED">
            <w:pPr>
              <w:ind w:left="-142" w:firstLine="142"/>
              <w:cnfStyle w:val="000000000000" w:firstRow="0" w:lastRow="0" w:firstColumn="0" w:lastColumn="0" w:oddVBand="0" w:evenVBand="0" w:oddHBand="0" w:evenHBand="0" w:firstRowFirstColumn="0" w:firstRowLastColumn="0" w:lastRowFirstColumn="0" w:lastRowLastColumn="0"/>
              <w:rPr>
                <w:noProof/>
              </w:rPr>
            </w:pPr>
            <w:r w:rsidRPr="00EB76ED">
              <w:rPr>
                <w:rFonts w:cs="Gill Sans MT"/>
                <w:color w:val="000000"/>
              </w:rPr>
              <w:t>52.1%</w:t>
            </w:r>
          </w:p>
        </w:tc>
      </w:tr>
      <w:tr w:rsidR="00EB76ED" w:rsidRPr="00325EF7" w14:paraId="383058F6" w14:textId="77777777" w:rsidTr="00EB76ED">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7E23BA41" w14:textId="77777777" w:rsidR="00EB76ED" w:rsidRPr="004741B6" w:rsidRDefault="00EB76ED" w:rsidP="00EB76ED">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3BAD5A4E" w14:textId="77777777" w:rsidR="00EB76ED" w:rsidRPr="00EB76ED" w:rsidRDefault="00EB76ED" w:rsidP="00EB76ED">
            <w:pPr>
              <w:ind w:left="-142" w:firstLine="142"/>
              <w:cnfStyle w:val="010000000000" w:firstRow="0" w:lastRow="1" w:firstColumn="0" w:lastColumn="0" w:oddVBand="0" w:evenVBand="0" w:oddHBand="0" w:evenHBand="0" w:firstRowFirstColumn="0" w:firstRowLastColumn="0" w:lastRowFirstColumn="0" w:lastRowLastColumn="0"/>
              <w:rPr>
                <w:noProof/>
              </w:rPr>
            </w:pPr>
            <w:r w:rsidRPr="00EB76ED">
              <w:rPr>
                <w:rFonts w:cs="Gill Sans MT"/>
                <w:b w:val="0"/>
                <w:bCs/>
                <w:color w:val="000000"/>
              </w:rPr>
              <w:t>37,925</w:t>
            </w:r>
          </w:p>
        </w:tc>
        <w:tc>
          <w:tcPr>
            <w:tcW w:w="1049" w:type="pct"/>
            <w:tcBorders>
              <w:top w:val="nil"/>
              <w:left w:val="nil"/>
              <w:bottom w:val="single" w:sz="4" w:space="0" w:color="auto"/>
              <w:right w:val="single" w:sz="4" w:space="0" w:color="auto"/>
            </w:tcBorders>
            <w:shd w:val="clear" w:color="auto" w:fill="auto"/>
            <w:vAlign w:val="center"/>
          </w:tcPr>
          <w:p w14:paraId="046E4492" w14:textId="77777777" w:rsidR="00EB76ED" w:rsidRPr="00EB76ED" w:rsidRDefault="00EB76ED" w:rsidP="00EB76ED">
            <w:pPr>
              <w:ind w:left="-142" w:firstLine="142"/>
              <w:cnfStyle w:val="010000000000" w:firstRow="0" w:lastRow="1" w:firstColumn="0" w:lastColumn="0" w:oddVBand="0" w:evenVBand="0" w:oddHBand="0" w:evenHBand="0" w:firstRowFirstColumn="0" w:firstRowLastColumn="0" w:lastRowFirstColumn="0" w:lastRowLastColumn="0"/>
              <w:rPr>
                <w:noProof/>
              </w:rPr>
            </w:pPr>
            <w:r w:rsidRPr="00EB76ED">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5494D8A" w14:textId="77777777" w:rsidR="00EB76ED" w:rsidRPr="00EB76ED" w:rsidRDefault="00EB76ED" w:rsidP="00EB76ED">
            <w:pPr>
              <w:ind w:left="-142" w:firstLine="142"/>
              <w:cnfStyle w:val="010000000000" w:firstRow="0" w:lastRow="1" w:firstColumn="0" w:lastColumn="0" w:oddVBand="0" w:evenVBand="0" w:oddHBand="0" w:evenHBand="0" w:firstRowFirstColumn="0" w:firstRowLastColumn="0" w:lastRowFirstColumn="0" w:lastRowLastColumn="0"/>
              <w:rPr>
                <w:noProof/>
              </w:rPr>
            </w:pPr>
            <w:r w:rsidRPr="00EB76ED">
              <w:rPr>
                <w:rFonts w:cs="Gill Sans MT"/>
                <w:b w:val="0"/>
                <w:bCs/>
                <w:color w:val="000000"/>
              </w:rPr>
              <w:t>100%</w:t>
            </w:r>
          </w:p>
        </w:tc>
      </w:tr>
    </w:tbl>
    <w:p w14:paraId="31D1A731"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307C3C3"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6BEDFC2F"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557031">
        <w:t>30 June 2022</w:t>
      </w:r>
      <w:r w:rsidR="008D1F89" w:rsidRPr="00325EF7">
        <w:t xml:space="preserve"> </w:t>
      </w:r>
      <w:r w:rsidRPr="00325EF7">
        <w:t>who received the specified number of Participation Reports, Provider Appointment Reports and/or Non-Attendance Reports over the preceding twelve months.</w:t>
      </w:r>
    </w:p>
    <w:p w14:paraId="23F089F1"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557031">
        <w:t>30 June 2022</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296DD8">
        <w:t>52.1</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96129B">
        <w:t xml:space="preserve">July </w:t>
      </w:r>
      <w:r w:rsidR="00D93A1B">
        <w:t>202</w:t>
      </w:r>
      <w:r w:rsidR="00F75C11">
        <w:t>1</w:t>
      </w:r>
      <w:r w:rsidR="008D1F89" w:rsidRPr="00D8728B">
        <w:t xml:space="preserve"> and </w:t>
      </w:r>
      <w:r w:rsidR="00557031">
        <w:t>30 June 2022</w:t>
      </w:r>
      <w:r w:rsidR="008D1F89" w:rsidRPr="00D8728B">
        <w:t xml:space="preserve"> </w:t>
      </w:r>
      <w:r w:rsidRPr="00287925">
        <w:t xml:space="preserve">were submitted in relation to those job seekers who, as at </w:t>
      </w:r>
      <w:r w:rsidR="00557031">
        <w:t>30 June 2022</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5DE8A78F"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4170FDF4" w14:textId="77777777" w:rsidR="00ED1D1C" w:rsidRDefault="00ED1D1C" w:rsidP="008F1667">
      <w:pPr>
        <w:spacing w:before="0" w:after="120" w:line="240" w:lineRule="auto"/>
        <w:ind w:left="-142"/>
      </w:pPr>
    </w:p>
    <w:p w14:paraId="26CB4DC9" w14:textId="77777777" w:rsidR="00E909FA" w:rsidRDefault="00E909FA" w:rsidP="00887E4E">
      <w:pPr>
        <w:ind w:left="-142" w:firstLine="142"/>
      </w:pPr>
      <w:r>
        <w:br w:type="page"/>
      </w:r>
    </w:p>
    <w:p w14:paraId="6073F12F"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02401386"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5AF877C2"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09172599" w14:textId="77777777" w:rsidR="00687E2D" w:rsidRPr="004741B6" w:rsidRDefault="00BA30DD" w:rsidP="00981F68">
            <w:pPr>
              <w:spacing w:before="0"/>
              <w:ind w:left="-142" w:firstLine="142"/>
              <w:rPr>
                <w:noProof/>
              </w:rPr>
            </w:pPr>
            <w:r>
              <w:t>1 April to 30 June 2022</w:t>
            </w:r>
          </w:p>
        </w:tc>
        <w:tc>
          <w:tcPr>
            <w:tcW w:w="1826" w:type="pct"/>
            <w:vAlign w:val="center"/>
          </w:tcPr>
          <w:p w14:paraId="580A0312" w14:textId="77777777"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557031">
              <w:rPr>
                <w:noProof/>
              </w:rPr>
              <w:t>30 June 2022</w:t>
            </w:r>
          </w:p>
        </w:tc>
        <w:tc>
          <w:tcPr>
            <w:tcW w:w="1768" w:type="pct"/>
            <w:vAlign w:val="center"/>
          </w:tcPr>
          <w:p w14:paraId="1324B4FD" w14:textId="77777777"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557031">
              <w:rPr>
                <w:noProof/>
              </w:rPr>
              <w:t>30 June 2022</w:t>
            </w:r>
            <w:r>
              <w:rPr>
                <w:noProof/>
              </w:rPr>
              <w:t xml:space="preserve"> </w:t>
            </w:r>
            <w:r w:rsidRPr="004741B6">
              <w:rPr>
                <w:noProof/>
              </w:rPr>
              <w:t xml:space="preserve">with a Participation Failure </w:t>
            </w:r>
            <w:r>
              <w:rPr>
                <w:noProof/>
              </w:rPr>
              <w:t>in past 12 months</w:t>
            </w:r>
          </w:p>
        </w:tc>
      </w:tr>
      <w:tr w:rsidR="008947F9" w:rsidRPr="00325EF7" w14:paraId="2482551E"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6F39A556" w14:textId="77777777" w:rsidR="008947F9" w:rsidRPr="001265B5" w:rsidRDefault="00E95C51" w:rsidP="008947F9">
            <w:pPr>
              <w:autoSpaceDE w:val="0"/>
              <w:autoSpaceDN w:val="0"/>
              <w:adjustRightInd w:val="0"/>
              <w:spacing w:line="360" w:lineRule="auto"/>
              <w:ind w:left="0"/>
              <w:rPr>
                <w:rFonts w:cs="Gill Sans MT"/>
                <w:b w:val="0"/>
                <w:color w:val="000000"/>
              </w:rPr>
            </w:pPr>
            <w:r>
              <w:rPr>
                <w:rFonts w:cs="Gill Sans MT"/>
                <w:b w:val="0"/>
                <w:color w:val="000000"/>
              </w:rPr>
              <w:t>NP</w:t>
            </w:r>
          </w:p>
        </w:tc>
        <w:tc>
          <w:tcPr>
            <w:tcW w:w="1826" w:type="pct"/>
            <w:vAlign w:val="center"/>
          </w:tcPr>
          <w:p w14:paraId="1188D426" w14:textId="77777777" w:rsidR="008947F9" w:rsidRPr="00495540" w:rsidRDefault="00EB76ED"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w:t>
            </w:r>
          </w:p>
        </w:tc>
        <w:tc>
          <w:tcPr>
            <w:tcW w:w="1768" w:type="pct"/>
            <w:vAlign w:val="center"/>
          </w:tcPr>
          <w:p w14:paraId="493F829B" w14:textId="77777777" w:rsidR="008947F9" w:rsidRPr="00495540" w:rsidRDefault="00E95C51"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r>
    </w:tbl>
    <w:p w14:paraId="37082D73"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4FC46E8A"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3DD19533"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2C55A30A"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6C5C847B"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557031">
        <w:t>30 June 2022</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34535852"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57031">
        <w:t>30 June 2022</w:t>
      </w:r>
      <w:r w:rsidR="00A9033B">
        <w:t>)</w:t>
      </w:r>
      <w:r>
        <w:t>.</w:t>
      </w:r>
    </w:p>
    <w:p w14:paraId="7C702285" w14:textId="77777777" w:rsidR="00CC1242" w:rsidRDefault="00CC1242">
      <w:pPr>
        <w:spacing w:before="0"/>
        <w:ind w:left="0"/>
      </w:pPr>
      <w:r>
        <w:br w:type="page"/>
      </w:r>
    </w:p>
    <w:p w14:paraId="74E9354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31AD2960"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0"/>
        <w:gridCol w:w="1665"/>
        <w:gridCol w:w="1945"/>
        <w:gridCol w:w="1948"/>
        <w:gridCol w:w="1701"/>
        <w:gridCol w:w="1769"/>
        <w:gridCol w:w="1516"/>
      </w:tblGrid>
      <w:tr w:rsidR="0096129B" w:rsidRPr="004741B6" w14:paraId="300EAF77"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tcPr>
          <w:p w14:paraId="5B192037" w14:textId="77777777" w:rsidR="0096129B" w:rsidRDefault="0096129B" w:rsidP="00C3663B">
            <w:pPr>
              <w:ind w:left="-142" w:firstLine="142"/>
            </w:pPr>
          </w:p>
        </w:tc>
        <w:tc>
          <w:tcPr>
            <w:tcW w:w="240" w:type="pct"/>
          </w:tcPr>
          <w:p w14:paraId="6DF5BDB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78" w:type="pct"/>
          </w:tcPr>
          <w:p w14:paraId="077CDABF"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73" w:type="pct"/>
          </w:tcPr>
          <w:p w14:paraId="5BE0983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74" w:type="pct"/>
          </w:tcPr>
          <w:p w14:paraId="523B829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90" w:type="pct"/>
          </w:tcPr>
          <w:p w14:paraId="500DBF2F"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13" w:type="pct"/>
          </w:tcPr>
          <w:p w14:paraId="3A6C503B"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27" w:type="pct"/>
          </w:tcPr>
          <w:p w14:paraId="684EBF53"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36C1D842"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3E6E39AE" w14:textId="77777777" w:rsidR="0096129B" w:rsidRPr="00472729" w:rsidRDefault="0096129B" w:rsidP="0096129B">
            <w:pPr>
              <w:ind w:left="-142" w:firstLine="142"/>
            </w:pPr>
            <w:r>
              <w:t>1 April 2022</w:t>
            </w:r>
            <w:r w:rsidRPr="00472729">
              <w:t xml:space="preserve"> to </w:t>
            </w:r>
            <w:r>
              <w:t>30 June 2022</w:t>
            </w:r>
          </w:p>
        </w:tc>
        <w:tc>
          <w:tcPr>
            <w:tcW w:w="240" w:type="pct"/>
            <w:vAlign w:val="center"/>
          </w:tcPr>
          <w:p w14:paraId="25A78CB3"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27CD6341" w14:textId="77777777" w:rsidR="0096129B" w:rsidRPr="00463ED1" w:rsidRDefault="00D65DC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 xml:space="preserve"> &lt;20</w:t>
            </w:r>
          </w:p>
        </w:tc>
        <w:tc>
          <w:tcPr>
            <w:tcW w:w="673" w:type="pct"/>
            <w:vAlign w:val="center"/>
          </w:tcPr>
          <w:p w14:paraId="0D657F3F" w14:textId="77777777" w:rsidR="0096129B" w:rsidRPr="00463ED1" w:rsidRDefault="00D65DC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4" w:type="pct"/>
            <w:vAlign w:val="center"/>
          </w:tcPr>
          <w:p w14:paraId="09CF4412" w14:textId="77777777" w:rsidR="0096129B" w:rsidRPr="00463ED1" w:rsidRDefault="00E95C51"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590" w:type="pct"/>
            <w:vAlign w:val="center"/>
          </w:tcPr>
          <w:p w14:paraId="6F731225" w14:textId="77777777" w:rsidR="0096129B" w:rsidRPr="00463ED1" w:rsidRDefault="00EB76ED"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13" w:type="pct"/>
            <w:vAlign w:val="center"/>
          </w:tcPr>
          <w:p w14:paraId="2C8C0AB5" w14:textId="77777777" w:rsidR="0096129B" w:rsidRPr="00463ED1" w:rsidRDefault="00D65DC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27" w:type="pct"/>
            <w:vAlign w:val="center"/>
          </w:tcPr>
          <w:p w14:paraId="13837F93" w14:textId="77777777" w:rsidR="0096129B" w:rsidRPr="00463ED1" w:rsidRDefault="00E95C51" w:rsidP="00C3663B">
            <w:pPr>
              <w:ind w:left="-142" w:firstLine="142"/>
              <w:cnfStyle w:val="100000000000" w:firstRow="1" w:lastRow="0" w:firstColumn="0" w:lastColumn="0" w:oddVBand="0" w:evenVBand="0" w:oddHBand="0" w:evenHBand="0" w:firstRowFirstColumn="0" w:firstRowLastColumn="0" w:lastRowFirstColumn="0" w:lastRowLastColumn="0"/>
            </w:pPr>
            <w:r>
              <w:t>NP</w:t>
            </w:r>
          </w:p>
        </w:tc>
      </w:tr>
      <w:tr w:rsidR="0096129B" w:rsidRPr="004741B6" w14:paraId="0F8B5BE3"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45923C1C" w14:textId="77777777" w:rsidR="0096129B" w:rsidRPr="00472729" w:rsidRDefault="0096129B" w:rsidP="0096129B">
            <w:pPr>
              <w:ind w:left="-142" w:firstLine="142"/>
            </w:pPr>
            <w:r>
              <w:t>1 July 2021</w:t>
            </w:r>
            <w:r w:rsidRPr="00472729">
              <w:t xml:space="preserve"> to </w:t>
            </w:r>
            <w:r>
              <w:t>30 June 2022</w:t>
            </w:r>
          </w:p>
        </w:tc>
        <w:tc>
          <w:tcPr>
            <w:tcW w:w="240" w:type="pct"/>
            <w:vAlign w:val="center"/>
          </w:tcPr>
          <w:p w14:paraId="1618D9BD"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5265D9C9" w14:textId="77777777" w:rsidR="0096129B" w:rsidRDefault="00EB76ED"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36</w:t>
            </w:r>
          </w:p>
        </w:tc>
        <w:tc>
          <w:tcPr>
            <w:tcW w:w="673" w:type="pct"/>
            <w:vAlign w:val="center"/>
          </w:tcPr>
          <w:p w14:paraId="2860E1B7" w14:textId="77777777" w:rsidR="0096129B" w:rsidRDefault="00D65DC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4" w:type="pct"/>
            <w:vAlign w:val="center"/>
          </w:tcPr>
          <w:p w14:paraId="27C00053" w14:textId="77777777" w:rsidR="0096129B" w:rsidRDefault="00EB76ED"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71</w:t>
            </w:r>
          </w:p>
        </w:tc>
        <w:tc>
          <w:tcPr>
            <w:tcW w:w="590" w:type="pct"/>
            <w:vAlign w:val="center"/>
          </w:tcPr>
          <w:p w14:paraId="0BD937A3" w14:textId="77777777" w:rsidR="0096129B" w:rsidRDefault="00D65DC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13" w:type="pct"/>
            <w:vAlign w:val="center"/>
          </w:tcPr>
          <w:p w14:paraId="273826A2" w14:textId="77777777" w:rsidR="0096129B" w:rsidRDefault="00D65DC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27" w:type="pct"/>
            <w:vAlign w:val="center"/>
          </w:tcPr>
          <w:p w14:paraId="302ED418" w14:textId="77777777" w:rsidR="0096129B" w:rsidRDefault="00EB76ED" w:rsidP="00C3663B">
            <w:pPr>
              <w:ind w:left="-142" w:firstLine="142"/>
              <w:cnfStyle w:val="100000000000" w:firstRow="1" w:lastRow="0" w:firstColumn="0" w:lastColumn="0" w:oddVBand="0" w:evenVBand="0" w:oddHBand="0" w:evenHBand="0" w:firstRowFirstColumn="0" w:firstRowLastColumn="0" w:lastRowFirstColumn="0" w:lastRowLastColumn="0"/>
            </w:pPr>
            <w:r>
              <w:t>119</w:t>
            </w:r>
          </w:p>
        </w:tc>
      </w:tr>
    </w:tbl>
    <w:p w14:paraId="7050CBA9"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66A1F513" w14:textId="77777777"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50CD1A97"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6E43BC48" w14:textId="77777777" w:rsidR="0096129B" w:rsidRPr="004741B6" w:rsidRDefault="0096129B" w:rsidP="00C3663B">
            <w:pPr>
              <w:ind w:left="-142" w:firstLine="142"/>
            </w:pPr>
          </w:p>
        </w:tc>
        <w:tc>
          <w:tcPr>
            <w:tcW w:w="1417" w:type="dxa"/>
          </w:tcPr>
          <w:p w14:paraId="379B02F4"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0B6AF3D"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6781E56D" w14:textId="77777777" w:rsidR="0096129B" w:rsidRPr="00472729" w:rsidRDefault="0096129B" w:rsidP="00C3663B">
            <w:pPr>
              <w:ind w:left="-142" w:firstLine="142"/>
            </w:pPr>
          </w:p>
        </w:tc>
        <w:tc>
          <w:tcPr>
            <w:tcW w:w="1417" w:type="dxa"/>
          </w:tcPr>
          <w:p w14:paraId="7D4B66E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3EB373DF"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0B6D8769" w14:textId="77777777" w:rsidR="0096129B" w:rsidRPr="004741B6" w:rsidRDefault="0096129B" w:rsidP="00296DD8">
            <w:pPr>
              <w:ind w:left="-142" w:firstLine="142"/>
            </w:pPr>
            <w:r>
              <w:t>1 April 2022</w:t>
            </w:r>
            <w:r w:rsidRPr="00472729">
              <w:t xml:space="preserve"> to </w:t>
            </w:r>
            <w:r>
              <w:t>30 June 2022</w:t>
            </w:r>
          </w:p>
        </w:tc>
        <w:tc>
          <w:tcPr>
            <w:tcW w:w="1417" w:type="dxa"/>
            <w:vAlign w:val="center"/>
          </w:tcPr>
          <w:p w14:paraId="03F08F3B" w14:textId="77777777" w:rsidR="0096129B" w:rsidRPr="00FD0F4F" w:rsidRDefault="00D65DC8"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r w:rsidR="0096129B" w:rsidRPr="00325EF7" w14:paraId="4325BDFB" w14:textId="77777777" w:rsidTr="00296DD8">
        <w:trPr>
          <w:trHeight w:val="444"/>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0570F6A6" w14:textId="77777777" w:rsidR="0096129B" w:rsidRDefault="0096129B" w:rsidP="00296DD8">
            <w:pPr>
              <w:spacing w:before="0"/>
              <w:ind w:left="-142" w:firstLine="142"/>
              <w:rPr>
                <w:rFonts w:cs="Arial"/>
                <w:b w:val="0"/>
                <w:color w:val="000000"/>
              </w:rPr>
            </w:pPr>
            <w:r>
              <w:t>1 July 2021</w:t>
            </w:r>
            <w:r w:rsidRPr="00472729">
              <w:t xml:space="preserve"> to </w:t>
            </w:r>
            <w:r>
              <w:t>30 June 2022</w:t>
            </w:r>
          </w:p>
        </w:tc>
        <w:tc>
          <w:tcPr>
            <w:tcW w:w="1417" w:type="dxa"/>
            <w:vAlign w:val="center"/>
          </w:tcPr>
          <w:p w14:paraId="59B30077" w14:textId="77777777" w:rsidR="0096129B" w:rsidRPr="00FD0F4F" w:rsidRDefault="00D65DC8" w:rsidP="00296DD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&lt;20</w:t>
            </w:r>
          </w:p>
        </w:tc>
      </w:tr>
    </w:tbl>
    <w:p w14:paraId="19F61D7A"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1D59C40"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4AD80F4D" w14:textId="77777777" w:rsidR="00CC1242" w:rsidRDefault="00CC1242">
      <w:pPr>
        <w:spacing w:before="0"/>
        <w:ind w:left="0"/>
      </w:pPr>
      <w:r>
        <w:br w:type="page"/>
      </w:r>
    </w:p>
    <w:p w14:paraId="5DCFE4D2"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gridCol w:w="2606"/>
        <w:gridCol w:w="2606"/>
      </w:tblGrid>
      <w:tr w:rsidR="0096129B" w:rsidRPr="00116BAB" w14:paraId="6FEDB083" w14:textId="77777777" w:rsidTr="00C3663B">
        <w:trPr>
          <w:tblHeader/>
        </w:trPr>
        <w:tc>
          <w:tcPr>
            <w:tcW w:w="3402" w:type="dxa"/>
          </w:tcPr>
          <w:p w14:paraId="0B8A430E" w14:textId="77777777" w:rsidR="0096129B" w:rsidRPr="002F57E4" w:rsidRDefault="0096129B"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523B1FBD" w14:textId="77777777" w:rsidR="0096129B" w:rsidRDefault="0096129B" w:rsidP="0096129B">
            <w:pPr>
              <w:pStyle w:val="Heading2"/>
              <w:numPr>
                <w:ilvl w:val="0"/>
                <w:numId w:val="0"/>
              </w:numPr>
              <w:spacing w:before="120" w:after="120"/>
              <w:jc w:val="center"/>
              <w:outlineLvl w:val="1"/>
              <w:rPr>
                <w:rFonts w:ascii="Gill Sans MT" w:hAnsi="Gill Sans MT"/>
              </w:rPr>
            </w:pPr>
            <w:r>
              <w:rPr>
                <w:rFonts w:cs="Arial"/>
                <w:i/>
              </w:rPr>
              <w:t>1 April 2022 to 30 June 2022</w:t>
            </w:r>
          </w:p>
        </w:tc>
        <w:tc>
          <w:tcPr>
            <w:tcW w:w="5212" w:type="dxa"/>
            <w:gridSpan w:val="2"/>
            <w:vAlign w:val="center"/>
          </w:tcPr>
          <w:p w14:paraId="413D8395" w14:textId="77777777" w:rsidR="0096129B" w:rsidRDefault="0096129B" w:rsidP="0096129B">
            <w:pPr>
              <w:pStyle w:val="Heading2"/>
              <w:numPr>
                <w:ilvl w:val="0"/>
                <w:numId w:val="0"/>
              </w:numPr>
              <w:spacing w:before="120" w:after="120"/>
              <w:jc w:val="center"/>
              <w:outlineLvl w:val="1"/>
              <w:rPr>
                <w:rFonts w:ascii="Gill Sans MT" w:hAnsi="Gill Sans MT"/>
              </w:rPr>
            </w:pPr>
            <w:r>
              <w:rPr>
                <w:rFonts w:cs="Arial"/>
                <w:i/>
              </w:rPr>
              <w:t>1 July 2021 to 30 June 2022</w:t>
            </w:r>
          </w:p>
        </w:tc>
      </w:tr>
      <w:tr w:rsidR="0096129B" w:rsidRPr="00116BAB" w14:paraId="046CB1AC" w14:textId="77777777" w:rsidTr="00C3663B">
        <w:trPr>
          <w:tblHeader/>
        </w:trPr>
        <w:tc>
          <w:tcPr>
            <w:tcW w:w="3402" w:type="dxa"/>
          </w:tcPr>
          <w:p w14:paraId="0C997313" w14:textId="77777777" w:rsidR="0096129B" w:rsidRPr="00116BA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75E05F83"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3BBD2CF6"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606" w:type="dxa"/>
            <w:vAlign w:val="center"/>
          </w:tcPr>
          <w:p w14:paraId="6372A352" w14:textId="77777777" w:rsidR="0096129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606" w:type="dxa"/>
            <w:vAlign w:val="center"/>
          </w:tcPr>
          <w:p w14:paraId="3FF06558" w14:textId="77777777" w:rsidR="0096129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96129B" w:rsidRPr="000C0C08" w14:paraId="28709758" w14:textId="77777777" w:rsidTr="00C3663B">
        <w:tc>
          <w:tcPr>
            <w:tcW w:w="3402" w:type="dxa"/>
          </w:tcPr>
          <w:p w14:paraId="58E8B8A6" w14:textId="77777777" w:rsidR="0096129B" w:rsidRPr="00116BA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730095BD" w14:textId="77777777" w:rsidR="0096129B" w:rsidRPr="000C0C08" w:rsidRDefault="00D65DC8" w:rsidP="00D65DC8">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787D60E7"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36%</w:t>
            </w:r>
          </w:p>
        </w:tc>
        <w:tc>
          <w:tcPr>
            <w:tcW w:w="2606" w:type="dxa"/>
            <w:vAlign w:val="center"/>
          </w:tcPr>
          <w:p w14:paraId="7CFB77D3" w14:textId="77777777" w:rsidR="0096129B" w:rsidRDefault="00D65DC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606" w:type="dxa"/>
            <w:vAlign w:val="center"/>
          </w:tcPr>
          <w:p w14:paraId="5630C7DF"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45%</w:t>
            </w:r>
          </w:p>
        </w:tc>
      </w:tr>
      <w:tr w:rsidR="0096129B" w:rsidRPr="000C0C08" w14:paraId="5A80406A" w14:textId="77777777" w:rsidTr="00C3663B">
        <w:tc>
          <w:tcPr>
            <w:tcW w:w="3402" w:type="dxa"/>
          </w:tcPr>
          <w:p w14:paraId="026AE2F0" w14:textId="77777777" w:rsidR="0096129B" w:rsidRPr="00116BA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5990CE1A" w14:textId="77777777" w:rsidR="0096129B" w:rsidRPr="000C0C08" w:rsidRDefault="00D65DC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233FAF24"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36%</w:t>
            </w:r>
          </w:p>
        </w:tc>
        <w:tc>
          <w:tcPr>
            <w:tcW w:w="2606" w:type="dxa"/>
            <w:vAlign w:val="center"/>
          </w:tcPr>
          <w:p w14:paraId="5D2EAD93" w14:textId="77777777" w:rsidR="0096129B" w:rsidRDefault="00D65DC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606" w:type="dxa"/>
            <w:vAlign w:val="center"/>
          </w:tcPr>
          <w:p w14:paraId="62C5D4C4"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25%</w:t>
            </w:r>
          </w:p>
        </w:tc>
      </w:tr>
      <w:tr w:rsidR="0096129B" w14:paraId="514EB558" w14:textId="77777777" w:rsidTr="00C3663B">
        <w:tc>
          <w:tcPr>
            <w:tcW w:w="3402" w:type="dxa"/>
          </w:tcPr>
          <w:p w14:paraId="0533FADA" w14:textId="77777777" w:rsidR="0096129B" w:rsidRPr="00346E3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362B3697" w14:textId="77777777" w:rsidR="0096129B" w:rsidRDefault="00D65DC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32DA1DF1"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28%</w:t>
            </w:r>
          </w:p>
        </w:tc>
        <w:tc>
          <w:tcPr>
            <w:tcW w:w="2606" w:type="dxa"/>
            <w:vAlign w:val="center"/>
          </w:tcPr>
          <w:p w14:paraId="74BB6D48" w14:textId="77777777" w:rsidR="0096129B" w:rsidRDefault="000135BA"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606" w:type="dxa"/>
            <w:vAlign w:val="center"/>
          </w:tcPr>
          <w:p w14:paraId="555C4EFA" w14:textId="77777777" w:rsidR="0096129B" w:rsidRDefault="00EB76ED"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30%</w:t>
            </w:r>
          </w:p>
        </w:tc>
      </w:tr>
      <w:tr w:rsidR="0096129B" w:rsidRPr="000C0C08" w14:paraId="019ABD07" w14:textId="77777777" w:rsidTr="00C3663B">
        <w:tc>
          <w:tcPr>
            <w:tcW w:w="3402" w:type="dxa"/>
          </w:tcPr>
          <w:p w14:paraId="538FD9B8" w14:textId="77777777" w:rsidR="0096129B" w:rsidRPr="00116BA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50A03F22" w14:textId="77777777" w:rsidR="0096129B" w:rsidRPr="00B622A4" w:rsidRDefault="00D65DC8" w:rsidP="00C3663B">
            <w:pPr>
              <w:pStyle w:val="Heading2"/>
              <w:numPr>
                <w:ilvl w:val="0"/>
                <w:numId w:val="0"/>
              </w:numPr>
              <w:spacing w:before="120" w:after="120"/>
              <w:jc w:val="center"/>
              <w:outlineLvl w:val="1"/>
              <w:rPr>
                <w:rFonts w:ascii="Gill Sans MT" w:hAnsi="Gill Sans MT"/>
              </w:rPr>
            </w:pPr>
            <w:r>
              <w:rPr>
                <w:rFonts w:ascii="Gill Sans MT" w:hAnsi="Gill Sans MT"/>
              </w:rPr>
              <w:t>&lt;20</w:t>
            </w:r>
          </w:p>
        </w:tc>
        <w:tc>
          <w:tcPr>
            <w:tcW w:w="2951" w:type="dxa"/>
            <w:vAlign w:val="center"/>
          </w:tcPr>
          <w:p w14:paraId="2EA2ECA5" w14:textId="77777777" w:rsidR="0096129B" w:rsidRPr="00B622A4" w:rsidRDefault="00EB76ED"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c>
          <w:tcPr>
            <w:tcW w:w="2606" w:type="dxa"/>
            <w:vAlign w:val="center"/>
          </w:tcPr>
          <w:p w14:paraId="3B5D41FF" w14:textId="77777777" w:rsidR="0096129B" w:rsidRDefault="000135BA" w:rsidP="00C3663B">
            <w:pPr>
              <w:pStyle w:val="Heading2"/>
              <w:numPr>
                <w:ilvl w:val="0"/>
                <w:numId w:val="0"/>
              </w:numPr>
              <w:spacing w:before="120" w:after="120"/>
              <w:jc w:val="center"/>
              <w:outlineLvl w:val="1"/>
              <w:rPr>
                <w:rFonts w:ascii="Gill Sans MT" w:hAnsi="Gill Sans MT"/>
              </w:rPr>
            </w:pPr>
            <w:r>
              <w:rPr>
                <w:rFonts w:ascii="Gill Sans MT" w:hAnsi="Gill Sans MT"/>
              </w:rPr>
              <w:t>NP</w:t>
            </w:r>
          </w:p>
        </w:tc>
        <w:tc>
          <w:tcPr>
            <w:tcW w:w="2606" w:type="dxa"/>
            <w:vAlign w:val="center"/>
          </w:tcPr>
          <w:p w14:paraId="03B99521" w14:textId="77777777" w:rsidR="0096129B" w:rsidRDefault="00EB76ED"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28526533"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7C011D15"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1C5A5E0"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2679728B"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BA30DD">
        <w:rPr>
          <w:rFonts w:ascii="Arial" w:hAnsi="Arial" w:cs="Arial"/>
          <w:i/>
        </w:rPr>
        <w:t>1 April to 30 June 2022</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0A5FEE3B"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1C2C151E"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6232D27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52C15D1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F1D6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06DA9A0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B5467A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4019020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A6EAA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229A093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C3663B" w:rsidRPr="00325EF7" w14:paraId="4CE7860E" w14:textId="77777777" w:rsidTr="00C3663B">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1D42F4D9" w14:textId="77777777" w:rsidR="00C3663B" w:rsidRPr="00325EF7" w:rsidRDefault="00C3663B" w:rsidP="00C3663B">
            <w:pPr>
              <w:ind w:left="-142" w:firstLine="142"/>
            </w:pPr>
            <w:r w:rsidRPr="00325EF7">
              <w:t xml:space="preserve">Sub Total NPPs </w:t>
            </w:r>
          </w:p>
        </w:tc>
        <w:tc>
          <w:tcPr>
            <w:tcW w:w="1090" w:type="dxa"/>
            <w:vAlign w:val="center"/>
          </w:tcPr>
          <w:p w14:paraId="2CB7F124" w14:textId="77777777" w:rsidR="00C3663B" w:rsidRPr="00155995"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vAlign w:val="center"/>
          </w:tcPr>
          <w:p w14:paraId="27AAB06C" w14:textId="77777777" w:rsidR="00C3663B" w:rsidRPr="00155995"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45.45%</w:t>
            </w:r>
          </w:p>
        </w:tc>
        <w:tc>
          <w:tcPr>
            <w:tcW w:w="1506" w:type="dxa"/>
            <w:vAlign w:val="center"/>
          </w:tcPr>
          <w:p w14:paraId="5A3ED781" w14:textId="77777777" w:rsidR="00C3663B" w:rsidRPr="00155995"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377" w:type="dxa"/>
            <w:vAlign w:val="center"/>
          </w:tcPr>
          <w:p w14:paraId="37DE5983" w14:textId="77777777" w:rsidR="00C3663B" w:rsidRPr="00155995"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54.55%</w:t>
            </w:r>
          </w:p>
        </w:tc>
        <w:tc>
          <w:tcPr>
            <w:tcW w:w="1354" w:type="dxa"/>
            <w:vAlign w:val="center"/>
          </w:tcPr>
          <w:p w14:paraId="681CD4C6" w14:textId="77777777" w:rsidR="00C3663B" w:rsidRPr="00155995"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1" w:type="dxa"/>
            <w:vAlign w:val="center"/>
          </w:tcPr>
          <w:p w14:paraId="351B9622" w14:textId="77777777" w:rsidR="00C3663B" w:rsidRPr="00155995"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7E5B66E5" w14:textId="77777777" w:rsidR="00C3663B" w:rsidRPr="00155995" w:rsidRDefault="00E95C5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7" w:type="dxa"/>
            <w:vAlign w:val="center"/>
          </w:tcPr>
          <w:p w14:paraId="13876983" w14:textId="77777777" w:rsidR="00C3663B" w:rsidRPr="00155995"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690E9B27"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BA30DD">
        <w:rPr>
          <w:rFonts w:ascii="Arial" w:hAnsi="Arial" w:cs="Arial"/>
          <w:i/>
        </w:rPr>
        <w:t>1 April to 30 June 2022</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03AA7D93"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70631FBA"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25C5066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129268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15C443C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2568DC9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2E483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39580C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2979D30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1A21FC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C3663B" w:rsidRPr="00325EF7" w14:paraId="0DCF9676" w14:textId="77777777" w:rsidTr="00C3663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3EA0272D" w14:textId="77777777" w:rsidR="00C3663B" w:rsidRPr="00E84EAF" w:rsidRDefault="00C3663B" w:rsidP="00C3663B">
            <w:pPr>
              <w:spacing w:before="60" w:after="60"/>
              <w:ind w:left="0"/>
              <w:rPr>
                <w:b w:val="0"/>
                <w:noProof/>
              </w:rPr>
            </w:pPr>
            <w:r w:rsidRPr="00E84EAF">
              <w:rPr>
                <w:noProof/>
              </w:rPr>
              <w:t>Sub Total Short Term Financial Penalties</w:t>
            </w:r>
          </w:p>
        </w:tc>
        <w:tc>
          <w:tcPr>
            <w:tcW w:w="988" w:type="dxa"/>
            <w:vAlign w:val="center"/>
          </w:tcPr>
          <w:p w14:paraId="210BBAB9"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5A0708B9"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61.54%</w:t>
            </w:r>
          </w:p>
        </w:tc>
        <w:tc>
          <w:tcPr>
            <w:tcW w:w="1559" w:type="dxa"/>
            <w:vAlign w:val="center"/>
          </w:tcPr>
          <w:p w14:paraId="5AE67FEA"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57C624A0"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38.46%</w:t>
            </w:r>
          </w:p>
        </w:tc>
        <w:tc>
          <w:tcPr>
            <w:tcW w:w="1417" w:type="dxa"/>
            <w:vAlign w:val="center"/>
          </w:tcPr>
          <w:p w14:paraId="6777E830"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7E136003"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857467B" w14:textId="77777777" w:rsidR="00C3663B" w:rsidRPr="00B622A4" w:rsidRDefault="00E95C5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5737AC08"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FCBE164"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BA30DD">
        <w:rPr>
          <w:rFonts w:ascii="Arial" w:hAnsi="Arial" w:cs="Arial"/>
          <w:i/>
        </w:rPr>
        <w:t>1 April to 30 June 2022</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35453CB4"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7B929FD4" w14:textId="77777777" w:rsidR="002522E1" w:rsidRPr="00325EF7" w:rsidRDefault="002522E1" w:rsidP="00887E4E">
            <w:pPr>
              <w:ind w:left="-142" w:firstLine="142"/>
              <w:rPr>
                <w:noProof/>
              </w:rPr>
            </w:pPr>
            <w:r w:rsidRPr="00325EF7">
              <w:rPr>
                <w:noProof/>
              </w:rPr>
              <w:t>Male</w:t>
            </w:r>
          </w:p>
        </w:tc>
        <w:tc>
          <w:tcPr>
            <w:tcW w:w="1231" w:type="dxa"/>
          </w:tcPr>
          <w:p w14:paraId="430A747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321C03D"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0D885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4D89590E"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92A5A36"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58D38136"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4510EC47"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C3663B" w:rsidRPr="00325EF7" w14:paraId="2B5A3C0D" w14:textId="77777777" w:rsidTr="00C3663B">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C36A839" w14:textId="77777777" w:rsidR="00C3663B" w:rsidRPr="0043502E" w:rsidRDefault="000135BA" w:rsidP="00C3663B">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231" w:type="dxa"/>
            <w:vAlign w:val="center"/>
          </w:tcPr>
          <w:p w14:paraId="17E05C97" w14:textId="77777777" w:rsidR="00C3663B" w:rsidRPr="0043502E"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56.76%</w:t>
            </w:r>
          </w:p>
        </w:tc>
        <w:tc>
          <w:tcPr>
            <w:tcW w:w="1512" w:type="dxa"/>
            <w:vAlign w:val="center"/>
          </w:tcPr>
          <w:p w14:paraId="154CC415" w14:textId="77777777" w:rsidR="00C3663B" w:rsidRPr="0043502E"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01" w:type="dxa"/>
            <w:vAlign w:val="center"/>
          </w:tcPr>
          <w:p w14:paraId="3D0B0816" w14:textId="77777777" w:rsidR="00C3663B" w:rsidRPr="0043502E"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43.24%</w:t>
            </w:r>
          </w:p>
        </w:tc>
        <w:tc>
          <w:tcPr>
            <w:tcW w:w="1443" w:type="dxa"/>
            <w:vAlign w:val="center"/>
          </w:tcPr>
          <w:p w14:paraId="6B41FF25" w14:textId="77777777" w:rsidR="00C3663B" w:rsidRPr="0043502E"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86" w:type="dxa"/>
            <w:vAlign w:val="center"/>
          </w:tcPr>
          <w:p w14:paraId="5DE60F66" w14:textId="77777777" w:rsidR="00C3663B" w:rsidRPr="0043502E"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5DE997B1" w14:textId="77777777" w:rsidR="00C3663B" w:rsidRPr="0043502E" w:rsidRDefault="00E95C5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26" w:type="dxa"/>
            <w:vAlign w:val="center"/>
          </w:tcPr>
          <w:p w14:paraId="656D40C2" w14:textId="77777777" w:rsidR="00C3663B" w:rsidRPr="0043502E"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FBE95F1" w14:textId="77777777" w:rsidR="00E84EAF" w:rsidRDefault="00E84EAF" w:rsidP="00E84EAF">
      <w:pPr>
        <w:spacing w:before="0" w:after="0" w:line="240" w:lineRule="auto"/>
        <w:ind w:left="142"/>
        <w:rPr>
          <w:noProof/>
        </w:rPr>
      </w:pPr>
    </w:p>
    <w:p w14:paraId="0D8B0284"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8EC2BC4"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0757BF52"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BA30DD">
        <w:rPr>
          <w:rFonts w:ascii="Arial" w:hAnsi="Arial" w:cs="Arial"/>
          <w:i/>
        </w:rPr>
        <w:t>1 April to 30 June 2022</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2F6806CD"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4C535A58" w14:textId="77777777" w:rsidR="001F7420" w:rsidRPr="00FB63AD" w:rsidRDefault="008164F9" w:rsidP="00F74E10">
            <w:pPr>
              <w:ind w:left="-142" w:firstLine="142"/>
            </w:pPr>
            <w:r w:rsidRPr="00FB63AD">
              <w:t>Income Support payment suspensions</w:t>
            </w:r>
          </w:p>
        </w:tc>
        <w:tc>
          <w:tcPr>
            <w:tcW w:w="1310" w:type="dxa"/>
            <w:vAlign w:val="center"/>
          </w:tcPr>
          <w:p w14:paraId="34BDCC98"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705EA8E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7A827CE8"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7AFECC2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BEA3E4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0464AC8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253B4C0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EE0569F"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44F1A956" w14:textId="77777777" w:rsidTr="00C3663B">
        <w:tc>
          <w:tcPr>
            <w:cnfStyle w:val="001000000000" w:firstRow="0" w:lastRow="0" w:firstColumn="1" w:lastColumn="0" w:oddVBand="0" w:evenVBand="0" w:oddHBand="0" w:evenHBand="0" w:firstRowFirstColumn="0" w:firstRowLastColumn="0" w:lastRowFirstColumn="0" w:lastRowLastColumn="0"/>
            <w:tcW w:w="4355" w:type="dxa"/>
            <w:vAlign w:val="center"/>
          </w:tcPr>
          <w:p w14:paraId="44D9B5D2" w14:textId="77777777" w:rsidR="00C3663B" w:rsidRPr="00FB63AD" w:rsidRDefault="00C3663B" w:rsidP="00C3663B">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6F2120D6"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14,123</w:t>
            </w:r>
          </w:p>
        </w:tc>
        <w:tc>
          <w:tcPr>
            <w:tcW w:w="1134" w:type="dxa"/>
            <w:vAlign w:val="center"/>
          </w:tcPr>
          <w:p w14:paraId="64F5B2FE"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57.68%</w:t>
            </w:r>
          </w:p>
        </w:tc>
        <w:tc>
          <w:tcPr>
            <w:tcW w:w="1559" w:type="dxa"/>
            <w:vAlign w:val="center"/>
          </w:tcPr>
          <w:p w14:paraId="40E0A0DA"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10,361</w:t>
            </w:r>
          </w:p>
        </w:tc>
        <w:tc>
          <w:tcPr>
            <w:tcW w:w="1276" w:type="dxa"/>
            <w:vAlign w:val="center"/>
          </w:tcPr>
          <w:p w14:paraId="0487983A"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42.32%</w:t>
            </w:r>
          </w:p>
        </w:tc>
        <w:tc>
          <w:tcPr>
            <w:tcW w:w="1417" w:type="dxa"/>
            <w:vAlign w:val="center"/>
          </w:tcPr>
          <w:p w14:paraId="60E7920E"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24,484</w:t>
            </w:r>
          </w:p>
        </w:tc>
        <w:tc>
          <w:tcPr>
            <w:tcW w:w="1276" w:type="dxa"/>
            <w:vAlign w:val="center"/>
          </w:tcPr>
          <w:p w14:paraId="2EDB0AA3"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2433EA1B"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92,294</w:t>
            </w:r>
          </w:p>
        </w:tc>
        <w:tc>
          <w:tcPr>
            <w:tcW w:w="1276" w:type="dxa"/>
            <w:vAlign w:val="center"/>
          </w:tcPr>
          <w:p w14:paraId="76A8CDF2"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663B" w:rsidRPr="00FB63AD" w14:paraId="0D055900" w14:textId="77777777" w:rsidTr="00C3663B">
        <w:tc>
          <w:tcPr>
            <w:cnfStyle w:val="001000000000" w:firstRow="0" w:lastRow="0" w:firstColumn="1" w:lastColumn="0" w:oddVBand="0" w:evenVBand="0" w:oddHBand="0" w:evenHBand="0" w:firstRowFirstColumn="0" w:firstRowLastColumn="0" w:lastRowFirstColumn="0" w:lastRowLastColumn="0"/>
            <w:tcW w:w="4355" w:type="dxa"/>
            <w:vAlign w:val="center"/>
          </w:tcPr>
          <w:p w14:paraId="05FA1BCB" w14:textId="77777777" w:rsidR="00C3663B" w:rsidRPr="00FB63AD" w:rsidRDefault="00C3663B" w:rsidP="00C3663B">
            <w:pPr>
              <w:ind w:left="0"/>
            </w:pPr>
            <w:r w:rsidRPr="00FB63AD">
              <w:rPr>
                <w:bCs/>
              </w:rPr>
              <w:t>Income support payment suspension – disengagement from activity</w:t>
            </w:r>
          </w:p>
        </w:tc>
        <w:tc>
          <w:tcPr>
            <w:tcW w:w="1310" w:type="dxa"/>
            <w:vAlign w:val="center"/>
          </w:tcPr>
          <w:p w14:paraId="6708DC29"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9F3118C"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5CF4FCFA"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D99E9D9"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54ACFA4E"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0B0B5F53"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4E54B696"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22ED849E" w14:textId="77777777" w:rsidR="00C3663B" w:rsidRPr="00495540"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663B" w:rsidRPr="00FB63AD" w14:paraId="4BD10045" w14:textId="77777777" w:rsidTr="00C3663B">
        <w:tc>
          <w:tcPr>
            <w:cnfStyle w:val="001000000000" w:firstRow="0" w:lastRow="0" w:firstColumn="1" w:lastColumn="0" w:oddVBand="0" w:evenVBand="0" w:oddHBand="0" w:evenHBand="0" w:firstRowFirstColumn="0" w:firstRowLastColumn="0" w:lastRowFirstColumn="0" w:lastRowLastColumn="0"/>
            <w:tcW w:w="4355" w:type="dxa"/>
            <w:vAlign w:val="center"/>
          </w:tcPr>
          <w:p w14:paraId="2133FFF0" w14:textId="77777777" w:rsidR="00C3663B" w:rsidRPr="00FB63AD" w:rsidRDefault="00C3663B" w:rsidP="008D181C">
            <w:pPr>
              <w:ind w:left="0"/>
              <w:rPr>
                <w:b/>
                <w:bCs/>
              </w:rPr>
            </w:pPr>
            <w:r w:rsidRPr="00FB63AD">
              <w:rPr>
                <w:b/>
                <w:bCs/>
              </w:rPr>
              <w:t>Total Income Support payment suspensions</w:t>
            </w:r>
          </w:p>
        </w:tc>
        <w:tc>
          <w:tcPr>
            <w:tcW w:w="1310" w:type="dxa"/>
            <w:vAlign w:val="center"/>
          </w:tcPr>
          <w:p w14:paraId="62EE50BC"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14,123</w:t>
            </w:r>
          </w:p>
        </w:tc>
        <w:tc>
          <w:tcPr>
            <w:tcW w:w="1134" w:type="dxa"/>
            <w:vAlign w:val="center"/>
          </w:tcPr>
          <w:p w14:paraId="6B9C1F20"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57.68%</w:t>
            </w:r>
          </w:p>
        </w:tc>
        <w:tc>
          <w:tcPr>
            <w:tcW w:w="1559" w:type="dxa"/>
            <w:vAlign w:val="center"/>
          </w:tcPr>
          <w:p w14:paraId="5F62FEDE"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10,361</w:t>
            </w:r>
          </w:p>
        </w:tc>
        <w:tc>
          <w:tcPr>
            <w:tcW w:w="1276" w:type="dxa"/>
            <w:vAlign w:val="center"/>
          </w:tcPr>
          <w:p w14:paraId="73D86862"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42.32%</w:t>
            </w:r>
          </w:p>
        </w:tc>
        <w:tc>
          <w:tcPr>
            <w:tcW w:w="1417" w:type="dxa"/>
            <w:vAlign w:val="center"/>
          </w:tcPr>
          <w:p w14:paraId="50295A5B"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24,484</w:t>
            </w:r>
          </w:p>
        </w:tc>
        <w:tc>
          <w:tcPr>
            <w:tcW w:w="1276" w:type="dxa"/>
            <w:vAlign w:val="center"/>
          </w:tcPr>
          <w:p w14:paraId="5D7C3E7B"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0275E455"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92,294</w:t>
            </w:r>
          </w:p>
        </w:tc>
        <w:tc>
          <w:tcPr>
            <w:tcW w:w="1276" w:type="dxa"/>
            <w:vAlign w:val="center"/>
          </w:tcPr>
          <w:p w14:paraId="7FC536B7"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2C04364D"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 xml:space="preserve">Non-Attendance Report is submitted, or when a job seeker disengages from an activity and their provider indicates on a No Show No Pay Participation Report that they wish to discuss this with the job seeker (noting that from 12 May 2021 attending activities is no </w:t>
      </w:r>
      <w:r w:rsidRPr="002B3DDA">
        <w:rPr>
          <w:noProof/>
        </w:rPr>
        <w:lastRenderedPageBreak/>
        <w:t>longer compulsory for CDP job seekers, meaning that non-attendance no longer attracts a penalty</w:t>
      </w:r>
      <w:r w:rsidR="005B5D91" w:rsidRPr="00A64073">
        <w:rPr>
          <w:noProof/>
        </w:rPr>
        <w:t>.</w:t>
      </w:r>
      <w:r w:rsidR="005B5D91" w:rsidRPr="00FB63AD">
        <w:rPr>
          <w:noProof/>
        </w:rPr>
        <w:t xml:space="preserve"> </w:t>
      </w:r>
    </w:p>
    <w:p w14:paraId="38A3FCA4" w14:textId="77777777" w:rsidR="00CC1242" w:rsidRDefault="00CC1242">
      <w:pPr>
        <w:spacing w:before="0"/>
        <w:ind w:left="0"/>
        <w:rPr>
          <w:noProof/>
        </w:rPr>
      </w:pPr>
      <w:r>
        <w:rPr>
          <w:noProof/>
        </w:rPr>
        <w:br w:type="page"/>
      </w:r>
    </w:p>
    <w:p w14:paraId="06200329"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525FEBC"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BA30DD">
        <w:rPr>
          <w:rFonts w:ascii="Arial" w:hAnsi="Arial" w:cs="Arial"/>
          <w:i/>
        </w:rPr>
        <w:t>1 April to 30 June 2022</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18FC6D8E"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DAA26AB"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339A6D0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46565A2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79CE2AA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7546BB8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359618A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5A3D291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775F4B4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1DD895E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5C3C6FE8" w14:textId="77777777" w:rsidTr="00C3663B">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2703ACDD" w14:textId="77777777" w:rsidR="00C3663B" w:rsidRPr="00FB63AD" w:rsidRDefault="00C3663B" w:rsidP="00C3663B">
            <w:pPr>
              <w:ind w:left="-142" w:firstLine="142"/>
            </w:pPr>
            <w:r w:rsidRPr="00FB63AD">
              <w:t xml:space="preserve">Sub Total NPPs </w:t>
            </w:r>
          </w:p>
        </w:tc>
        <w:tc>
          <w:tcPr>
            <w:tcW w:w="1418" w:type="dxa"/>
            <w:vAlign w:val="center"/>
          </w:tcPr>
          <w:p w14:paraId="530B70AD"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78EE873E"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90.91%</w:t>
            </w:r>
          </w:p>
        </w:tc>
        <w:tc>
          <w:tcPr>
            <w:tcW w:w="1276" w:type="dxa"/>
            <w:vAlign w:val="center"/>
          </w:tcPr>
          <w:p w14:paraId="71C75307"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6C916FA"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9.09%</w:t>
            </w:r>
          </w:p>
        </w:tc>
        <w:tc>
          <w:tcPr>
            <w:tcW w:w="1417" w:type="dxa"/>
            <w:vAlign w:val="center"/>
          </w:tcPr>
          <w:p w14:paraId="6B8329CB"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1E73AB2"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3EC39282" w14:textId="77777777" w:rsidR="00C3663B" w:rsidRPr="00B622A4" w:rsidRDefault="00E95C5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6FD868E1"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59DEDFA"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BA30DD">
        <w:rPr>
          <w:rFonts w:ascii="Arial" w:hAnsi="Arial" w:cs="Arial"/>
          <w:i/>
        </w:rPr>
        <w:t>1 April to 30 June 2022</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0B47034C"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66BF495D"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536E61C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4CAB00B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57464C8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3EF1F8A2"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63DC3DC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133B272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5F5ADD6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3BECECD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7EAA059D" w14:textId="77777777" w:rsidTr="00C366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E563282" w14:textId="77777777" w:rsidR="00C3663B" w:rsidRPr="00FB63AD" w:rsidRDefault="00C3663B" w:rsidP="00C3663B">
            <w:pPr>
              <w:ind w:left="0"/>
            </w:pPr>
            <w:r w:rsidRPr="00FB63AD">
              <w:t>Sub Total Short Term Financial Penalties</w:t>
            </w:r>
          </w:p>
        </w:tc>
        <w:tc>
          <w:tcPr>
            <w:tcW w:w="1418" w:type="dxa"/>
            <w:vAlign w:val="center"/>
          </w:tcPr>
          <w:p w14:paraId="0BDC6C0A"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222961B3"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96.15%</w:t>
            </w:r>
          </w:p>
        </w:tc>
        <w:tc>
          <w:tcPr>
            <w:tcW w:w="1276" w:type="dxa"/>
            <w:vAlign w:val="center"/>
          </w:tcPr>
          <w:p w14:paraId="2895CDFF"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160C6B6F"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3.85%</w:t>
            </w:r>
          </w:p>
        </w:tc>
        <w:tc>
          <w:tcPr>
            <w:tcW w:w="1275" w:type="dxa"/>
            <w:vAlign w:val="center"/>
          </w:tcPr>
          <w:p w14:paraId="758232D9"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1EE5B182"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CD799AC" w14:textId="77777777" w:rsidR="00C3663B" w:rsidRPr="00B622A4" w:rsidRDefault="00E95C5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262F4656"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BA656F6" w14:textId="77777777" w:rsidR="00EF4695" w:rsidRDefault="00EF4695" w:rsidP="008671DA">
      <w:pPr>
        <w:spacing w:after="240" w:line="240" w:lineRule="auto"/>
        <w:ind w:left="142"/>
        <w:rPr>
          <w:noProof/>
        </w:rPr>
      </w:pPr>
    </w:p>
    <w:p w14:paraId="1763102F"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BA30DD">
        <w:rPr>
          <w:rFonts w:ascii="Arial" w:hAnsi="Arial" w:cs="Arial"/>
          <w:i/>
        </w:rPr>
        <w:t>1 April to 30 June 2022</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062612C8"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4E70955E" w14:textId="77777777" w:rsidR="002522E1" w:rsidRPr="00FB63AD" w:rsidRDefault="002522E1" w:rsidP="00887E4E">
            <w:pPr>
              <w:ind w:left="-142" w:firstLine="142"/>
            </w:pPr>
            <w:r w:rsidRPr="00FB63AD">
              <w:t>Indigenous</w:t>
            </w:r>
          </w:p>
        </w:tc>
        <w:tc>
          <w:tcPr>
            <w:tcW w:w="1328" w:type="dxa"/>
          </w:tcPr>
          <w:p w14:paraId="501F1D2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54AD36A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1415AEC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1EDFF96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116F420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7444D21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F3BD9F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01D5888D" w14:textId="77777777" w:rsidTr="00C3663B">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DAB36A7" w14:textId="77777777" w:rsidR="00C3663B" w:rsidRPr="00B622A4" w:rsidRDefault="000135BA" w:rsidP="00C3663B">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328" w:type="dxa"/>
            <w:vAlign w:val="center"/>
          </w:tcPr>
          <w:p w14:paraId="2C5CA71F"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94.59%</w:t>
            </w:r>
          </w:p>
        </w:tc>
        <w:tc>
          <w:tcPr>
            <w:tcW w:w="1508" w:type="dxa"/>
            <w:vAlign w:val="center"/>
          </w:tcPr>
          <w:p w14:paraId="79840CE0"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86" w:type="dxa"/>
            <w:vAlign w:val="center"/>
          </w:tcPr>
          <w:p w14:paraId="59EEEB8E"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5.41%</w:t>
            </w:r>
          </w:p>
        </w:tc>
        <w:tc>
          <w:tcPr>
            <w:tcW w:w="1525" w:type="dxa"/>
            <w:vAlign w:val="center"/>
          </w:tcPr>
          <w:p w14:paraId="3DCF7BEE"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2" w:type="dxa"/>
            <w:vAlign w:val="center"/>
          </w:tcPr>
          <w:p w14:paraId="5BD22F07"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29630A05" w14:textId="77777777" w:rsidR="00C3663B" w:rsidRPr="00B622A4" w:rsidRDefault="00E95C51"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vAlign w:val="center"/>
          </w:tcPr>
          <w:p w14:paraId="57841990"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E43786"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093319A1"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086AE8F8"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08781D68"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BA30DD">
        <w:rPr>
          <w:rFonts w:ascii="Arial" w:hAnsi="Arial" w:cs="Arial"/>
          <w:i/>
        </w:rPr>
        <w:t>1 April to 30 June 2022</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749D37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30CD1D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1DD9C0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45B7E15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3A4D1CA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3B51F0A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518A7F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493ADE0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264038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01E989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3663B" w:rsidRPr="00FB63AD" w14:paraId="11E4A216" w14:textId="77777777" w:rsidTr="00C3663B">
        <w:tc>
          <w:tcPr>
            <w:cnfStyle w:val="001000000000" w:firstRow="0" w:lastRow="0" w:firstColumn="1" w:lastColumn="0" w:oddVBand="0" w:evenVBand="0" w:oddHBand="0" w:evenHBand="0" w:firstRowFirstColumn="0" w:firstRowLastColumn="0" w:lastRowFirstColumn="0" w:lastRowLastColumn="0"/>
            <w:tcW w:w="4106" w:type="dxa"/>
            <w:vAlign w:val="center"/>
          </w:tcPr>
          <w:p w14:paraId="66427743" w14:textId="77777777" w:rsidR="00C3663B" w:rsidRPr="00FB63AD" w:rsidRDefault="00C3663B" w:rsidP="00C3663B">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1EE64000"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22,979</w:t>
            </w:r>
          </w:p>
        </w:tc>
        <w:tc>
          <w:tcPr>
            <w:tcW w:w="1418" w:type="dxa"/>
            <w:vAlign w:val="center"/>
          </w:tcPr>
          <w:p w14:paraId="023200BE"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93.85%</w:t>
            </w:r>
          </w:p>
        </w:tc>
        <w:tc>
          <w:tcPr>
            <w:tcW w:w="1417" w:type="dxa"/>
            <w:vAlign w:val="center"/>
          </w:tcPr>
          <w:p w14:paraId="53532A1A"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1,505</w:t>
            </w:r>
          </w:p>
        </w:tc>
        <w:tc>
          <w:tcPr>
            <w:tcW w:w="1303" w:type="dxa"/>
            <w:vAlign w:val="center"/>
          </w:tcPr>
          <w:p w14:paraId="38830050"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6.15%</w:t>
            </w:r>
          </w:p>
        </w:tc>
        <w:tc>
          <w:tcPr>
            <w:tcW w:w="1390" w:type="dxa"/>
            <w:vAlign w:val="center"/>
          </w:tcPr>
          <w:p w14:paraId="14AFD7E1"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24,484</w:t>
            </w:r>
          </w:p>
        </w:tc>
        <w:tc>
          <w:tcPr>
            <w:tcW w:w="1311" w:type="dxa"/>
            <w:vAlign w:val="center"/>
          </w:tcPr>
          <w:p w14:paraId="38F98BE9"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587933D3"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92,294</w:t>
            </w:r>
          </w:p>
        </w:tc>
        <w:tc>
          <w:tcPr>
            <w:tcW w:w="1134" w:type="dxa"/>
            <w:vAlign w:val="center"/>
          </w:tcPr>
          <w:p w14:paraId="3CC5F8C0"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663B" w:rsidRPr="00FB63AD" w14:paraId="3C148DE6" w14:textId="77777777" w:rsidTr="00C3663B">
        <w:tc>
          <w:tcPr>
            <w:cnfStyle w:val="001000000000" w:firstRow="0" w:lastRow="0" w:firstColumn="1" w:lastColumn="0" w:oddVBand="0" w:evenVBand="0" w:oddHBand="0" w:evenHBand="0" w:firstRowFirstColumn="0" w:firstRowLastColumn="0" w:lastRowFirstColumn="0" w:lastRowLastColumn="0"/>
            <w:tcW w:w="4106" w:type="dxa"/>
            <w:vAlign w:val="center"/>
          </w:tcPr>
          <w:p w14:paraId="0B2AF2A6" w14:textId="77777777" w:rsidR="00C3663B" w:rsidRPr="00FB63AD" w:rsidRDefault="00C3663B" w:rsidP="00C3663B">
            <w:pPr>
              <w:ind w:left="-142" w:firstLine="142"/>
              <w:rPr>
                <w:b w:val="0"/>
                <w:noProof/>
              </w:rPr>
            </w:pPr>
            <w:r w:rsidRPr="00FB63AD">
              <w:rPr>
                <w:bCs/>
              </w:rPr>
              <w:t>Income support payment suspension – disengagement from activity</w:t>
            </w:r>
          </w:p>
        </w:tc>
        <w:tc>
          <w:tcPr>
            <w:tcW w:w="1417" w:type="dxa"/>
            <w:vAlign w:val="center"/>
          </w:tcPr>
          <w:p w14:paraId="09AB76D1"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1F9DF5C"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39FA7F13"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59E9CDA6"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798339A9"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3A47F8DD"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7623027C"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382344D6"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663B" w:rsidRPr="00FB63AD" w14:paraId="6E0B3750" w14:textId="77777777" w:rsidTr="00C3663B">
        <w:tc>
          <w:tcPr>
            <w:cnfStyle w:val="001000000000" w:firstRow="0" w:lastRow="0" w:firstColumn="1" w:lastColumn="0" w:oddVBand="0" w:evenVBand="0" w:oddHBand="0" w:evenHBand="0" w:firstRowFirstColumn="0" w:firstRowLastColumn="0" w:lastRowFirstColumn="0" w:lastRowLastColumn="0"/>
            <w:tcW w:w="4106" w:type="dxa"/>
            <w:vAlign w:val="center"/>
          </w:tcPr>
          <w:p w14:paraId="7B948751" w14:textId="77777777" w:rsidR="00C3663B" w:rsidRPr="00FB63AD" w:rsidRDefault="00C3663B" w:rsidP="008D181C">
            <w:pPr>
              <w:ind w:left="0"/>
              <w:jc w:val="left"/>
              <w:rPr>
                <w:bCs/>
              </w:rPr>
            </w:pPr>
            <w:r w:rsidRPr="00FB63AD">
              <w:rPr>
                <w:bCs/>
              </w:rPr>
              <w:t>Total Income Support payment suspensions</w:t>
            </w:r>
          </w:p>
        </w:tc>
        <w:tc>
          <w:tcPr>
            <w:tcW w:w="1417" w:type="dxa"/>
            <w:vAlign w:val="center"/>
          </w:tcPr>
          <w:p w14:paraId="0C183BAB"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22,979</w:t>
            </w:r>
          </w:p>
        </w:tc>
        <w:tc>
          <w:tcPr>
            <w:tcW w:w="1418" w:type="dxa"/>
            <w:vAlign w:val="center"/>
          </w:tcPr>
          <w:p w14:paraId="18B5D1BC"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93.85%</w:t>
            </w:r>
          </w:p>
        </w:tc>
        <w:tc>
          <w:tcPr>
            <w:tcW w:w="1417" w:type="dxa"/>
            <w:vAlign w:val="center"/>
          </w:tcPr>
          <w:p w14:paraId="123BDF22"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1,505</w:t>
            </w:r>
          </w:p>
        </w:tc>
        <w:tc>
          <w:tcPr>
            <w:tcW w:w="1303" w:type="dxa"/>
            <w:vAlign w:val="center"/>
          </w:tcPr>
          <w:p w14:paraId="1DEBD9EB"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6.15%</w:t>
            </w:r>
          </w:p>
        </w:tc>
        <w:tc>
          <w:tcPr>
            <w:tcW w:w="1390" w:type="dxa"/>
            <w:vAlign w:val="center"/>
          </w:tcPr>
          <w:p w14:paraId="7C13D98B"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24,484</w:t>
            </w:r>
          </w:p>
        </w:tc>
        <w:tc>
          <w:tcPr>
            <w:tcW w:w="1311" w:type="dxa"/>
            <w:vAlign w:val="center"/>
          </w:tcPr>
          <w:p w14:paraId="208DAD26"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763843D2"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92,294</w:t>
            </w:r>
          </w:p>
        </w:tc>
        <w:tc>
          <w:tcPr>
            <w:tcW w:w="1134" w:type="dxa"/>
            <w:vAlign w:val="center"/>
          </w:tcPr>
          <w:p w14:paraId="678ED842"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F55E203"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r>
      <w:r w:rsidRPr="002B3DDA">
        <w:rPr>
          <w:noProof/>
        </w:rPr>
        <w:lastRenderedPageBreak/>
        <w:t>Non-Attendance Report is submitted, or when a job seeker disengages from an activity and their provider indicates on a No Show No Pay Participation Report that they wish to discuss this with the job seeker (noting that from 12 May 2021 attending activities is no longer compulsory for CDP job seekers, meaning that non-attendance no longer attracts a penalty</w:t>
      </w:r>
      <w:r w:rsidR="00D71D76">
        <w:rPr>
          <w:noProof/>
        </w:rPr>
        <w:t>)</w:t>
      </w:r>
      <w:r w:rsidR="00BF54B3" w:rsidRPr="00A64073">
        <w:rPr>
          <w:noProof/>
        </w:rPr>
        <w:t>.</w:t>
      </w:r>
      <w:r w:rsidR="00BF54B3" w:rsidRPr="00FB63AD">
        <w:rPr>
          <w:noProof/>
        </w:rPr>
        <w:t xml:space="preserve"> </w:t>
      </w:r>
    </w:p>
    <w:p w14:paraId="5CCC60EF"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27AF947B"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BA30DD">
        <w:rPr>
          <w:rFonts w:ascii="Arial" w:hAnsi="Arial" w:cs="Arial"/>
          <w:i/>
        </w:rPr>
        <w:t>1 April to 30 June 2022</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2E79145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15DFFC7E" w14:textId="77777777" w:rsidR="00BB1E9F" w:rsidRPr="00FB63AD" w:rsidRDefault="00BB1E9F" w:rsidP="00F74E10">
            <w:pPr>
              <w:keepNext/>
              <w:keepLines/>
              <w:ind w:left="0"/>
            </w:pPr>
            <w:r w:rsidRPr="00FB63AD">
              <w:t>Non Payment Periods (Serious and UNPPs)</w:t>
            </w:r>
          </w:p>
        </w:tc>
        <w:tc>
          <w:tcPr>
            <w:tcW w:w="934" w:type="dxa"/>
          </w:tcPr>
          <w:p w14:paraId="4CE61E07"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331ACB7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25FD1ED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A946921"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2A92071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3F268047"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31400DB"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71719BF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5F47249A" w14:textId="77777777" w:rsidTr="00C3663B">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760F387B" w14:textId="77777777" w:rsidR="00C3663B" w:rsidRPr="00FB63AD" w:rsidRDefault="00C3663B" w:rsidP="00C3663B">
            <w:pPr>
              <w:keepNext/>
              <w:keepLines/>
              <w:ind w:left="-142" w:firstLine="142"/>
              <w:jc w:val="center"/>
            </w:pPr>
            <w:r w:rsidRPr="00FB63AD">
              <w:t>Sub Total NPPs</w:t>
            </w:r>
          </w:p>
        </w:tc>
        <w:tc>
          <w:tcPr>
            <w:tcW w:w="934" w:type="dxa"/>
            <w:vAlign w:val="center"/>
          </w:tcPr>
          <w:p w14:paraId="40F6BAD3"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5469F91B"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vAlign w:val="center"/>
          </w:tcPr>
          <w:p w14:paraId="00867374"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4107D92C"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vAlign w:val="center"/>
          </w:tcPr>
          <w:p w14:paraId="65233105"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2" w:type="dxa"/>
            <w:vAlign w:val="center"/>
          </w:tcPr>
          <w:p w14:paraId="121C6F6D"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67EB5D92" w14:textId="77777777" w:rsidR="00C3663B" w:rsidRPr="00B622A4" w:rsidRDefault="00BD2256"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4B7193FD"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542407" w14:textId="77777777" w:rsidR="00126999" w:rsidRDefault="00126999" w:rsidP="00126999">
      <w:pPr>
        <w:spacing w:before="0" w:after="60" w:line="240" w:lineRule="auto"/>
        <w:ind w:left="0"/>
        <w:rPr>
          <w:rFonts w:ascii="Arial" w:eastAsiaTheme="majorEastAsia" w:hAnsi="Arial" w:cstheme="majorBidi"/>
          <w:b/>
          <w:bCs/>
          <w:szCs w:val="26"/>
        </w:rPr>
      </w:pPr>
    </w:p>
    <w:p w14:paraId="01F6F298"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BA30DD">
        <w:rPr>
          <w:rFonts w:ascii="Arial" w:hAnsi="Arial" w:cs="Arial"/>
          <w:i/>
        </w:rPr>
        <w:t>1 April to 30 June 2022</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01261FD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9C560B8" w14:textId="77777777" w:rsidR="00BB1E9F" w:rsidRPr="00FB63AD" w:rsidRDefault="00DE65F3" w:rsidP="00F74E10">
            <w:pPr>
              <w:ind w:left="0"/>
            </w:pPr>
            <w:r w:rsidRPr="00FB63AD">
              <w:t>Short Term Financial Penalties (Non-Attendance, Reconnection and NSNP)</w:t>
            </w:r>
          </w:p>
        </w:tc>
        <w:tc>
          <w:tcPr>
            <w:tcW w:w="1037" w:type="dxa"/>
          </w:tcPr>
          <w:p w14:paraId="241C793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7362316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190F20A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463880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2966F9B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6E87CFA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B362D8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187CA72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194B1E3F" w14:textId="77777777" w:rsidTr="00C3663B">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2E9F9727" w14:textId="77777777" w:rsidR="00C3663B" w:rsidRPr="00FB63AD" w:rsidRDefault="00C3663B" w:rsidP="00C3663B">
            <w:pPr>
              <w:ind w:left="0"/>
            </w:pPr>
            <w:r w:rsidRPr="00FB63AD">
              <w:t>Sub Total Short Term Financial Penalties</w:t>
            </w:r>
          </w:p>
        </w:tc>
        <w:tc>
          <w:tcPr>
            <w:tcW w:w="1037" w:type="dxa"/>
            <w:vAlign w:val="center"/>
          </w:tcPr>
          <w:p w14:paraId="3B76812C"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9" w:type="dxa"/>
            <w:vAlign w:val="center"/>
          </w:tcPr>
          <w:p w14:paraId="4C463755" w14:textId="77777777" w:rsidR="00C3663B" w:rsidRPr="00B622A4" w:rsidRDefault="000135BA" w:rsidP="000135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CC59ED5"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046B1AE3"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1BF33136" w14:textId="77777777" w:rsidR="00C3663B" w:rsidRPr="00B622A4" w:rsidRDefault="000135BA"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5BB3A7AD" w14:textId="77777777" w:rsidR="00C3663B" w:rsidRPr="00B622A4" w:rsidRDefault="00BD2256" w:rsidP="000135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8" w:type="dxa"/>
            <w:vAlign w:val="center"/>
          </w:tcPr>
          <w:p w14:paraId="1634877E" w14:textId="77777777" w:rsidR="00C3663B" w:rsidRPr="00B622A4" w:rsidRDefault="00BD2256"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2" w:type="dxa"/>
            <w:vAlign w:val="center"/>
          </w:tcPr>
          <w:p w14:paraId="783EB8F9"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1D41F0A" w14:textId="77777777" w:rsidR="001053D0" w:rsidRPr="001053D0" w:rsidRDefault="001053D0" w:rsidP="001053D0">
      <w:bookmarkStart w:id="40" w:name="_Toc30005469"/>
      <w:r>
        <w:rPr>
          <w:rFonts w:ascii="Arial" w:eastAsiaTheme="majorEastAsia" w:hAnsi="Arial" w:cs="Arial"/>
          <w:b/>
          <w:bCs/>
          <w:i/>
        </w:rPr>
        <w:br/>
      </w:r>
    </w:p>
    <w:p w14:paraId="71B7BFC3"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BA30DD">
        <w:rPr>
          <w:rFonts w:ascii="Arial" w:hAnsi="Arial" w:cs="Arial"/>
          <w:i/>
        </w:rPr>
        <w:t>1 April to 30 June 2022</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33CF4032"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314482DE" w14:textId="77777777" w:rsidR="002522E1" w:rsidRPr="00FB63AD" w:rsidRDefault="002522E1" w:rsidP="00BF3037">
            <w:pPr>
              <w:ind w:left="0"/>
            </w:pPr>
            <w:r w:rsidRPr="00FB63AD">
              <w:t>Under 21</w:t>
            </w:r>
          </w:p>
        </w:tc>
        <w:tc>
          <w:tcPr>
            <w:tcW w:w="1134" w:type="dxa"/>
          </w:tcPr>
          <w:p w14:paraId="2C5D4F3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12B4151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219B059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5331C4E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75B85F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D30445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4FBA29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C3663B" w:rsidRPr="00FB63AD" w14:paraId="7EC6676F" w14:textId="77777777" w:rsidTr="00C3663B">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DE941C" w14:textId="77777777" w:rsidR="00C3663B" w:rsidRPr="00B622A4" w:rsidRDefault="002B7CFF" w:rsidP="00C3663B">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4" w:type="dxa"/>
            <w:vAlign w:val="center"/>
          </w:tcPr>
          <w:p w14:paraId="65E4B6C2" w14:textId="77777777" w:rsidR="00C3663B" w:rsidRPr="00B622A4" w:rsidRDefault="002B7CFF" w:rsidP="002B7CF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3" w:type="dxa"/>
            <w:vAlign w:val="center"/>
          </w:tcPr>
          <w:p w14:paraId="12442059"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5A99B113"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27" w:type="dxa"/>
            <w:vAlign w:val="center"/>
          </w:tcPr>
          <w:p w14:paraId="552B0F53"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6FF7D2CB"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115EA851"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776BD48F"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7B0656"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AED235"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6BC3013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3134DAA"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lastRenderedPageBreak/>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BA30DD">
        <w:rPr>
          <w:rFonts w:ascii="Arial" w:hAnsi="Arial" w:cs="Arial"/>
          <w:i/>
        </w:rPr>
        <w:t>1 April to 30 June 2022</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4314760"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69737C5"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2433F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18DCA86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64352A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66A465E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4BE5FC8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116787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6617BBB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788BFC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3663B" w:rsidRPr="00FB63AD" w14:paraId="1388AF31" w14:textId="77777777" w:rsidTr="00C3663B">
        <w:tc>
          <w:tcPr>
            <w:cnfStyle w:val="001000000000" w:firstRow="0" w:lastRow="0" w:firstColumn="1" w:lastColumn="0" w:oddVBand="0" w:evenVBand="0" w:oddHBand="0" w:evenHBand="0" w:firstRowFirstColumn="0" w:firstRowLastColumn="0" w:lastRowFirstColumn="0" w:lastRowLastColumn="0"/>
            <w:tcW w:w="4340" w:type="dxa"/>
          </w:tcPr>
          <w:p w14:paraId="418BF5CE" w14:textId="77777777" w:rsidR="00C3663B" w:rsidRPr="00FB63AD" w:rsidRDefault="00C3663B" w:rsidP="00C3663B">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3161C810"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3,462</w:t>
            </w:r>
          </w:p>
        </w:tc>
        <w:tc>
          <w:tcPr>
            <w:tcW w:w="1079" w:type="dxa"/>
            <w:vAlign w:val="center"/>
          </w:tcPr>
          <w:p w14:paraId="0F44DAB1"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7,653</w:t>
            </w:r>
          </w:p>
        </w:tc>
        <w:tc>
          <w:tcPr>
            <w:tcW w:w="1331" w:type="dxa"/>
            <w:vAlign w:val="center"/>
          </w:tcPr>
          <w:p w14:paraId="5F8679B6"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6,305</w:t>
            </w:r>
          </w:p>
        </w:tc>
        <w:tc>
          <w:tcPr>
            <w:tcW w:w="1160" w:type="dxa"/>
            <w:vAlign w:val="center"/>
          </w:tcPr>
          <w:p w14:paraId="44F82AE9"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5,468</w:t>
            </w:r>
          </w:p>
        </w:tc>
        <w:tc>
          <w:tcPr>
            <w:tcW w:w="1246" w:type="dxa"/>
            <w:vAlign w:val="center"/>
          </w:tcPr>
          <w:p w14:paraId="7F9306C8"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1,596</w:t>
            </w:r>
          </w:p>
        </w:tc>
        <w:tc>
          <w:tcPr>
            <w:tcW w:w="1280" w:type="dxa"/>
            <w:vAlign w:val="center"/>
          </w:tcPr>
          <w:p w14:paraId="46781434"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24,484</w:t>
            </w:r>
          </w:p>
        </w:tc>
        <w:tc>
          <w:tcPr>
            <w:tcW w:w="1559" w:type="dxa"/>
            <w:vAlign w:val="center"/>
          </w:tcPr>
          <w:p w14:paraId="07ABD7F3"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92,294</w:t>
            </w:r>
          </w:p>
        </w:tc>
        <w:tc>
          <w:tcPr>
            <w:tcW w:w="1412" w:type="dxa"/>
            <w:vAlign w:val="center"/>
          </w:tcPr>
          <w:p w14:paraId="66883C93"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663B" w:rsidRPr="00FB63AD" w14:paraId="113AEA5A" w14:textId="77777777" w:rsidTr="00C3663B">
        <w:tc>
          <w:tcPr>
            <w:cnfStyle w:val="001000000000" w:firstRow="0" w:lastRow="0" w:firstColumn="1" w:lastColumn="0" w:oddVBand="0" w:evenVBand="0" w:oddHBand="0" w:evenHBand="0" w:firstRowFirstColumn="0" w:firstRowLastColumn="0" w:lastRowFirstColumn="0" w:lastRowLastColumn="0"/>
            <w:tcW w:w="4340" w:type="dxa"/>
          </w:tcPr>
          <w:p w14:paraId="7DB5B1D4" w14:textId="77777777" w:rsidR="00C3663B" w:rsidRPr="00FB63AD" w:rsidRDefault="00C3663B" w:rsidP="00C3663B">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3E7419B6"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070B3329"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53B66FC7"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18EB14DD"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D8C2786"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54D4ECDC"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078FA212"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2C494077" w14:textId="77777777" w:rsidR="00C3663B" w:rsidRPr="00885055"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663B" w:rsidRPr="00FB63AD" w14:paraId="616C1BC4" w14:textId="77777777" w:rsidTr="00C3663B">
        <w:tc>
          <w:tcPr>
            <w:cnfStyle w:val="001000000000" w:firstRow="0" w:lastRow="0" w:firstColumn="1" w:lastColumn="0" w:oddVBand="0" w:evenVBand="0" w:oddHBand="0" w:evenHBand="0" w:firstRowFirstColumn="0" w:firstRowLastColumn="0" w:lastRowFirstColumn="0" w:lastRowLastColumn="0"/>
            <w:tcW w:w="4340" w:type="dxa"/>
          </w:tcPr>
          <w:p w14:paraId="1C3D3F5C" w14:textId="77777777" w:rsidR="00C3663B" w:rsidRPr="00FB63AD" w:rsidRDefault="00C3663B" w:rsidP="00C3663B">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74B47CE4"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3,462</w:t>
            </w:r>
          </w:p>
        </w:tc>
        <w:tc>
          <w:tcPr>
            <w:tcW w:w="1079" w:type="dxa"/>
            <w:vAlign w:val="center"/>
          </w:tcPr>
          <w:p w14:paraId="4B283A2D"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7,653</w:t>
            </w:r>
          </w:p>
        </w:tc>
        <w:tc>
          <w:tcPr>
            <w:tcW w:w="1331" w:type="dxa"/>
            <w:vAlign w:val="center"/>
          </w:tcPr>
          <w:p w14:paraId="614CBA38"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6,305</w:t>
            </w:r>
          </w:p>
        </w:tc>
        <w:tc>
          <w:tcPr>
            <w:tcW w:w="1160" w:type="dxa"/>
            <w:vAlign w:val="center"/>
          </w:tcPr>
          <w:p w14:paraId="5790E96F"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5,468</w:t>
            </w:r>
          </w:p>
        </w:tc>
        <w:tc>
          <w:tcPr>
            <w:tcW w:w="1246" w:type="dxa"/>
            <w:vAlign w:val="center"/>
          </w:tcPr>
          <w:p w14:paraId="6D582129"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1,596</w:t>
            </w:r>
          </w:p>
        </w:tc>
        <w:tc>
          <w:tcPr>
            <w:tcW w:w="1280" w:type="dxa"/>
            <w:vAlign w:val="center"/>
          </w:tcPr>
          <w:p w14:paraId="68FD19ED"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24,484</w:t>
            </w:r>
          </w:p>
        </w:tc>
        <w:tc>
          <w:tcPr>
            <w:tcW w:w="1559" w:type="dxa"/>
            <w:vAlign w:val="center"/>
          </w:tcPr>
          <w:p w14:paraId="50D89900"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92,294</w:t>
            </w:r>
          </w:p>
        </w:tc>
        <w:tc>
          <w:tcPr>
            <w:tcW w:w="1412" w:type="dxa"/>
            <w:vAlign w:val="center"/>
          </w:tcPr>
          <w:p w14:paraId="2072712A"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0B72214C"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from 12 May 2021 attending activities is no longer compulsory for CDP job seekers, meaning that non-attendance no longer attracts a penalty</w:t>
      </w:r>
      <w:r w:rsidR="00D71D76">
        <w:rPr>
          <w:noProof/>
        </w:rPr>
        <w:t>)</w:t>
      </w:r>
      <w:r w:rsidR="00BF54B3" w:rsidRPr="00A64073">
        <w:rPr>
          <w:noProof/>
        </w:rPr>
        <w:t>.</w:t>
      </w:r>
      <w:r w:rsidR="0007155C" w:rsidRPr="00FB63AD">
        <w:rPr>
          <w:noProof/>
        </w:rPr>
        <w:t xml:space="preserve"> </w:t>
      </w:r>
    </w:p>
    <w:p w14:paraId="34741416" w14:textId="77777777" w:rsidR="00AF5603" w:rsidRDefault="00AF5603" w:rsidP="00F7644E">
      <w:pPr>
        <w:pStyle w:val="Heading2"/>
        <w:ind w:left="-142" w:firstLine="142"/>
      </w:pPr>
      <w:bookmarkStart w:id="42" w:name="_Toc490635936"/>
      <w:bookmarkStart w:id="43" w:name="_Toc30005471"/>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643361AA"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BA30DD">
        <w:rPr>
          <w:rFonts w:ascii="Arial" w:hAnsi="Arial" w:cs="Arial"/>
          <w:i/>
        </w:rPr>
        <w:t>1 April to 30 June 2022</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66069DD"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2369026" w14:textId="77777777" w:rsidR="00BF73AD" w:rsidRPr="00FB63AD" w:rsidRDefault="00BF73AD" w:rsidP="00BF73AD">
            <w:pPr>
              <w:ind w:left="0"/>
            </w:pPr>
            <w:r w:rsidRPr="00FB63AD">
              <w:t>Non Payment Periods (Serious Failure and UNPP)</w:t>
            </w:r>
          </w:p>
        </w:tc>
        <w:tc>
          <w:tcPr>
            <w:tcW w:w="1531" w:type="dxa"/>
          </w:tcPr>
          <w:p w14:paraId="2244D008"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44ED8EA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6886B55F"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2E8DE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AA89D3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1A3F64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A2B336C"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51EA79A1" w14:textId="77777777" w:rsidTr="00C366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2BCA0809" w14:textId="77777777" w:rsidR="00C3663B" w:rsidRPr="00FB63AD" w:rsidRDefault="00C3663B" w:rsidP="00C3663B">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0A2FAAB"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07772AD8"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nil"/>
              <w:left w:val="nil"/>
              <w:bottom w:val="single" w:sz="4" w:space="0" w:color="auto"/>
              <w:right w:val="single" w:sz="4" w:space="0" w:color="auto"/>
            </w:tcBorders>
            <w:shd w:val="clear" w:color="auto" w:fill="auto"/>
            <w:vAlign w:val="center"/>
          </w:tcPr>
          <w:p w14:paraId="01B36735"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vAlign w:val="center"/>
          </w:tcPr>
          <w:p w14:paraId="5A8B06D9" w14:textId="77777777" w:rsidR="00C3663B" w:rsidRPr="00BF73AD" w:rsidRDefault="002B7CFF" w:rsidP="00C3663B">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2A9EF" w14:textId="77777777" w:rsidR="00C3663B" w:rsidRPr="00B622A4" w:rsidRDefault="002B7CFF" w:rsidP="002B7CF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6F8E089E"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nil"/>
              <w:left w:val="nil"/>
              <w:bottom w:val="single" w:sz="4" w:space="0" w:color="auto"/>
              <w:right w:val="single" w:sz="4" w:space="0" w:color="auto"/>
            </w:tcBorders>
            <w:shd w:val="clear" w:color="auto" w:fill="auto"/>
            <w:vAlign w:val="center"/>
          </w:tcPr>
          <w:p w14:paraId="36ED8A96"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B48E6DD"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6CD69CE"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BA30DD">
        <w:rPr>
          <w:rFonts w:ascii="Arial" w:hAnsi="Arial" w:cs="Arial"/>
          <w:i/>
        </w:rPr>
        <w:t>1 April to 30 June 2022</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30EFE699"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160BC2F" w14:textId="77777777" w:rsidR="00BF73AD" w:rsidRPr="00FB63AD" w:rsidRDefault="00BF73AD" w:rsidP="00BF73AD">
            <w:pPr>
              <w:ind w:left="0"/>
            </w:pPr>
            <w:r w:rsidRPr="00FB63AD">
              <w:t>Short Term Financial Penalties (Non-Attendance, Reconnection and NSNP)</w:t>
            </w:r>
          </w:p>
        </w:tc>
        <w:tc>
          <w:tcPr>
            <w:tcW w:w="1559" w:type="dxa"/>
          </w:tcPr>
          <w:p w14:paraId="6720215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56AB6D9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0997AD5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1AE1D5FF"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4DB66FC"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500AB91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66BCEF8"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266A2308" w14:textId="77777777" w:rsidTr="00C3663B">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E6E41A3" w14:textId="77777777" w:rsidR="00C3663B" w:rsidRPr="00FB63AD" w:rsidRDefault="00C3663B" w:rsidP="00C3663B">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D9040C" w14:textId="77777777" w:rsidR="00C3663B" w:rsidRPr="00B622A4" w:rsidRDefault="002B7CFF" w:rsidP="002B7CF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2E7D27B0"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59" w:type="dxa"/>
            <w:tcBorders>
              <w:top w:val="nil"/>
              <w:left w:val="nil"/>
              <w:bottom w:val="single" w:sz="4" w:space="0" w:color="auto"/>
              <w:right w:val="single" w:sz="4" w:space="0" w:color="auto"/>
            </w:tcBorders>
            <w:shd w:val="clear" w:color="auto" w:fill="auto"/>
            <w:vAlign w:val="center"/>
          </w:tcPr>
          <w:p w14:paraId="126850EC"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vAlign w:val="center"/>
          </w:tcPr>
          <w:p w14:paraId="46F53A3C" w14:textId="77777777" w:rsidR="00C3663B" w:rsidRPr="00BF73AD" w:rsidRDefault="00C3663B" w:rsidP="00C3663B">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8C7FB18"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3AF8A5C1"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nil"/>
              <w:left w:val="nil"/>
              <w:bottom w:val="single" w:sz="4" w:space="0" w:color="auto"/>
              <w:right w:val="single" w:sz="4" w:space="0" w:color="auto"/>
            </w:tcBorders>
            <w:shd w:val="clear" w:color="auto" w:fill="auto"/>
            <w:vAlign w:val="center"/>
          </w:tcPr>
          <w:p w14:paraId="6FFBB560"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0CEA6D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22E2B9FB"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BA30DD">
        <w:rPr>
          <w:rFonts w:ascii="Arial" w:hAnsi="Arial" w:cs="Arial"/>
          <w:i/>
        </w:rPr>
        <w:t>1 April to 30 June 2022</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2624873E"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6F05970A" w14:textId="77777777" w:rsidR="00BF73AD" w:rsidRPr="00FB63AD" w:rsidRDefault="00BF73AD" w:rsidP="00BF73AD">
            <w:pPr>
              <w:keepNext/>
              <w:keepLines/>
              <w:ind w:left="-142" w:firstLine="142"/>
            </w:pPr>
            <w:r>
              <w:t>JSP^</w:t>
            </w:r>
          </w:p>
        </w:tc>
        <w:tc>
          <w:tcPr>
            <w:tcW w:w="1275" w:type="dxa"/>
          </w:tcPr>
          <w:p w14:paraId="44805810"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ABF3A5A"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652E4EA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8D6E0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18C4112A"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34D33853"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63B" w:rsidRPr="00FB63AD" w14:paraId="6D847F57" w14:textId="77777777" w:rsidTr="00C3663B">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2652D1D" w14:textId="77777777" w:rsidR="00C3663B" w:rsidRPr="00B622A4" w:rsidRDefault="002B7CFF" w:rsidP="002B7CFF">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09856" w14:textId="77777777" w:rsidR="00C3663B" w:rsidRPr="00B622A4" w:rsidRDefault="002B7CFF"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660FD2D"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51DD6A55" w14:textId="77777777" w:rsidR="00C3663B" w:rsidRPr="00BF73AD" w:rsidRDefault="002B7CFF" w:rsidP="00C3663B">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5278E"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0B42E9" w14:textId="77777777" w:rsidR="00C3663B" w:rsidRPr="00B622A4" w:rsidRDefault="00A03C62"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4912B3B2" w14:textId="77777777" w:rsidR="00C3663B" w:rsidRPr="00B622A4" w:rsidRDefault="00C3663B" w:rsidP="00C3663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F1617FB"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5DA2B6E6" w14:textId="77777777" w:rsidR="00AF5603" w:rsidRDefault="00AF5603" w:rsidP="00AF5603">
      <w:pPr>
        <w:spacing w:before="60" w:after="120" w:line="240" w:lineRule="auto"/>
        <w:ind w:left="142"/>
      </w:pPr>
      <w:r w:rsidRPr="00FB63AD">
        <w:lastRenderedPageBreak/>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464F70AB"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0A22529"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7789C52"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BA30DD">
        <w:rPr>
          <w:i/>
        </w:rPr>
        <w:t>1 April to 30 June 2022</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751D3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0911A42C" w14:textId="77777777" w:rsidR="00AF5603" w:rsidRPr="00FB63AD" w:rsidRDefault="00AF5603" w:rsidP="00AF5603">
            <w:pPr>
              <w:ind w:left="-142" w:firstLine="142"/>
            </w:pPr>
            <w:r w:rsidRPr="00FB63AD">
              <w:t>Income Support payment suspensions</w:t>
            </w:r>
          </w:p>
        </w:tc>
        <w:tc>
          <w:tcPr>
            <w:tcW w:w="1559" w:type="dxa"/>
          </w:tcPr>
          <w:p w14:paraId="04D3F02C"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51B186B3"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22895C2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0AA0A620"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011D352"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56E4C562"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3663B" w:rsidRPr="00FB63AD" w14:paraId="3359AB40" w14:textId="77777777" w:rsidTr="00C3663B">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4EE8DF1" w14:textId="77777777" w:rsidR="00C3663B" w:rsidRPr="00FB63AD" w:rsidRDefault="00C3663B" w:rsidP="00C3663B">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C80A8C"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19,905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499F50"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717CAE"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8F706"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24,484</w:t>
            </w:r>
          </w:p>
        </w:tc>
        <w:tc>
          <w:tcPr>
            <w:tcW w:w="2003" w:type="dxa"/>
            <w:tcBorders>
              <w:top w:val="single" w:sz="4" w:space="0" w:color="auto"/>
              <w:left w:val="nil"/>
              <w:bottom w:val="single" w:sz="4" w:space="0" w:color="auto"/>
              <w:right w:val="single" w:sz="4" w:space="0" w:color="auto"/>
            </w:tcBorders>
            <w:shd w:val="clear" w:color="auto" w:fill="auto"/>
            <w:vAlign w:val="center"/>
          </w:tcPr>
          <w:p w14:paraId="16B99CE4"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92,294</w:t>
            </w:r>
          </w:p>
        </w:tc>
        <w:tc>
          <w:tcPr>
            <w:tcW w:w="1541" w:type="dxa"/>
            <w:tcBorders>
              <w:top w:val="single" w:sz="4" w:space="0" w:color="auto"/>
              <w:left w:val="nil"/>
              <w:bottom w:val="single" w:sz="4" w:space="0" w:color="auto"/>
              <w:right w:val="single" w:sz="4" w:space="0" w:color="auto"/>
            </w:tcBorders>
            <w:shd w:val="clear" w:color="auto" w:fill="auto"/>
            <w:vAlign w:val="center"/>
          </w:tcPr>
          <w:p w14:paraId="69C4861B"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663B" w:rsidRPr="00FB63AD" w14:paraId="36F97224" w14:textId="77777777" w:rsidTr="00C3663B">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20B903E" w14:textId="77777777" w:rsidR="00C3663B" w:rsidRPr="00FB63AD" w:rsidRDefault="00C3663B" w:rsidP="00C3663B">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A953C4"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5AFF7DB6"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1686A475"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465FE137"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674FC41C"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7A234ACC" w14:textId="77777777" w:rsidR="00C3663B" w:rsidRPr="007A076A"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663B" w:rsidRPr="00FB63AD" w14:paraId="6E79BC72" w14:textId="77777777" w:rsidTr="00C3663B">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A9C96A3" w14:textId="77777777" w:rsidR="00C3663B" w:rsidRPr="00F7644E" w:rsidRDefault="00C3663B" w:rsidP="00C3663B">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4BB09A"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19,905</w:t>
            </w:r>
          </w:p>
        </w:tc>
        <w:tc>
          <w:tcPr>
            <w:tcW w:w="1276" w:type="dxa"/>
            <w:tcBorders>
              <w:top w:val="nil"/>
              <w:left w:val="nil"/>
              <w:bottom w:val="single" w:sz="4" w:space="0" w:color="auto"/>
              <w:right w:val="single" w:sz="4" w:space="0" w:color="auto"/>
            </w:tcBorders>
            <w:shd w:val="clear" w:color="auto" w:fill="auto"/>
            <w:vAlign w:val="center"/>
          </w:tcPr>
          <w:p w14:paraId="66C2BF10"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4,365</w:t>
            </w:r>
          </w:p>
        </w:tc>
        <w:tc>
          <w:tcPr>
            <w:tcW w:w="1701" w:type="dxa"/>
            <w:tcBorders>
              <w:top w:val="nil"/>
              <w:left w:val="nil"/>
              <w:bottom w:val="single" w:sz="4" w:space="0" w:color="auto"/>
              <w:right w:val="single" w:sz="4" w:space="0" w:color="auto"/>
            </w:tcBorders>
            <w:shd w:val="clear" w:color="auto" w:fill="auto"/>
            <w:vAlign w:val="center"/>
          </w:tcPr>
          <w:p w14:paraId="5828AEB7"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214</w:t>
            </w:r>
          </w:p>
        </w:tc>
        <w:tc>
          <w:tcPr>
            <w:tcW w:w="1843" w:type="dxa"/>
            <w:tcBorders>
              <w:top w:val="nil"/>
              <w:left w:val="nil"/>
              <w:bottom w:val="single" w:sz="4" w:space="0" w:color="auto"/>
              <w:right w:val="single" w:sz="4" w:space="0" w:color="auto"/>
            </w:tcBorders>
            <w:shd w:val="clear" w:color="auto" w:fill="auto"/>
            <w:vAlign w:val="center"/>
          </w:tcPr>
          <w:p w14:paraId="2BC37D85"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24,484</w:t>
            </w:r>
          </w:p>
        </w:tc>
        <w:tc>
          <w:tcPr>
            <w:tcW w:w="2003" w:type="dxa"/>
            <w:tcBorders>
              <w:top w:val="nil"/>
              <w:left w:val="nil"/>
              <w:bottom w:val="single" w:sz="4" w:space="0" w:color="auto"/>
              <w:right w:val="single" w:sz="4" w:space="0" w:color="auto"/>
            </w:tcBorders>
            <w:shd w:val="clear" w:color="auto" w:fill="auto"/>
            <w:vAlign w:val="center"/>
          </w:tcPr>
          <w:p w14:paraId="05B32565"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92,294</w:t>
            </w:r>
          </w:p>
        </w:tc>
        <w:tc>
          <w:tcPr>
            <w:tcW w:w="1541" w:type="dxa"/>
            <w:tcBorders>
              <w:top w:val="nil"/>
              <w:left w:val="nil"/>
              <w:bottom w:val="single" w:sz="4" w:space="0" w:color="auto"/>
              <w:right w:val="single" w:sz="4" w:space="0" w:color="auto"/>
            </w:tcBorders>
            <w:shd w:val="clear" w:color="auto" w:fill="auto"/>
            <w:vAlign w:val="center"/>
          </w:tcPr>
          <w:p w14:paraId="44AE5182" w14:textId="77777777" w:rsidR="00C3663B" w:rsidRPr="001C1567" w:rsidRDefault="00C3663B" w:rsidP="00C366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4F3F418C"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48C2737F"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from 12 May 2021 attending activities is no longer compulsory for CDP job seekers, meaning that non-attendance no longer attracts a penalty</w:t>
      </w:r>
      <w:r w:rsidR="00D71D76">
        <w:rPr>
          <w:noProof/>
        </w:rPr>
        <w:t>)</w:t>
      </w:r>
      <w:r w:rsidR="00AF5603" w:rsidRPr="00A64073">
        <w:rPr>
          <w:noProof/>
        </w:rPr>
        <w:t>.</w:t>
      </w:r>
      <w:r w:rsidR="00AF5603" w:rsidRPr="00FB63AD">
        <w:rPr>
          <w:noProof/>
        </w:rPr>
        <w:t xml:space="preserve"> </w:t>
      </w:r>
    </w:p>
    <w:p w14:paraId="66D5AE98" w14:textId="77777777" w:rsidR="00CC1242" w:rsidRDefault="00CC1242">
      <w:pPr>
        <w:spacing w:before="0"/>
        <w:ind w:left="0"/>
        <w:rPr>
          <w:noProof/>
        </w:rPr>
      </w:pPr>
      <w:r>
        <w:rPr>
          <w:noProof/>
        </w:rPr>
        <w:br w:type="page"/>
      </w:r>
    </w:p>
    <w:p w14:paraId="2E97E6CB"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147DD0F7"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BA30DD">
        <w:rPr>
          <w:rFonts w:ascii="Arial" w:hAnsi="Arial" w:cs="Arial"/>
          <w:i/>
        </w:rPr>
        <w:t>1 April to 30 June 2022</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3D33D926"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39C657B1" w14:textId="77777777" w:rsidR="00DE0653" w:rsidRPr="00FB63AD" w:rsidRDefault="00DE0653" w:rsidP="00AF5603">
            <w:pPr>
              <w:ind w:left="142"/>
            </w:pPr>
            <w:r w:rsidRPr="00FB63AD">
              <w:t>Non Payment Periods (Serious and UNPPs)</w:t>
            </w:r>
          </w:p>
        </w:tc>
        <w:tc>
          <w:tcPr>
            <w:tcW w:w="1004" w:type="dxa"/>
            <w:vAlign w:val="center"/>
          </w:tcPr>
          <w:p w14:paraId="091EF17A"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3229670"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60F1F43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606704D"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091E637F"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6DDBA6B2" w14:textId="77777777" w:rsidR="008947F9" w:rsidRPr="002A45B4" w:rsidRDefault="002B7CFF" w:rsidP="002B7CF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1E96F746" w14:textId="77777777" w:rsidR="008947F9" w:rsidRPr="002A45B4" w:rsidRDefault="00A03C6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2098EE9B" w14:textId="77777777" w:rsidR="008947F9" w:rsidRPr="002A45B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00EF218" w14:textId="77777777" w:rsidR="00AF5603" w:rsidRDefault="00AF5603" w:rsidP="00AF5603">
      <w:pPr>
        <w:spacing w:before="0"/>
        <w:ind w:left="0"/>
        <w:rPr>
          <w:b/>
        </w:rPr>
      </w:pPr>
    </w:p>
    <w:p w14:paraId="386A5E6F"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BA30DD">
        <w:rPr>
          <w:rFonts w:ascii="Arial" w:hAnsi="Arial" w:cs="Arial"/>
          <w:i/>
        </w:rPr>
        <w:t>1 April to 30 June 2022</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7DFB320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3B58863"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63E236B"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58E1977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617C70AB"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EA3500B"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8BC0613"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5041C95D" w14:textId="77777777" w:rsidR="008947F9" w:rsidRPr="00B622A4" w:rsidRDefault="002B7CF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tcBorders>
              <w:top w:val="nil"/>
              <w:left w:val="nil"/>
              <w:bottom w:val="single" w:sz="4" w:space="0" w:color="auto"/>
              <w:right w:val="single" w:sz="4" w:space="0" w:color="auto"/>
            </w:tcBorders>
            <w:shd w:val="clear" w:color="auto" w:fill="auto"/>
            <w:vAlign w:val="center"/>
          </w:tcPr>
          <w:p w14:paraId="06D6D30C" w14:textId="77777777" w:rsidR="008947F9" w:rsidRPr="00B622A4" w:rsidRDefault="00A03C6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89" w:type="dxa"/>
            <w:tcBorders>
              <w:top w:val="nil"/>
              <w:left w:val="nil"/>
              <w:bottom w:val="single" w:sz="4" w:space="0" w:color="auto"/>
              <w:right w:val="single" w:sz="4" w:space="0" w:color="auto"/>
            </w:tcBorders>
            <w:shd w:val="clear" w:color="auto" w:fill="auto"/>
            <w:vAlign w:val="center"/>
          </w:tcPr>
          <w:p w14:paraId="7A6B3A2A" w14:textId="77777777" w:rsidR="008947F9" w:rsidRPr="00B622A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A42C0B0"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BA30DD">
        <w:rPr>
          <w:rFonts w:ascii="Arial" w:hAnsi="Arial" w:cs="Arial"/>
          <w:i/>
        </w:rPr>
        <w:t>1 April to 30 June 2022</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733BAB3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4DE7022B" w14:textId="77777777" w:rsidR="002522E1" w:rsidRPr="00FB63AD" w:rsidRDefault="002522E1" w:rsidP="00BF3037">
            <w:pPr>
              <w:ind w:left="142"/>
            </w:pPr>
            <w:r>
              <w:t xml:space="preserve">CDP </w:t>
            </w:r>
            <w:r w:rsidRPr="00FB63AD">
              <w:t>Total</w:t>
            </w:r>
          </w:p>
        </w:tc>
        <w:tc>
          <w:tcPr>
            <w:tcW w:w="1130" w:type="dxa"/>
            <w:vAlign w:val="center"/>
          </w:tcPr>
          <w:p w14:paraId="324B0A7B"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03DDE8E1"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0C992503"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323847D" w14:textId="77777777" w:rsidR="008947F9" w:rsidRPr="00B622A4" w:rsidRDefault="00A03C62" w:rsidP="008947F9">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130" w:type="dxa"/>
            <w:tcBorders>
              <w:top w:val="single" w:sz="4" w:space="0" w:color="auto"/>
              <w:left w:val="nil"/>
              <w:bottom w:val="single" w:sz="4" w:space="0" w:color="auto"/>
              <w:right w:val="single" w:sz="4" w:space="0" w:color="auto"/>
            </w:tcBorders>
            <w:shd w:val="clear" w:color="auto" w:fill="auto"/>
            <w:vAlign w:val="center"/>
          </w:tcPr>
          <w:p w14:paraId="149E9BD6" w14:textId="77777777" w:rsidR="008947F9" w:rsidRPr="00B622A4" w:rsidRDefault="00A03C6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3CD0DDA" w14:textId="77777777" w:rsidR="008947F9" w:rsidRPr="00B622A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A2D9C22"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2CBBF75"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0D7CD60E"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92C95F4" w14:textId="77777777" w:rsidR="00CF1E6C" w:rsidRDefault="00CF1E6C" w:rsidP="00AF5603">
      <w:pPr>
        <w:spacing w:before="0" w:after="240" w:line="240" w:lineRule="auto"/>
        <w:ind w:left="142"/>
        <w:rPr>
          <w:bCs/>
        </w:rPr>
      </w:pPr>
    </w:p>
    <w:p w14:paraId="0E817455" w14:textId="77777777" w:rsidR="00CF1E6C" w:rsidRDefault="00CF1E6C" w:rsidP="00AF5603">
      <w:pPr>
        <w:spacing w:before="0" w:after="240" w:line="240" w:lineRule="auto"/>
        <w:ind w:left="142"/>
        <w:rPr>
          <w:bCs/>
        </w:rPr>
      </w:pPr>
    </w:p>
    <w:p w14:paraId="17588752"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BA30DD">
        <w:rPr>
          <w:rFonts w:ascii="Arial" w:hAnsi="Arial" w:cs="Arial"/>
          <w:i/>
        </w:rPr>
        <w:t>1 April to 30 June 2022</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42A8A788"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A4C0F3C" w14:textId="77777777" w:rsidR="00DE0653" w:rsidRPr="00AB1A47" w:rsidRDefault="00DE0653" w:rsidP="00AF5603">
            <w:pPr>
              <w:ind w:left="0"/>
              <w:jc w:val="center"/>
            </w:pPr>
            <w:r w:rsidRPr="00AB1A47">
              <w:t>Income Support payment suspensions</w:t>
            </w:r>
          </w:p>
        </w:tc>
        <w:tc>
          <w:tcPr>
            <w:tcW w:w="992" w:type="dxa"/>
            <w:vAlign w:val="center"/>
          </w:tcPr>
          <w:p w14:paraId="12F13E5A"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BF1B619"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2E3A7CA"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66D50" w:rsidRPr="0092180C" w14:paraId="02EC0619" w14:textId="77777777" w:rsidTr="00A66D50">
        <w:tc>
          <w:tcPr>
            <w:cnfStyle w:val="001000000000" w:firstRow="0" w:lastRow="0" w:firstColumn="1" w:lastColumn="0" w:oddVBand="0" w:evenVBand="0" w:oddHBand="0" w:evenHBand="0" w:firstRowFirstColumn="0" w:firstRowLastColumn="0" w:lastRowFirstColumn="0" w:lastRowLastColumn="0"/>
            <w:tcW w:w="4531" w:type="dxa"/>
          </w:tcPr>
          <w:p w14:paraId="5B2FDA41" w14:textId="77777777" w:rsidR="00A66D50" w:rsidRPr="00AB1A47" w:rsidRDefault="00A66D50" w:rsidP="00A66D50">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5D4E540" w14:textId="77777777" w:rsidR="00A66D50" w:rsidRPr="009A742F" w:rsidRDefault="00C3663B"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24,484</w:t>
            </w:r>
          </w:p>
        </w:tc>
        <w:tc>
          <w:tcPr>
            <w:tcW w:w="1128" w:type="dxa"/>
            <w:tcBorders>
              <w:top w:val="single" w:sz="4" w:space="0" w:color="auto"/>
              <w:left w:val="nil"/>
              <w:bottom w:val="single" w:sz="4" w:space="0" w:color="auto"/>
              <w:right w:val="single" w:sz="4" w:space="0" w:color="auto"/>
            </w:tcBorders>
            <w:shd w:val="clear" w:color="auto" w:fill="auto"/>
            <w:vAlign w:val="center"/>
          </w:tcPr>
          <w:p w14:paraId="636BA8D5" w14:textId="77777777" w:rsidR="00A66D50" w:rsidRPr="009A742F" w:rsidRDefault="00C3663B"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92,294</w:t>
            </w:r>
          </w:p>
        </w:tc>
        <w:tc>
          <w:tcPr>
            <w:tcW w:w="1424" w:type="dxa"/>
            <w:tcBorders>
              <w:top w:val="single" w:sz="4" w:space="0" w:color="auto"/>
              <w:left w:val="nil"/>
              <w:bottom w:val="single" w:sz="4" w:space="0" w:color="auto"/>
              <w:right w:val="single" w:sz="4" w:space="0" w:color="auto"/>
            </w:tcBorders>
            <w:shd w:val="clear" w:color="auto" w:fill="auto"/>
            <w:vAlign w:val="center"/>
          </w:tcPr>
          <w:p w14:paraId="3438D264" w14:textId="77777777"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6D50" w:rsidRPr="0092180C" w14:paraId="153D59CF" w14:textId="77777777" w:rsidTr="00A66D50">
        <w:tc>
          <w:tcPr>
            <w:cnfStyle w:val="001000000000" w:firstRow="0" w:lastRow="0" w:firstColumn="1" w:lastColumn="0" w:oddVBand="0" w:evenVBand="0" w:oddHBand="0" w:evenHBand="0" w:firstRowFirstColumn="0" w:firstRowLastColumn="0" w:lastRowFirstColumn="0" w:lastRowLastColumn="0"/>
            <w:tcW w:w="4531" w:type="dxa"/>
          </w:tcPr>
          <w:p w14:paraId="33B2904D" w14:textId="77777777" w:rsidR="00A66D50" w:rsidRPr="00AB1A47" w:rsidDel="00D725A7" w:rsidRDefault="00A66D50" w:rsidP="00A66D50">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64569BAF" w14:textId="77777777"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699F84E1" w14:textId="77777777"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27B992B1" w14:textId="77777777"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6D50" w:rsidRPr="00FB63AD" w14:paraId="30D3189F" w14:textId="77777777" w:rsidTr="00A66D50">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6DAB14F1" w14:textId="77777777" w:rsidR="00A66D50" w:rsidRPr="00AB1A47" w:rsidRDefault="00A66D50" w:rsidP="00A66D50">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74F4AF9" w14:textId="77777777" w:rsidR="00A66D50" w:rsidRPr="009A742F" w:rsidRDefault="00C3663B" w:rsidP="00A66D5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24,484</w:t>
            </w:r>
          </w:p>
        </w:tc>
        <w:tc>
          <w:tcPr>
            <w:tcW w:w="1128" w:type="dxa"/>
            <w:tcBorders>
              <w:top w:val="nil"/>
              <w:left w:val="nil"/>
              <w:bottom w:val="single" w:sz="4" w:space="0" w:color="auto"/>
              <w:right w:val="single" w:sz="4" w:space="0" w:color="auto"/>
            </w:tcBorders>
            <w:shd w:val="clear" w:color="auto" w:fill="auto"/>
            <w:vAlign w:val="center"/>
          </w:tcPr>
          <w:p w14:paraId="17FC222E" w14:textId="77777777" w:rsidR="00A66D50" w:rsidRPr="009A742F" w:rsidRDefault="00C3663B" w:rsidP="00A66D5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92,294</w:t>
            </w:r>
          </w:p>
        </w:tc>
        <w:tc>
          <w:tcPr>
            <w:tcW w:w="1424" w:type="dxa"/>
            <w:tcBorders>
              <w:top w:val="nil"/>
              <w:left w:val="nil"/>
              <w:bottom w:val="single" w:sz="4" w:space="0" w:color="auto"/>
              <w:right w:val="single" w:sz="4" w:space="0" w:color="auto"/>
            </w:tcBorders>
            <w:shd w:val="clear" w:color="auto" w:fill="auto"/>
            <w:vAlign w:val="center"/>
          </w:tcPr>
          <w:p w14:paraId="3EB7EB85" w14:textId="77777777" w:rsidR="00A66D50" w:rsidRPr="009A742F" w:rsidRDefault="00A66D50" w:rsidP="00A66D5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2D64544B"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r>
      <w:r w:rsidRPr="002B3DDA">
        <w:rPr>
          <w:noProof/>
        </w:rPr>
        <w:lastRenderedPageBreak/>
        <w:t>Non-Attendance Report is submitted, or when a job seeker disengages from an activity and their provider indicates on a No Show No Pay Participation Report that they wish to discuss this with the job seeker (noting that from 12 May 2021 attending activities is no longer compulsory for CDP job seekers, meaning that non-attendance no longer attracts a penalty</w:t>
      </w:r>
      <w:r w:rsidR="00D64D1D">
        <w:rPr>
          <w:noProof/>
        </w:rPr>
        <w:t>)</w:t>
      </w:r>
      <w:r w:rsidR="00AF5603" w:rsidRPr="00A64073">
        <w:rPr>
          <w:noProof/>
        </w:rPr>
        <w:t>.</w:t>
      </w:r>
      <w:r w:rsidR="00AF5603" w:rsidRPr="00FB63AD">
        <w:rPr>
          <w:noProof/>
        </w:rPr>
        <w:t xml:space="preserve"> </w:t>
      </w:r>
    </w:p>
    <w:p w14:paraId="7D02947D" w14:textId="77777777" w:rsidR="00432C29" w:rsidRDefault="00432C29">
      <w:pPr>
        <w:spacing w:before="0"/>
        <w:ind w:left="0"/>
        <w:rPr>
          <w:noProof/>
        </w:rPr>
      </w:pPr>
      <w:r>
        <w:rPr>
          <w:noProof/>
        </w:rPr>
        <w:br w:type="page"/>
      </w:r>
    </w:p>
    <w:p w14:paraId="6707780B"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249528EC"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from 12 May 2021, attending activities as part of a job plan is no longer part of a job seeker’s mutual obligation requirements and is undertaken on a voluntary basis</w:t>
      </w:r>
      <w:r>
        <w:t>.</w:t>
      </w:r>
    </w:p>
    <w:p w14:paraId="094FA0EE"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4EDD90F8"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250F5103"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7A3AE8A"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3D6BC4CA"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6A695F5C"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677C2E6D"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20DFBEB"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0D862491"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E357902"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1470339F" w14:textId="77777777" w:rsidR="00DE0653" w:rsidRPr="00FB63AD" w:rsidRDefault="00DE0653" w:rsidP="003A427E">
      <w:pPr>
        <w:pStyle w:val="ListParagraph"/>
        <w:numPr>
          <w:ilvl w:val="0"/>
          <w:numId w:val="5"/>
        </w:numPr>
        <w:spacing w:before="0" w:after="0" w:line="240" w:lineRule="auto"/>
        <w:ind w:left="709" w:hanging="709"/>
      </w:pPr>
      <w:r w:rsidRPr="00FB63AD">
        <w:lastRenderedPageBreak/>
        <w:t>fails to meet a job search requirement in their Job Plan.</w:t>
      </w:r>
    </w:p>
    <w:p w14:paraId="2F7911D6" w14:textId="77777777" w:rsidR="00DE0653" w:rsidRPr="00FB63AD" w:rsidRDefault="00DE0653" w:rsidP="00DE0653">
      <w:pPr>
        <w:ind w:left="0"/>
      </w:pPr>
      <w:r w:rsidRPr="00FB63AD">
        <w:t>Job seekers do not incur financial penalties if they have a Connection Failure applied.</w:t>
      </w:r>
    </w:p>
    <w:p w14:paraId="52AE05A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791A9E84"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0D403487"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E118A6">
        <w:t>Employment and Workplace Relations</w:t>
      </w:r>
      <w:r>
        <w:t xml:space="preserve"> website and provides further information on job seeker compliance penalties.</w:t>
      </w:r>
    </w:p>
    <w:p w14:paraId="732BDB35"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74857AFC"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3FCC03C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10B9578A"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w:t>
      </w:r>
      <w:r>
        <w:lastRenderedPageBreak/>
        <w:t>the case of a job seeker claiming to have been working, it may mean that the job seeker did not provide evidence to verify this or declare any earnings.</w:t>
      </w:r>
    </w:p>
    <w:p w14:paraId="315FFABD"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4A22E194"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3734B818"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7C873593"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6A1F45D4"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4CC6D8EA"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t>
      </w:r>
      <w:r>
        <w:lastRenderedPageBreak/>
        <w:t>was satisfied that this had occurred and found no reason to accept the job seeker’s explanation.</w:t>
      </w:r>
    </w:p>
    <w:p w14:paraId="037C6F5D"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7C8FAE8"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44E71FE"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607803B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7732CF7A"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734E7946"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248F594F"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A61EE50" w14:textId="77777777" w:rsidR="00DE0653" w:rsidRDefault="00DE0653" w:rsidP="00DE0653">
      <w:pPr>
        <w:ind w:left="0"/>
      </w:pPr>
      <w:r w:rsidRPr="00F4796B">
        <w:rPr>
          <w:b/>
        </w:rPr>
        <w:lastRenderedPageBreak/>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0A0038E6"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45938E1F"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48C00870"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0A108DFA"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82368C4"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417702D7"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 xml:space="preserve">Note that this requirement changed from 12 May 2021 </w:t>
      </w:r>
      <w:r w:rsidR="00AA507B">
        <w:t xml:space="preserve">when </w:t>
      </w:r>
      <w:r w:rsidR="002B3DDA" w:rsidRPr="002B3DDA">
        <w:t>CDP job seekers’ attendance at activities became voluntary</w:t>
      </w:r>
      <w:r w:rsidRPr="00F30D86">
        <w:t>.</w:t>
      </w:r>
      <w:r w:rsidRPr="00F30D86">
        <w:rPr>
          <w:b/>
        </w:rPr>
        <w:t xml:space="preserve">  </w:t>
      </w:r>
    </w:p>
    <w:p w14:paraId="0DB4D191" w14:textId="77777777" w:rsidR="00DE0653" w:rsidRDefault="00DE0653" w:rsidP="00DE0653">
      <w:pPr>
        <w:ind w:left="0"/>
      </w:pPr>
      <w:r w:rsidRPr="00F4796B">
        <w:rPr>
          <w:b/>
        </w:rPr>
        <w:lastRenderedPageBreak/>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CD86AE2"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45895DAE"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1DBC689"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275C45F2"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19F41608"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43FDDE76"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7D4C3F7D"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712C8A74" w14:textId="77777777" w:rsidR="00DE0653" w:rsidRDefault="00DE0653" w:rsidP="00DE0653">
      <w:pPr>
        <w:ind w:left="0"/>
      </w:pPr>
      <w:r w:rsidRPr="00F4796B">
        <w:rPr>
          <w:b/>
        </w:rPr>
        <w:lastRenderedPageBreak/>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54C881A5"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2B227A5F"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64BD69C6"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518FB3E9"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10F5C977"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403E8936"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3A22B230"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xml:space="preserve">, for a specified period of time, from complying with their requirements. Exemptions </w:t>
      </w:r>
      <w:r w:rsidRPr="006C321A">
        <w:lastRenderedPageBreak/>
        <w:t>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601A9F8C"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78679BF7"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39D75854"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1564634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4740C586"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1AE68AC3" w14:textId="77777777" w:rsidR="00DE0653" w:rsidRPr="00FB63AD" w:rsidRDefault="00DE0653" w:rsidP="00DE0653">
      <w:pPr>
        <w:spacing w:before="360" w:after="120"/>
        <w:ind w:left="-142" w:firstLine="142"/>
        <w:rPr>
          <w:b/>
        </w:rPr>
      </w:pPr>
      <w:r w:rsidRPr="00FB63AD">
        <w:rPr>
          <w:b/>
        </w:rPr>
        <w:t xml:space="preserve">Notes: </w:t>
      </w:r>
    </w:p>
    <w:p w14:paraId="19660F98" w14:textId="77777777"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96129B">
        <w:t>fourth</w:t>
      </w:r>
      <w:r w:rsidRPr="002B3DDA">
        <w:t xml:space="preserve"> quarter of the 2021 - 22 financial year (i.e. applied/finalised in the period 1/</w:t>
      </w:r>
      <w:r w:rsidR="0096129B">
        <w:t>4</w:t>
      </w:r>
      <w:r w:rsidR="008A526B">
        <w:t>/2022</w:t>
      </w:r>
      <w:r w:rsidRPr="002B3DDA">
        <w:t xml:space="preserve"> – </w:t>
      </w:r>
      <w:r w:rsidR="0096129B">
        <w:t>30/6</w:t>
      </w:r>
      <w:r w:rsidR="008A526B">
        <w:t>/2022</w:t>
      </w:r>
      <w:r w:rsidRPr="002B3DDA">
        <w:t xml:space="preserve"> inclusive) and not under review, revoked or otherwise overturned as at </w:t>
      </w:r>
      <w:r w:rsidR="0096129B">
        <w:t>12 August</w:t>
      </w:r>
      <w:r w:rsidR="00981F68">
        <w:t xml:space="preserve"> 2022</w:t>
      </w:r>
      <w:r w:rsidRPr="002B3DDA">
        <w:t>. This lag is to allow for reviews and appeals to be finalised</w:t>
      </w:r>
      <w:r w:rsidR="00DE0653" w:rsidRPr="00FB63AD">
        <w:t xml:space="preserve">. </w:t>
      </w:r>
    </w:p>
    <w:p w14:paraId="7B70E8E5"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5A39F9D" w14:textId="77777777" w:rsidR="00DE0653" w:rsidRPr="00FB63AD" w:rsidRDefault="00DE0653" w:rsidP="003A427E">
      <w:pPr>
        <w:pStyle w:val="ListParagraph"/>
        <w:numPr>
          <w:ilvl w:val="0"/>
          <w:numId w:val="2"/>
        </w:numPr>
        <w:tabs>
          <w:tab w:val="left" w:pos="284"/>
        </w:tabs>
        <w:ind w:left="-142" w:firstLine="142"/>
      </w:pPr>
      <w:r w:rsidRPr="00FB63AD">
        <w:lastRenderedPageBreak/>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612F1EC7"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67BCA2D7"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5016" w14:textId="77777777" w:rsidR="008F2A4A" w:rsidRDefault="008F2A4A" w:rsidP="00C7637E">
      <w:pPr>
        <w:spacing w:before="0" w:after="0" w:line="240" w:lineRule="auto"/>
      </w:pPr>
      <w:r>
        <w:separator/>
      </w:r>
    </w:p>
  </w:endnote>
  <w:endnote w:type="continuationSeparator" w:id="0">
    <w:p w14:paraId="59F3F29D" w14:textId="77777777" w:rsidR="008F2A4A" w:rsidRDefault="008F2A4A"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C013" w14:textId="77777777" w:rsidR="0021307D" w:rsidRDefault="00213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1D1DAB46" w14:textId="77777777" w:rsidR="00017FB6" w:rsidRDefault="00017FB6">
        <w:pPr>
          <w:pStyle w:val="Footer"/>
        </w:pPr>
        <w:r>
          <w:fldChar w:fldCharType="begin"/>
        </w:r>
        <w:r>
          <w:instrText xml:space="preserve"> PAGE   \* MERGEFORMAT </w:instrText>
        </w:r>
        <w:r>
          <w:fldChar w:fldCharType="separate"/>
        </w:r>
        <w:r w:rsidR="0021307D">
          <w:rPr>
            <w:noProof/>
          </w:rPr>
          <w:t>5</w:t>
        </w:r>
        <w:r>
          <w:rPr>
            <w:noProof/>
          </w:rPr>
          <w:fldChar w:fldCharType="end"/>
        </w:r>
      </w:p>
    </w:sdtContent>
  </w:sdt>
  <w:p w14:paraId="16405C32" w14:textId="77777777" w:rsidR="00017FB6" w:rsidRDefault="00017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DB9F" w14:textId="77777777" w:rsidR="0021307D" w:rsidRDefault="0021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A130" w14:textId="77777777" w:rsidR="008F2A4A" w:rsidRDefault="008F2A4A" w:rsidP="00C7637E">
      <w:pPr>
        <w:spacing w:before="0" w:after="0" w:line="240" w:lineRule="auto"/>
      </w:pPr>
      <w:r>
        <w:separator/>
      </w:r>
    </w:p>
  </w:footnote>
  <w:footnote w:type="continuationSeparator" w:id="0">
    <w:p w14:paraId="7B6EE5BD" w14:textId="77777777" w:rsidR="008F2A4A" w:rsidRDefault="008F2A4A"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C065" w14:textId="77777777" w:rsidR="0021307D" w:rsidRDefault="0021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B903" w14:textId="77777777" w:rsidR="00017FB6" w:rsidRDefault="00017FB6" w:rsidP="00CC1242">
    <w:pPr>
      <w:pStyle w:val="Header"/>
      <w:jc w:val="center"/>
    </w:pPr>
    <w:r>
      <w:t>Community Development Program (CDP) June 2022 Quarterly Compliance Data</w:t>
    </w:r>
  </w:p>
  <w:p w14:paraId="2BBBACCA" w14:textId="77777777" w:rsidR="00017FB6" w:rsidRPr="00B10E31" w:rsidRDefault="00017FB6"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681A" w14:textId="77777777" w:rsidR="0021307D" w:rsidRDefault="0021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35BA"/>
    <w:rsid w:val="000158E3"/>
    <w:rsid w:val="000178B1"/>
    <w:rsid w:val="00017FB6"/>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19"/>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66CA"/>
    <w:rsid w:val="00137C55"/>
    <w:rsid w:val="00137F21"/>
    <w:rsid w:val="001425CD"/>
    <w:rsid w:val="00143BD5"/>
    <w:rsid w:val="0014655B"/>
    <w:rsid w:val="0014688F"/>
    <w:rsid w:val="00147817"/>
    <w:rsid w:val="00150D47"/>
    <w:rsid w:val="001511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307D"/>
    <w:rsid w:val="00215AE8"/>
    <w:rsid w:val="00216F38"/>
    <w:rsid w:val="002176C1"/>
    <w:rsid w:val="00220296"/>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1FF6"/>
    <w:rsid w:val="002B2493"/>
    <w:rsid w:val="002B27CE"/>
    <w:rsid w:val="002B2F3F"/>
    <w:rsid w:val="002B3077"/>
    <w:rsid w:val="002B3DDA"/>
    <w:rsid w:val="002B6F85"/>
    <w:rsid w:val="002B7CFF"/>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4937"/>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0861"/>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7410"/>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1C0"/>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2A4A"/>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25F7"/>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3C62"/>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507B"/>
    <w:rsid w:val="00AA7BFD"/>
    <w:rsid w:val="00AB1A47"/>
    <w:rsid w:val="00AB2B8C"/>
    <w:rsid w:val="00AB5930"/>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112"/>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2256"/>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4D1D"/>
    <w:rsid w:val="00D65DC8"/>
    <w:rsid w:val="00D67B60"/>
    <w:rsid w:val="00D70C41"/>
    <w:rsid w:val="00D70C90"/>
    <w:rsid w:val="00D71D76"/>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4AC"/>
    <w:rsid w:val="00E01D4C"/>
    <w:rsid w:val="00E01F9F"/>
    <w:rsid w:val="00E02495"/>
    <w:rsid w:val="00E02E11"/>
    <w:rsid w:val="00E05F65"/>
    <w:rsid w:val="00E06683"/>
    <w:rsid w:val="00E06872"/>
    <w:rsid w:val="00E10D7D"/>
    <w:rsid w:val="00E11390"/>
    <w:rsid w:val="00E118A6"/>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95C51"/>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ShareHubID xmlns="166541c0-0594-4e6a-9105-c24d4b6de6f7">DOC22-307288</ShareHubID>
    <TaxCatchAll xmlns="166541c0-0594-4e6a-9105-c24d4b6de6f7">
      <Value>29</Value>
      <Value>30</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D58C-9F20-4FE0-9DA1-04AA5F02E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25FAF-4DDE-4399-BAB2-AE79BB9D858F}">
  <ds:schemaRefs>
    <ds:schemaRef ds:uri="http://schemas.microsoft.com/sharepoint/v3/contenttype/forms"/>
  </ds:schemaRefs>
</ds:datastoreItem>
</file>

<file path=customXml/itemProps3.xml><?xml version="1.0" encoding="utf-8"?>
<ds:datastoreItem xmlns:ds="http://schemas.openxmlformats.org/officeDocument/2006/customXml" ds:itemID="{F75E60EF-CCCA-424B-AF0C-5F98285467A8}">
  <ds:schemaRefs>
    <ds:schemaRef ds:uri="http://purl.org/dc/terms/"/>
    <ds:schemaRef ds:uri="http://schemas.microsoft.com/office/2006/documentManagement/types"/>
    <ds:schemaRef ds:uri="166541c0-0594-4e6a-9105-c24d4b6de6f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8863407B-CC19-4CF0-B91D-5FA489CA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9480</Words>
  <Characters>54039</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Quarter Community Development Program Quarterly Compliance Data</dc:title>
  <dc:subject/>
  <dc:creator/>
  <cp:keywords/>
  <dc:description/>
  <cp:lastModifiedBy/>
  <cp:revision>1</cp:revision>
  <dcterms:created xsi:type="dcterms:W3CDTF">2022-11-07T01:21:00Z</dcterms:created>
  <dcterms:modified xsi:type="dcterms:W3CDTF">2022-11-07T01:21:00Z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29;#Training|2f396fb6-baad-479d-8254-1550153bbe31;#30;#Meeting Minute|ad799f49-bdf8-4ec2-bcb1-44d38b617948</vt:lpwstr>
  </property>
  <property fmtid="{D5CDD505-2E9C-101B-9397-08002B2CF9AE}" pid="5" name="HPRMSecurityLevel">
    <vt:lpwstr>57;#OFFICIAL|11463c70-78df-4e3b-b0ff-f66cd3cb26ec</vt:lpwstr>
  </property>
  <property fmtid="{D5CDD505-2E9C-101B-9397-08002B2CF9AE}" pid="6" name="PMC.ESearch.TagGeneratedTime">
    <vt:lpwstr>2022-11-08T20:40:21</vt:lpwstr>
  </property>
</Properties>
</file>