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DEE89" w14:textId="26213180" w:rsidR="002B7E46" w:rsidRPr="00E177C5" w:rsidRDefault="002B7E46" w:rsidP="00294BA6">
      <w:pPr>
        <w:spacing w:after="0"/>
        <w:jc w:val="center"/>
        <w:outlineLvl w:val="0"/>
        <w:rPr>
          <w:b/>
          <w:color w:val="1F4E79" w:themeColor="accent1" w:themeShade="80"/>
          <w:sz w:val="40"/>
          <w:szCs w:val="40"/>
          <w:lang w:val="en-US"/>
        </w:rPr>
      </w:pPr>
      <w:r>
        <w:rPr>
          <w:b/>
          <w:color w:val="1F4E79" w:themeColor="accent1" w:themeShade="80"/>
          <w:sz w:val="40"/>
          <w:szCs w:val="40"/>
          <w:lang w:val="en-US"/>
        </w:rPr>
        <w:t>Away from Base</w:t>
      </w:r>
      <w:r w:rsidRPr="00E177C5">
        <w:rPr>
          <w:b/>
          <w:color w:val="1F4E79" w:themeColor="accent1" w:themeShade="80"/>
          <w:sz w:val="40"/>
          <w:szCs w:val="40"/>
          <w:lang w:val="en-US"/>
        </w:rPr>
        <w:t xml:space="preserve"> Review</w:t>
      </w:r>
      <w:r w:rsidR="00FF53CC">
        <w:rPr>
          <w:b/>
          <w:color w:val="1F4E79" w:themeColor="accent1" w:themeShade="80"/>
          <w:sz w:val="40"/>
          <w:szCs w:val="40"/>
          <w:lang w:val="en-US"/>
        </w:rPr>
        <w:br/>
      </w:r>
      <w:r>
        <w:rPr>
          <w:b/>
          <w:color w:val="1F4E79" w:themeColor="accent1" w:themeShade="80"/>
          <w:sz w:val="40"/>
          <w:szCs w:val="40"/>
          <w:lang w:val="en-US"/>
        </w:rPr>
        <w:t>Response Template</w:t>
      </w:r>
    </w:p>
    <w:p w14:paraId="7C5806AF" w14:textId="1B98B6EF" w:rsidR="00BC0ADC" w:rsidRDefault="002B7E46" w:rsidP="002B7E46">
      <w:r>
        <w:t>Thank you for reading through the discussion paper and for agreeing to share your views on how we can improve AFB assistance. Please enter your comments</w:t>
      </w:r>
      <w:r w:rsidR="00A730DA">
        <w:t xml:space="preserve"> below </w:t>
      </w:r>
      <w:r w:rsidR="00025167">
        <w:t xml:space="preserve">in </w:t>
      </w:r>
      <w:r>
        <w:t xml:space="preserve">each of the discussion questions on this template. </w:t>
      </w:r>
    </w:p>
    <w:p w14:paraId="0D0ED6DF" w14:textId="77777777" w:rsidR="00D11458" w:rsidRDefault="00D11458" w:rsidP="00294BA6">
      <w:pPr>
        <w:spacing w:line="252" w:lineRule="auto"/>
        <w:outlineLvl w:val="1"/>
        <w:rPr>
          <w:b/>
          <w:bCs/>
          <w:lang w:val="en"/>
        </w:rPr>
      </w:pPr>
      <w:r>
        <w:rPr>
          <w:b/>
          <w:bCs/>
          <w:lang w:val="en"/>
        </w:rPr>
        <w:t>Privacy notice</w:t>
      </w:r>
    </w:p>
    <w:p w14:paraId="0D55D05A" w14:textId="24A4055C" w:rsidR="00D11458" w:rsidRDefault="00D11458" w:rsidP="00D11458">
      <w:pPr>
        <w:spacing w:line="252" w:lineRule="auto"/>
        <w:rPr>
          <w:lang w:val="en"/>
        </w:rPr>
      </w:pPr>
      <w:r>
        <w:rPr>
          <w:lang w:val="en"/>
        </w:rPr>
        <w:t xml:space="preserve">The Department of the Prime Minister and Cabinet is </w:t>
      </w:r>
      <w:r w:rsidR="004465F7">
        <w:rPr>
          <w:lang w:val="en"/>
        </w:rPr>
        <w:t xml:space="preserve">an entity subject to </w:t>
      </w:r>
      <w:r>
        <w:rPr>
          <w:lang w:val="en"/>
        </w:rPr>
        <w:t xml:space="preserve">the </w:t>
      </w:r>
      <w:r>
        <w:rPr>
          <w:i/>
          <w:iCs/>
          <w:lang w:val="en"/>
        </w:rPr>
        <w:t>Privacy Act 1988</w:t>
      </w:r>
      <w:r>
        <w:rPr>
          <w:lang w:val="en"/>
        </w:rPr>
        <w:t xml:space="preserve">. </w:t>
      </w:r>
    </w:p>
    <w:p w14:paraId="3026CE09" w14:textId="6E54BF91" w:rsidR="00D11458" w:rsidRDefault="00D11458" w:rsidP="00D11458">
      <w:pPr>
        <w:spacing w:line="252" w:lineRule="auto"/>
        <w:rPr>
          <w:lang w:val="en"/>
        </w:rPr>
      </w:pPr>
      <w:r>
        <w:rPr>
          <w:lang w:val="en"/>
        </w:rPr>
        <w:t>Personal information you provide when you submit comments will be used by the Department for the purpose of informing the Cross Portfolio Review of Away from Base. Personal information may also be disclosed to Ministers and their staff.</w:t>
      </w:r>
    </w:p>
    <w:p w14:paraId="5BBAF1BB" w14:textId="77777777" w:rsidR="00D11458" w:rsidRDefault="00D11458" w:rsidP="00D11458">
      <w:pPr>
        <w:spacing w:line="252" w:lineRule="auto"/>
      </w:pPr>
      <w:r>
        <w:rPr>
          <w:lang w:val="en"/>
        </w:rPr>
        <w:t>Your comments will not be posted publicly, but please inform the Department if you want your submission kept confidential. P</w:t>
      </w:r>
      <w:proofErr w:type="spellStart"/>
      <w:r>
        <w:rPr>
          <w:lang w:val="en-GB"/>
        </w:rPr>
        <w:t>ersonal</w:t>
      </w:r>
      <w:proofErr w:type="spellEnd"/>
      <w:r>
        <w:rPr>
          <w:lang w:val="en-GB"/>
        </w:rPr>
        <w:t xml:space="preserve"> information will not be used or disclosed for any other purpose unless authorised under the Privacy Act. </w:t>
      </w:r>
    </w:p>
    <w:p w14:paraId="2DD87132" w14:textId="68EE8ED0" w:rsidR="00D11458" w:rsidRDefault="00D11458" w:rsidP="00D11458">
      <w:pPr>
        <w:spacing w:line="252" w:lineRule="auto"/>
        <w:rPr>
          <w:lang w:val="en-GB"/>
        </w:rPr>
      </w:pPr>
      <w:r>
        <w:rPr>
          <w:lang w:val="en"/>
        </w:rPr>
        <w:t xml:space="preserve">The Department’s Privacy Policy contains information about how you can access your personal information, seek correction or make a complaint about a breach of the Australian Privacy Principles. The Policy can be accessed on the </w:t>
      </w:r>
      <w:hyperlink r:id="rId8" w:history="1">
        <w:r w:rsidRPr="00C35494">
          <w:rPr>
            <w:rStyle w:val="Hyperlink"/>
            <w:color w:val="2E74B5" w:themeColor="accent1" w:themeShade="BF"/>
            <w:lang w:val="en"/>
          </w:rPr>
          <w:t>Department of the Prime Minister and Cabinet</w:t>
        </w:r>
      </w:hyperlink>
      <w:r>
        <w:rPr>
          <w:lang w:val="en"/>
        </w:rPr>
        <w:t xml:space="preserve"> website. If you have questions about the Privacy Policy you can contact the Department’s Privacy Officer at </w:t>
      </w:r>
      <w:hyperlink r:id="rId9" w:history="1">
        <w:r>
          <w:rPr>
            <w:rStyle w:val="Hyperlink"/>
            <w:lang w:val="en"/>
          </w:rPr>
          <w:t>privacy@pmc.gov.au</w:t>
        </w:r>
      </w:hyperlink>
      <w:r>
        <w:rPr>
          <w:lang w:val="en"/>
        </w:rPr>
        <w:t>.</w:t>
      </w:r>
    </w:p>
    <w:p w14:paraId="464FB08A" w14:textId="4CAEB063" w:rsidR="002B7E46" w:rsidRDefault="002B7E46" w:rsidP="002B7E46">
      <w:r>
        <w:t xml:space="preserve">It is best to respond to us by e-mail, attaching the completed template as a Word document. We would be happy to receive hard copies if e-mail is not convenient for you. Comments should be provided by </w:t>
      </w:r>
      <w:r w:rsidRPr="007D4941">
        <w:rPr>
          <w:b/>
          <w:color w:val="FF0000"/>
        </w:rPr>
        <w:t xml:space="preserve">Friday </w:t>
      </w:r>
      <w:r w:rsidR="00D25406">
        <w:rPr>
          <w:b/>
          <w:color w:val="FF0000"/>
        </w:rPr>
        <w:t>0</w:t>
      </w:r>
      <w:r w:rsidR="00BB40DC">
        <w:rPr>
          <w:b/>
          <w:color w:val="FF0000"/>
        </w:rPr>
        <w:t>2</w:t>
      </w:r>
      <w:r w:rsidRPr="00E47CEE">
        <w:rPr>
          <w:b/>
          <w:color w:val="FF0000"/>
        </w:rPr>
        <w:t xml:space="preserve"> </w:t>
      </w:r>
      <w:r w:rsidR="00D25406">
        <w:rPr>
          <w:b/>
          <w:color w:val="FF0000"/>
        </w:rPr>
        <w:t>Novem</w:t>
      </w:r>
      <w:r w:rsidRPr="00E47CEE">
        <w:rPr>
          <w:b/>
          <w:color w:val="FF0000"/>
        </w:rPr>
        <w:t xml:space="preserve">ber </w:t>
      </w:r>
      <w:r w:rsidRPr="007D4941">
        <w:rPr>
          <w:b/>
          <w:color w:val="FF0000"/>
        </w:rPr>
        <w:t>2018</w:t>
      </w:r>
      <w:r w:rsidRPr="00BF3466">
        <w:rPr>
          <w:color w:val="FF0000"/>
        </w:rPr>
        <w:t xml:space="preserve"> </w:t>
      </w:r>
      <w:r>
        <w:t>to:</w:t>
      </w:r>
    </w:p>
    <w:tbl>
      <w:tblPr>
        <w:tblStyle w:val="TableGrid"/>
        <w:tblW w:w="0" w:type="auto"/>
        <w:tblLook w:val="04A0" w:firstRow="1" w:lastRow="0" w:firstColumn="1" w:lastColumn="0" w:noHBand="0" w:noVBand="1"/>
      </w:tblPr>
      <w:tblGrid>
        <w:gridCol w:w="2547"/>
        <w:gridCol w:w="6469"/>
      </w:tblGrid>
      <w:tr w:rsidR="0091254B" w14:paraId="17B85A88" w14:textId="77777777" w:rsidTr="00695E56">
        <w:trPr>
          <w:trHeight w:val="299"/>
          <w:tblHeader/>
        </w:trPr>
        <w:tc>
          <w:tcPr>
            <w:tcW w:w="2547" w:type="dxa"/>
          </w:tcPr>
          <w:p w14:paraId="3637F130" w14:textId="1BCA9976" w:rsidR="0091254B" w:rsidRDefault="0091254B" w:rsidP="0091254B">
            <w:pPr>
              <w:tabs>
                <w:tab w:val="left" w:pos="227"/>
              </w:tabs>
              <w:suppressAutoHyphens/>
              <w:autoSpaceDE w:val="0"/>
              <w:autoSpaceDN w:val="0"/>
              <w:adjustRightInd w:val="0"/>
              <w:spacing w:before="120"/>
              <w:textAlignment w:val="center"/>
            </w:pPr>
            <w:r>
              <w:t>E-mail</w:t>
            </w:r>
          </w:p>
        </w:tc>
        <w:tc>
          <w:tcPr>
            <w:tcW w:w="6469" w:type="dxa"/>
          </w:tcPr>
          <w:p w14:paraId="1B2C90B6" w14:textId="02C53FBF" w:rsidR="0091254B" w:rsidRDefault="0091254B" w:rsidP="008803C9">
            <w:pPr>
              <w:tabs>
                <w:tab w:val="left" w:pos="227"/>
              </w:tabs>
              <w:suppressAutoHyphens/>
              <w:autoSpaceDE w:val="0"/>
              <w:autoSpaceDN w:val="0"/>
              <w:adjustRightInd w:val="0"/>
              <w:spacing w:before="120"/>
              <w:textAlignment w:val="center"/>
            </w:pPr>
            <w:r>
              <w:t>Hard copy</w:t>
            </w:r>
          </w:p>
        </w:tc>
      </w:tr>
      <w:tr w:rsidR="0091254B" w14:paraId="77EC3964" w14:textId="77777777" w:rsidTr="0091254B">
        <w:tc>
          <w:tcPr>
            <w:tcW w:w="2547" w:type="dxa"/>
          </w:tcPr>
          <w:p w14:paraId="0B5F4951" w14:textId="77777777" w:rsidR="0091254B" w:rsidRPr="00ED2331" w:rsidRDefault="00294BA6" w:rsidP="0091254B">
            <w:pPr>
              <w:tabs>
                <w:tab w:val="left" w:pos="227"/>
              </w:tabs>
              <w:suppressAutoHyphens/>
              <w:autoSpaceDE w:val="0"/>
              <w:autoSpaceDN w:val="0"/>
              <w:adjustRightInd w:val="0"/>
              <w:spacing w:before="120"/>
              <w:textAlignment w:val="center"/>
            </w:pPr>
            <w:hyperlink r:id="rId10" w:history="1">
              <w:r w:rsidR="0091254B" w:rsidRPr="0091254B">
                <w:rPr>
                  <w:rStyle w:val="Hyperlink"/>
                  <w:lang w:val="en-US"/>
                </w:rPr>
                <w:t>ITPT@pmc.gov.au</w:t>
              </w:r>
            </w:hyperlink>
            <w:r w:rsidR="0091254B">
              <w:t xml:space="preserve"> </w:t>
            </w:r>
          </w:p>
          <w:p w14:paraId="1675C0AA" w14:textId="77777777" w:rsidR="0091254B" w:rsidRDefault="0091254B" w:rsidP="002B7E46"/>
        </w:tc>
        <w:tc>
          <w:tcPr>
            <w:tcW w:w="6469" w:type="dxa"/>
          </w:tcPr>
          <w:p w14:paraId="3CBBE8A2" w14:textId="77777777" w:rsidR="0091254B" w:rsidRDefault="0091254B" w:rsidP="0091254B">
            <w:pPr>
              <w:pStyle w:val="ListParagraph"/>
              <w:tabs>
                <w:tab w:val="left" w:pos="227"/>
              </w:tabs>
              <w:suppressAutoHyphens/>
              <w:autoSpaceDE w:val="0"/>
              <w:autoSpaceDN w:val="0"/>
              <w:adjustRightInd w:val="0"/>
              <w:spacing w:before="120" w:line="240" w:lineRule="auto"/>
              <w:ind w:left="227"/>
              <w:textAlignment w:val="center"/>
            </w:pPr>
            <w:r>
              <w:t>AFB Review</w:t>
            </w:r>
          </w:p>
          <w:p w14:paraId="0FD85690" w14:textId="77777777" w:rsidR="0091254B" w:rsidRDefault="0091254B" w:rsidP="0091254B">
            <w:pPr>
              <w:pStyle w:val="ListParagraph"/>
              <w:spacing w:line="240" w:lineRule="auto"/>
              <w:ind w:left="227"/>
            </w:pPr>
            <w:r>
              <w:t>Education, Community Safety and Health Division</w:t>
            </w:r>
          </w:p>
          <w:p w14:paraId="797D7F44" w14:textId="77777777" w:rsidR="0091254B" w:rsidRDefault="0091254B" w:rsidP="0091254B">
            <w:pPr>
              <w:pStyle w:val="ListParagraph"/>
              <w:spacing w:line="240" w:lineRule="auto"/>
              <w:ind w:left="227"/>
            </w:pPr>
            <w:r>
              <w:t>Indigenous Affairs Group</w:t>
            </w:r>
          </w:p>
          <w:p w14:paraId="5E88534E" w14:textId="77777777" w:rsidR="0091254B" w:rsidRDefault="0091254B" w:rsidP="0091254B">
            <w:pPr>
              <w:pStyle w:val="ListParagraph"/>
              <w:spacing w:line="240" w:lineRule="auto"/>
              <w:ind w:left="227"/>
            </w:pPr>
            <w:r>
              <w:t>Department of the Prime Minister and Cabinet</w:t>
            </w:r>
          </w:p>
          <w:p w14:paraId="2EF0BE10" w14:textId="77777777" w:rsidR="0091254B" w:rsidRDefault="0091254B" w:rsidP="0091254B">
            <w:pPr>
              <w:pStyle w:val="ListParagraph"/>
              <w:spacing w:line="240" w:lineRule="auto"/>
              <w:ind w:left="227"/>
            </w:pPr>
            <w:r>
              <w:t xml:space="preserve">GPO Box 6500 </w:t>
            </w:r>
          </w:p>
          <w:p w14:paraId="3E6D0882" w14:textId="251B5C00" w:rsidR="0091254B" w:rsidRDefault="0091254B" w:rsidP="0091254B">
            <w:pPr>
              <w:pStyle w:val="ListParagraph"/>
              <w:spacing w:line="240" w:lineRule="auto"/>
              <w:ind w:left="227"/>
            </w:pPr>
            <w:r>
              <w:t>CANBERRA  ACT  2600</w:t>
            </w:r>
          </w:p>
        </w:tc>
      </w:tr>
    </w:tbl>
    <w:p w14:paraId="23EB8A81" w14:textId="02EDA0F7" w:rsidR="00095A58" w:rsidRDefault="00095A58" w:rsidP="0091254B">
      <w:pPr>
        <w:spacing w:after="0"/>
      </w:pPr>
    </w:p>
    <w:p w14:paraId="7144D7CE" w14:textId="77777777" w:rsidR="00095A58" w:rsidRDefault="00095A58">
      <w:r>
        <w:br w:type="page"/>
      </w:r>
    </w:p>
    <w:p w14:paraId="1E2D4491" w14:textId="16F19FB6" w:rsidR="002B7E46" w:rsidRDefault="002B7E46" w:rsidP="002B7E46"/>
    <w:tbl>
      <w:tblPr>
        <w:tblStyle w:val="TableGrid"/>
        <w:tblW w:w="0" w:type="auto"/>
        <w:tblLook w:val="04A0" w:firstRow="1" w:lastRow="0" w:firstColumn="1" w:lastColumn="0" w:noHBand="0" w:noVBand="1"/>
      </w:tblPr>
      <w:tblGrid>
        <w:gridCol w:w="3397"/>
        <w:gridCol w:w="5619"/>
      </w:tblGrid>
      <w:tr w:rsidR="002B7E46" w14:paraId="322DAE45" w14:textId="77777777" w:rsidTr="0091254B">
        <w:tc>
          <w:tcPr>
            <w:tcW w:w="3397" w:type="dxa"/>
          </w:tcPr>
          <w:p w14:paraId="49AC3003" w14:textId="63F23AF5" w:rsidR="002B7E46" w:rsidRPr="00D23033" w:rsidRDefault="002B7E46" w:rsidP="00D90C41">
            <w:pPr>
              <w:spacing w:after="160" w:line="259" w:lineRule="auto"/>
            </w:pPr>
            <w:r w:rsidRPr="00D23033">
              <w:t>Respondent</w:t>
            </w:r>
            <w:r w:rsidR="004465F7">
              <w:t xml:space="preserve"> (optional)</w:t>
            </w:r>
            <w:r w:rsidRPr="00D23033">
              <w:t xml:space="preserve">: </w:t>
            </w:r>
          </w:p>
        </w:tc>
        <w:tc>
          <w:tcPr>
            <w:tcW w:w="5619" w:type="dxa"/>
          </w:tcPr>
          <w:p w14:paraId="6DBACBE9" w14:textId="77777777" w:rsidR="002B7E46" w:rsidRDefault="002B7E46" w:rsidP="00D90C41">
            <w:pPr>
              <w:spacing w:after="160" w:line="259" w:lineRule="auto"/>
            </w:pPr>
          </w:p>
        </w:tc>
      </w:tr>
      <w:tr w:rsidR="002B7E46" w14:paraId="46C16495" w14:textId="77777777" w:rsidTr="0091254B">
        <w:tc>
          <w:tcPr>
            <w:tcW w:w="3397" w:type="dxa"/>
          </w:tcPr>
          <w:p w14:paraId="1D835407" w14:textId="77777777" w:rsidR="002B7E46" w:rsidRPr="00D23033" w:rsidRDefault="002B7E46" w:rsidP="00D90C41">
            <w:pPr>
              <w:spacing w:after="160" w:line="259" w:lineRule="auto"/>
            </w:pPr>
            <w:r w:rsidRPr="00D23033">
              <w:t>Is this response on behalf of an organisation?</w:t>
            </w:r>
          </w:p>
        </w:tc>
        <w:tc>
          <w:tcPr>
            <w:tcW w:w="5619" w:type="dxa"/>
          </w:tcPr>
          <w:p w14:paraId="523B448B" w14:textId="77777777" w:rsidR="002B7E46" w:rsidRDefault="002B7E46" w:rsidP="00D90C41">
            <w:pPr>
              <w:spacing w:after="160" w:line="259" w:lineRule="auto"/>
            </w:pPr>
            <w:r>
              <w:t>Yes/ No</w:t>
            </w:r>
          </w:p>
        </w:tc>
      </w:tr>
      <w:tr w:rsidR="002B7E46" w14:paraId="449ABD5D" w14:textId="77777777" w:rsidTr="0091254B">
        <w:tc>
          <w:tcPr>
            <w:tcW w:w="3397" w:type="dxa"/>
          </w:tcPr>
          <w:p w14:paraId="043C8B0A" w14:textId="23E86108" w:rsidR="002B7E46" w:rsidRPr="00D23033" w:rsidRDefault="002B7E46" w:rsidP="00D90C41">
            <w:pPr>
              <w:spacing w:after="160" w:line="259" w:lineRule="auto"/>
            </w:pPr>
            <w:r w:rsidRPr="00D23033">
              <w:t>Provider contact name</w:t>
            </w:r>
            <w:r w:rsidR="004465F7">
              <w:t xml:space="preserve"> (optional)</w:t>
            </w:r>
            <w:r w:rsidRPr="00D23033">
              <w:t>:</w:t>
            </w:r>
          </w:p>
        </w:tc>
        <w:tc>
          <w:tcPr>
            <w:tcW w:w="5619" w:type="dxa"/>
          </w:tcPr>
          <w:p w14:paraId="21AEA91F" w14:textId="77777777" w:rsidR="002B7E46" w:rsidRDefault="002B7E46" w:rsidP="00D90C41">
            <w:pPr>
              <w:spacing w:after="160" w:line="259" w:lineRule="auto"/>
            </w:pPr>
          </w:p>
        </w:tc>
      </w:tr>
      <w:tr w:rsidR="002B7E46" w14:paraId="11FC0C28" w14:textId="77777777" w:rsidTr="0091254B">
        <w:tc>
          <w:tcPr>
            <w:tcW w:w="3397" w:type="dxa"/>
          </w:tcPr>
          <w:p w14:paraId="7F5F6DFA" w14:textId="795ECD05" w:rsidR="002B7E46" w:rsidRPr="00D23033" w:rsidRDefault="002B7E46" w:rsidP="00D90C41">
            <w:pPr>
              <w:spacing w:after="160" w:line="259" w:lineRule="auto"/>
            </w:pPr>
            <w:r w:rsidRPr="00D23033">
              <w:t>Provider contact details</w:t>
            </w:r>
            <w:r w:rsidR="004465F7">
              <w:t xml:space="preserve"> (optional)</w:t>
            </w:r>
            <w:r w:rsidRPr="00D23033">
              <w:t>:</w:t>
            </w:r>
          </w:p>
        </w:tc>
        <w:tc>
          <w:tcPr>
            <w:tcW w:w="5619" w:type="dxa"/>
          </w:tcPr>
          <w:p w14:paraId="0B0AFDD2" w14:textId="77777777" w:rsidR="002B7E46" w:rsidRDefault="002B7E46" w:rsidP="00D90C41">
            <w:pPr>
              <w:spacing w:after="160" w:line="259" w:lineRule="auto"/>
            </w:pPr>
            <w:r>
              <w:t>Ph:</w:t>
            </w:r>
          </w:p>
          <w:p w14:paraId="3FB80747" w14:textId="77777777" w:rsidR="002B7E46" w:rsidRDefault="002B7E46" w:rsidP="00D90C41">
            <w:pPr>
              <w:spacing w:after="160" w:line="259" w:lineRule="auto"/>
            </w:pPr>
            <w:r>
              <w:t>Email:</w:t>
            </w:r>
          </w:p>
        </w:tc>
      </w:tr>
      <w:tr w:rsidR="002B7E46" w14:paraId="6760B04B" w14:textId="77777777" w:rsidTr="0091254B">
        <w:tc>
          <w:tcPr>
            <w:tcW w:w="3397" w:type="dxa"/>
          </w:tcPr>
          <w:p w14:paraId="0D6B1A73" w14:textId="77777777" w:rsidR="002B7E46" w:rsidRPr="00D23033" w:rsidRDefault="002B7E46" w:rsidP="00D90C41">
            <w:pPr>
              <w:spacing w:after="160" w:line="259" w:lineRule="auto"/>
            </w:pPr>
            <w:r w:rsidRPr="00D23033">
              <w:t>Is your submission confidential?</w:t>
            </w:r>
          </w:p>
        </w:tc>
        <w:tc>
          <w:tcPr>
            <w:tcW w:w="5619" w:type="dxa"/>
          </w:tcPr>
          <w:p w14:paraId="60E25EEE" w14:textId="77777777" w:rsidR="002B7E46" w:rsidRDefault="002B7E46" w:rsidP="00D90C41">
            <w:pPr>
              <w:spacing w:after="160" w:line="259" w:lineRule="auto"/>
            </w:pPr>
            <w:r>
              <w:t>Yes/ No</w:t>
            </w:r>
          </w:p>
        </w:tc>
      </w:tr>
    </w:tbl>
    <w:p w14:paraId="64E93395" w14:textId="77777777" w:rsidR="002B7E46" w:rsidRDefault="002B7E46" w:rsidP="002B7E46">
      <w:pPr>
        <w:rPr>
          <w:rFonts w:cstheme="minorHAnsi"/>
          <w:b/>
        </w:rPr>
      </w:pPr>
      <w:r>
        <w:rPr>
          <w:rFonts w:cstheme="minorHAnsi"/>
          <w:b/>
        </w:rPr>
        <w:br w:type="page"/>
      </w:r>
    </w:p>
    <w:p w14:paraId="616CC753" w14:textId="77777777" w:rsidR="002B7E46" w:rsidRPr="00D23033" w:rsidRDefault="002B7E46" w:rsidP="00294BA6">
      <w:pPr>
        <w:pStyle w:val="ListParagraph"/>
        <w:numPr>
          <w:ilvl w:val="0"/>
          <w:numId w:val="2"/>
        </w:numPr>
        <w:ind w:left="357" w:hanging="357"/>
        <w:outlineLvl w:val="1"/>
        <w:rPr>
          <w:rFonts w:asciiTheme="majorHAnsi" w:eastAsiaTheme="majorEastAsia" w:hAnsiTheme="majorHAnsi" w:cstheme="majorBidi"/>
          <w:bCs/>
          <w:color w:val="2E74B5" w:themeColor="accent1" w:themeShade="BF"/>
          <w:sz w:val="26"/>
          <w:szCs w:val="26"/>
          <w:lang w:val="en-GB" w:eastAsia="en-AU"/>
        </w:rPr>
      </w:pPr>
      <w:r w:rsidRPr="00D23033">
        <w:rPr>
          <w:rFonts w:asciiTheme="majorHAnsi" w:eastAsiaTheme="majorEastAsia" w:hAnsiTheme="majorHAnsi" w:cstheme="majorBidi"/>
          <w:bCs/>
          <w:color w:val="2E74B5" w:themeColor="accent1" w:themeShade="BF"/>
          <w:sz w:val="26"/>
          <w:szCs w:val="26"/>
          <w:lang w:val="en-GB" w:eastAsia="en-AU"/>
        </w:rPr>
        <w:lastRenderedPageBreak/>
        <w:t>Importance of AFB assistance for Aboriginal and Torres Strait Islander students</w:t>
      </w:r>
    </w:p>
    <w:p w14:paraId="76943AEB" w14:textId="46C212CF" w:rsidR="003D0845" w:rsidRPr="00B81471" w:rsidRDefault="003D0845" w:rsidP="002B7E46">
      <w:pPr>
        <w:shd w:val="clear" w:color="auto" w:fill="D9D9D9" w:themeFill="background1" w:themeFillShade="D9"/>
        <w:spacing w:after="0"/>
        <w:rPr>
          <w:rFonts w:cstheme="minorHAnsi"/>
          <w:i/>
        </w:rPr>
      </w:pPr>
      <w:r w:rsidRPr="00D94AB5">
        <w:rPr>
          <w:rFonts w:cstheme="minorHAnsi"/>
          <w:i/>
        </w:rPr>
        <w:t>Please comment on the relevance or otherwise of AFB assistance and its components to Aboriginal and Torres Strait Islander people now and into the future.</w:t>
      </w:r>
      <w:r>
        <w:rPr>
          <w:rFonts w:cstheme="minorHAnsi"/>
          <w:i/>
        </w:rPr>
        <w:t xml:space="preserve"> What are the gaps in State, Territory and university support to assist Aboriginal and Torres Strait Islander students to access distance education and training? Are there other ways than AFB to address these gaps?</w:t>
      </w:r>
    </w:p>
    <w:p w14:paraId="1B1F4620" w14:textId="78376442" w:rsidR="002B7E46" w:rsidRDefault="002B7E46" w:rsidP="002B7E46">
      <w:pPr>
        <w:spacing w:after="120" w:line="240" w:lineRule="auto"/>
        <w:rPr>
          <w:rFonts w:cstheme="minorHAnsi"/>
        </w:rPr>
      </w:pPr>
    </w:p>
    <w:p w14:paraId="19D1F2A6" w14:textId="77777777" w:rsidR="002B7E46" w:rsidRPr="00D23033" w:rsidRDefault="002B7E46" w:rsidP="00294BA6">
      <w:pPr>
        <w:pStyle w:val="ListParagraph"/>
        <w:numPr>
          <w:ilvl w:val="0"/>
          <w:numId w:val="2"/>
        </w:numPr>
        <w:ind w:left="357" w:hanging="357"/>
        <w:outlineLvl w:val="1"/>
        <w:rPr>
          <w:rFonts w:asciiTheme="majorHAnsi" w:eastAsiaTheme="majorEastAsia" w:hAnsiTheme="majorHAnsi" w:cstheme="majorBidi"/>
          <w:bCs/>
          <w:color w:val="2E74B5" w:themeColor="accent1" w:themeShade="BF"/>
          <w:sz w:val="26"/>
          <w:szCs w:val="26"/>
          <w:lang w:val="en-GB" w:eastAsia="en-AU"/>
        </w:rPr>
      </w:pPr>
      <w:r w:rsidRPr="00D23033">
        <w:rPr>
          <w:rFonts w:asciiTheme="majorHAnsi" w:eastAsiaTheme="majorEastAsia" w:hAnsiTheme="majorHAnsi" w:cstheme="majorBidi"/>
          <w:bCs/>
          <w:color w:val="2E74B5" w:themeColor="accent1" w:themeShade="BF"/>
          <w:sz w:val="26"/>
          <w:szCs w:val="26"/>
          <w:lang w:val="en-GB" w:eastAsia="en-AU"/>
        </w:rPr>
        <w:t>Administration of AFB</w:t>
      </w:r>
    </w:p>
    <w:p w14:paraId="033DAD8B" w14:textId="77777777" w:rsidR="003D0845" w:rsidRPr="003D0845" w:rsidRDefault="003D0845" w:rsidP="003D0845">
      <w:pPr>
        <w:shd w:val="clear" w:color="auto" w:fill="D9D9D9" w:themeFill="background1" w:themeFillShade="D9"/>
        <w:spacing w:after="0"/>
        <w:rPr>
          <w:rFonts w:cstheme="minorHAnsi"/>
          <w:i/>
        </w:rPr>
      </w:pPr>
      <w:r w:rsidRPr="003D0845">
        <w:rPr>
          <w:rFonts w:cstheme="minorHAnsi"/>
          <w:i/>
        </w:rPr>
        <w:t>Does the two program model provide the best outcomes for students, or are there alternatives you believe would improve administration of AFB? If you are suggesting alternative models, please provide information on the preferred process for implementing the model.</w:t>
      </w:r>
    </w:p>
    <w:p w14:paraId="7037531C" w14:textId="77777777" w:rsidR="003D0845" w:rsidRPr="003D0845" w:rsidRDefault="003D0845" w:rsidP="003D0845">
      <w:pPr>
        <w:shd w:val="clear" w:color="auto" w:fill="D9D9D9" w:themeFill="background1" w:themeFillShade="D9"/>
        <w:spacing w:after="0"/>
        <w:rPr>
          <w:rFonts w:cstheme="minorHAnsi"/>
          <w:i/>
        </w:rPr>
      </w:pPr>
      <w:r w:rsidRPr="003D0845">
        <w:rPr>
          <w:rFonts w:cstheme="minorHAnsi"/>
          <w:i/>
        </w:rPr>
        <w:t>Consider the time and resources spent on administering travel arrangements and undertaking reporting as well as the funds providers receive for this work. If your institution accesses both AFB programs, how does the administration and compliance requirements compare? Also consider whether special arrangements allowing provider payments should continue and if so, whether reimbursement, advance payment or both options should remain available to providers.</w:t>
      </w:r>
    </w:p>
    <w:p w14:paraId="71005C1C" w14:textId="77777777" w:rsidR="002B7E46" w:rsidRPr="00A93E89" w:rsidRDefault="002B7E46" w:rsidP="002B7E46"/>
    <w:p w14:paraId="35DA983B" w14:textId="77777777" w:rsidR="002B7E46" w:rsidRPr="00D23033" w:rsidRDefault="002B7E46" w:rsidP="00294BA6">
      <w:pPr>
        <w:pStyle w:val="ListParagraph"/>
        <w:numPr>
          <w:ilvl w:val="0"/>
          <w:numId w:val="2"/>
        </w:numPr>
        <w:ind w:left="357" w:hanging="357"/>
        <w:outlineLvl w:val="1"/>
        <w:rPr>
          <w:rFonts w:asciiTheme="majorHAnsi" w:eastAsiaTheme="majorEastAsia" w:hAnsiTheme="majorHAnsi" w:cstheme="majorBidi"/>
          <w:bCs/>
          <w:color w:val="2E74B5" w:themeColor="accent1" w:themeShade="BF"/>
          <w:sz w:val="26"/>
          <w:szCs w:val="26"/>
          <w:lang w:val="en-GB" w:eastAsia="en-AU"/>
        </w:rPr>
      </w:pPr>
      <w:r w:rsidRPr="00D23033">
        <w:rPr>
          <w:rFonts w:asciiTheme="majorHAnsi" w:eastAsiaTheme="majorEastAsia" w:hAnsiTheme="majorHAnsi" w:cstheme="majorBidi"/>
          <w:bCs/>
          <w:color w:val="2E74B5" w:themeColor="accent1" w:themeShade="BF"/>
          <w:sz w:val="26"/>
          <w:szCs w:val="26"/>
          <w:lang w:val="en-GB" w:eastAsia="en-AU"/>
        </w:rPr>
        <w:t>Individual students</w:t>
      </w:r>
    </w:p>
    <w:p w14:paraId="0D0AC1D2" w14:textId="77777777" w:rsidR="00DE2F79" w:rsidRPr="00DE2F79" w:rsidRDefault="00DE2F79" w:rsidP="00DE2F79">
      <w:pPr>
        <w:shd w:val="clear" w:color="auto" w:fill="D9D9D9" w:themeFill="background1" w:themeFillShade="D9"/>
        <w:spacing w:after="0"/>
        <w:rPr>
          <w:rFonts w:cstheme="minorHAnsi"/>
          <w:i/>
        </w:rPr>
      </w:pPr>
      <w:r w:rsidRPr="00DE2F79">
        <w:rPr>
          <w:rFonts w:cstheme="minorHAnsi"/>
          <w:i/>
        </w:rPr>
        <w:t>Should individual students be able to claim AFB support, or should they be required to apply through a provider? Consider the advantages and disadvantages of a central travel agent organising travel compared to providers booking student and staff travel. Should both options be available in the future? Offer comments in support of your position and where relevant, suggestions on how any improved arrangement might be implemented.</w:t>
      </w:r>
    </w:p>
    <w:p w14:paraId="3C7CBB16" w14:textId="77777777" w:rsidR="002B7E46" w:rsidRDefault="002B7E46" w:rsidP="002B7E46">
      <w:pPr>
        <w:spacing w:after="120" w:line="240" w:lineRule="auto"/>
        <w:rPr>
          <w:rFonts w:cstheme="minorHAnsi"/>
        </w:rPr>
      </w:pPr>
    </w:p>
    <w:p w14:paraId="18220CBE" w14:textId="201E8965" w:rsidR="002B7E46" w:rsidRPr="00D23033" w:rsidRDefault="00206198" w:rsidP="00294BA6">
      <w:pPr>
        <w:pStyle w:val="ListParagraph"/>
        <w:numPr>
          <w:ilvl w:val="0"/>
          <w:numId w:val="2"/>
        </w:numPr>
        <w:ind w:left="357" w:hanging="357"/>
        <w:outlineLvl w:val="1"/>
        <w:rPr>
          <w:rFonts w:asciiTheme="majorHAnsi" w:eastAsiaTheme="majorEastAsia" w:hAnsiTheme="majorHAnsi" w:cstheme="majorBidi"/>
          <w:bCs/>
          <w:color w:val="2E74B5" w:themeColor="accent1" w:themeShade="BF"/>
          <w:sz w:val="26"/>
          <w:szCs w:val="26"/>
          <w:lang w:val="en-GB" w:eastAsia="en-AU"/>
        </w:rPr>
      </w:pPr>
      <w:r w:rsidRPr="00D23033">
        <w:rPr>
          <w:rFonts w:asciiTheme="majorHAnsi" w:eastAsiaTheme="majorEastAsia" w:hAnsiTheme="majorHAnsi" w:cstheme="majorBidi"/>
          <w:bCs/>
          <w:color w:val="2E74B5" w:themeColor="accent1" w:themeShade="BF"/>
          <w:sz w:val="26"/>
          <w:szCs w:val="26"/>
          <w:lang w:val="en-GB" w:eastAsia="en-AU"/>
        </w:rPr>
        <w:t xml:space="preserve">Targeting and </w:t>
      </w:r>
      <w:r w:rsidR="002B7E46" w:rsidRPr="00D23033">
        <w:rPr>
          <w:rFonts w:asciiTheme="majorHAnsi" w:eastAsiaTheme="majorEastAsia" w:hAnsiTheme="majorHAnsi" w:cstheme="majorBidi"/>
          <w:bCs/>
          <w:color w:val="2E74B5" w:themeColor="accent1" w:themeShade="BF"/>
          <w:sz w:val="26"/>
          <w:szCs w:val="26"/>
          <w:lang w:val="en-GB" w:eastAsia="en-AU"/>
        </w:rPr>
        <w:t xml:space="preserve">Prioritising AFB </w:t>
      </w:r>
    </w:p>
    <w:p w14:paraId="6D4F8F04" w14:textId="5661A1EC" w:rsidR="002B7E46" w:rsidRPr="00206198" w:rsidRDefault="00206198" w:rsidP="00206198">
      <w:pPr>
        <w:shd w:val="clear" w:color="auto" w:fill="D9D9D9" w:themeFill="background1" w:themeFillShade="D9"/>
        <w:rPr>
          <w:rFonts w:cstheme="minorHAnsi"/>
          <w:i/>
        </w:rPr>
      </w:pPr>
      <w:r w:rsidRPr="00206198">
        <w:rPr>
          <w:rFonts w:cstheme="minorHAnsi"/>
          <w:i/>
        </w:rPr>
        <w:t xml:space="preserve">What is the fairest way of targeting and prioritising existing AFB resources? </w:t>
      </w:r>
      <w:r w:rsidR="002B7E46" w:rsidRPr="00A93E89">
        <w:rPr>
          <w:i/>
        </w:rPr>
        <w:t>Please comment on one or more of the following issues:</w:t>
      </w:r>
    </w:p>
    <w:p w14:paraId="202E7CEC" w14:textId="77777777" w:rsidR="002B7E46" w:rsidRPr="00A93E89" w:rsidRDefault="002B7E46" w:rsidP="002B7E46">
      <w:pPr>
        <w:pStyle w:val="ListParagraph"/>
        <w:numPr>
          <w:ilvl w:val="0"/>
          <w:numId w:val="3"/>
        </w:numPr>
        <w:shd w:val="clear" w:color="auto" w:fill="D9D9D9" w:themeFill="background1" w:themeFillShade="D9"/>
        <w:spacing w:after="0" w:line="240" w:lineRule="auto"/>
        <w:rPr>
          <w:rFonts w:asciiTheme="minorHAnsi" w:hAnsiTheme="minorHAnsi"/>
          <w:i/>
        </w:rPr>
      </w:pPr>
      <w:r w:rsidRPr="00A93E89">
        <w:rPr>
          <w:rFonts w:asciiTheme="minorHAnsi" w:hAnsiTheme="minorHAnsi"/>
          <w:i/>
        </w:rPr>
        <w:t>Courses</w:t>
      </w:r>
    </w:p>
    <w:p w14:paraId="327B35F0" w14:textId="77777777" w:rsidR="002B7E46" w:rsidRPr="00A93E89" w:rsidRDefault="002B7E46" w:rsidP="002B7E46">
      <w:pPr>
        <w:pStyle w:val="ListParagraph"/>
        <w:numPr>
          <w:ilvl w:val="0"/>
          <w:numId w:val="3"/>
        </w:numPr>
        <w:shd w:val="clear" w:color="auto" w:fill="D9D9D9" w:themeFill="background1" w:themeFillShade="D9"/>
        <w:spacing w:after="0" w:line="240" w:lineRule="auto"/>
        <w:rPr>
          <w:rFonts w:asciiTheme="minorHAnsi" w:hAnsiTheme="minorHAnsi"/>
          <w:i/>
        </w:rPr>
      </w:pPr>
      <w:r w:rsidRPr="00A93E89">
        <w:rPr>
          <w:rFonts w:asciiTheme="minorHAnsi" w:hAnsiTheme="minorHAnsi"/>
          <w:i/>
        </w:rPr>
        <w:t>Student home locations</w:t>
      </w:r>
    </w:p>
    <w:p w14:paraId="3BD1079D" w14:textId="77777777" w:rsidR="002B7E46" w:rsidRPr="00A93E89" w:rsidRDefault="002B7E46" w:rsidP="002B7E46">
      <w:pPr>
        <w:pStyle w:val="ListParagraph"/>
        <w:numPr>
          <w:ilvl w:val="0"/>
          <w:numId w:val="3"/>
        </w:numPr>
        <w:shd w:val="clear" w:color="auto" w:fill="D9D9D9" w:themeFill="background1" w:themeFillShade="D9"/>
        <w:spacing w:after="0" w:line="240" w:lineRule="auto"/>
        <w:rPr>
          <w:rFonts w:asciiTheme="minorHAnsi" w:hAnsiTheme="minorHAnsi"/>
          <w:i/>
        </w:rPr>
      </w:pPr>
      <w:r w:rsidRPr="00A93E89">
        <w:rPr>
          <w:rFonts w:asciiTheme="minorHAnsi" w:hAnsiTheme="minorHAnsi"/>
          <w:i/>
        </w:rPr>
        <w:t>Providers</w:t>
      </w:r>
      <w:bookmarkStart w:id="0" w:name="_GoBack"/>
      <w:bookmarkEnd w:id="0"/>
    </w:p>
    <w:p w14:paraId="5D1DDA31" w14:textId="77777777" w:rsidR="002B7E46" w:rsidRPr="00A93E89" w:rsidRDefault="002B7E46" w:rsidP="002B7E46">
      <w:pPr>
        <w:pStyle w:val="ListParagraph"/>
        <w:numPr>
          <w:ilvl w:val="0"/>
          <w:numId w:val="3"/>
        </w:numPr>
        <w:shd w:val="clear" w:color="auto" w:fill="D9D9D9" w:themeFill="background1" w:themeFillShade="D9"/>
        <w:spacing w:after="0" w:line="240" w:lineRule="auto"/>
        <w:rPr>
          <w:rFonts w:asciiTheme="minorHAnsi" w:hAnsiTheme="minorHAnsi"/>
          <w:i/>
        </w:rPr>
      </w:pPr>
      <w:r w:rsidRPr="00A93E89">
        <w:rPr>
          <w:rFonts w:asciiTheme="minorHAnsi" w:hAnsiTheme="minorHAnsi"/>
          <w:i/>
        </w:rPr>
        <w:t>Per student allocations</w:t>
      </w:r>
    </w:p>
    <w:p w14:paraId="5D486091" w14:textId="77777777" w:rsidR="002B7E46" w:rsidRPr="00A93E89" w:rsidRDefault="002B7E46" w:rsidP="002B7E46">
      <w:pPr>
        <w:pStyle w:val="ListParagraph"/>
        <w:numPr>
          <w:ilvl w:val="0"/>
          <w:numId w:val="3"/>
        </w:numPr>
        <w:shd w:val="clear" w:color="auto" w:fill="D9D9D9" w:themeFill="background1" w:themeFillShade="D9"/>
        <w:spacing w:after="0" w:line="240" w:lineRule="auto"/>
        <w:rPr>
          <w:rFonts w:asciiTheme="minorHAnsi" w:hAnsiTheme="minorHAnsi"/>
          <w:i/>
        </w:rPr>
      </w:pPr>
      <w:r w:rsidRPr="00A93E89">
        <w:rPr>
          <w:rFonts w:asciiTheme="minorHAnsi" w:hAnsiTheme="minorHAnsi"/>
          <w:i/>
        </w:rPr>
        <w:t>Number of trips and days of accommodation</w:t>
      </w:r>
    </w:p>
    <w:p w14:paraId="3CAD818E" w14:textId="77777777" w:rsidR="002B7E46" w:rsidRPr="00A93E89" w:rsidRDefault="002B7E46" w:rsidP="002B7E46">
      <w:pPr>
        <w:pStyle w:val="ListParagraph"/>
        <w:numPr>
          <w:ilvl w:val="0"/>
          <w:numId w:val="3"/>
        </w:numPr>
        <w:shd w:val="clear" w:color="auto" w:fill="D9D9D9" w:themeFill="background1" w:themeFillShade="D9"/>
        <w:spacing w:after="0" w:line="240" w:lineRule="auto"/>
        <w:rPr>
          <w:rFonts w:asciiTheme="minorHAnsi" w:hAnsiTheme="minorHAnsi"/>
          <w:i/>
        </w:rPr>
      </w:pPr>
      <w:r w:rsidRPr="00A93E89">
        <w:rPr>
          <w:rFonts w:asciiTheme="minorHAnsi" w:hAnsiTheme="minorHAnsi"/>
          <w:i/>
        </w:rPr>
        <w:t>Co-contributions</w:t>
      </w:r>
    </w:p>
    <w:p w14:paraId="674FE71F" w14:textId="77777777" w:rsidR="002B7E46" w:rsidRPr="00A93E89" w:rsidRDefault="002B7E46" w:rsidP="002B7E46">
      <w:pPr>
        <w:pStyle w:val="ListParagraph"/>
        <w:numPr>
          <w:ilvl w:val="0"/>
          <w:numId w:val="3"/>
        </w:numPr>
        <w:shd w:val="clear" w:color="auto" w:fill="D9D9D9" w:themeFill="background1" w:themeFillShade="D9"/>
        <w:spacing w:after="0" w:line="240" w:lineRule="auto"/>
        <w:rPr>
          <w:rFonts w:asciiTheme="minorHAnsi" w:hAnsiTheme="minorHAnsi"/>
          <w:i/>
        </w:rPr>
      </w:pPr>
      <w:r>
        <w:rPr>
          <w:rFonts w:asciiTheme="minorHAnsi" w:hAnsiTheme="minorHAnsi"/>
          <w:i/>
        </w:rPr>
        <w:t>Employer-</w:t>
      </w:r>
      <w:r w:rsidRPr="00A93E89">
        <w:rPr>
          <w:rFonts w:asciiTheme="minorHAnsi" w:hAnsiTheme="minorHAnsi"/>
          <w:i/>
        </w:rPr>
        <w:t>sponsored education and training</w:t>
      </w:r>
    </w:p>
    <w:p w14:paraId="609D6E04" w14:textId="463E0184" w:rsidR="00206198" w:rsidRDefault="002B7E46" w:rsidP="00206198">
      <w:pPr>
        <w:pStyle w:val="ListParagraph"/>
        <w:numPr>
          <w:ilvl w:val="0"/>
          <w:numId w:val="3"/>
        </w:numPr>
        <w:shd w:val="clear" w:color="auto" w:fill="D9D9D9" w:themeFill="background1" w:themeFillShade="D9"/>
        <w:spacing w:after="0" w:line="240" w:lineRule="auto"/>
        <w:rPr>
          <w:rFonts w:asciiTheme="minorHAnsi" w:hAnsiTheme="minorHAnsi"/>
          <w:i/>
        </w:rPr>
      </w:pPr>
      <w:r w:rsidRPr="00A93E89">
        <w:rPr>
          <w:rFonts w:asciiTheme="minorHAnsi" w:hAnsiTheme="minorHAnsi"/>
          <w:i/>
        </w:rPr>
        <w:t>Types of costs covered</w:t>
      </w:r>
    </w:p>
    <w:p w14:paraId="53CCECBC" w14:textId="77777777" w:rsidR="00206198" w:rsidRPr="00206198" w:rsidRDefault="00206198" w:rsidP="00206198">
      <w:pPr>
        <w:shd w:val="clear" w:color="auto" w:fill="D9D9D9" w:themeFill="background1" w:themeFillShade="D9"/>
        <w:spacing w:after="0" w:line="240" w:lineRule="auto"/>
        <w:rPr>
          <w:i/>
        </w:rPr>
      </w:pPr>
    </w:p>
    <w:p w14:paraId="7F422575" w14:textId="77777777" w:rsidR="002B7E46" w:rsidRPr="00A93E89" w:rsidRDefault="002B7E46" w:rsidP="002B7E46">
      <w:pPr>
        <w:shd w:val="clear" w:color="auto" w:fill="D9D9D9" w:themeFill="background1" w:themeFillShade="D9"/>
        <w:spacing w:after="0" w:line="240" w:lineRule="auto"/>
        <w:rPr>
          <w:i/>
        </w:rPr>
      </w:pPr>
      <w:r w:rsidRPr="00A93E89">
        <w:rPr>
          <w:i/>
        </w:rPr>
        <w:t>Please offer advice on how your preferred approach might be implemented.</w:t>
      </w:r>
    </w:p>
    <w:p w14:paraId="27A3ECD2" w14:textId="77777777" w:rsidR="002B7E46" w:rsidRDefault="002B7E46" w:rsidP="002B7E46">
      <w:pPr>
        <w:spacing w:after="120" w:line="240" w:lineRule="auto"/>
        <w:rPr>
          <w:rFonts w:cstheme="minorHAnsi"/>
        </w:rPr>
      </w:pPr>
    </w:p>
    <w:p w14:paraId="56C0FCBE" w14:textId="77777777" w:rsidR="002B7E46" w:rsidRPr="00D23033" w:rsidRDefault="002B7E46" w:rsidP="00294BA6">
      <w:pPr>
        <w:pStyle w:val="ListParagraph"/>
        <w:numPr>
          <w:ilvl w:val="0"/>
          <w:numId w:val="2"/>
        </w:numPr>
        <w:ind w:left="357" w:hanging="357"/>
        <w:outlineLvl w:val="1"/>
        <w:rPr>
          <w:rFonts w:asciiTheme="majorHAnsi" w:eastAsiaTheme="majorEastAsia" w:hAnsiTheme="majorHAnsi" w:cstheme="majorBidi"/>
          <w:bCs/>
          <w:color w:val="2E74B5" w:themeColor="accent1" w:themeShade="BF"/>
          <w:sz w:val="26"/>
          <w:szCs w:val="26"/>
          <w:lang w:val="en-GB" w:eastAsia="en-AU"/>
        </w:rPr>
      </w:pPr>
      <w:r w:rsidRPr="00D23033">
        <w:rPr>
          <w:rFonts w:asciiTheme="majorHAnsi" w:eastAsiaTheme="majorEastAsia" w:hAnsiTheme="majorHAnsi" w:cstheme="majorBidi"/>
          <w:bCs/>
          <w:color w:val="2E74B5" w:themeColor="accent1" w:themeShade="BF"/>
          <w:sz w:val="26"/>
          <w:szCs w:val="26"/>
          <w:lang w:val="en-GB" w:eastAsia="en-AU"/>
        </w:rPr>
        <w:t>Anything else you’d like us to consider?</w:t>
      </w:r>
    </w:p>
    <w:p w14:paraId="44ACF7AA" w14:textId="77777777" w:rsidR="002B7E46" w:rsidRDefault="002B7E46" w:rsidP="002B7E46">
      <w:pPr>
        <w:shd w:val="clear" w:color="auto" w:fill="D9D9D9" w:themeFill="background1" w:themeFillShade="D9"/>
        <w:spacing w:after="0"/>
        <w:rPr>
          <w:rFonts w:cstheme="minorHAnsi"/>
          <w:i/>
        </w:rPr>
      </w:pPr>
      <w:r>
        <w:rPr>
          <w:rFonts w:cstheme="minorHAnsi"/>
          <w:i/>
        </w:rPr>
        <w:t xml:space="preserve">Please outline any issues </w:t>
      </w:r>
      <w:r w:rsidRPr="00B81471">
        <w:rPr>
          <w:rFonts w:cstheme="minorHAnsi"/>
          <w:i/>
        </w:rPr>
        <w:t xml:space="preserve">you think we’ve missed </w:t>
      </w:r>
      <w:r>
        <w:rPr>
          <w:rFonts w:cstheme="minorHAnsi"/>
          <w:i/>
        </w:rPr>
        <w:t xml:space="preserve">and your proposed </w:t>
      </w:r>
      <w:r w:rsidRPr="00B81471">
        <w:rPr>
          <w:rFonts w:cstheme="minorHAnsi"/>
          <w:i/>
        </w:rPr>
        <w:t xml:space="preserve">solutions </w:t>
      </w:r>
      <w:r>
        <w:rPr>
          <w:rFonts w:cstheme="minorHAnsi"/>
          <w:i/>
        </w:rPr>
        <w:t>to these</w:t>
      </w:r>
      <w:r w:rsidRPr="00B81471">
        <w:rPr>
          <w:rFonts w:cstheme="minorHAnsi"/>
          <w:i/>
        </w:rPr>
        <w:t xml:space="preserve"> issues.</w:t>
      </w:r>
    </w:p>
    <w:p w14:paraId="0B7CF109" w14:textId="77777777" w:rsidR="000C05DE" w:rsidRDefault="00294BA6"/>
    <w:sectPr w:rsidR="000C05DE" w:rsidSect="00C37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E28"/>
    <w:multiLevelType w:val="hybridMultilevel"/>
    <w:tmpl w:val="311A2F3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5427D12"/>
    <w:multiLevelType w:val="hybridMultilevel"/>
    <w:tmpl w:val="EC7AC2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D9109B"/>
    <w:multiLevelType w:val="hybridMultilevel"/>
    <w:tmpl w:val="A900F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17"/>
    <w:rsid w:val="00025167"/>
    <w:rsid w:val="00095A58"/>
    <w:rsid w:val="00206198"/>
    <w:rsid w:val="00294692"/>
    <w:rsid w:val="00294BA6"/>
    <w:rsid w:val="002B7E46"/>
    <w:rsid w:val="002D26FF"/>
    <w:rsid w:val="00320744"/>
    <w:rsid w:val="003D0845"/>
    <w:rsid w:val="004465F7"/>
    <w:rsid w:val="005F2E6A"/>
    <w:rsid w:val="0061223A"/>
    <w:rsid w:val="00695E56"/>
    <w:rsid w:val="007734A1"/>
    <w:rsid w:val="008803C9"/>
    <w:rsid w:val="0091254B"/>
    <w:rsid w:val="00917472"/>
    <w:rsid w:val="00976153"/>
    <w:rsid w:val="00A2162C"/>
    <w:rsid w:val="00A730DA"/>
    <w:rsid w:val="00AB3617"/>
    <w:rsid w:val="00BB40DC"/>
    <w:rsid w:val="00BC0ADC"/>
    <w:rsid w:val="00C35494"/>
    <w:rsid w:val="00D11458"/>
    <w:rsid w:val="00D13282"/>
    <w:rsid w:val="00D23033"/>
    <w:rsid w:val="00D25406"/>
    <w:rsid w:val="00D61A4E"/>
    <w:rsid w:val="00DE2F79"/>
    <w:rsid w:val="00FF5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B50D"/>
  <w15:chartTrackingRefBased/>
  <w15:docId w15:val="{4F9758EC-264A-4B61-92AE-FF2BE0CF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 Number,Bullet point,Bulleted Para,NFP GP Bulleted List,bullet point list,L,Bullet points,Content descriptions,Bullet Point,List Paragraph2,List Paragraph111,F5 List Paragraph"/>
    <w:basedOn w:val="Normal"/>
    <w:link w:val="ListParagraphChar"/>
    <w:uiPriority w:val="34"/>
    <w:qFormat/>
    <w:rsid w:val="002B7E46"/>
    <w:pPr>
      <w:spacing w:after="200" w:line="276" w:lineRule="auto"/>
      <w:ind w:left="720"/>
      <w:contextualSpacing/>
    </w:pPr>
    <w:rPr>
      <w:rFonts w:ascii="Arial" w:hAnsi="Arial"/>
    </w:rPr>
  </w:style>
  <w:style w:type="character" w:customStyle="1" w:styleId="ListParagraphChar">
    <w:name w:val="List Paragraph Char"/>
    <w:aliases w:val="List Paragraph1 Char,Recommendation Char,List Paragraph11 Char,List Paragraph Number Char,Bullet point Char,Bulleted Para Char,NFP GP Bulleted List Char,bullet point list Char,L Char,Bullet points Char,Content descriptions Char"/>
    <w:basedOn w:val="DefaultParagraphFont"/>
    <w:link w:val="ListParagraph"/>
    <w:uiPriority w:val="34"/>
    <w:locked/>
    <w:rsid w:val="002B7E46"/>
    <w:rPr>
      <w:rFonts w:ascii="Arial" w:hAnsi="Arial"/>
    </w:rPr>
  </w:style>
  <w:style w:type="table" w:styleId="TableGrid">
    <w:name w:val="Table Grid"/>
    <w:basedOn w:val="TableNormal"/>
    <w:uiPriority w:val="39"/>
    <w:rsid w:val="002B7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7E46"/>
    <w:rPr>
      <w:sz w:val="16"/>
      <w:szCs w:val="16"/>
    </w:rPr>
  </w:style>
  <w:style w:type="paragraph" w:styleId="CommentText">
    <w:name w:val="annotation text"/>
    <w:basedOn w:val="Normal"/>
    <w:link w:val="CommentTextChar"/>
    <w:uiPriority w:val="99"/>
    <w:semiHidden/>
    <w:unhideWhenUsed/>
    <w:rsid w:val="002B7E46"/>
    <w:pPr>
      <w:spacing w:line="240" w:lineRule="auto"/>
    </w:pPr>
    <w:rPr>
      <w:sz w:val="20"/>
      <w:szCs w:val="20"/>
    </w:rPr>
  </w:style>
  <w:style w:type="character" w:customStyle="1" w:styleId="CommentTextChar">
    <w:name w:val="Comment Text Char"/>
    <w:basedOn w:val="DefaultParagraphFont"/>
    <w:link w:val="CommentText"/>
    <w:uiPriority w:val="99"/>
    <w:semiHidden/>
    <w:rsid w:val="002B7E46"/>
    <w:rPr>
      <w:sz w:val="20"/>
      <w:szCs w:val="20"/>
    </w:rPr>
  </w:style>
  <w:style w:type="character" w:styleId="Hyperlink">
    <w:name w:val="Hyperlink"/>
    <w:basedOn w:val="DefaultParagraphFont"/>
    <w:uiPriority w:val="99"/>
    <w:unhideWhenUsed/>
    <w:rsid w:val="002B7E46"/>
    <w:rPr>
      <w:color w:val="0563C1" w:themeColor="hyperlink"/>
      <w:u w:val="single"/>
    </w:rPr>
  </w:style>
  <w:style w:type="paragraph" w:styleId="BalloonText">
    <w:name w:val="Balloon Text"/>
    <w:basedOn w:val="Normal"/>
    <w:link w:val="BalloonTextChar"/>
    <w:uiPriority w:val="99"/>
    <w:semiHidden/>
    <w:unhideWhenUsed/>
    <w:rsid w:val="002B7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46"/>
    <w:rPr>
      <w:rFonts w:ascii="Segoe UI" w:hAnsi="Segoe UI" w:cs="Segoe UI"/>
      <w:sz w:val="18"/>
      <w:szCs w:val="18"/>
    </w:rPr>
  </w:style>
  <w:style w:type="character" w:styleId="FollowedHyperlink">
    <w:name w:val="FollowedHyperlink"/>
    <w:basedOn w:val="DefaultParagraphFont"/>
    <w:uiPriority w:val="99"/>
    <w:semiHidden/>
    <w:unhideWhenUsed/>
    <w:rsid w:val="00D11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3031">
      <w:bodyDiv w:val="1"/>
      <w:marLeft w:val="0"/>
      <w:marRight w:val="0"/>
      <w:marTop w:val="0"/>
      <w:marBottom w:val="0"/>
      <w:divBdr>
        <w:top w:val="none" w:sz="0" w:space="0" w:color="auto"/>
        <w:left w:val="none" w:sz="0" w:space="0" w:color="auto"/>
        <w:bottom w:val="none" w:sz="0" w:space="0" w:color="auto"/>
        <w:right w:val="none" w:sz="0" w:space="0" w:color="auto"/>
      </w:divBdr>
    </w:div>
    <w:div w:id="184150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mc.gov.au/pmc/who-we-are/accountability-and-reporting/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TPT@pmc.gov.au" TargetMode="External"/><Relationship Id="rId4" Type="http://schemas.openxmlformats.org/officeDocument/2006/relationships/numbering" Target="numbering.xml"/><Relationship Id="rId9" Type="http://schemas.openxmlformats.org/officeDocument/2006/relationships/hyperlink" Target="mailto:privacy@pm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0" ma:contentTypeDescription="PMC Document" ma:contentTypeScope="" ma:versionID="03f23b18532e2d7dadc795d2bebe09db">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1225e4e12cf6c551c42f7939bb82e2e1"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166541c0-0594-4e6a-9105-c24d4b6de6f7">DOC18-357573</ShareHubID>
    <TaxCatchAll xmlns="166541c0-0594-4e6a-9105-c24d4b6de6f7">
      <Value>1</Value>
    </TaxCatchAll>
    <jd1c641577414dfdab1686c9d5d0dbd0 xmlns="166541c0-0594-4e6a-9105-c24d4b6de6f7">
      <Terms xmlns="http://schemas.microsoft.com/office/infopath/2007/PartnerControls"/>
    </jd1c641577414dfdab1686c9d5d0dbd0>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D9BD5576-5627-4E12-B3E7-AFA2318160E4}"/>
</file>

<file path=customXml/itemProps2.xml><?xml version="1.0" encoding="utf-8"?>
<ds:datastoreItem xmlns:ds="http://schemas.openxmlformats.org/officeDocument/2006/customXml" ds:itemID="{1E91CCE0-9368-4B6D-AF62-F28E71E46022}"/>
</file>

<file path=customXml/itemProps3.xml><?xml version="1.0" encoding="utf-8"?>
<ds:datastoreItem xmlns:ds="http://schemas.openxmlformats.org/officeDocument/2006/customXml" ds:itemID="{1F8535E5-C597-4DB9-A62D-7637A6024CAA}"/>
</file>

<file path=docProps/app.xml><?xml version="1.0" encoding="utf-8"?>
<Properties xmlns="http://schemas.openxmlformats.org/officeDocument/2006/extended-properties" xmlns:vt="http://schemas.openxmlformats.org/officeDocument/2006/docPropsVTypes">
  <Template>FFF16329</Template>
  <TotalTime>166</TotalTime>
  <Pages>3</Pages>
  <Words>640</Words>
  <Characters>3637</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Away from Base (AFB) Futures Discussion Paper Response Template</vt:lpstr>
    </vt:vector>
  </TitlesOfParts>
  <Company>Department of the Prime Minister and Cabinet</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Away from Base (AFB) Futures Discussion Paper Response Template</dc:title>
  <dc:subject/>
  <dc:creator>Department of the Prime Minister and Cabinet</dc:creator>
  <cp:keywords/>
  <dc:description/>
  <cp:lastModifiedBy>Roberts, Sarah</cp:lastModifiedBy>
  <cp:revision>25</cp:revision>
  <cp:lastPrinted>2018-09-24T08:24:00Z</cp:lastPrinted>
  <dcterms:created xsi:type="dcterms:W3CDTF">2018-09-24T03:51:00Z</dcterms:created>
  <dcterms:modified xsi:type="dcterms:W3CDTF">2018-10-09T03:26:00Z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1;#UNCLASSIFIED|9c49a7c7-17c7-412f-8077-62dec89b9196</vt:lpwstr>
  </property>
  <property fmtid="{D5CDD505-2E9C-101B-9397-08002B2CF9AE}" pid="4" name="HPRMSecurityCaveat">
    <vt:lpwstr/>
  </property>
</Properties>
</file>