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92328" w:displacedByCustomXml="next"/>
    <w:sdt>
      <w:sdtPr>
        <w:rPr>
          <w:rFonts w:ascii="Gill Sans MT" w:eastAsiaTheme="minorHAnsi" w:hAnsi="Gill Sans MT" w:cstheme="minorBidi"/>
          <w:b w:val="0"/>
          <w:bCs w:val="0"/>
          <w:sz w:val="22"/>
          <w:szCs w:val="22"/>
          <w:lang w:val="en-AU" w:eastAsia="en-US"/>
        </w:rPr>
        <w:id w:val="262652319"/>
        <w:docPartObj>
          <w:docPartGallery w:val="Table of Contents"/>
          <w:docPartUnique/>
        </w:docPartObj>
      </w:sdtPr>
      <w:sdtEndPr>
        <w:rPr>
          <w:noProof/>
        </w:rPr>
      </w:sdtEndPr>
      <w:sdtContent>
        <w:p w14:paraId="6D5B942E" w14:textId="56708424" w:rsidR="007E53AF" w:rsidRPr="007E53AF" w:rsidRDefault="007E53AF" w:rsidP="007E53AF">
          <w:pPr>
            <w:pStyle w:val="TOCHeading"/>
            <w:jc w:val="center"/>
            <w:rPr>
              <w:rFonts w:eastAsiaTheme="minorHAnsi" w:cs="Arial"/>
              <w:b w:val="0"/>
              <w:bCs w:val="0"/>
              <w:sz w:val="28"/>
              <w:lang w:val="en-AU" w:eastAsia="en-US"/>
            </w:rPr>
          </w:pPr>
          <w:r w:rsidRPr="007E53AF">
            <w:rPr>
              <w:rFonts w:eastAsiaTheme="minorHAnsi" w:cs="Arial"/>
              <w:b w:val="0"/>
              <w:bCs w:val="0"/>
              <w:sz w:val="28"/>
              <w:lang w:val="en-AU" w:eastAsia="en-US"/>
            </w:rPr>
            <w:t>Community Development Program (CDP) June 2019 Quarterly Compliance Data</w:t>
          </w:r>
        </w:p>
        <w:p w14:paraId="59B9A6BC" w14:textId="374F040F" w:rsidR="007A3CAF" w:rsidRDefault="007A3CAF">
          <w:pPr>
            <w:pStyle w:val="TOCHeading"/>
          </w:pPr>
          <w:r>
            <w:t>Table of Contents</w:t>
          </w:r>
        </w:p>
        <w:p w14:paraId="5F8961F4" w14:textId="6E3B6C6D" w:rsidR="00716550"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19281330" w:history="1">
            <w:r w:rsidR="00716550" w:rsidRPr="00603E39">
              <w:rPr>
                <w:rStyle w:val="Hyperlink"/>
                <w:noProof/>
              </w:rPr>
              <w:t>Part A</w:t>
            </w:r>
            <w:r w:rsidR="00716550">
              <w:rPr>
                <w:noProof/>
                <w:webHidden/>
              </w:rPr>
              <w:tab/>
            </w:r>
            <w:r w:rsidR="00716550">
              <w:rPr>
                <w:noProof/>
                <w:webHidden/>
              </w:rPr>
              <w:fldChar w:fldCharType="begin"/>
            </w:r>
            <w:r w:rsidR="00716550">
              <w:rPr>
                <w:noProof/>
                <w:webHidden/>
              </w:rPr>
              <w:instrText xml:space="preserve"> PAGEREF _Toc19281330 \h </w:instrText>
            </w:r>
            <w:r w:rsidR="00716550">
              <w:rPr>
                <w:noProof/>
                <w:webHidden/>
              </w:rPr>
            </w:r>
            <w:r w:rsidR="00716550">
              <w:rPr>
                <w:noProof/>
                <w:webHidden/>
              </w:rPr>
              <w:fldChar w:fldCharType="separate"/>
            </w:r>
            <w:r w:rsidR="00716550">
              <w:rPr>
                <w:noProof/>
                <w:webHidden/>
              </w:rPr>
              <w:t>3</w:t>
            </w:r>
            <w:r w:rsidR="00716550">
              <w:rPr>
                <w:noProof/>
                <w:webHidden/>
              </w:rPr>
              <w:fldChar w:fldCharType="end"/>
            </w:r>
          </w:hyperlink>
        </w:p>
        <w:p w14:paraId="347FA66F" w14:textId="56E6B6A1" w:rsidR="00716550" w:rsidRDefault="00400FF9">
          <w:pPr>
            <w:pStyle w:val="TOC2"/>
            <w:rPr>
              <w:rFonts w:asciiTheme="minorHAnsi" w:eastAsiaTheme="minorEastAsia" w:hAnsiTheme="minorHAnsi"/>
              <w:noProof/>
              <w:lang w:eastAsia="en-AU"/>
            </w:rPr>
          </w:pPr>
          <w:hyperlink w:anchor="_Toc19281331" w:history="1">
            <w:r w:rsidR="00716550" w:rsidRPr="00603E39">
              <w:rPr>
                <w:rStyle w:val="Hyperlink"/>
                <w:noProof/>
              </w:rPr>
              <w:t>1.</w:t>
            </w:r>
            <w:r w:rsidR="00716550">
              <w:rPr>
                <w:rFonts w:asciiTheme="minorHAnsi" w:eastAsiaTheme="minorEastAsia" w:hAnsiTheme="minorHAnsi"/>
                <w:noProof/>
                <w:lang w:eastAsia="en-AU"/>
              </w:rPr>
              <w:tab/>
            </w:r>
            <w:r w:rsidR="00716550" w:rsidRPr="00603E39">
              <w:rPr>
                <w:rStyle w:val="Hyperlink"/>
                <w:noProof/>
              </w:rPr>
              <w:t>Number of active job seekers and job seekers with a vulnerability indicator</w:t>
            </w:r>
            <w:r w:rsidR="00716550">
              <w:rPr>
                <w:noProof/>
                <w:webHidden/>
              </w:rPr>
              <w:tab/>
            </w:r>
            <w:r w:rsidR="00716550">
              <w:rPr>
                <w:noProof/>
                <w:webHidden/>
              </w:rPr>
              <w:fldChar w:fldCharType="begin"/>
            </w:r>
            <w:r w:rsidR="00716550">
              <w:rPr>
                <w:noProof/>
                <w:webHidden/>
              </w:rPr>
              <w:instrText xml:space="preserve"> PAGEREF _Toc19281331 \h </w:instrText>
            </w:r>
            <w:r w:rsidR="00716550">
              <w:rPr>
                <w:noProof/>
                <w:webHidden/>
              </w:rPr>
            </w:r>
            <w:r w:rsidR="00716550">
              <w:rPr>
                <w:noProof/>
                <w:webHidden/>
              </w:rPr>
              <w:fldChar w:fldCharType="separate"/>
            </w:r>
            <w:r w:rsidR="00716550">
              <w:rPr>
                <w:noProof/>
                <w:webHidden/>
              </w:rPr>
              <w:t>3</w:t>
            </w:r>
            <w:r w:rsidR="00716550">
              <w:rPr>
                <w:noProof/>
                <w:webHidden/>
              </w:rPr>
              <w:fldChar w:fldCharType="end"/>
            </w:r>
          </w:hyperlink>
        </w:p>
        <w:p w14:paraId="2020AD2B" w14:textId="18C8ABB0" w:rsidR="00716550" w:rsidRDefault="00400FF9">
          <w:pPr>
            <w:pStyle w:val="TOC2"/>
            <w:rPr>
              <w:rFonts w:asciiTheme="minorHAnsi" w:eastAsiaTheme="minorEastAsia" w:hAnsiTheme="minorHAnsi"/>
              <w:noProof/>
              <w:lang w:eastAsia="en-AU"/>
            </w:rPr>
          </w:pPr>
          <w:hyperlink w:anchor="_Toc19281332" w:history="1">
            <w:r w:rsidR="00716550" w:rsidRPr="00603E39">
              <w:rPr>
                <w:rStyle w:val="Hyperlink"/>
                <w:noProof/>
              </w:rPr>
              <w:t>2.</w:t>
            </w:r>
            <w:r w:rsidR="00716550">
              <w:rPr>
                <w:rFonts w:asciiTheme="minorHAnsi" w:eastAsiaTheme="minorEastAsia" w:hAnsiTheme="minorHAnsi"/>
                <w:noProof/>
                <w:lang w:eastAsia="en-AU"/>
              </w:rPr>
              <w:tab/>
            </w:r>
            <w:r w:rsidR="00716550" w:rsidRPr="00603E39">
              <w:rPr>
                <w:rStyle w:val="Hyperlink"/>
                <w:noProof/>
              </w:rPr>
              <w:t>Attendance at Appointments</w:t>
            </w:r>
            <w:r w:rsidR="00716550">
              <w:rPr>
                <w:noProof/>
                <w:webHidden/>
              </w:rPr>
              <w:tab/>
            </w:r>
            <w:r w:rsidR="00716550">
              <w:rPr>
                <w:noProof/>
                <w:webHidden/>
              </w:rPr>
              <w:fldChar w:fldCharType="begin"/>
            </w:r>
            <w:r w:rsidR="00716550">
              <w:rPr>
                <w:noProof/>
                <w:webHidden/>
              </w:rPr>
              <w:instrText xml:space="preserve"> PAGEREF _Toc19281332 \h </w:instrText>
            </w:r>
            <w:r w:rsidR="00716550">
              <w:rPr>
                <w:noProof/>
                <w:webHidden/>
              </w:rPr>
            </w:r>
            <w:r w:rsidR="00716550">
              <w:rPr>
                <w:noProof/>
                <w:webHidden/>
              </w:rPr>
              <w:fldChar w:fldCharType="separate"/>
            </w:r>
            <w:r w:rsidR="00716550">
              <w:rPr>
                <w:noProof/>
                <w:webHidden/>
              </w:rPr>
              <w:t>4</w:t>
            </w:r>
            <w:r w:rsidR="00716550">
              <w:rPr>
                <w:noProof/>
                <w:webHidden/>
              </w:rPr>
              <w:fldChar w:fldCharType="end"/>
            </w:r>
          </w:hyperlink>
        </w:p>
        <w:p w14:paraId="20A010FB" w14:textId="71D4354F" w:rsidR="00716550" w:rsidRPr="00716550" w:rsidRDefault="00400FF9">
          <w:pPr>
            <w:pStyle w:val="TOC2"/>
            <w:rPr>
              <w:rStyle w:val="Hyperlink"/>
            </w:rPr>
          </w:pPr>
          <w:hyperlink w:anchor="_Toc19281333" w:history="1">
            <w:r w:rsidR="00716550" w:rsidRPr="00603E39">
              <w:rPr>
                <w:rStyle w:val="Hyperlink"/>
                <w:noProof/>
              </w:rPr>
              <w:t>2a.</w:t>
            </w:r>
            <w:r w:rsidR="00716550" w:rsidRPr="00716550">
              <w:rPr>
                <w:rStyle w:val="Hyperlink"/>
              </w:rPr>
              <w:tab/>
            </w:r>
            <w:r w:rsidR="00716550" w:rsidRPr="00716550">
              <w:rPr>
                <w:rStyle w:val="Hyperlink"/>
                <w:noProof/>
              </w:rPr>
              <w:t>Attendance at Appointments with CDP employment services providers</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_Toc19281333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4</w:t>
            </w:r>
            <w:r w:rsidR="00716550" w:rsidRPr="00716550">
              <w:rPr>
                <w:rStyle w:val="Hyperlink"/>
                <w:webHidden/>
              </w:rPr>
              <w:fldChar w:fldCharType="end"/>
            </w:r>
          </w:hyperlink>
        </w:p>
        <w:p w14:paraId="37B8362A" w14:textId="300D603A" w:rsidR="00716550" w:rsidRPr="00716550" w:rsidRDefault="00400FF9">
          <w:pPr>
            <w:pStyle w:val="TOC2"/>
            <w:rPr>
              <w:rStyle w:val="Hyperlink"/>
            </w:rPr>
          </w:pPr>
          <w:hyperlink w:anchor="_Toc19281334" w:history="1">
            <w:r w:rsidR="00716550" w:rsidRPr="00603E39">
              <w:rPr>
                <w:rStyle w:val="Hyperlink"/>
                <w:noProof/>
              </w:rPr>
              <w:t>2b.</w:t>
            </w:r>
            <w:r w:rsidR="00716550" w:rsidRPr="00716550">
              <w:rPr>
                <w:rStyle w:val="Hyperlink"/>
              </w:rPr>
              <w:tab/>
            </w:r>
            <w:r w:rsidR="00716550" w:rsidRPr="00716550">
              <w:rPr>
                <w:rStyle w:val="Hyperlink"/>
                <w:noProof/>
              </w:rPr>
              <w:t>Attendance at Re-engagement Appointments with CDP employment services providers</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_Toc19281334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4</w:t>
            </w:r>
            <w:r w:rsidR="00716550" w:rsidRPr="00716550">
              <w:rPr>
                <w:rStyle w:val="Hyperlink"/>
                <w:webHidden/>
              </w:rPr>
              <w:fldChar w:fldCharType="end"/>
            </w:r>
          </w:hyperlink>
        </w:p>
        <w:p w14:paraId="3102BFF3" w14:textId="7C875CA9" w:rsidR="00716550" w:rsidRDefault="00400FF9">
          <w:pPr>
            <w:pStyle w:val="TOC2"/>
            <w:rPr>
              <w:rFonts w:asciiTheme="minorHAnsi" w:eastAsiaTheme="minorEastAsia" w:hAnsiTheme="minorHAnsi"/>
              <w:noProof/>
              <w:lang w:eastAsia="en-AU"/>
            </w:rPr>
          </w:pPr>
          <w:hyperlink w:anchor="_Toc19281335" w:history="1">
            <w:r w:rsidR="00716550" w:rsidRPr="00603E39">
              <w:rPr>
                <w:rStyle w:val="Hyperlink"/>
                <w:noProof/>
              </w:rPr>
              <w:t>3.</w:t>
            </w:r>
            <w:r w:rsidR="00716550">
              <w:rPr>
                <w:rFonts w:asciiTheme="minorHAnsi" w:eastAsiaTheme="minorEastAsia" w:hAnsiTheme="minorHAnsi"/>
                <w:noProof/>
                <w:lang w:eastAsia="en-AU"/>
              </w:rPr>
              <w:tab/>
            </w:r>
            <w:r w:rsidR="00716550" w:rsidRPr="00603E39">
              <w:rPr>
                <w:rStyle w:val="Hyperlink"/>
                <w:noProof/>
              </w:rPr>
              <w:t>Income Support payment suspensions for non-attendance at appointments/activities</w:t>
            </w:r>
            <w:r w:rsidR="00716550">
              <w:rPr>
                <w:noProof/>
                <w:webHidden/>
              </w:rPr>
              <w:tab/>
            </w:r>
            <w:r w:rsidR="00716550">
              <w:rPr>
                <w:noProof/>
                <w:webHidden/>
              </w:rPr>
              <w:fldChar w:fldCharType="begin"/>
            </w:r>
            <w:r w:rsidR="00716550">
              <w:rPr>
                <w:noProof/>
                <w:webHidden/>
              </w:rPr>
              <w:instrText xml:space="preserve"> PAGEREF _Toc19281335 \h </w:instrText>
            </w:r>
            <w:r w:rsidR="00716550">
              <w:rPr>
                <w:noProof/>
                <w:webHidden/>
              </w:rPr>
            </w:r>
            <w:r w:rsidR="00716550">
              <w:rPr>
                <w:noProof/>
                <w:webHidden/>
              </w:rPr>
              <w:fldChar w:fldCharType="separate"/>
            </w:r>
            <w:r w:rsidR="00716550">
              <w:rPr>
                <w:noProof/>
                <w:webHidden/>
              </w:rPr>
              <w:t>5</w:t>
            </w:r>
            <w:r w:rsidR="00716550">
              <w:rPr>
                <w:noProof/>
                <w:webHidden/>
              </w:rPr>
              <w:fldChar w:fldCharType="end"/>
            </w:r>
          </w:hyperlink>
        </w:p>
        <w:p w14:paraId="518AAD2F" w14:textId="20FABDB9" w:rsidR="00716550" w:rsidRDefault="00400FF9">
          <w:pPr>
            <w:pStyle w:val="TOC2"/>
            <w:rPr>
              <w:rFonts w:asciiTheme="minorHAnsi" w:eastAsiaTheme="minorEastAsia" w:hAnsiTheme="minorHAnsi"/>
              <w:noProof/>
              <w:lang w:eastAsia="en-AU"/>
            </w:rPr>
          </w:pPr>
          <w:hyperlink w:anchor="_Toc19281336" w:history="1">
            <w:r w:rsidR="00716550" w:rsidRPr="00603E39">
              <w:rPr>
                <w:rStyle w:val="Hyperlink"/>
                <w:noProof/>
              </w:rPr>
              <w:t>4.</w:t>
            </w:r>
            <w:r w:rsidR="00716550">
              <w:rPr>
                <w:rFonts w:asciiTheme="minorHAnsi" w:eastAsiaTheme="minorEastAsia" w:hAnsiTheme="minorHAnsi"/>
                <w:noProof/>
                <w:lang w:eastAsia="en-AU"/>
              </w:rPr>
              <w:tab/>
            </w:r>
            <w:r w:rsidR="00716550" w:rsidRPr="00603E39">
              <w:rPr>
                <w:rStyle w:val="Hyperlink"/>
                <w:noProof/>
              </w:rPr>
              <w:t>Number of Non-Attendance Reports, Participation Reports and Provider Appointment Reports</w:t>
            </w:r>
            <w:r w:rsidR="00716550">
              <w:rPr>
                <w:noProof/>
                <w:webHidden/>
              </w:rPr>
              <w:tab/>
            </w:r>
            <w:r w:rsidR="00716550">
              <w:rPr>
                <w:noProof/>
                <w:webHidden/>
              </w:rPr>
              <w:fldChar w:fldCharType="begin"/>
            </w:r>
            <w:r w:rsidR="00716550">
              <w:rPr>
                <w:noProof/>
                <w:webHidden/>
              </w:rPr>
              <w:instrText xml:space="preserve"> PAGEREF _Toc19281336 \h </w:instrText>
            </w:r>
            <w:r w:rsidR="00716550">
              <w:rPr>
                <w:noProof/>
                <w:webHidden/>
              </w:rPr>
            </w:r>
            <w:r w:rsidR="00716550">
              <w:rPr>
                <w:noProof/>
                <w:webHidden/>
              </w:rPr>
              <w:fldChar w:fldCharType="separate"/>
            </w:r>
            <w:r w:rsidR="00716550">
              <w:rPr>
                <w:noProof/>
                <w:webHidden/>
              </w:rPr>
              <w:t>6</w:t>
            </w:r>
            <w:r w:rsidR="00716550">
              <w:rPr>
                <w:noProof/>
                <w:webHidden/>
              </w:rPr>
              <w:fldChar w:fldCharType="end"/>
            </w:r>
          </w:hyperlink>
        </w:p>
        <w:p w14:paraId="5022D118" w14:textId="09721263" w:rsidR="00716550" w:rsidRDefault="00400FF9">
          <w:pPr>
            <w:pStyle w:val="TOC2"/>
            <w:rPr>
              <w:rFonts w:asciiTheme="minorHAnsi" w:eastAsiaTheme="minorEastAsia" w:hAnsiTheme="minorHAnsi"/>
              <w:noProof/>
              <w:lang w:eastAsia="en-AU"/>
            </w:rPr>
          </w:pPr>
          <w:hyperlink w:anchor="_Toc19281337" w:history="1">
            <w:r w:rsidR="00716550" w:rsidRPr="00603E39">
              <w:rPr>
                <w:rStyle w:val="Hyperlink"/>
                <w:noProof/>
              </w:rPr>
              <w:t>5.</w:t>
            </w:r>
            <w:r w:rsidR="00716550">
              <w:rPr>
                <w:rFonts w:asciiTheme="minorHAnsi" w:eastAsiaTheme="minorEastAsia" w:hAnsiTheme="minorHAnsi"/>
                <w:noProof/>
                <w:lang w:eastAsia="en-AU"/>
              </w:rPr>
              <w:tab/>
            </w:r>
            <w:r w:rsidR="00716550" w:rsidRPr="00603E39">
              <w:rPr>
                <w:rStyle w:val="Hyperlink"/>
                <w:noProof/>
              </w:rPr>
              <w:t>Reasons for providers reporting non-compliance to the Department of Human Services</w:t>
            </w:r>
            <w:r w:rsidR="00716550">
              <w:rPr>
                <w:noProof/>
                <w:webHidden/>
              </w:rPr>
              <w:tab/>
            </w:r>
            <w:r w:rsidR="00716550">
              <w:rPr>
                <w:noProof/>
                <w:webHidden/>
              </w:rPr>
              <w:fldChar w:fldCharType="begin"/>
            </w:r>
            <w:r w:rsidR="00716550">
              <w:rPr>
                <w:noProof/>
                <w:webHidden/>
              </w:rPr>
              <w:instrText xml:space="preserve"> PAGEREF _Toc19281337 \h </w:instrText>
            </w:r>
            <w:r w:rsidR="00716550">
              <w:rPr>
                <w:noProof/>
                <w:webHidden/>
              </w:rPr>
            </w:r>
            <w:r w:rsidR="00716550">
              <w:rPr>
                <w:noProof/>
                <w:webHidden/>
              </w:rPr>
              <w:fldChar w:fldCharType="separate"/>
            </w:r>
            <w:r w:rsidR="00716550">
              <w:rPr>
                <w:noProof/>
                <w:webHidden/>
              </w:rPr>
              <w:t>7</w:t>
            </w:r>
            <w:r w:rsidR="00716550">
              <w:rPr>
                <w:noProof/>
                <w:webHidden/>
              </w:rPr>
              <w:fldChar w:fldCharType="end"/>
            </w:r>
          </w:hyperlink>
        </w:p>
        <w:p w14:paraId="62BC6A92" w14:textId="652C2C59" w:rsidR="00716550" w:rsidRDefault="00400FF9">
          <w:pPr>
            <w:pStyle w:val="TOC2"/>
            <w:rPr>
              <w:rFonts w:asciiTheme="minorHAnsi" w:eastAsiaTheme="minorEastAsia" w:hAnsiTheme="minorHAnsi"/>
              <w:noProof/>
              <w:lang w:eastAsia="en-AU"/>
            </w:rPr>
          </w:pPr>
          <w:hyperlink w:anchor="_Toc19281338" w:history="1">
            <w:r w:rsidR="00716550" w:rsidRPr="00603E39">
              <w:rPr>
                <w:rStyle w:val="Hyperlink"/>
                <w:noProof/>
              </w:rPr>
              <w:t>6.</w:t>
            </w:r>
            <w:r w:rsidR="00716550">
              <w:rPr>
                <w:rFonts w:asciiTheme="minorHAnsi" w:eastAsiaTheme="minorEastAsia" w:hAnsiTheme="minorHAnsi"/>
                <w:noProof/>
                <w:lang w:eastAsia="en-AU"/>
              </w:rPr>
              <w:tab/>
            </w:r>
            <w:r w:rsidR="00716550" w:rsidRPr="00603E39">
              <w:rPr>
                <w:rStyle w:val="Hyperlink"/>
                <w:noProof/>
              </w:rPr>
              <w:t>Department of Human Services responses to Provider Appointment Reports and Participation Reports</w:t>
            </w:r>
            <w:r w:rsidR="00716550">
              <w:rPr>
                <w:noProof/>
                <w:webHidden/>
              </w:rPr>
              <w:tab/>
            </w:r>
            <w:r w:rsidR="00716550">
              <w:rPr>
                <w:noProof/>
                <w:webHidden/>
              </w:rPr>
              <w:fldChar w:fldCharType="begin"/>
            </w:r>
            <w:r w:rsidR="00716550">
              <w:rPr>
                <w:noProof/>
                <w:webHidden/>
              </w:rPr>
              <w:instrText xml:space="preserve"> PAGEREF _Toc19281338 \h </w:instrText>
            </w:r>
            <w:r w:rsidR="00716550">
              <w:rPr>
                <w:noProof/>
                <w:webHidden/>
              </w:rPr>
            </w:r>
            <w:r w:rsidR="00716550">
              <w:rPr>
                <w:noProof/>
                <w:webHidden/>
              </w:rPr>
              <w:fldChar w:fldCharType="separate"/>
            </w:r>
            <w:r w:rsidR="00716550">
              <w:rPr>
                <w:noProof/>
                <w:webHidden/>
              </w:rPr>
              <w:t>8</w:t>
            </w:r>
            <w:r w:rsidR="00716550">
              <w:rPr>
                <w:noProof/>
                <w:webHidden/>
              </w:rPr>
              <w:fldChar w:fldCharType="end"/>
            </w:r>
          </w:hyperlink>
        </w:p>
        <w:p w14:paraId="71514F9C" w14:textId="7F3F2C47" w:rsidR="00716550" w:rsidRPr="00716550" w:rsidRDefault="00400FF9">
          <w:pPr>
            <w:pStyle w:val="TOC2"/>
            <w:rPr>
              <w:rStyle w:val="Hyperlink"/>
            </w:rPr>
          </w:pPr>
          <w:hyperlink w:anchor="_Toc19281339" w:history="1">
            <w:r w:rsidR="00716550" w:rsidRPr="00603E39">
              <w:rPr>
                <w:rStyle w:val="Hyperlink"/>
                <w:noProof/>
              </w:rPr>
              <w:t>6a.</w:t>
            </w:r>
            <w:r w:rsidR="00716550" w:rsidRPr="00716550">
              <w:rPr>
                <w:rStyle w:val="Hyperlink"/>
              </w:rPr>
              <w:tab/>
            </w:r>
            <w:r w:rsidR="00716550" w:rsidRPr="00716550">
              <w:rPr>
                <w:rStyle w:val="Hyperlink"/>
                <w:noProof/>
              </w:rPr>
              <w:t>Department of Human Services responses to Provider Appointment Reports and Participation Reports</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_Toc19281339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8</w:t>
            </w:r>
            <w:r w:rsidR="00716550" w:rsidRPr="00716550">
              <w:rPr>
                <w:rStyle w:val="Hyperlink"/>
                <w:webHidden/>
              </w:rPr>
              <w:fldChar w:fldCharType="end"/>
            </w:r>
          </w:hyperlink>
        </w:p>
        <w:p w14:paraId="5767F514" w14:textId="390B9475" w:rsidR="00716550" w:rsidRPr="00716550" w:rsidRDefault="00400FF9">
          <w:pPr>
            <w:pStyle w:val="TOC2"/>
            <w:rPr>
              <w:rStyle w:val="Hyperlink"/>
            </w:rPr>
          </w:pPr>
          <w:hyperlink w:anchor="_Toc19281340" w:history="1">
            <w:r w:rsidR="00716550" w:rsidRPr="00603E39">
              <w:rPr>
                <w:rStyle w:val="Hyperlink"/>
                <w:noProof/>
              </w:rPr>
              <w:t>6b.</w:t>
            </w:r>
            <w:r w:rsidR="00716550" w:rsidRPr="00716550">
              <w:rPr>
                <w:rStyle w:val="Hyperlink"/>
              </w:rPr>
              <w:tab/>
            </w:r>
            <w:r w:rsidR="00716550" w:rsidRPr="00716550">
              <w:rPr>
                <w:rStyle w:val="Hyperlink"/>
                <w:noProof/>
              </w:rPr>
              <w:t>Participation Failures applied by the Department of Human Services due to unacceptable re</w:t>
            </w:r>
            <w:r w:rsidR="00716550">
              <w:rPr>
                <w:rStyle w:val="Hyperlink"/>
                <w:noProof/>
              </w:rPr>
              <w:t xml:space="preserve">asons given by job seekers for </w:t>
            </w:r>
            <w:r w:rsidR="00716550" w:rsidRPr="00716550">
              <w:rPr>
                <w:rStyle w:val="Hyperlink"/>
                <w:noProof/>
              </w:rPr>
              <w:t>non-attendance</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_Toc19281340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9</w:t>
            </w:r>
            <w:r w:rsidR="00716550" w:rsidRPr="00716550">
              <w:rPr>
                <w:rStyle w:val="Hyperlink"/>
                <w:webHidden/>
              </w:rPr>
              <w:fldChar w:fldCharType="end"/>
            </w:r>
          </w:hyperlink>
        </w:p>
        <w:p w14:paraId="4A31DF33" w14:textId="6BFF5AEF" w:rsidR="00716550" w:rsidRPr="00716550" w:rsidRDefault="00400FF9">
          <w:pPr>
            <w:pStyle w:val="TOC2"/>
            <w:rPr>
              <w:rStyle w:val="Hyperlink"/>
            </w:rPr>
          </w:pPr>
          <w:hyperlink w:anchor="_Toc19281341" w:history="1">
            <w:r w:rsidR="00716550" w:rsidRPr="00603E39">
              <w:rPr>
                <w:rStyle w:val="Hyperlink"/>
                <w:noProof/>
              </w:rPr>
              <w:t>6c.</w:t>
            </w:r>
            <w:r w:rsidR="00716550" w:rsidRPr="00716550">
              <w:rPr>
                <w:rStyle w:val="Hyperlink"/>
              </w:rPr>
              <w:tab/>
            </w:r>
            <w:r w:rsidR="00716550" w:rsidRPr="00716550">
              <w:rPr>
                <w:rStyle w:val="Hyperlink"/>
                <w:noProof/>
              </w:rPr>
              <w:t>Department of Human Services’ reasons for applying Provider Appointment Reports or Participation Reports</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_Toc19281341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10</w:t>
            </w:r>
            <w:r w:rsidR="00716550" w:rsidRPr="00716550">
              <w:rPr>
                <w:rStyle w:val="Hyperlink"/>
                <w:webHidden/>
              </w:rPr>
              <w:fldChar w:fldCharType="end"/>
            </w:r>
          </w:hyperlink>
        </w:p>
        <w:p w14:paraId="764C86AF" w14:textId="6933DED6" w:rsidR="00716550" w:rsidRPr="00716550" w:rsidRDefault="00400FF9">
          <w:pPr>
            <w:pStyle w:val="TOC2"/>
            <w:rPr>
              <w:rStyle w:val="Hyperlink"/>
            </w:rPr>
          </w:pPr>
          <w:hyperlink w:anchor="_Toc19281342" w:history="1">
            <w:r w:rsidR="00716550" w:rsidRPr="00603E39">
              <w:rPr>
                <w:rStyle w:val="Hyperlink"/>
                <w:noProof/>
              </w:rPr>
              <w:t>6d.</w:t>
            </w:r>
            <w:r w:rsidR="00716550" w:rsidRPr="00716550">
              <w:rPr>
                <w:rStyle w:val="Hyperlink"/>
              </w:rPr>
              <w:tab/>
            </w:r>
            <w:r w:rsidR="00716550" w:rsidRPr="00716550">
              <w:rPr>
                <w:rStyle w:val="Hyperlink"/>
                <w:noProof/>
              </w:rPr>
              <w:t>Department of Human Services’ reasons for rejecting Provider Appointment Reports and Participation Reports</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_Toc19281342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11</w:t>
            </w:r>
            <w:r w:rsidR="00716550" w:rsidRPr="00716550">
              <w:rPr>
                <w:rStyle w:val="Hyperlink"/>
                <w:webHidden/>
              </w:rPr>
              <w:fldChar w:fldCharType="end"/>
            </w:r>
          </w:hyperlink>
        </w:p>
        <w:p w14:paraId="70D7DBA3" w14:textId="5B86AFE5" w:rsidR="00716550" w:rsidRPr="00716550" w:rsidRDefault="00400FF9">
          <w:pPr>
            <w:pStyle w:val="TOC2"/>
            <w:rPr>
              <w:rStyle w:val="Hyperlink"/>
            </w:rPr>
          </w:pPr>
          <w:hyperlink w:anchor="_Toc19281343" w:history="1">
            <w:r w:rsidR="00716550" w:rsidRPr="00603E39">
              <w:rPr>
                <w:rStyle w:val="Hyperlink"/>
                <w:noProof/>
              </w:rPr>
              <w:t>6e.</w:t>
            </w:r>
            <w:r w:rsidR="00716550" w:rsidRPr="00716550">
              <w:rPr>
                <w:rStyle w:val="Hyperlink"/>
              </w:rPr>
              <w:tab/>
            </w:r>
            <w:r w:rsidR="00716550" w:rsidRPr="00716550">
              <w:rPr>
                <w:rStyle w:val="Hyperlink"/>
                <w:noProof/>
              </w:rPr>
              <w:t>Department of Human Services’ reasons for rejecting Provider Appointment Reports and Participation Reports: Reasonable Excuse</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_Toc19281343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11</w:t>
            </w:r>
            <w:r w:rsidR="00716550" w:rsidRPr="00716550">
              <w:rPr>
                <w:rStyle w:val="Hyperlink"/>
                <w:webHidden/>
              </w:rPr>
              <w:fldChar w:fldCharType="end"/>
            </w:r>
          </w:hyperlink>
        </w:p>
        <w:p w14:paraId="2411E3FE" w14:textId="2F43AC77" w:rsidR="00716550" w:rsidRDefault="00400FF9">
          <w:pPr>
            <w:pStyle w:val="TOC2"/>
            <w:rPr>
              <w:rFonts w:asciiTheme="minorHAnsi" w:eastAsiaTheme="minorEastAsia" w:hAnsiTheme="minorHAnsi"/>
              <w:noProof/>
              <w:lang w:eastAsia="en-AU"/>
            </w:rPr>
          </w:pPr>
          <w:hyperlink w:anchor="_Toc19281344" w:history="1">
            <w:r w:rsidR="00716550" w:rsidRPr="00603E39">
              <w:rPr>
                <w:rStyle w:val="Hyperlink"/>
                <w:noProof/>
              </w:rPr>
              <w:t>7.</w:t>
            </w:r>
            <w:r w:rsidR="00716550">
              <w:rPr>
                <w:rFonts w:asciiTheme="minorHAnsi" w:eastAsiaTheme="minorEastAsia" w:hAnsiTheme="minorHAnsi"/>
                <w:noProof/>
                <w:lang w:eastAsia="en-AU"/>
              </w:rPr>
              <w:tab/>
            </w:r>
            <w:r w:rsidR="00716550" w:rsidRPr="00603E39">
              <w:rPr>
                <w:rStyle w:val="Hyperlink"/>
                <w:noProof/>
              </w:rPr>
              <w:t>Number of Compliance Reports Submitted per job seeker over past 12 months (as at 30 June 2019)</w:t>
            </w:r>
            <w:r w:rsidR="00716550">
              <w:rPr>
                <w:noProof/>
                <w:webHidden/>
              </w:rPr>
              <w:tab/>
            </w:r>
            <w:r w:rsidR="00716550">
              <w:rPr>
                <w:noProof/>
                <w:webHidden/>
              </w:rPr>
              <w:fldChar w:fldCharType="begin"/>
            </w:r>
            <w:r w:rsidR="00716550">
              <w:rPr>
                <w:noProof/>
                <w:webHidden/>
              </w:rPr>
              <w:instrText xml:space="preserve"> PAGEREF _Toc19281344 \h </w:instrText>
            </w:r>
            <w:r w:rsidR="00716550">
              <w:rPr>
                <w:noProof/>
                <w:webHidden/>
              </w:rPr>
            </w:r>
            <w:r w:rsidR="00716550">
              <w:rPr>
                <w:noProof/>
                <w:webHidden/>
              </w:rPr>
              <w:fldChar w:fldCharType="separate"/>
            </w:r>
            <w:r w:rsidR="00716550">
              <w:rPr>
                <w:noProof/>
                <w:webHidden/>
              </w:rPr>
              <w:t>12</w:t>
            </w:r>
            <w:r w:rsidR="00716550">
              <w:rPr>
                <w:noProof/>
                <w:webHidden/>
              </w:rPr>
              <w:fldChar w:fldCharType="end"/>
            </w:r>
          </w:hyperlink>
        </w:p>
        <w:p w14:paraId="5D6450C7" w14:textId="46DA7856" w:rsidR="00716550" w:rsidRDefault="00400FF9">
          <w:pPr>
            <w:pStyle w:val="TOC2"/>
            <w:rPr>
              <w:rFonts w:asciiTheme="minorHAnsi" w:eastAsiaTheme="minorEastAsia" w:hAnsiTheme="minorHAnsi"/>
              <w:noProof/>
              <w:lang w:eastAsia="en-AU"/>
            </w:rPr>
          </w:pPr>
          <w:hyperlink w:anchor="_Toc19281345" w:history="1">
            <w:r w:rsidR="00716550" w:rsidRPr="00603E39">
              <w:rPr>
                <w:rStyle w:val="Hyperlink"/>
                <w:noProof/>
              </w:rPr>
              <w:t>8.</w:t>
            </w:r>
            <w:r w:rsidR="00716550">
              <w:rPr>
                <w:rFonts w:asciiTheme="minorHAnsi" w:eastAsiaTheme="minorEastAsia" w:hAnsiTheme="minorHAnsi"/>
                <w:noProof/>
                <w:lang w:eastAsia="en-AU"/>
              </w:rPr>
              <w:tab/>
            </w:r>
            <w:r w:rsidR="00716550" w:rsidRPr="00603E39">
              <w:rPr>
                <w:rStyle w:val="Hyperlink"/>
                <w:noProof/>
              </w:rPr>
              <w:t>Number of Participation Failures Applied</w:t>
            </w:r>
            <w:r w:rsidR="00716550">
              <w:rPr>
                <w:noProof/>
                <w:webHidden/>
              </w:rPr>
              <w:tab/>
            </w:r>
            <w:r w:rsidR="00716550">
              <w:rPr>
                <w:noProof/>
                <w:webHidden/>
              </w:rPr>
              <w:fldChar w:fldCharType="begin"/>
            </w:r>
            <w:r w:rsidR="00716550">
              <w:rPr>
                <w:noProof/>
                <w:webHidden/>
              </w:rPr>
              <w:instrText xml:space="preserve"> PAGEREF _Toc19281345 \h </w:instrText>
            </w:r>
            <w:r w:rsidR="00716550">
              <w:rPr>
                <w:noProof/>
                <w:webHidden/>
              </w:rPr>
            </w:r>
            <w:r w:rsidR="00716550">
              <w:rPr>
                <w:noProof/>
                <w:webHidden/>
              </w:rPr>
              <w:fldChar w:fldCharType="separate"/>
            </w:r>
            <w:r w:rsidR="00716550">
              <w:rPr>
                <w:noProof/>
                <w:webHidden/>
              </w:rPr>
              <w:t>13</w:t>
            </w:r>
            <w:r w:rsidR="00716550">
              <w:rPr>
                <w:noProof/>
                <w:webHidden/>
              </w:rPr>
              <w:fldChar w:fldCharType="end"/>
            </w:r>
          </w:hyperlink>
        </w:p>
        <w:p w14:paraId="6C7BC366" w14:textId="3838CE66" w:rsidR="00716550" w:rsidRDefault="00400FF9">
          <w:pPr>
            <w:pStyle w:val="TOC2"/>
            <w:rPr>
              <w:rFonts w:asciiTheme="minorHAnsi" w:eastAsiaTheme="minorEastAsia" w:hAnsiTheme="minorHAnsi"/>
              <w:noProof/>
              <w:lang w:eastAsia="en-AU"/>
            </w:rPr>
          </w:pPr>
          <w:hyperlink w:anchor="_Toc19281346" w:history="1">
            <w:r w:rsidR="00716550" w:rsidRPr="00603E39">
              <w:rPr>
                <w:rStyle w:val="Hyperlink"/>
                <w:noProof/>
              </w:rPr>
              <w:t>9.</w:t>
            </w:r>
            <w:r w:rsidR="00716550">
              <w:rPr>
                <w:rFonts w:asciiTheme="minorHAnsi" w:eastAsiaTheme="minorEastAsia" w:hAnsiTheme="minorHAnsi"/>
                <w:noProof/>
                <w:lang w:eastAsia="en-AU"/>
              </w:rPr>
              <w:tab/>
            </w:r>
            <w:r w:rsidR="00716550" w:rsidRPr="00603E39">
              <w:rPr>
                <w:rStyle w:val="Hyperlink"/>
                <w:noProof/>
              </w:rPr>
              <w:t>Types of Participation Failures</w:t>
            </w:r>
            <w:r w:rsidR="00716550">
              <w:rPr>
                <w:noProof/>
                <w:webHidden/>
              </w:rPr>
              <w:tab/>
            </w:r>
            <w:r w:rsidR="00716550">
              <w:rPr>
                <w:noProof/>
                <w:webHidden/>
              </w:rPr>
              <w:fldChar w:fldCharType="begin"/>
            </w:r>
            <w:r w:rsidR="00716550">
              <w:rPr>
                <w:noProof/>
                <w:webHidden/>
              </w:rPr>
              <w:instrText xml:space="preserve"> PAGEREF _Toc19281346 \h </w:instrText>
            </w:r>
            <w:r w:rsidR="00716550">
              <w:rPr>
                <w:noProof/>
                <w:webHidden/>
              </w:rPr>
            </w:r>
            <w:r w:rsidR="00716550">
              <w:rPr>
                <w:noProof/>
                <w:webHidden/>
              </w:rPr>
              <w:fldChar w:fldCharType="separate"/>
            </w:r>
            <w:r w:rsidR="00716550">
              <w:rPr>
                <w:noProof/>
                <w:webHidden/>
              </w:rPr>
              <w:t>14</w:t>
            </w:r>
            <w:r w:rsidR="00716550">
              <w:rPr>
                <w:noProof/>
                <w:webHidden/>
              </w:rPr>
              <w:fldChar w:fldCharType="end"/>
            </w:r>
          </w:hyperlink>
        </w:p>
        <w:p w14:paraId="6304097A" w14:textId="472C80E8" w:rsidR="00716550" w:rsidRPr="00716550" w:rsidRDefault="00400FF9">
          <w:pPr>
            <w:pStyle w:val="TOC2"/>
            <w:rPr>
              <w:rStyle w:val="Hyperlink"/>
            </w:rPr>
          </w:pPr>
          <w:hyperlink w:anchor="_Toc19281347" w:history="1">
            <w:r w:rsidR="00716550" w:rsidRPr="00603E39">
              <w:rPr>
                <w:rStyle w:val="Hyperlink"/>
                <w:noProof/>
              </w:rPr>
              <w:t>9a.</w:t>
            </w:r>
            <w:r w:rsidR="00716550" w:rsidRPr="00716550">
              <w:rPr>
                <w:rStyle w:val="Hyperlink"/>
              </w:rPr>
              <w:tab/>
            </w:r>
            <w:r w:rsidR="00716550" w:rsidRPr="00716550">
              <w:rPr>
                <w:rStyle w:val="Hyperlink"/>
                <w:noProof/>
              </w:rPr>
              <w:t>Types of Participation Failures</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_Toc19281347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14</w:t>
            </w:r>
            <w:r w:rsidR="00716550" w:rsidRPr="00716550">
              <w:rPr>
                <w:rStyle w:val="Hyperlink"/>
                <w:webHidden/>
              </w:rPr>
              <w:fldChar w:fldCharType="end"/>
            </w:r>
          </w:hyperlink>
        </w:p>
        <w:p w14:paraId="2CEC7D0A" w14:textId="2491362D" w:rsidR="00716550" w:rsidRPr="00716550" w:rsidRDefault="00400FF9">
          <w:pPr>
            <w:pStyle w:val="TOC2"/>
            <w:rPr>
              <w:rStyle w:val="Hyperlink"/>
            </w:rPr>
          </w:pPr>
          <w:hyperlink w:anchor="_Toc19281348" w:history="1">
            <w:r w:rsidR="00716550" w:rsidRPr="00603E39">
              <w:rPr>
                <w:rStyle w:val="Hyperlink"/>
                <w:noProof/>
              </w:rPr>
              <w:t>9b.</w:t>
            </w:r>
            <w:r w:rsidR="00716550" w:rsidRPr="00716550">
              <w:rPr>
                <w:rStyle w:val="Hyperlink"/>
              </w:rPr>
              <w:tab/>
            </w:r>
            <w:r w:rsidR="00716550" w:rsidRPr="00716550">
              <w:rPr>
                <w:rStyle w:val="Hyperlink"/>
                <w:noProof/>
              </w:rPr>
              <w:t>Types of Participa</w:t>
            </w:r>
            <w:r w:rsidR="00716550">
              <w:rPr>
                <w:rStyle w:val="Hyperlink"/>
                <w:noProof/>
              </w:rPr>
              <w:t>tion Failures: Serious Failures</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_Toc19281348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14</w:t>
            </w:r>
            <w:r w:rsidR="00716550" w:rsidRPr="00716550">
              <w:rPr>
                <w:rStyle w:val="Hyperlink"/>
                <w:webHidden/>
              </w:rPr>
              <w:fldChar w:fldCharType="end"/>
            </w:r>
          </w:hyperlink>
        </w:p>
        <w:p w14:paraId="0785BBCF" w14:textId="03179DA7" w:rsidR="00716550" w:rsidRDefault="00400FF9">
          <w:pPr>
            <w:pStyle w:val="TOC2"/>
            <w:rPr>
              <w:rFonts w:asciiTheme="minorHAnsi" w:eastAsiaTheme="minorEastAsia" w:hAnsiTheme="minorHAnsi"/>
              <w:noProof/>
              <w:lang w:eastAsia="en-AU"/>
            </w:rPr>
          </w:pPr>
          <w:hyperlink w:anchor="_Toc19281349" w:history="1">
            <w:r w:rsidR="00716550" w:rsidRPr="00603E39">
              <w:rPr>
                <w:rStyle w:val="Hyperlink"/>
                <w:noProof/>
              </w:rPr>
              <w:t>10.</w:t>
            </w:r>
            <w:r w:rsidR="00716550">
              <w:rPr>
                <w:rFonts w:asciiTheme="minorHAnsi" w:eastAsiaTheme="minorEastAsia" w:hAnsiTheme="minorHAnsi"/>
                <w:noProof/>
                <w:lang w:eastAsia="en-AU"/>
              </w:rPr>
              <w:tab/>
            </w:r>
            <w:r w:rsidR="00716550" w:rsidRPr="00603E39">
              <w:rPr>
                <w:rStyle w:val="Hyperlink"/>
                <w:noProof/>
              </w:rPr>
              <w:t>Outcomes of Comprehensive Compliance Assessments</w:t>
            </w:r>
            <w:r w:rsidR="00716550">
              <w:rPr>
                <w:noProof/>
                <w:webHidden/>
              </w:rPr>
              <w:tab/>
            </w:r>
            <w:r w:rsidR="00716550">
              <w:rPr>
                <w:noProof/>
                <w:webHidden/>
              </w:rPr>
              <w:fldChar w:fldCharType="begin"/>
            </w:r>
            <w:r w:rsidR="00716550">
              <w:rPr>
                <w:noProof/>
                <w:webHidden/>
              </w:rPr>
              <w:instrText xml:space="preserve"> PAGEREF _Toc19281349 \h </w:instrText>
            </w:r>
            <w:r w:rsidR="00716550">
              <w:rPr>
                <w:noProof/>
                <w:webHidden/>
              </w:rPr>
            </w:r>
            <w:r w:rsidR="00716550">
              <w:rPr>
                <w:noProof/>
                <w:webHidden/>
              </w:rPr>
              <w:fldChar w:fldCharType="separate"/>
            </w:r>
            <w:r w:rsidR="00716550">
              <w:rPr>
                <w:noProof/>
                <w:webHidden/>
              </w:rPr>
              <w:t>15</w:t>
            </w:r>
            <w:r w:rsidR="00716550">
              <w:rPr>
                <w:noProof/>
                <w:webHidden/>
              </w:rPr>
              <w:fldChar w:fldCharType="end"/>
            </w:r>
          </w:hyperlink>
        </w:p>
        <w:p w14:paraId="30829924" w14:textId="7C9062AC" w:rsidR="00716550" w:rsidRDefault="00400FF9">
          <w:pPr>
            <w:pStyle w:val="TOC2"/>
            <w:rPr>
              <w:rFonts w:asciiTheme="minorHAnsi" w:eastAsiaTheme="minorEastAsia" w:hAnsiTheme="minorHAnsi"/>
              <w:noProof/>
              <w:lang w:eastAsia="en-AU"/>
            </w:rPr>
          </w:pPr>
          <w:hyperlink w:anchor="_Toc19281350" w:history="1">
            <w:r w:rsidR="00716550" w:rsidRPr="00603E39">
              <w:rPr>
                <w:rStyle w:val="Hyperlink"/>
                <w:noProof/>
              </w:rPr>
              <w:t>11.</w:t>
            </w:r>
            <w:r w:rsidR="00716550">
              <w:rPr>
                <w:rFonts w:asciiTheme="minorHAnsi" w:eastAsiaTheme="minorEastAsia" w:hAnsiTheme="minorHAnsi"/>
                <w:noProof/>
                <w:lang w:eastAsia="en-AU"/>
              </w:rPr>
              <w:tab/>
            </w:r>
            <w:r w:rsidR="00716550" w:rsidRPr="00603E39">
              <w:rPr>
                <w:rStyle w:val="Hyperlink"/>
                <w:noProof/>
              </w:rPr>
              <w:t>Sanctions for Serious Failures and Unemployment Non-Payment Periods</w:t>
            </w:r>
            <w:r w:rsidR="00716550">
              <w:rPr>
                <w:noProof/>
                <w:webHidden/>
              </w:rPr>
              <w:tab/>
            </w:r>
            <w:r w:rsidR="00716550">
              <w:rPr>
                <w:noProof/>
                <w:webHidden/>
              </w:rPr>
              <w:fldChar w:fldCharType="begin"/>
            </w:r>
            <w:r w:rsidR="00716550">
              <w:rPr>
                <w:noProof/>
                <w:webHidden/>
              </w:rPr>
              <w:instrText xml:space="preserve"> PAGEREF _Toc19281350 \h </w:instrText>
            </w:r>
            <w:r w:rsidR="00716550">
              <w:rPr>
                <w:noProof/>
                <w:webHidden/>
              </w:rPr>
            </w:r>
            <w:r w:rsidR="00716550">
              <w:rPr>
                <w:noProof/>
                <w:webHidden/>
              </w:rPr>
              <w:fldChar w:fldCharType="separate"/>
            </w:r>
            <w:r w:rsidR="00716550">
              <w:rPr>
                <w:noProof/>
                <w:webHidden/>
              </w:rPr>
              <w:t>16</w:t>
            </w:r>
            <w:r w:rsidR="00716550">
              <w:rPr>
                <w:noProof/>
                <w:webHidden/>
              </w:rPr>
              <w:fldChar w:fldCharType="end"/>
            </w:r>
          </w:hyperlink>
        </w:p>
        <w:p w14:paraId="1D39C29C" w14:textId="51633987" w:rsidR="00716550" w:rsidRDefault="00400FF9">
          <w:pPr>
            <w:pStyle w:val="TOC1"/>
            <w:rPr>
              <w:rFonts w:asciiTheme="minorHAnsi" w:eastAsiaTheme="minorEastAsia" w:hAnsiTheme="minorHAnsi"/>
              <w:b w:val="0"/>
              <w:noProof/>
              <w:lang w:eastAsia="en-AU"/>
            </w:rPr>
          </w:pPr>
          <w:hyperlink w:anchor="_Toc19281351" w:history="1">
            <w:r w:rsidR="00716550" w:rsidRPr="00603E39">
              <w:rPr>
                <w:rStyle w:val="Hyperlink"/>
                <w:noProof/>
              </w:rPr>
              <w:t>Part B</w:t>
            </w:r>
            <w:r w:rsidR="00716550">
              <w:rPr>
                <w:noProof/>
                <w:webHidden/>
              </w:rPr>
              <w:tab/>
            </w:r>
            <w:r w:rsidR="00716550">
              <w:rPr>
                <w:noProof/>
                <w:webHidden/>
              </w:rPr>
              <w:fldChar w:fldCharType="begin"/>
            </w:r>
            <w:r w:rsidR="00716550">
              <w:rPr>
                <w:noProof/>
                <w:webHidden/>
              </w:rPr>
              <w:instrText xml:space="preserve"> PAGEREF _Toc19281351 \h </w:instrText>
            </w:r>
            <w:r w:rsidR="00716550">
              <w:rPr>
                <w:noProof/>
                <w:webHidden/>
              </w:rPr>
            </w:r>
            <w:r w:rsidR="00716550">
              <w:rPr>
                <w:noProof/>
                <w:webHidden/>
              </w:rPr>
              <w:fldChar w:fldCharType="separate"/>
            </w:r>
            <w:r w:rsidR="00716550">
              <w:rPr>
                <w:noProof/>
                <w:webHidden/>
              </w:rPr>
              <w:t>17</w:t>
            </w:r>
            <w:r w:rsidR="00716550">
              <w:rPr>
                <w:noProof/>
                <w:webHidden/>
              </w:rPr>
              <w:fldChar w:fldCharType="end"/>
            </w:r>
          </w:hyperlink>
        </w:p>
        <w:p w14:paraId="4BEBADEB" w14:textId="3CF42EDC" w:rsidR="00716550" w:rsidRDefault="00400FF9">
          <w:pPr>
            <w:pStyle w:val="TOC2"/>
            <w:rPr>
              <w:rFonts w:asciiTheme="minorHAnsi" w:eastAsiaTheme="minorEastAsia" w:hAnsiTheme="minorHAnsi"/>
              <w:noProof/>
              <w:lang w:eastAsia="en-AU"/>
            </w:rPr>
          </w:pPr>
          <w:hyperlink w:anchor="_Toc19281352" w:history="1">
            <w:r w:rsidR="00716550" w:rsidRPr="00603E39">
              <w:rPr>
                <w:rStyle w:val="Hyperlink"/>
                <w:noProof/>
              </w:rPr>
              <w:t>12.</w:t>
            </w:r>
            <w:r w:rsidR="00716550">
              <w:rPr>
                <w:rFonts w:asciiTheme="minorHAnsi" w:eastAsiaTheme="minorEastAsia" w:hAnsiTheme="minorHAnsi"/>
                <w:noProof/>
                <w:lang w:eastAsia="en-AU"/>
              </w:rPr>
              <w:tab/>
            </w:r>
            <w:r w:rsidR="00716550" w:rsidRPr="00603E39">
              <w:rPr>
                <w:rStyle w:val="Hyperlink"/>
                <w:noProof/>
              </w:rPr>
              <w:t>Financial Penalties, Income Support Payment Suspensions and CCAs by Gender</w:t>
            </w:r>
            <w:r w:rsidR="00716550">
              <w:rPr>
                <w:noProof/>
                <w:webHidden/>
              </w:rPr>
              <w:tab/>
            </w:r>
            <w:r w:rsidR="00716550">
              <w:rPr>
                <w:noProof/>
                <w:webHidden/>
              </w:rPr>
              <w:fldChar w:fldCharType="begin"/>
            </w:r>
            <w:r w:rsidR="00716550">
              <w:rPr>
                <w:noProof/>
                <w:webHidden/>
              </w:rPr>
              <w:instrText xml:space="preserve"> PAGEREF _Toc19281352 \h </w:instrText>
            </w:r>
            <w:r w:rsidR="00716550">
              <w:rPr>
                <w:noProof/>
                <w:webHidden/>
              </w:rPr>
            </w:r>
            <w:r w:rsidR="00716550">
              <w:rPr>
                <w:noProof/>
                <w:webHidden/>
              </w:rPr>
              <w:fldChar w:fldCharType="separate"/>
            </w:r>
            <w:r w:rsidR="00716550">
              <w:rPr>
                <w:noProof/>
                <w:webHidden/>
              </w:rPr>
              <w:t>17</w:t>
            </w:r>
            <w:r w:rsidR="00716550">
              <w:rPr>
                <w:noProof/>
                <w:webHidden/>
              </w:rPr>
              <w:fldChar w:fldCharType="end"/>
            </w:r>
          </w:hyperlink>
        </w:p>
        <w:p w14:paraId="2B7BE2A5" w14:textId="6700798C" w:rsidR="00716550" w:rsidRPr="00716550" w:rsidRDefault="00400FF9">
          <w:pPr>
            <w:pStyle w:val="TOC2"/>
            <w:rPr>
              <w:rStyle w:val="Hyperlink"/>
            </w:rPr>
          </w:pPr>
          <w:hyperlink w:anchor="_Toc19281353" w:history="1">
            <w:r w:rsidR="00716550" w:rsidRPr="00603E39">
              <w:rPr>
                <w:rStyle w:val="Hyperlink"/>
                <w:noProof/>
              </w:rPr>
              <w:t xml:space="preserve">12a. </w:t>
            </w:r>
            <w:r w:rsidR="00716550" w:rsidRPr="00716550">
              <w:rPr>
                <w:rStyle w:val="Hyperlink"/>
              </w:rPr>
              <w:tab/>
            </w:r>
            <w:r w:rsidR="00716550" w:rsidRPr="00716550">
              <w:rPr>
                <w:rStyle w:val="Hyperlink"/>
                <w:noProof/>
              </w:rPr>
              <w:t>Non Payment Periods (Serious and UNPPs)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_Toc19281353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17</w:t>
            </w:r>
            <w:r w:rsidR="00716550" w:rsidRPr="00716550">
              <w:rPr>
                <w:rStyle w:val="Hyperlink"/>
                <w:webHidden/>
              </w:rPr>
              <w:fldChar w:fldCharType="end"/>
            </w:r>
          </w:hyperlink>
        </w:p>
        <w:p w14:paraId="4AB2985A" w14:textId="585F6D80" w:rsidR="00716550" w:rsidRPr="00716550" w:rsidRDefault="00400FF9">
          <w:pPr>
            <w:pStyle w:val="TOC2"/>
            <w:rPr>
              <w:rStyle w:val="Hyperlink"/>
            </w:rPr>
          </w:pPr>
          <w:hyperlink w:anchor="_Toc19281354" w:history="1">
            <w:r w:rsidR="00716550" w:rsidRPr="00603E39">
              <w:rPr>
                <w:rStyle w:val="Hyperlink"/>
                <w:noProof/>
              </w:rPr>
              <w:t xml:space="preserve">12b. </w:t>
            </w:r>
            <w:r w:rsidR="00716550" w:rsidRPr="00716550">
              <w:rPr>
                <w:rStyle w:val="Hyperlink"/>
              </w:rPr>
              <w:tab/>
            </w:r>
            <w:r w:rsidR="00716550" w:rsidRPr="00716550">
              <w:rPr>
                <w:rStyle w:val="Hyperlink"/>
                <w:noProof/>
              </w:rPr>
              <w:t>Short Term Financial Penalties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_Toc19281354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17</w:t>
            </w:r>
            <w:r w:rsidR="00716550" w:rsidRPr="00716550">
              <w:rPr>
                <w:rStyle w:val="Hyperlink"/>
                <w:webHidden/>
              </w:rPr>
              <w:fldChar w:fldCharType="end"/>
            </w:r>
          </w:hyperlink>
        </w:p>
        <w:p w14:paraId="408B8851" w14:textId="1C8E309B" w:rsidR="00716550" w:rsidRPr="00716550" w:rsidRDefault="00400FF9">
          <w:pPr>
            <w:pStyle w:val="TOC2"/>
            <w:rPr>
              <w:rStyle w:val="Hyperlink"/>
            </w:rPr>
          </w:pPr>
          <w:hyperlink w:anchor="_Toc19281355" w:history="1">
            <w:r w:rsidR="00716550" w:rsidRPr="00603E39">
              <w:rPr>
                <w:rStyle w:val="Hyperlink"/>
                <w:noProof/>
              </w:rPr>
              <w:t xml:space="preserve">12c. </w:t>
            </w:r>
            <w:r w:rsidR="00716550" w:rsidRPr="00716550">
              <w:rPr>
                <w:rStyle w:val="Hyperlink"/>
              </w:rPr>
              <w:tab/>
            </w:r>
            <w:r w:rsidR="00716550" w:rsidRPr="00716550">
              <w:rPr>
                <w:rStyle w:val="Hyperlink"/>
                <w:noProof/>
              </w:rPr>
              <w:t>Total Financial Penalties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_Toc19281355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17</w:t>
            </w:r>
            <w:r w:rsidR="00716550" w:rsidRPr="00716550">
              <w:rPr>
                <w:rStyle w:val="Hyperlink"/>
                <w:webHidden/>
              </w:rPr>
              <w:fldChar w:fldCharType="end"/>
            </w:r>
          </w:hyperlink>
        </w:p>
        <w:p w14:paraId="43F95A2D" w14:textId="288949A2" w:rsidR="00716550" w:rsidRPr="00716550" w:rsidRDefault="00400FF9">
          <w:pPr>
            <w:pStyle w:val="TOC2"/>
            <w:rPr>
              <w:rStyle w:val="Hyperlink"/>
            </w:rPr>
          </w:pPr>
          <w:hyperlink w:anchor="_Toc19281356" w:history="1">
            <w:r w:rsidR="00716550" w:rsidRPr="00603E39">
              <w:rPr>
                <w:rStyle w:val="Hyperlink"/>
                <w:noProof/>
              </w:rPr>
              <w:t xml:space="preserve">12d. </w:t>
            </w:r>
            <w:r w:rsidR="00716550" w:rsidRPr="00716550">
              <w:rPr>
                <w:rStyle w:val="Hyperlink"/>
              </w:rPr>
              <w:tab/>
            </w:r>
            <w:r w:rsidR="00716550" w:rsidRPr="00716550">
              <w:rPr>
                <w:rStyle w:val="Hyperlink"/>
                <w:noProof/>
              </w:rPr>
              <w:t>Income Support Payment Suspensions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_Toc19281356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18</w:t>
            </w:r>
            <w:r w:rsidR="00716550" w:rsidRPr="00716550">
              <w:rPr>
                <w:rStyle w:val="Hyperlink"/>
                <w:webHidden/>
              </w:rPr>
              <w:fldChar w:fldCharType="end"/>
            </w:r>
          </w:hyperlink>
        </w:p>
        <w:p w14:paraId="50054684" w14:textId="7CA6A610" w:rsidR="00716550" w:rsidRDefault="00400FF9">
          <w:pPr>
            <w:pStyle w:val="TOC2"/>
            <w:rPr>
              <w:rFonts w:asciiTheme="minorHAnsi" w:eastAsiaTheme="minorEastAsia" w:hAnsiTheme="minorHAnsi"/>
              <w:noProof/>
              <w:lang w:eastAsia="en-AU"/>
            </w:rPr>
          </w:pPr>
          <w:hyperlink w:anchor="_Toc19281357" w:history="1">
            <w:r w:rsidR="00716550" w:rsidRPr="00603E39">
              <w:rPr>
                <w:rStyle w:val="Hyperlink"/>
                <w:noProof/>
              </w:rPr>
              <w:t xml:space="preserve">12e. </w:t>
            </w:r>
            <w:r w:rsidR="00716550">
              <w:rPr>
                <w:rFonts w:asciiTheme="minorHAnsi" w:eastAsiaTheme="minorEastAsia" w:hAnsiTheme="minorHAnsi"/>
                <w:noProof/>
                <w:lang w:eastAsia="en-AU"/>
              </w:rPr>
              <w:tab/>
            </w:r>
            <w:r w:rsidR="00716550" w:rsidRPr="00603E39">
              <w:rPr>
                <w:rStyle w:val="Hyperlink"/>
                <w:noProof/>
              </w:rPr>
              <w:t>Finalised Comprehensive Compliance Assessment Outcomes 1 July 2018 to 30 June 2019</w:t>
            </w:r>
            <w:r w:rsidR="00716550">
              <w:rPr>
                <w:noProof/>
                <w:webHidden/>
              </w:rPr>
              <w:tab/>
            </w:r>
            <w:r w:rsidR="00716550">
              <w:rPr>
                <w:noProof/>
                <w:webHidden/>
              </w:rPr>
              <w:fldChar w:fldCharType="begin"/>
            </w:r>
            <w:r w:rsidR="00716550">
              <w:rPr>
                <w:noProof/>
                <w:webHidden/>
              </w:rPr>
              <w:instrText xml:space="preserve"> PAGEREF _Toc19281357 \h </w:instrText>
            </w:r>
            <w:r w:rsidR="00716550">
              <w:rPr>
                <w:noProof/>
                <w:webHidden/>
              </w:rPr>
            </w:r>
            <w:r w:rsidR="00716550">
              <w:rPr>
                <w:noProof/>
                <w:webHidden/>
              </w:rPr>
              <w:fldChar w:fldCharType="separate"/>
            </w:r>
            <w:r w:rsidR="00716550">
              <w:rPr>
                <w:noProof/>
                <w:webHidden/>
              </w:rPr>
              <w:t>18</w:t>
            </w:r>
            <w:r w:rsidR="00716550">
              <w:rPr>
                <w:noProof/>
                <w:webHidden/>
              </w:rPr>
              <w:fldChar w:fldCharType="end"/>
            </w:r>
          </w:hyperlink>
        </w:p>
        <w:p w14:paraId="756F0B72" w14:textId="7398AFC9" w:rsidR="00716550" w:rsidRDefault="00400FF9">
          <w:pPr>
            <w:pStyle w:val="TOC2"/>
            <w:rPr>
              <w:rFonts w:asciiTheme="minorHAnsi" w:eastAsiaTheme="minorEastAsia" w:hAnsiTheme="minorHAnsi"/>
              <w:noProof/>
              <w:lang w:eastAsia="en-AU"/>
            </w:rPr>
          </w:pPr>
          <w:hyperlink w:anchor="_Toc19281358" w:history="1">
            <w:r w:rsidR="00716550" w:rsidRPr="00603E39">
              <w:rPr>
                <w:rStyle w:val="Hyperlink"/>
                <w:noProof/>
              </w:rPr>
              <w:t>13.</w:t>
            </w:r>
            <w:r w:rsidR="00716550">
              <w:rPr>
                <w:rFonts w:asciiTheme="minorHAnsi" w:eastAsiaTheme="minorEastAsia" w:hAnsiTheme="minorHAnsi"/>
                <w:noProof/>
                <w:lang w:eastAsia="en-AU"/>
              </w:rPr>
              <w:tab/>
            </w:r>
            <w:r w:rsidR="00716550" w:rsidRPr="00603E39">
              <w:rPr>
                <w:rStyle w:val="Hyperlink"/>
                <w:noProof/>
              </w:rPr>
              <w:t>Financial Penalties and Income Support Payment Suspensions by Indigenous Status</w:t>
            </w:r>
            <w:r w:rsidR="00716550">
              <w:rPr>
                <w:noProof/>
                <w:webHidden/>
              </w:rPr>
              <w:tab/>
            </w:r>
            <w:r w:rsidR="00716550">
              <w:rPr>
                <w:noProof/>
                <w:webHidden/>
              </w:rPr>
              <w:fldChar w:fldCharType="begin"/>
            </w:r>
            <w:r w:rsidR="00716550">
              <w:rPr>
                <w:noProof/>
                <w:webHidden/>
              </w:rPr>
              <w:instrText xml:space="preserve"> PAGEREF _Toc19281358 \h </w:instrText>
            </w:r>
            <w:r w:rsidR="00716550">
              <w:rPr>
                <w:noProof/>
                <w:webHidden/>
              </w:rPr>
            </w:r>
            <w:r w:rsidR="00716550">
              <w:rPr>
                <w:noProof/>
                <w:webHidden/>
              </w:rPr>
              <w:fldChar w:fldCharType="separate"/>
            </w:r>
            <w:r w:rsidR="00716550">
              <w:rPr>
                <w:noProof/>
                <w:webHidden/>
              </w:rPr>
              <w:t>19</w:t>
            </w:r>
            <w:r w:rsidR="00716550">
              <w:rPr>
                <w:noProof/>
                <w:webHidden/>
              </w:rPr>
              <w:fldChar w:fldCharType="end"/>
            </w:r>
          </w:hyperlink>
        </w:p>
        <w:p w14:paraId="4016F7EB" w14:textId="270A7504" w:rsidR="00716550" w:rsidRPr="00716550" w:rsidRDefault="00400FF9">
          <w:pPr>
            <w:pStyle w:val="TOC2"/>
            <w:rPr>
              <w:rStyle w:val="Hyperlink"/>
            </w:rPr>
          </w:pPr>
          <w:hyperlink w:anchor="_Toc19281359" w:history="1">
            <w:r w:rsidR="00716550" w:rsidRPr="00603E39">
              <w:rPr>
                <w:rStyle w:val="Hyperlink"/>
                <w:noProof/>
              </w:rPr>
              <w:t xml:space="preserve">13a. </w:t>
            </w:r>
            <w:r w:rsidR="00716550" w:rsidRPr="00716550">
              <w:rPr>
                <w:rStyle w:val="Hyperlink"/>
              </w:rPr>
              <w:tab/>
            </w:r>
            <w:r w:rsidR="00716550" w:rsidRPr="00716550">
              <w:rPr>
                <w:rStyle w:val="Hyperlink"/>
                <w:noProof/>
              </w:rPr>
              <w:t>Non Payment Periods (Serious and UNPPs)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_Toc19281359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19</w:t>
            </w:r>
            <w:r w:rsidR="00716550" w:rsidRPr="00716550">
              <w:rPr>
                <w:rStyle w:val="Hyperlink"/>
                <w:webHidden/>
              </w:rPr>
              <w:fldChar w:fldCharType="end"/>
            </w:r>
          </w:hyperlink>
        </w:p>
        <w:p w14:paraId="4C31D49A" w14:textId="30EACE8A" w:rsidR="00716550" w:rsidRPr="00716550" w:rsidRDefault="00400FF9">
          <w:pPr>
            <w:pStyle w:val="TOC2"/>
            <w:rPr>
              <w:rStyle w:val="Hyperlink"/>
            </w:rPr>
          </w:pPr>
          <w:hyperlink w:anchor="_Toc19281360" w:history="1">
            <w:r w:rsidR="00716550" w:rsidRPr="00603E39">
              <w:rPr>
                <w:rStyle w:val="Hyperlink"/>
                <w:noProof/>
              </w:rPr>
              <w:t xml:space="preserve">13b. </w:t>
            </w:r>
            <w:r w:rsidR="00716550" w:rsidRPr="00716550">
              <w:rPr>
                <w:rStyle w:val="Hyperlink"/>
              </w:rPr>
              <w:tab/>
            </w:r>
            <w:r w:rsidR="00716550" w:rsidRPr="00716550">
              <w:rPr>
                <w:rStyle w:val="Hyperlink"/>
                <w:noProof/>
              </w:rPr>
              <w:t>Short Term Financial Penalties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_Toc19281360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19</w:t>
            </w:r>
            <w:r w:rsidR="00716550" w:rsidRPr="00716550">
              <w:rPr>
                <w:rStyle w:val="Hyperlink"/>
                <w:webHidden/>
              </w:rPr>
              <w:fldChar w:fldCharType="end"/>
            </w:r>
          </w:hyperlink>
        </w:p>
        <w:p w14:paraId="2EB5F6CE" w14:textId="4A3E2D05" w:rsidR="00716550" w:rsidRPr="00716550" w:rsidRDefault="00400FF9">
          <w:pPr>
            <w:pStyle w:val="TOC2"/>
            <w:rPr>
              <w:rStyle w:val="Hyperlink"/>
            </w:rPr>
          </w:pPr>
          <w:hyperlink w:anchor="_Toc19281361" w:history="1">
            <w:r w:rsidR="00716550" w:rsidRPr="00603E39">
              <w:rPr>
                <w:rStyle w:val="Hyperlink"/>
                <w:noProof/>
              </w:rPr>
              <w:t xml:space="preserve">13c. </w:t>
            </w:r>
            <w:r w:rsidR="00716550" w:rsidRPr="00716550">
              <w:rPr>
                <w:rStyle w:val="Hyperlink"/>
              </w:rPr>
              <w:tab/>
            </w:r>
            <w:r w:rsidR="00716550" w:rsidRPr="00716550">
              <w:rPr>
                <w:rStyle w:val="Hyperlink"/>
                <w:noProof/>
              </w:rPr>
              <w:t>Total Financial Penalties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_Toc19281361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19</w:t>
            </w:r>
            <w:r w:rsidR="00716550" w:rsidRPr="00716550">
              <w:rPr>
                <w:rStyle w:val="Hyperlink"/>
                <w:webHidden/>
              </w:rPr>
              <w:fldChar w:fldCharType="end"/>
            </w:r>
          </w:hyperlink>
        </w:p>
        <w:p w14:paraId="15CA1508" w14:textId="61C82185" w:rsidR="00716550" w:rsidRPr="00716550" w:rsidRDefault="00400FF9">
          <w:pPr>
            <w:pStyle w:val="TOC2"/>
            <w:rPr>
              <w:rStyle w:val="Hyperlink"/>
            </w:rPr>
          </w:pPr>
          <w:hyperlink w:anchor="_Toc19281362" w:history="1">
            <w:r w:rsidR="00716550" w:rsidRPr="00603E39">
              <w:rPr>
                <w:rStyle w:val="Hyperlink"/>
                <w:noProof/>
              </w:rPr>
              <w:t xml:space="preserve">13d. </w:t>
            </w:r>
            <w:r w:rsidR="00716550" w:rsidRPr="00716550">
              <w:rPr>
                <w:rStyle w:val="Hyperlink"/>
              </w:rPr>
              <w:tab/>
            </w:r>
            <w:r w:rsidR="00716550" w:rsidRPr="00716550">
              <w:rPr>
                <w:rStyle w:val="Hyperlink"/>
                <w:noProof/>
              </w:rPr>
              <w:t>Income Support Payment Suspensions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_Toc19281362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20</w:t>
            </w:r>
            <w:r w:rsidR="00716550" w:rsidRPr="00716550">
              <w:rPr>
                <w:rStyle w:val="Hyperlink"/>
                <w:webHidden/>
              </w:rPr>
              <w:fldChar w:fldCharType="end"/>
            </w:r>
          </w:hyperlink>
        </w:p>
        <w:p w14:paraId="04957F5E" w14:textId="49D7B65D" w:rsidR="00716550" w:rsidRDefault="00400FF9">
          <w:pPr>
            <w:pStyle w:val="TOC2"/>
            <w:rPr>
              <w:rFonts w:asciiTheme="minorHAnsi" w:eastAsiaTheme="minorEastAsia" w:hAnsiTheme="minorHAnsi"/>
              <w:noProof/>
              <w:lang w:eastAsia="en-AU"/>
            </w:rPr>
          </w:pPr>
          <w:hyperlink w:anchor="_Toc19281363" w:history="1">
            <w:r w:rsidR="00716550" w:rsidRPr="00603E39">
              <w:rPr>
                <w:rStyle w:val="Hyperlink"/>
                <w:noProof/>
              </w:rPr>
              <w:t>14.</w:t>
            </w:r>
            <w:r w:rsidR="00716550">
              <w:rPr>
                <w:rFonts w:asciiTheme="minorHAnsi" w:eastAsiaTheme="minorEastAsia" w:hAnsiTheme="minorHAnsi"/>
                <w:noProof/>
                <w:lang w:eastAsia="en-AU"/>
              </w:rPr>
              <w:tab/>
            </w:r>
            <w:r w:rsidR="00716550" w:rsidRPr="00603E39">
              <w:rPr>
                <w:rStyle w:val="Hyperlink"/>
                <w:noProof/>
              </w:rPr>
              <w:t>Financial Penalties, Income Support Payment Suspensions and CCAs by Age Group</w:t>
            </w:r>
            <w:r w:rsidR="00716550">
              <w:rPr>
                <w:noProof/>
                <w:webHidden/>
              </w:rPr>
              <w:tab/>
            </w:r>
            <w:r w:rsidR="00716550">
              <w:rPr>
                <w:noProof/>
                <w:webHidden/>
              </w:rPr>
              <w:fldChar w:fldCharType="begin"/>
            </w:r>
            <w:r w:rsidR="00716550">
              <w:rPr>
                <w:noProof/>
                <w:webHidden/>
              </w:rPr>
              <w:instrText xml:space="preserve"> PAGEREF _Toc19281363 \h </w:instrText>
            </w:r>
            <w:r w:rsidR="00716550">
              <w:rPr>
                <w:noProof/>
                <w:webHidden/>
              </w:rPr>
            </w:r>
            <w:r w:rsidR="00716550">
              <w:rPr>
                <w:noProof/>
                <w:webHidden/>
              </w:rPr>
              <w:fldChar w:fldCharType="separate"/>
            </w:r>
            <w:r w:rsidR="00716550">
              <w:rPr>
                <w:noProof/>
                <w:webHidden/>
              </w:rPr>
              <w:t>21</w:t>
            </w:r>
            <w:r w:rsidR="00716550">
              <w:rPr>
                <w:noProof/>
                <w:webHidden/>
              </w:rPr>
              <w:fldChar w:fldCharType="end"/>
            </w:r>
          </w:hyperlink>
        </w:p>
        <w:p w14:paraId="7643FA1C" w14:textId="6D40B989" w:rsidR="00716550" w:rsidRPr="00716550" w:rsidRDefault="00400FF9">
          <w:pPr>
            <w:pStyle w:val="TOC2"/>
            <w:rPr>
              <w:rStyle w:val="Hyperlink"/>
            </w:rPr>
          </w:pPr>
          <w:hyperlink w:anchor="_Toc19281364" w:history="1">
            <w:r w:rsidR="00716550" w:rsidRPr="00603E39">
              <w:rPr>
                <w:rStyle w:val="Hyperlink"/>
                <w:noProof/>
              </w:rPr>
              <w:t xml:space="preserve">14a. </w:t>
            </w:r>
            <w:r w:rsidR="00716550" w:rsidRPr="00716550">
              <w:rPr>
                <w:rStyle w:val="Hyperlink"/>
              </w:rPr>
              <w:tab/>
            </w:r>
            <w:r w:rsidR="00716550" w:rsidRPr="00716550">
              <w:rPr>
                <w:rStyle w:val="Hyperlink"/>
                <w:noProof/>
              </w:rPr>
              <w:t>Non Payment Periods (Serious and UNPPs)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_Toc19281364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21</w:t>
            </w:r>
            <w:r w:rsidR="00716550" w:rsidRPr="00716550">
              <w:rPr>
                <w:rStyle w:val="Hyperlink"/>
                <w:webHidden/>
              </w:rPr>
              <w:fldChar w:fldCharType="end"/>
            </w:r>
          </w:hyperlink>
        </w:p>
        <w:p w14:paraId="28DEF085" w14:textId="5D76722B" w:rsidR="00716550" w:rsidRPr="00716550" w:rsidRDefault="00400FF9">
          <w:pPr>
            <w:pStyle w:val="TOC2"/>
            <w:rPr>
              <w:rStyle w:val="Hyperlink"/>
            </w:rPr>
          </w:pPr>
          <w:hyperlink w:anchor="_Toc19281365" w:history="1">
            <w:r w:rsidR="00716550" w:rsidRPr="00603E39">
              <w:rPr>
                <w:rStyle w:val="Hyperlink"/>
                <w:noProof/>
              </w:rPr>
              <w:t xml:space="preserve">14b. </w:t>
            </w:r>
            <w:r w:rsidR="00716550" w:rsidRPr="00716550">
              <w:rPr>
                <w:rStyle w:val="Hyperlink"/>
              </w:rPr>
              <w:tab/>
            </w:r>
            <w:r w:rsidR="00716550" w:rsidRPr="00716550">
              <w:rPr>
                <w:rStyle w:val="Hyperlink"/>
                <w:noProof/>
              </w:rPr>
              <w:t>Short Term Financial Penalties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_Toc19281365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21</w:t>
            </w:r>
            <w:r w:rsidR="00716550" w:rsidRPr="00716550">
              <w:rPr>
                <w:rStyle w:val="Hyperlink"/>
                <w:webHidden/>
              </w:rPr>
              <w:fldChar w:fldCharType="end"/>
            </w:r>
          </w:hyperlink>
        </w:p>
        <w:p w14:paraId="0BBDEAF9" w14:textId="3270E60F" w:rsidR="00716550" w:rsidRPr="00716550" w:rsidRDefault="00400FF9">
          <w:pPr>
            <w:pStyle w:val="TOC2"/>
            <w:rPr>
              <w:rStyle w:val="Hyperlink"/>
            </w:rPr>
          </w:pPr>
          <w:hyperlink w:anchor="_Toc19281366" w:history="1">
            <w:r w:rsidR="00716550" w:rsidRPr="00603E39">
              <w:rPr>
                <w:rStyle w:val="Hyperlink"/>
                <w:noProof/>
              </w:rPr>
              <w:t xml:space="preserve">14c. </w:t>
            </w:r>
            <w:r w:rsidR="00716550" w:rsidRPr="00716550">
              <w:rPr>
                <w:rStyle w:val="Hyperlink"/>
              </w:rPr>
              <w:tab/>
            </w:r>
            <w:r w:rsidR="00716550" w:rsidRPr="00716550">
              <w:rPr>
                <w:rStyle w:val="Hyperlink"/>
                <w:noProof/>
              </w:rPr>
              <w:t>Total Financial Penalties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_Toc19281366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21</w:t>
            </w:r>
            <w:r w:rsidR="00716550" w:rsidRPr="00716550">
              <w:rPr>
                <w:rStyle w:val="Hyperlink"/>
                <w:webHidden/>
              </w:rPr>
              <w:fldChar w:fldCharType="end"/>
            </w:r>
          </w:hyperlink>
        </w:p>
        <w:p w14:paraId="0FEBFEF8" w14:textId="3E55595C" w:rsidR="00716550" w:rsidRPr="00716550" w:rsidRDefault="00400FF9">
          <w:pPr>
            <w:pStyle w:val="TOC2"/>
            <w:rPr>
              <w:rStyle w:val="Hyperlink"/>
            </w:rPr>
          </w:pPr>
          <w:hyperlink w:anchor="_Toc19281367" w:history="1">
            <w:r w:rsidR="00716550" w:rsidRPr="00603E39">
              <w:rPr>
                <w:rStyle w:val="Hyperlink"/>
                <w:noProof/>
              </w:rPr>
              <w:t xml:space="preserve">14d. </w:t>
            </w:r>
            <w:r w:rsidR="00716550" w:rsidRPr="00716550">
              <w:rPr>
                <w:rStyle w:val="Hyperlink"/>
              </w:rPr>
              <w:tab/>
            </w:r>
            <w:r w:rsidR="00716550" w:rsidRPr="00716550">
              <w:rPr>
                <w:rStyle w:val="Hyperlink"/>
                <w:noProof/>
              </w:rPr>
              <w:t>Income Support Payment Suspensions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_Toc19281367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22</w:t>
            </w:r>
            <w:r w:rsidR="00716550" w:rsidRPr="00716550">
              <w:rPr>
                <w:rStyle w:val="Hyperlink"/>
                <w:webHidden/>
              </w:rPr>
              <w:fldChar w:fldCharType="end"/>
            </w:r>
          </w:hyperlink>
        </w:p>
        <w:p w14:paraId="6BA11F85" w14:textId="563847CD" w:rsidR="00716550" w:rsidRDefault="00400FF9">
          <w:pPr>
            <w:pStyle w:val="TOC2"/>
            <w:rPr>
              <w:rFonts w:asciiTheme="minorHAnsi" w:eastAsiaTheme="minorEastAsia" w:hAnsiTheme="minorHAnsi"/>
              <w:noProof/>
              <w:lang w:eastAsia="en-AU"/>
            </w:rPr>
          </w:pPr>
          <w:hyperlink w:anchor="_Toc19281368" w:history="1">
            <w:r w:rsidR="00716550" w:rsidRPr="00603E39">
              <w:rPr>
                <w:rStyle w:val="Hyperlink"/>
                <w:noProof/>
              </w:rPr>
              <w:t xml:space="preserve">14e. </w:t>
            </w:r>
            <w:r w:rsidR="00716550">
              <w:rPr>
                <w:rFonts w:asciiTheme="minorHAnsi" w:eastAsiaTheme="minorEastAsia" w:hAnsiTheme="minorHAnsi"/>
                <w:noProof/>
                <w:lang w:eastAsia="en-AU"/>
              </w:rPr>
              <w:tab/>
            </w:r>
            <w:r w:rsidR="00716550" w:rsidRPr="00603E39">
              <w:rPr>
                <w:rStyle w:val="Hyperlink"/>
                <w:noProof/>
              </w:rPr>
              <w:t>Finalised Comprehensive Compliance Assessment Outcomes 1 July 2018 to 30 June 2019</w:t>
            </w:r>
            <w:r w:rsidR="00716550">
              <w:rPr>
                <w:noProof/>
                <w:webHidden/>
              </w:rPr>
              <w:tab/>
            </w:r>
            <w:r w:rsidR="00716550">
              <w:rPr>
                <w:noProof/>
                <w:webHidden/>
              </w:rPr>
              <w:fldChar w:fldCharType="begin"/>
            </w:r>
            <w:r w:rsidR="00716550">
              <w:rPr>
                <w:noProof/>
                <w:webHidden/>
              </w:rPr>
              <w:instrText xml:space="preserve"> PAGEREF _Toc19281368 \h </w:instrText>
            </w:r>
            <w:r w:rsidR="00716550">
              <w:rPr>
                <w:noProof/>
                <w:webHidden/>
              </w:rPr>
            </w:r>
            <w:r w:rsidR="00716550">
              <w:rPr>
                <w:noProof/>
                <w:webHidden/>
              </w:rPr>
              <w:fldChar w:fldCharType="separate"/>
            </w:r>
            <w:r w:rsidR="00716550">
              <w:rPr>
                <w:noProof/>
                <w:webHidden/>
              </w:rPr>
              <w:t>22</w:t>
            </w:r>
            <w:r w:rsidR="00716550">
              <w:rPr>
                <w:noProof/>
                <w:webHidden/>
              </w:rPr>
              <w:fldChar w:fldCharType="end"/>
            </w:r>
          </w:hyperlink>
        </w:p>
        <w:p w14:paraId="1F4330B2" w14:textId="0D819DCC" w:rsidR="00716550" w:rsidRDefault="00400FF9">
          <w:pPr>
            <w:pStyle w:val="TOC2"/>
            <w:rPr>
              <w:rFonts w:asciiTheme="minorHAnsi" w:eastAsiaTheme="minorEastAsia" w:hAnsiTheme="minorHAnsi"/>
              <w:noProof/>
              <w:lang w:eastAsia="en-AU"/>
            </w:rPr>
          </w:pPr>
          <w:hyperlink w:anchor="_Toc19281369" w:history="1">
            <w:r w:rsidR="00716550" w:rsidRPr="00603E39">
              <w:rPr>
                <w:rStyle w:val="Hyperlink"/>
                <w:noProof/>
              </w:rPr>
              <w:t>15.</w:t>
            </w:r>
            <w:r w:rsidR="00716550">
              <w:rPr>
                <w:rFonts w:asciiTheme="minorHAnsi" w:eastAsiaTheme="minorEastAsia" w:hAnsiTheme="minorHAnsi"/>
                <w:noProof/>
                <w:lang w:eastAsia="en-AU"/>
              </w:rPr>
              <w:tab/>
            </w:r>
            <w:r w:rsidR="00716550" w:rsidRPr="00603E39">
              <w:rPr>
                <w:rStyle w:val="Hyperlink"/>
                <w:noProof/>
              </w:rPr>
              <w:t>Financial Penalties and Income Support Payment Suspensions by Allowance Types</w:t>
            </w:r>
            <w:r w:rsidR="00716550">
              <w:rPr>
                <w:noProof/>
                <w:webHidden/>
              </w:rPr>
              <w:tab/>
            </w:r>
            <w:r w:rsidR="00716550">
              <w:rPr>
                <w:noProof/>
                <w:webHidden/>
              </w:rPr>
              <w:fldChar w:fldCharType="begin"/>
            </w:r>
            <w:r w:rsidR="00716550">
              <w:rPr>
                <w:noProof/>
                <w:webHidden/>
              </w:rPr>
              <w:instrText xml:space="preserve"> PAGEREF _Toc19281369 \h </w:instrText>
            </w:r>
            <w:r w:rsidR="00716550">
              <w:rPr>
                <w:noProof/>
                <w:webHidden/>
              </w:rPr>
            </w:r>
            <w:r w:rsidR="00716550">
              <w:rPr>
                <w:noProof/>
                <w:webHidden/>
              </w:rPr>
              <w:fldChar w:fldCharType="separate"/>
            </w:r>
            <w:r w:rsidR="00716550">
              <w:rPr>
                <w:noProof/>
                <w:webHidden/>
              </w:rPr>
              <w:t>23</w:t>
            </w:r>
            <w:r w:rsidR="00716550">
              <w:rPr>
                <w:noProof/>
                <w:webHidden/>
              </w:rPr>
              <w:fldChar w:fldCharType="end"/>
            </w:r>
          </w:hyperlink>
        </w:p>
        <w:p w14:paraId="4B5A1281" w14:textId="541DC85D" w:rsidR="00716550" w:rsidRDefault="00400FF9" w:rsidP="00716550">
          <w:pPr>
            <w:pStyle w:val="TOC2"/>
            <w:rPr>
              <w:rFonts w:asciiTheme="minorHAnsi" w:eastAsiaTheme="minorEastAsia" w:hAnsiTheme="minorHAnsi"/>
              <w:noProof/>
              <w:lang w:eastAsia="en-AU"/>
            </w:rPr>
          </w:pPr>
          <w:hyperlink w:anchor="_Toc19281370" w:history="1">
            <w:r w:rsidR="00716550" w:rsidRPr="00603E39">
              <w:rPr>
                <w:rStyle w:val="Hyperlink"/>
                <w:noProof/>
              </w:rPr>
              <w:t xml:space="preserve">15a. </w:t>
            </w:r>
            <w:r w:rsidR="00716550">
              <w:rPr>
                <w:rFonts w:asciiTheme="minorHAnsi" w:eastAsiaTheme="minorEastAsia" w:hAnsiTheme="minorHAnsi"/>
                <w:noProof/>
                <w:lang w:eastAsia="en-AU"/>
              </w:rPr>
              <w:tab/>
            </w:r>
            <w:r w:rsidR="00716550" w:rsidRPr="00716550">
              <w:rPr>
                <w:rStyle w:val="Hyperlink"/>
                <w:noProof/>
              </w:rPr>
              <w:t>Non Payment Periods (Serious and UNPPs) 1 April to 30 June 2019</w:t>
            </w:r>
            <w:r w:rsidR="00716550">
              <w:rPr>
                <w:noProof/>
                <w:webHidden/>
              </w:rPr>
              <w:tab/>
            </w:r>
            <w:r w:rsidR="00716550">
              <w:rPr>
                <w:noProof/>
                <w:webHidden/>
              </w:rPr>
              <w:fldChar w:fldCharType="begin"/>
            </w:r>
            <w:r w:rsidR="00716550">
              <w:rPr>
                <w:noProof/>
                <w:webHidden/>
              </w:rPr>
              <w:instrText xml:space="preserve"> PAGEREF _Toc19281370 \h </w:instrText>
            </w:r>
            <w:r w:rsidR="00716550">
              <w:rPr>
                <w:noProof/>
                <w:webHidden/>
              </w:rPr>
            </w:r>
            <w:r w:rsidR="00716550">
              <w:rPr>
                <w:noProof/>
                <w:webHidden/>
              </w:rPr>
              <w:fldChar w:fldCharType="separate"/>
            </w:r>
            <w:r w:rsidR="00716550">
              <w:rPr>
                <w:noProof/>
                <w:webHidden/>
              </w:rPr>
              <w:t>23</w:t>
            </w:r>
            <w:r w:rsidR="00716550">
              <w:rPr>
                <w:noProof/>
                <w:webHidden/>
              </w:rPr>
              <w:fldChar w:fldCharType="end"/>
            </w:r>
          </w:hyperlink>
        </w:p>
        <w:p w14:paraId="5984A91E" w14:textId="04412BDB" w:rsidR="00716550" w:rsidRDefault="00400FF9">
          <w:pPr>
            <w:pStyle w:val="TOC2"/>
            <w:rPr>
              <w:rFonts w:asciiTheme="minorHAnsi" w:eastAsiaTheme="minorEastAsia" w:hAnsiTheme="minorHAnsi"/>
              <w:noProof/>
              <w:lang w:eastAsia="en-AU"/>
            </w:rPr>
          </w:pPr>
          <w:hyperlink w:anchor="_Toc19281372" w:history="1">
            <w:r w:rsidR="00716550" w:rsidRPr="00603E39">
              <w:rPr>
                <w:rStyle w:val="Hyperlink"/>
                <w:noProof/>
              </w:rPr>
              <w:t xml:space="preserve">15b. </w:t>
            </w:r>
            <w:r w:rsidR="00716550">
              <w:rPr>
                <w:rFonts w:asciiTheme="minorHAnsi" w:eastAsiaTheme="minorEastAsia" w:hAnsiTheme="minorHAnsi"/>
                <w:noProof/>
                <w:lang w:eastAsia="en-AU"/>
              </w:rPr>
              <w:tab/>
            </w:r>
            <w:r w:rsidR="00716550" w:rsidRPr="00716550">
              <w:rPr>
                <w:rStyle w:val="Hyperlink"/>
                <w:noProof/>
              </w:rPr>
              <w:t>Short Term Financial Penalties 1 April to 30 June 2019</w:t>
            </w:r>
            <w:r w:rsidR="00716550">
              <w:rPr>
                <w:noProof/>
                <w:webHidden/>
              </w:rPr>
              <w:tab/>
            </w:r>
            <w:r w:rsidR="00716550">
              <w:rPr>
                <w:noProof/>
                <w:webHidden/>
              </w:rPr>
              <w:fldChar w:fldCharType="begin"/>
            </w:r>
            <w:r w:rsidR="00716550">
              <w:rPr>
                <w:noProof/>
                <w:webHidden/>
              </w:rPr>
              <w:instrText xml:space="preserve"> PAGEREF _Toc19281372 \h </w:instrText>
            </w:r>
            <w:r w:rsidR="00716550">
              <w:rPr>
                <w:noProof/>
                <w:webHidden/>
              </w:rPr>
            </w:r>
            <w:r w:rsidR="00716550">
              <w:rPr>
                <w:noProof/>
                <w:webHidden/>
              </w:rPr>
              <w:fldChar w:fldCharType="separate"/>
            </w:r>
            <w:r w:rsidR="00716550">
              <w:rPr>
                <w:noProof/>
                <w:webHidden/>
              </w:rPr>
              <w:t>23</w:t>
            </w:r>
            <w:r w:rsidR="00716550">
              <w:rPr>
                <w:noProof/>
                <w:webHidden/>
              </w:rPr>
              <w:fldChar w:fldCharType="end"/>
            </w:r>
          </w:hyperlink>
        </w:p>
        <w:p w14:paraId="446C4CF1" w14:textId="0489F8D3" w:rsidR="00716550" w:rsidRDefault="00400FF9" w:rsidP="00716550">
          <w:pPr>
            <w:pStyle w:val="TOC2"/>
            <w:rPr>
              <w:rFonts w:asciiTheme="minorHAnsi" w:eastAsiaTheme="minorEastAsia" w:hAnsiTheme="minorHAnsi"/>
              <w:noProof/>
              <w:lang w:eastAsia="en-AU"/>
            </w:rPr>
          </w:pPr>
          <w:hyperlink w:anchor="_Toc19281374" w:history="1">
            <w:r w:rsidR="00716550" w:rsidRPr="00603E39">
              <w:rPr>
                <w:rStyle w:val="Hyperlink"/>
                <w:noProof/>
              </w:rPr>
              <w:t xml:space="preserve">15c. </w:t>
            </w:r>
            <w:r w:rsidR="00716550">
              <w:rPr>
                <w:rFonts w:asciiTheme="minorHAnsi" w:eastAsiaTheme="minorEastAsia" w:hAnsiTheme="minorHAnsi"/>
                <w:noProof/>
                <w:lang w:eastAsia="en-AU"/>
              </w:rPr>
              <w:tab/>
            </w:r>
            <w:r w:rsidR="00716550" w:rsidRPr="00716550">
              <w:rPr>
                <w:rStyle w:val="Hyperlink"/>
                <w:noProof/>
              </w:rPr>
              <w:t>Total Financial Penalties 1 April to 30 June 2019</w:t>
            </w:r>
            <w:r w:rsidR="00716550">
              <w:rPr>
                <w:noProof/>
                <w:webHidden/>
              </w:rPr>
              <w:tab/>
            </w:r>
            <w:r w:rsidR="00716550">
              <w:rPr>
                <w:noProof/>
                <w:webHidden/>
              </w:rPr>
              <w:fldChar w:fldCharType="begin"/>
            </w:r>
            <w:r w:rsidR="00716550">
              <w:rPr>
                <w:noProof/>
                <w:webHidden/>
              </w:rPr>
              <w:instrText xml:space="preserve"> PAGEREF _Toc19281374 \h </w:instrText>
            </w:r>
            <w:r w:rsidR="00716550">
              <w:rPr>
                <w:noProof/>
                <w:webHidden/>
              </w:rPr>
            </w:r>
            <w:r w:rsidR="00716550">
              <w:rPr>
                <w:noProof/>
                <w:webHidden/>
              </w:rPr>
              <w:fldChar w:fldCharType="separate"/>
            </w:r>
            <w:r w:rsidR="00716550">
              <w:rPr>
                <w:noProof/>
                <w:webHidden/>
              </w:rPr>
              <w:t>24</w:t>
            </w:r>
            <w:r w:rsidR="00716550">
              <w:rPr>
                <w:noProof/>
                <w:webHidden/>
              </w:rPr>
              <w:fldChar w:fldCharType="end"/>
            </w:r>
          </w:hyperlink>
        </w:p>
        <w:p w14:paraId="2020C71C" w14:textId="4BF63C5C" w:rsidR="00716550" w:rsidRDefault="00400FF9" w:rsidP="00716550">
          <w:pPr>
            <w:pStyle w:val="TOC2"/>
            <w:rPr>
              <w:rFonts w:asciiTheme="minorHAnsi" w:eastAsiaTheme="minorEastAsia" w:hAnsiTheme="minorHAnsi"/>
              <w:noProof/>
              <w:lang w:eastAsia="en-AU"/>
            </w:rPr>
          </w:pPr>
          <w:hyperlink w:anchor="_Toc19281376" w:history="1">
            <w:r w:rsidR="00716550" w:rsidRPr="00603E39">
              <w:rPr>
                <w:rStyle w:val="Hyperlink"/>
                <w:noProof/>
              </w:rPr>
              <w:t xml:space="preserve">15d. </w:t>
            </w:r>
            <w:r w:rsidR="00716550">
              <w:rPr>
                <w:rFonts w:asciiTheme="minorHAnsi" w:eastAsiaTheme="minorEastAsia" w:hAnsiTheme="minorHAnsi"/>
                <w:noProof/>
                <w:lang w:eastAsia="en-AU"/>
              </w:rPr>
              <w:tab/>
            </w:r>
            <w:r w:rsidR="00716550" w:rsidRPr="00716550">
              <w:rPr>
                <w:rStyle w:val="Hyperlink"/>
                <w:noProof/>
              </w:rPr>
              <w:t>Income Support Payment Suspensions 1 April to 30 June 2019</w:t>
            </w:r>
            <w:r w:rsidR="00716550">
              <w:rPr>
                <w:noProof/>
                <w:webHidden/>
              </w:rPr>
              <w:tab/>
            </w:r>
            <w:r w:rsidR="00716550">
              <w:rPr>
                <w:noProof/>
                <w:webHidden/>
              </w:rPr>
              <w:fldChar w:fldCharType="begin"/>
            </w:r>
            <w:r w:rsidR="00716550">
              <w:rPr>
                <w:noProof/>
                <w:webHidden/>
              </w:rPr>
              <w:instrText xml:space="preserve"> PAGEREF _Toc19281376 \h </w:instrText>
            </w:r>
            <w:r w:rsidR="00716550">
              <w:rPr>
                <w:noProof/>
                <w:webHidden/>
              </w:rPr>
            </w:r>
            <w:r w:rsidR="00716550">
              <w:rPr>
                <w:noProof/>
                <w:webHidden/>
              </w:rPr>
              <w:fldChar w:fldCharType="separate"/>
            </w:r>
            <w:r w:rsidR="00716550">
              <w:rPr>
                <w:noProof/>
                <w:webHidden/>
              </w:rPr>
              <w:t>24</w:t>
            </w:r>
            <w:r w:rsidR="00716550">
              <w:rPr>
                <w:noProof/>
                <w:webHidden/>
              </w:rPr>
              <w:fldChar w:fldCharType="end"/>
            </w:r>
          </w:hyperlink>
        </w:p>
        <w:p w14:paraId="248331B3" w14:textId="76885685" w:rsidR="00716550" w:rsidRDefault="00400FF9">
          <w:pPr>
            <w:pStyle w:val="TOC2"/>
            <w:rPr>
              <w:rFonts w:asciiTheme="minorHAnsi" w:eastAsiaTheme="minorEastAsia" w:hAnsiTheme="minorHAnsi"/>
              <w:noProof/>
              <w:lang w:eastAsia="en-AU"/>
            </w:rPr>
          </w:pPr>
          <w:hyperlink w:anchor="_Toc19281378" w:history="1">
            <w:r w:rsidR="00716550" w:rsidRPr="00603E39">
              <w:rPr>
                <w:rStyle w:val="Hyperlink"/>
                <w:noProof/>
              </w:rPr>
              <w:t>16.</w:t>
            </w:r>
            <w:r w:rsidR="00716550">
              <w:rPr>
                <w:rFonts w:asciiTheme="minorHAnsi" w:eastAsiaTheme="minorEastAsia" w:hAnsiTheme="minorHAnsi"/>
                <w:noProof/>
                <w:lang w:eastAsia="en-AU"/>
              </w:rPr>
              <w:tab/>
            </w:r>
            <w:r w:rsidR="00716550" w:rsidRPr="00603E39">
              <w:rPr>
                <w:rStyle w:val="Hyperlink"/>
                <w:noProof/>
              </w:rPr>
              <w:t>Financial Penalties, Income Support Payment Suspensions and CCAs by Employment Services</w:t>
            </w:r>
            <w:r w:rsidR="00716550">
              <w:rPr>
                <w:noProof/>
                <w:webHidden/>
              </w:rPr>
              <w:tab/>
            </w:r>
            <w:r w:rsidR="00716550">
              <w:rPr>
                <w:noProof/>
                <w:webHidden/>
              </w:rPr>
              <w:fldChar w:fldCharType="begin"/>
            </w:r>
            <w:r w:rsidR="00716550">
              <w:rPr>
                <w:noProof/>
                <w:webHidden/>
              </w:rPr>
              <w:instrText xml:space="preserve"> PAGEREF _Toc19281378 \h </w:instrText>
            </w:r>
            <w:r w:rsidR="00716550">
              <w:rPr>
                <w:noProof/>
                <w:webHidden/>
              </w:rPr>
            </w:r>
            <w:r w:rsidR="00716550">
              <w:rPr>
                <w:noProof/>
                <w:webHidden/>
              </w:rPr>
              <w:fldChar w:fldCharType="separate"/>
            </w:r>
            <w:r w:rsidR="00716550">
              <w:rPr>
                <w:noProof/>
                <w:webHidden/>
              </w:rPr>
              <w:t>25</w:t>
            </w:r>
            <w:r w:rsidR="00716550">
              <w:rPr>
                <w:noProof/>
                <w:webHidden/>
              </w:rPr>
              <w:fldChar w:fldCharType="end"/>
            </w:r>
          </w:hyperlink>
        </w:p>
        <w:p w14:paraId="5816602A" w14:textId="705A926A" w:rsidR="00716550" w:rsidRPr="00716550" w:rsidRDefault="00400FF9">
          <w:pPr>
            <w:pStyle w:val="TOC2"/>
            <w:rPr>
              <w:rStyle w:val="Hyperlink"/>
            </w:rPr>
          </w:pPr>
          <w:hyperlink w:anchor="_Toc19281379" w:history="1">
            <w:r w:rsidR="00716550" w:rsidRPr="00603E39">
              <w:rPr>
                <w:rStyle w:val="Hyperlink"/>
                <w:noProof/>
              </w:rPr>
              <w:t xml:space="preserve">16a. </w:t>
            </w:r>
            <w:r w:rsidR="00716550" w:rsidRPr="00716550">
              <w:rPr>
                <w:rStyle w:val="Hyperlink"/>
              </w:rPr>
              <w:tab/>
            </w:r>
            <w:r w:rsidR="00716550" w:rsidRPr="00716550">
              <w:rPr>
                <w:rStyle w:val="Hyperlink"/>
                <w:noProof/>
              </w:rPr>
              <w:t>Non Payment Periods (Serious and UNPPs)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_Toc19281379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25</w:t>
            </w:r>
            <w:r w:rsidR="00716550" w:rsidRPr="00716550">
              <w:rPr>
                <w:rStyle w:val="Hyperlink"/>
                <w:webHidden/>
              </w:rPr>
              <w:fldChar w:fldCharType="end"/>
            </w:r>
          </w:hyperlink>
        </w:p>
        <w:p w14:paraId="6D7417AD" w14:textId="769E316B" w:rsidR="00716550" w:rsidRPr="00716550" w:rsidRDefault="00400FF9">
          <w:pPr>
            <w:pStyle w:val="TOC2"/>
            <w:rPr>
              <w:rStyle w:val="Hyperlink"/>
            </w:rPr>
          </w:pPr>
          <w:hyperlink w:anchor="_Toc19281380" w:history="1">
            <w:r w:rsidR="00716550" w:rsidRPr="00603E39">
              <w:rPr>
                <w:rStyle w:val="Hyperlink"/>
                <w:noProof/>
              </w:rPr>
              <w:t xml:space="preserve">16b. </w:t>
            </w:r>
            <w:r w:rsidR="00716550" w:rsidRPr="00716550">
              <w:rPr>
                <w:rStyle w:val="Hyperlink"/>
              </w:rPr>
              <w:tab/>
            </w:r>
            <w:r w:rsidR="00716550" w:rsidRPr="00716550">
              <w:rPr>
                <w:rStyle w:val="Hyperlink"/>
                <w:noProof/>
              </w:rPr>
              <w:t>Short Term Financial Penalties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_Toc19281380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25</w:t>
            </w:r>
            <w:r w:rsidR="00716550" w:rsidRPr="00716550">
              <w:rPr>
                <w:rStyle w:val="Hyperlink"/>
                <w:webHidden/>
              </w:rPr>
              <w:fldChar w:fldCharType="end"/>
            </w:r>
          </w:hyperlink>
        </w:p>
        <w:p w14:paraId="19BD41AF" w14:textId="3FAB2159" w:rsidR="00716550" w:rsidRPr="00716550" w:rsidRDefault="00400FF9">
          <w:pPr>
            <w:pStyle w:val="TOC2"/>
            <w:rPr>
              <w:rStyle w:val="Hyperlink"/>
            </w:rPr>
          </w:pPr>
          <w:hyperlink w:anchor="_Toc19281381" w:history="1">
            <w:r w:rsidR="00716550" w:rsidRPr="00603E39">
              <w:rPr>
                <w:rStyle w:val="Hyperlink"/>
                <w:noProof/>
              </w:rPr>
              <w:t xml:space="preserve">16c. </w:t>
            </w:r>
            <w:r w:rsidR="00716550" w:rsidRPr="00716550">
              <w:rPr>
                <w:rStyle w:val="Hyperlink"/>
              </w:rPr>
              <w:tab/>
            </w:r>
            <w:r w:rsidR="00716550" w:rsidRPr="00716550">
              <w:rPr>
                <w:rStyle w:val="Hyperlink"/>
                <w:noProof/>
              </w:rPr>
              <w:t>Total Financial Penalties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_Toc19281381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25</w:t>
            </w:r>
            <w:r w:rsidR="00716550" w:rsidRPr="00716550">
              <w:rPr>
                <w:rStyle w:val="Hyperlink"/>
                <w:webHidden/>
              </w:rPr>
              <w:fldChar w:fldCharType="end"/>
            </w:r>
          </w:hyperlink>
        </w:p>
        <w:p w14:paraId="0C8D978A" w14:textId="2AE2AA4B" w:rsidR="00716550" w:rsidRPr="00716550" w:rsidRDefault="00400FF9">
          <w:pPr>
            <w:pStyle w:val="TOC2"/>
            <w:rPr>
              <w:rStyle w:val="Hyperlink"/>
            </w:rPr>
          </w:pPr>
          <w:hyperlink w:anchor="_Toc19281382" w:history="1">
            <w:r w:rsidR="00716550" w:rsidRPr="00603E39">
              <w:rPr>
                <w:rStyle w:val="Hyperlink"/>
                <w:noProof/>
              </w:rPr>
              <w:t xml:space="preserve">16d. </w:t>
            </w:r>
            <w:r w:rsidR="00716550" w:rsidRPr="00716550">
              <w:rPr>
                <w:rStyle w:val="Hyperlink"/>
              </w:rPr>
              <w:tab/>
            </w:r>
            <w:r w:rsidR="00716550" w:rsidRPr="00716550">
              <w:rPr>
                <w:rStyle w:val="Hyperlink"/>
                <w:noProof/>
              </w:rPr>
              <w:t>Income Support Payment Suspensions 1 April to 30 June 2019</w:t>
            </w:r>
            <w:r w:rsidR="00716550" w:rsidRPr="00716550">
              <w:rPr>
                <w:rStyle w:val="Hyperlink"/>
                <w:webHidden/>
              </w:rPr>
              <w:tab/>
            </w:r>
            <w:r w:rsidR="00716550" w:rsidRPr="00716550">
              <w:rPr>
                <w:rStyle w:val="Hyperlink"/>
                <w:webHidden/>
              </w:rPr>
              <w:fldChar w:fldCharType="begin"/>
            </w:r>
            <w:r w:rsidR="00716550" w:rsidRPr="00716550">
              <w:rPr>
                <w:rStyle w:val="Hyperlink"/>
                <w:webHidden/>
              </w:rPr>
              <w:instrText xml:space="preserve"> PAGEREF _Toc19281382 \h </w:instrText>
            </w:r>
            <w:r w:rsidR="00716550" w:rsidRPr="00716550">
              <w:rPr>
                <w:rStyle w:val="Hyperlink"/>
                <w:webHidden/>
              </w:rPr>
            </w:r>
            <w:r w:rsidR="00716550" w:rsidRPr="00716550">
              <w:rPr>
                <w:rStyle w:val="Hyperlink"/>
                <w:webHidden/>
              </w:rPr>
              <w:fldChar w:fldCharType="separate"/>
            </w:r>
            <w:r w:rsidR="00716550" w:rsidRPr="00716550">
              <w:rPr>
                <w:rStyle w:val="Hyperlink"/>
                <w:webHidden/>
              </w:rPr>
              <w:t>26</w:t>
            </w:r>
            <w:r w:rsidR="00716550" w:rsidRPr="00716550">
              <w:rPr>
                <w:rStyle w:val="Hyperlink"/>
                <w:webHidden/>
              </w:rPr>
              <w:fldChar w:fldCharType="end"/>
            </w:r>
          </w:hyperlink>
        </w:p>
        <w:p w14:paraId="2EFB4F1E" w14:textId="6AC00DE9" w:rsidR="00716550" w:rsidRDefault="00400FF9">
          <w:pPr>
            <w:pStyle w:val="TOC2"/>
            <w:rPr>
              <w:rFonts w:asciiTheme="minorHAnsi" w:eastAsiaTheme="minorEastAsia" w:hAnsiTheme="minorHAnsi"/>
              <w:noProof/>
              <w:lang w:eastAsia="en-AU"/>
            </w:rPr>
          </w:pPr>
          <w:hyperlink w:anchor="_Toc19281383" w:history="1">
            <w:r w:rsidR="00716550" w:rsidRPr="00603E39">
              <w:rPr>
                <w:rStyle w:val="Hyperlink"/>
                <w:noProof/>
              </w:rPr>
              <w:t xml:space="preserve">16e. </w:t>
            </w:r>
            <w:r w:rsidR="00716550">
              <w:rPr>
                <w:rFonts w:asciiTheme="minorHAnsi" w:eastAsiaTheme="minorEastAsia" w:hAnsiTheme="minorHAnsi"/>
                <w:noProof/>
                <w:lang w:eastAsia="en-AU"/>
              </w:rPr>
              <w:tab/>
            </w:r>
            <w:r w:rsidR="00716550" w:rsidRPr="00603E39">
              <w:rPr>
                <w:rStyle w:val="Hyperlink"/>
                <w:noProof/>
              </w:rPr>
              <w:t>Finalised Comprehensive Compliance Assessment Outcomes 1 July 2018 to 30 June 2019</w:t>
            </w:r>
            <w:r w:rsidR="00716550">
              <w:rPr>
                <w:noProof/>
                <w:webHidden/>
              </w:rPr>
              <w:tab/>
            </w:r>
            <w:r w:rsidR="00716550">
              <w:rPr>
                <w:noProof/>
                <w:webHidden/>
              </w:rPr>
              <w:fldChar w:fldCharType="begin"/>
            </w:r>
            <w:r w:rsidR="00716550">
              <w:rPr>
                <w:noProof/>
                <w:webHidden/>
              </w:rPr>
              <w:instrText xml:space="preserve"> PAGEREF _Toc19281383 \h </w:instrText>
            </w:r>
            <w:r w:rsidR="00716550">
              <w:rPr>
                <w:noProof/>
                <w:webHidden/>
              </w:rPr>
            </w:r>
            <w:r w:rsidR="00716550">
              <w:rPr>
                <w:noProof/>
                <w:webHidden/>
              </w:rPr>
              <w:fldChar w:fldCharType="separate"/>
            </w:r>
            <w:r w:rsidR="00716550">
              <w:rPr>
                <w:noProof/>
                <w:webHidden/>
              </w:rPr>
              <w:t>26</w:t>
            </w:r>
            <w:r w:rsidR="00716550">
              <w:rPr>
                <w:noProof/>
                <w:webHidden/>
              </w:rPr>
              <w:fldChar w:fldCharType="end"/>
            </w:r>
          </w:hyperlink>
        </w:p>
        <w:p w14:paraId="63BFF3AD" w14:textId="21BCB571" w:rsidR="007A3CAF" w:rsidRDefault="007A3CAF">
          <w:r>
            <w:rPr>
              <w:b/>
              <w:bCs/>
              <w:noProof/>
            </w:rPr>
            <w:fldChar w:fldCharType="end"/>
          </w:r>
        </w:p>
      </w:sdtContent>
    </w:sdt>
    <w:p w14:paraId="2E4DB9B9" w14:textId="77777777" w:rsidR="001E2B75" w:rsidRDefault="001E2B75">
      <w:pPr>
        <w:spacing w:before="0"/>
        <w:ind w:left="0"/>
      </w:pPr>
      <w:r>
        <w:br w:type="page"/>
      </w:r>
    </w:p>
    <w:p w14:paraId="3A678095" w14:textId="20E65B46" w:rsidR="001E2B75" w:rsidRPr="00023622" w:rsidRDefault="001E2B75" w:rsidP="001E2B75">
      <w:r w:rsidRPr="00023622">
        <w:lastRenderedPageBreak/>
        <w:t xml:space="preserve">The following tables contain compliance information for the Community Development Program (CDP), under the Job Seeker Compliance Framework (JSCF). This information has been published continuously since the commencement of the CDP on 1 July 2015. From 1 July 2018, all job seekers in </w:t>
      </w:r>
      <w:r w:rsidRPr="0054297A">
        <w:rPr>
          <w:i/>
        </w:rPr>
        <w:t>jobactive</w:t>
      </w:r>
      <w:r w:rsidRPr="00023622">
        <w:t>, Disability Employment Services and ParentsNext are subject to the Targeted Compliance Framework (TCF). The TCF does not apply to CDP.</w:t>
      </w:r>
    </w:p>
    <w:p w14:paraId="2FBCA534" w14:textId="088EE6A3" w:rsidR="001E2B75" w:rsidRPr="00023622" w:rsidRDefault="001E2B75" w:rsidP="001E2B75">
      <w:r w:rsidRPr="00023622">
        <w:t xml:space="preserve">Prior to 1 July 2018, this report contained a broader data set covering all employment programs under the JSCF. From 1 July 2018, this report contains CDP specific information only and is owned by the </w:t>
      </w:r>
      <w:r w:rsidR="009E0535">
        <w:t>National Indigenous Australians Agency</w:t>
      </w:r>
      <w:r w:rsidRPr="00023622">
        <w:t>.</w:t>
      </w:r>
    </w:p>
    <w:p w14:paraId="731A83E5" w14:textId="75204062" w:rsidR="001E2B75" w:rsidRDefault="001E2B75" w:rsidP="001E2B75">
      <w:pPr>
        <w:rPr>
          <w:b/>
          <w:bCs/>
        </w:rPr>
      </w:pPr>
      <w:r w:rsidRPr="00023622">
        <w:t xml:space="preserve">TCF reporting is published separately by the Department of </w:t>
      </w:r>
      <w:r w:rsidR="009E0535">
        <w:t>Employment, Skills, Small and Family Business</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55F41C5F" w14:textId="14490C1B" w:rsidR="00C24E8B" w:rsidRPr="004439F4" w:rsidRDefault="00C24E8B" w:rsidP="00A75C1F">
      <w:pPr>
        <w:pStyle w:val="Heading1"/>
        <w:spacing w:before="240"/>
        <w:rPr>
          <w:sz w:val="20"/>
          <w:szCs w:val="20"/>
        </w:rPr>
      </w:pPr>
      <w:bookmarkStart w:id="1" w:name="_Toc19281330"/>
      <w:r w:rsidRPr="00325EF7">
        <w:t>Part A</w:t>
      </w:r>
      <w:bookmarkEnd w:id="1"/>
      <w:bookmarkEnd w:id="0"/>
    </w:p>
    <w:p w14:paraId="10F15144" w14:textId="77777777" w:rsidR="00456F16" w:rsidRPr="00456F16" w:rsidRDefault="00456F16" w:rsidP="0070239B">
      <w:pPr>
        <w:pStyle w:val="Heading2"/>
        <w:spacing w:after="120"/>
        <w:ind w:left="-142" w:firstLine="142"/>
      </w:pPr>
      <w:bookmarkStart w:id="2" w:name="_Toc19281331"/>
      <w:r w:rsidRPr="00AC2859">
        <w:t xml:space="preserve">Number of </w:t>
      </w:r>
      <w:r w:rsidR="00C0731A">
        <w:t xml:space="preserve">active </w:t>
      </w:r>
      <w:r w:rsidRPr="00AC2859">
        <w:t>job seekers</w:t>
      </w:r>
      <w:r w:rsidR="00C0731A">
        <w:t xml:space="preserve"> and job seekers with a vulnerability indicator</w:t>
      </w:r>
      <w:bookmarkEnd w:id="2"/>
    </w:p>
    <w:tbl>
      <w:tblPr>
        <w:tblStyle w:val="CenterAlignTable"/>
        <w:tblpPr w:leftFromText="180" w:rightFromText="180" w:vertAnchor="text" w:tblpXSpec="center" w:tblpY="1"/>
        <w:tblOverlap w:val="never"/>
        <w:tblW w:w="5146" w:type="pct"/>
        <w:tblInd w:w="0" w:type="dxa"/>
        <w:tblLayout w:type="fixed"/>
        <w:tblLook w:val="06A0" w:firstRow="1" w:lastRow="0" w:firstColumn="1" w:lastColumn="0" w:noHBand="1" w:noVBand="1"/>
        <w:tblCaption w:val="Number of Job seekers (as at 31 March 2014)"/>
        <w:tblDescription w:val="Number of Job seekers (as at 31 March 2014)"/>
      </w:tblPr>
      <w:tblGrid>
        <w:gridCol w:w="3548"/>
        <w:gridCol w:w="3548"/>
        <w:gridCol w:w="3660"/>
        <w:gridCol w:w="4406"/>
      </w:tblGrid>
      <w:tr w:rsidR="005611A6" w:rsidRPr="00AC2859" w14:paraId="372F01C6" w14:textId="77777777" w:rsidTr="009963BE">
        <w:trPr>
          <w:cnfStyle w:val="100000000000" w:firstRow="1" w:lastRow="0" w:firstColumn="0" w:lastColumn="0" w:oddVBand="0" w:evenVBand="0" w:oddHBand="0" w:evenHBand="0" w:firstRowFirstColumn="0" w:firstRowLastColumn="0" w:lastRowFirstColumn="0" w:lastRowLastColumn="0"/>
          <w:trHeight w:val="1145"/>
          <w:tblHeader/>
        </w:trPr>
        <w:tc>
          <w:tcPr>
            <w:cnfStyle w:val="001000000000" w:firstRow="0" w:lastRow="0" w:firstColumn="1" w:lastColumn="0" w:oddVBand="0" w:evenVBand="0" w:oddHBand="0" w:evenHBand="0" w:firstRowFirstColumn="0" w:firstRowLastColumn="0" w:lastRowFirstColumn="0" w:lastRowLastColumn="0"/>
            <w:tcW w:w="1170" w:type="pct"/>
            <w:vMerge w:val="restart"/>
            <w:vAlign w:val="center"/>
          </w:tcPr>
          <w:p w14:paraId="14C74EA2" w14:textId="6C3AD384" w:rsidR="005611A6" w:rsidRDefault="005611A6" w:rsidP="005611A6">
            <w:pPr>
              <w:ind w:left="-142" w:firstLine="142"/>
              <w:jc w:val="left"/>
            </w:pPr>
            <w:r>
              <w:t xml:space="preserve">As at </w:t>
            </w:r>
            <w:r w:rsidR="00C37529">
              <w:t>30 June 2019</w:t>
            </w:r>
          </w:p>
        </w:tc>
        <w:tc>
          <w:tcPr>
            <w:tcW w:w="1170" w:type="pct"/>
            <w:vAlign w:val="center"/>
          </w:tcPr>
          <w:p w14:paraId="3D2067C8"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rPr>
                <w:b w:val="0"/>
              </w:rPr>
            </w:pPr>
            <w:r>
              <w:t>A</w:t>
            </w:r>
            <w:r w:rsidRPr="00AC2859">
              <w:t xml:space="preserve">ctive </w:t>
            </w:r>
            <w:r>
              <w:t xml:space="preserve">CDP </w:t>
            </w:r>
            <w:r w:rsidRPr="00AC2859">
              <w:t>job seekers</w:t>
            </w:r>
            <w:r>
              <w:t xml:space="preserve">  </w:t>
            </w:r>
          </w:p>
          <w:p w14:paraId="1F3A2FB6"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1207" w:type="pct"/>
          </w:tcPr>
          <w:p w14:paraId="16451A9B"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pPr>
            <w:r>
              <w:t>Number of CDP job seekers with a vulnerability indicator</w:t>
            </w:r>
          </w:p>
        </w:tc>
        <w:tc>
          <w:tcPr>
            <w:tcW w:w="1453" w:type="pct"/>
          </w:tcPr>
          <w:p w14:paraId="741A7CB4"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pPr>
            <w:r>
              <w:t>% of all CDP job seekers with a vulnerability indicator</w:t>
            </w:r>
          </w:p>
        </w:tc>
      </w:tr>
      <w:tr w:rsidR="009963BE" w:rsidRPr="00AC2859" w14:paraId="74F06E7E" w14:textId="77777777" w:rsidTr="00B14665">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1170" w:type="pct"/>
            <w:vMerge/>
          </w:tcPr>
          <w:p w14:paraId="2163D07D" w14:textId="77777777" w:rsidR="009963BE" w:rsidRPr="00AC2859" w:rsidRDefault="009963BE" w:rsidP="009963BE">
            <w:pPr>
              <w:ind w:left="-142" w:firstLine="142"/>
            </w:pPr>
          </w:p>
        </w:tc>
        <w:tc>
          <w:tcPr>
            <w:tcW w:w="1170" w:type="pct"/>
            <w:vAlign w:val="center"/>
          </w:tcPr>
          <w:p w14:paraId="0D4210CC" w14:textId="12F19BCE" w:rsidR="009963BE" w:rsidRPr="00E10D7D" w:rsidRDefault="009963BE" w:rsidP="009963BE">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25,251</w:t>
            </w:r>
          </w:p>
        </w:tc>
        <w:tc>
          <w:tcPr>
            <w:tcW w:w="1207" w:type="pct"/>
            <w:vAlign w:val="center"/>
          </w:tcPr>
          <w:p w14:paraId="3A8B1D3A" w14:textId="54619B41" w:rsidR="009963BE" w:rsidRPr="00E10D7D" w:rsidRDefault="009963BE" w:rsidP="009963BE">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2,270</w:t>
            </w:r>
          </w:p>
        </w:tc>
        <w:tc>
          <w:tcPr>
            <w:tcW w:w="1454" w:type="pct"/>
            <w:vAlign w:val="center"/>
          </w:tcPr>
          <w:p w14:paraId="05ED1FFA" w14:textId="411C89D5" w:rsidR="009963BE" w:rsidRPr="00E10D7D" w:rsidRDefault="009963BE" w:rsidP="009963BE">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9%</w:t>
            </w:r>
          </w:p>
        </w:tc>
      </w:tr>
    </w:tbl>
    <w:p w14:paraId="46CBCC36" w14:textId="29BE322F" w:rsidR="00B51AA6" w:rsidRDefault="00211ADB" w:rsidP="009E0535">
      <w:pPr>
        <w:spacing w:before="60" w:after="0" w:line="240" w:lineRule="auto"/>
        <w:ind w:left="-142"/>
        <w:rPr>
          <w:noProof/>
        </w:rPr>
      </w:pPr>
      <w:r>
        <w:rPr>
          <w:noProof/>
        </w:rPr>
        <w:t>‘</w:t>
      </w:r>
      <w:r w:rsidR="00681CAF">
        <w:rPr>
          <w:noProof/>
        </w:rPr>
        <w:t xml:space="preserve">Active CDP </w:t>
      </w:r>
      <w:r>
        <w:rPr>
          <w:noProof/>
        </w:rPr>
        <w:t xml:space="preserve">job seekers’ </w:t>
      </w:r>
      <w:r w:rsidR="00041A58">
        <w:rPr>
          <w:noProof/>
        </w:rPr>
        <w:t>comprises ‘</w:t>
      </w:r>
      <w:r>
        <w:rPr>
          <w:noProof/>
        </w:rPr>
        <w:t>A</w:t>
      </w:r>
      <w:r w:rsidR="00041A58">
        <w:rPr>
          <w:noProof/>
        </w:rPr>
        <w:t>ctive job seekers’</w:t>
      </w:r>
      <w:r>
        <w:rPr>
          <w:noProof/>
        </w:rPr>
        <w:t xml:space="preserve"> </w:t>
      </w:r>
      <w:r w:rsidR="006E3063">
        <w:rPr>
          <w:noProof/>
        </w:rPr>
        <w:t xml:space="preserve">who </w:t>
      </w:r>
      <w:r>
        <w:rPr>
          <w:noProof/>
        </w:rPr>
        <w:t>curr</w:t>
      </w:r>
      <w:r w:rsidR="00AC7387">
        <w:rPr>
          <w:noProof/>
        </w:rPr>
        <w:t>e</w:t>
      </w:r>
      <w:r w:rsidR="00B75CE0">
        <w:rPr>
          <w:noProof/>
        </w:rPr>
        <w:t xml:space="preserve">ntly </w:t>
      </w:r>
      <w:r w:rsidR="006E3063">
        <w:rPr>
          <w:noProof/>
        </w:rPr>
        <w:t>need to use</w:t>
      </w:r>
      <w:r>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36617F3" w14:textId="77777777" w:rsidR="00C36BF8" w:rsidRDefault="00B51AA6" w:rsidP="009E0535">
      <w:pPr>
        <w:spacing w:before="60" w:after="0" w:line="240" w:lineRule="auto"/>
        <w:ind w:left="-142"/>
        <w:rPr>
          <w:noProof/>
        </w:rPr>
      </w:pPr>
      <w:r>
        <w:rPr>
          <w:noProof/>
        </w:rPr>
        <w:t xml:space="preserve"> </w:t>
      </w:r>
    </w:p>
    <w:p w14:paraId="4EB18112" w14:textId="69ADAA21" w:rsidR="007E53AF"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F2349F">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46649399" w14:textId="77777777" w:rsidR="007E53AF" w:rsidRDefault="007E53AF">
      <w:pPr>
        <w:spacing w:before="0"/>
        <w:ind w:left="0"/>
        <w:rPr>
          <w:noProof/>
        </w:rPr>
      </w:pPr>
      <w:r>
        <w:rPr>
          <w:noProof/>
        </w:rPr>
        <w:br w:type="page"/>
      </w:r>
    </w:p>
    <w:p w14:paraId="0AB1676F" w14:textId="77777777" w:rsidR="00673181" w:rsidRDefault="00D70C90" w:rsidP="00A75C1F">
      <w:pPr>
        <w:pStyle w:val="Heading2"/>
        <w:spacing w:before="240"/>
        <w:ind w:left="-142" w:firstLine="142"/>
      </w:pPr>
      <w:bookmarkStart w:id="3" w:name="_Toc19281332"/>
      <w:r>
        <w:lastRenderedPageBreak/>
        <w:t>Attendance at Appointments</w:t>
      </w:r>
      <w:bookmarkEnd w:id="3"/>
    </w:p>
    <w:p w14:paraId="52D9C346" w14:textId="77777777" w:rsidR="003F2404" w:rsidRPr="003E4F54" w:rsidRDefault="00E10D7D" w:rsidP="0070239B">
      <w:pPr>
        <w:pStyle w:val="Heading2"/>
        <w:numPr>
          <w:ilvl w:val="0"/>
          <w:numId w:val="0"/>
        </w:numPr>
        <w:spacing w:before="120" w:after="120"/>
      </w:pPr>
      <w:bookmarkStart w:id="4" w:name="_Toc19281333"/>
      <w:r>
        <w:t>2</w:t>
      </w:r>
      <w:r w:rsidR="00970C39">
        <w:t>a.</w:t>
      </w:r>
      <w:r w:rsidR="00970C39">
        <w:tab/>
      </w:r>
      <w:r w:rsidR="0001211D" w:rsidRPr="007D74E1">
        <w:rPr>
          <w:i/>
        </w:rPr>
        <w:t>Atte</w:t>
      </w:r>
      <w:r w:rsidR="003F2404" w:rsidRPr="007D74E1">
        <w:rPr>
          <w:i/>
        </w:rPr>
        <w:t xml:space="preserve">ndance at Appointments with </w:t>
      </w:r>
      <w:r w:rsidRPr="007D74E1">
        <w:rPr>
          <w:i/>
        </w:rPr>
        <w:t>CDP</w:t>
      </w:r>
      <w:r w:rsidR="003F2404" w:rsidRPr="007D74E1">
        <w:rPr>
          <w:i/>
        </w:rPr>
        <w:t xml:space="preserve"> </w:t>
      </w:r>
      <w:r w:rsidRPr="007D74E1">
        <w:rPr>
          <w:i/>
        </w:rPr>
        <w:t xml:space="preserve">employment </w:t>
      </w:r>
      <w:r w:rsidR="002765BE" w:rsidRPr="007D74E1">
        <w:rPr>
          <w:i/>
        </w:rPr>
        <w:t>s</w:t>
      </w:r>
      <w:r w:rsidR="003F2404" w:rsidRPr="007D74E1">
        <w:rPr>
          <w:i/>
        </w:rPr>
        <w:t>ervices providers</w:t>
      </w:r>
      <w:bookmarkEnd w:id="4"/>
    </w:p>
    <w:tbl>
      <w:tblPr>
        <w:tblStyle w:val="CenterAlignTable"/>
        <w:tblW w:w="14913" w:type="dxa"/>
        <w:tblInd w:w="-34" w:type="dxa"/>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225"/>
        <w:gridCol w:w="1970"/>
        <w:gridCol w:w="958"/>
        <w:gridCol w:w="1543"/>
        <w:gridCol w:w="1716"/>
        <w:gridCol w:w="1532"/>
        <w:gridCol w:w="1134"/>
        <w:gridCol w:w="851"/>
        <w:gridCol w:w="1984"/>
      </w:tblGrid>
      <w:tr w:rsidR="009963BE" w:rsidRPr="00325EF7" w14:paraId="680E9EB3" w14:textId="77777777" w:rsidTr="00B146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5" w:type="dxa"/>
            <w:vMerge w:val="restart"/>
            <w:vAlign w:val="center"/>
          </w:tcPr>
          <w:p w14:paraId="072525E1" w14:textId="55EC5848" w:rsidR="009963BE" w:rsidRPr="00325EF7" w:rsidRDefault="009963BE" w:rsidP="00F74E10">
            <w:pPr>
              <w:spacing w:before="0"/>
              <w:ind w:left="-142" w:firstLine="142"/>
              <w:jc w:val="left"/>
            </w:pPr>
          </w:p>
        </w:tc>
        <w:tc>
          <w:tcPr>
            <w:tcW w:w="2928" w:type="dxa"/>
            <w:gridSpan w:val="2"/>
            <w:vMerge w:val="restart"/>
          </w:tcPr>
          <w:p w14:paraId="372AED39"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attended</w:t>
            </w:r>
          </w:p>
        </w:tc>
        <w:tc>
          <w:tcPr>
            <w:tcW w:w="6776" w:type="dxa"/>
            <w:gridSpan w:val="5"/>
          </w:tcPr>
          <w:p w14:paraId="04DB7E4D"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not attended</w:t>
            </w:r>
          </w:p>
        </w:tc>
        <w:tc>
          <w:tcPr>
            <w:tcW w:w="1984" w:type="dxa"/>
            <w:vMerge w:val="restart"/>
          </w:tcPr>
          <w:p w14:paraId="7388F43C" w14:textId="77777777" w:rsidR="009963BE" w:rsidRPr="00325EF7" w:rsidRDefault="009963BE" w:rsidP="00AC09BA">
            <w:pPr>
              <w:ind w:left="-142" w:firstLine="142"/>
              <w:cnfStyle w:val="100000000000" w:firstRow="1" w:lastRow="0" w:firstColumn="0" w:lastColumn="0" w:oddVBand="0" w:evenVBand="0" w:oddHBand="0" w:evenHBand="0" w:firstRowFirstColumn="0" w:firstRowLastColumn="0" w:lastRowFirstColumn="0" w:lastRowLastColumn="0"/>
            </w:pPr>
            <w:r w:rsidRPr="00325EF7">
              <w:t>Total Appointments</w:t>
            </w:r>
          </w:p>
        </w:tc>
      </w:tr>
      <w:tr w:rsidR="009963BE" w:rsidRPr="00325EF7" w14:paraId="2506D43F" w14:textId="77777777" w:rsidTr="009963BE">
        <w:trPr>
          <w:cnfStyle w:val="100000000000" w:firstRow="1" w:lastRow="0" w:firstColumn="0" w:lastColumn="0" w:oddVBand="0" w:evenVBand="0" w:oddHBand="0" w:evenHBand="0" w:firstRowFirstColumn="0" w:firstRowLastColumn="0" w:lastRowFirstColumn="0" w:lastRowLastColumn="0"/>
          <w:trHeight w:val="370"/>
          <w:tblHeader/>
        </w:trPr>
        <w:tc>
          <w:tcPr>
            <w:cnfStyle w:val="001000000000" w:firstRow="0" w:lastRow="0" w:firstColumn="1" w:lastColumn="0" w:oddVBand="0" w:evenVBand="0" w:oddHBand="0" w:evenHBand="0" w:firstRowFirstColumn="0" w:firstRowLastColumn="0" w:lastRowFirstColumn="0" w:lastRowLastColumn="0"/>
            <w:tcW w:w="3225" w:type="dxa"/>
            <w:vMerge/>
          </w:tcPr>
          <w:p w14:paraId="13EB3171" w14:textId="77777777" w:rsidR="009963BE" w:rsidRPr="00325EF7" w:rsidRDefault="009963BE" w:rsidP="00887E4E">
            <w:pPr>
              <w:spacing w:before="0"/>
              <w:ind w:left="-142" w:firstLine="142"/>
            </w:pPr>
          </w:p>
        </w:tc>
        <w:tc>
          <w:tcPr>
            <w:tcW w:w="2928" w:type="dxa"/>
            <w:gridSpan w:val="2"/>
            <w:vMerge/>
          </w:tcPr>
          <w:p w14:paraId="40D46B8E"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543" w:type="dxa"/>
          </w:tcPr>
          <w:p w14:paraId="302F0692" w14:textId="77777777" w:rsidR="009963BE" w:rsidRPr="00B10E31"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Valid reason</w:t>
            </w:r>
          </w:p>
        </w:tc>
        <w:tc>
          <w:tcPr>
            <w:tcW w:w="1716" w:type="dxa"/>
          </w:tcPr>
          <w:p w14:paraId="171BDCAB" w14:textId="77777777" w:rsidR="009963BE" w:rsidRPr="00B10E31"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Invalid reason</w:t>
            </w:r>
          </w:p>
        </w:tc>
        <w:tc>
          <w:tcPr>
            <w:tcW w:w="1532" w:type="dxa"/>
          </w:tcPr>
          <w:p w14:paraId="22ED467E" w14:textId="77777777" w:rsidR="009963BE" w:rsidRPr="00B10E31"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Discretion</w:t>
            </w:r>
          </w:p>
        </w:tc>
        <w:tc>
          <w:tcPr>
            <w:tcW w:w="1985" w:type="dxa"/>
            <w:gridSpan w:val="2"/>
          </w:tcPr>
          <w:p w14:paraId="03B6165C" w14:textId="77777777" w:rsidR="009963BE" w:rsidRPr="00B10E31"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Total</w:t>
            </w:r>
          </w:p>
        </w:tc>
        <w:tc>
          <w:tcPr>
            <w:tcW w:w="1984" w:type="dxa"/>
            <w:vMerge/>
          </w:tcPr>
          <w:p w14:paraId="7B847EF1"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9963BE" w:rsidRPr="00325EF7" w14:paraId="0A98FA06" w14:textId="77777777" w:rsidTr="00B146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5" w:type="dxa"/>
            <w:vMerge/>
          </w:tcPr>
          <w:p w14:paraId="12092F8F" w14:textId="77777777" w:rsidR="009963BE" w:rsidRPr="00325EF7" w:rsidRDefault="009963BE" w:rsidP="00887E4E">
            <w:pPr>
              <w:spacing w:before="0"/>
              <w:ind w:left="-142" w:firstLine="142"/>
            </w:pPr>
          </w:p>
        </w:tc>
        <w:tc>
          <w:tcPr>
            <w:tcW w:w="1970" w:type="dxa"/>
          </w:tcPr>
          <w:p w14:paraId="05723D0C"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58" w:type="dxa"/>
          </w:tcPr>
          <w:p w14:paraId="0A9C9C67"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43" w:type="dxa"/>
          </w:tcPr>
          <w:p w14:paraId="3528C0E2"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16" w:type="dxa"/>
          </w:tcPr>
          <w:p w14:paraId="777C710B"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32" w:type="dxa"/>
          </w:tcPr>
          <w:p w14:paraId="7C09B61E"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1B9C984F"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1" w:type="dxa"/>
          </w:tcPr>
          <w:p w14:paraId="618BC878"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984" w:type="dxa"/>
          </w:tcPr>
          <w:p w14:paraId="4A967F28" w14:textId="77777777" w:rsidR="009963BE" w:rsidRPr="00325EF7" w:rsidRDefault="009963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9963BE" w:rsidRPr="00325EF7" w14:paraId="1C355257" w14:textId="77777777" w:rsidTr="00B14665">
        <w:trPr>
          <w:trHeight w:val="445"/>
        </w:trPr>
        <w:tc>
          <w:tcPr>
            <w:cnfStyle w:val="001000000000" w:firstRow="0" w:lastRow="0" w:firstColumn="1" w:lastColumn="0" w:oddVBand="0" w:evenVBand="0" w:oddHBand="0" w:evenHBand="0" w:firstRowFirstColumn="0" w:firstRowLastColumn="0" w:lastRowFirstColumn="0" w:lastRowLastColumn="0"/>
            <w:tcW w:w="3225" w:type="dxa"/>
            <w:vAlign w:val="center"/>
          </w:tcPr>
          <w:p w14:paraId="29BC7F83" w14:textId="0AB019D8" w:rsidR="009963BE" w:rsidRPr="00325EF7" w:rsidRDefault="009963BE" w:rsidP="009963BE">
            <w:pPr>
              <w:spacing w:before="0"/>
              <w:ind w:left="-142" w:firstLine="142"/>
            </w:pPr>
            <w:r>
              <w:t>1 April to 30 June 2019</w:t>
            </w:r>
          </w:p>
        </w:tc>
        <w:tc>
          <w:tcPr>
            <w:tcW w:w="1970" w:type="dxa"/>
            <w:vAlign w:val="center"/>
          </w:tcPr>
          <w:p w14:paraId="3F749B6F" w14:textId="790C6A75" w:rsidR="009963BE" w:rsidRPr="008D57AD" w:rsidRDefault="009963BE" w:rsidP="009963B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9D5C46">
              <w:rPr>
                <w:rFonts w:cs="Gill Sans MT"/>
                <w:color w:val="000000"/>
              </w:rPr>
              <w:t>60,537</w:t>
            </w:r>
          </w:p>
        </w:tc>
        <w:tc>
          <w:tcPr>
            <w:tcW w:w="958" w:type="dxa"/>
            <w:vAlign w:val="center"/>
          </w:tcPr>
          <w:p w14:paraId="777BB8CE" w14:textId="4A285FA3" w:rsidR="009963BE" w:rsidRPr="008D57AD" w:rsidRDefault="009963BE" w:rsidP="009963B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9D5C46">
              <w:rPr>
                <w:rFonts w:cs="Gill Sans MT"/>
                <w:color w:val="000000"/>
              </w:rPr>
              <w:t>55%</w:t>
            </w:r>
          </w:p>
        </w:tc>
        <w:tc>
          <w:tcPr>
            <w:tcW w:w="1543" w:type="dxa"/>
            <w:vAlign w:val="center"/>
          </w:tcPr>
          <w:p w14:paraId="606D9B9D" w14:textId="6C29A807" w:rsidR="009963BE" w:rsidRPr="008D57AD" w:rsidRDefault="009963BE" w:rsidP="009963B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9D5C46">
              <w:rPr>
                <w:rFonts w:cs="Gill Sans MT"/>
                <w:color w:val="000000"/>
              </w:rPr>
              <w:t>20%</w:t>
            </w:r>
          </w:p>
        </w:tc>
        <w:tc>
          <w:tcPr>
            <w:tcW w:w="1716" w:type="dxa"/>
            <w:vAlign w:val="center"/>
          </w:tcPr>
          <w:p w14:paraId="67F7BBB6" w14:textId="07CC178A" w:rsidR="009963BE" w:rsidRPr="008D57AD" w:rsidRDefault="009963BE" w:rsidP="009963B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9D5C46">
              <w:rPr>
                <w:rFonts w:cs="Gill Sans MT"/>
                <w:color w:val="000000"/>
              </w:rPr>
              <w:t>21%</w:t>
            </w:r>
          </w:p>
        </w:tc>
        <w:tc>
          <w:tcPr>
            <w:tcW w:w="1532" w:type="dxa"/>
            <w:vAlign w:val="center"/>
          </w:tcPr>
          <w:p w14:paraId="25E9219E" w14:textId="5E6AEF49" w:rsidR="009963BE" w:rsidRPr="008D57AD" w:rsidRDefault="009963BE" w:rsidP="009963B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9D5C46">
              <w:rPr>
                <w:rFonts w:cs="Gill Sans MT"/>
                <w:color w:val="000000"/>
              </w:rPr>
              <w:t>4%</w:t>
            </w:r>
          </w:p>
        </w:tc>
        <w:tc>
          <w:tcPr>
            <w:tcW w:w="1134" w:type="dxa"/>
            <w:vAlign w:val="center"/>
          </w:tcPr>
          <w:p w14:paraId="7BBB5E78" w14:textId="607CC015" w:rsidR="009963BE" w:rsidRPr="008D57AD" w:rsidRDefault="009963BE" w:rsidP="009963B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9D5C46">
              <w:rPr>
                <w:rFonts w:cs="Gill Sans MT"/>
                <w:color w:val="000000"/>
              </w:rPr>
              <w:t>49,626</w:t>
            </w:r>
          </w:p>
        </w:tc>
        <w:tc>
          <w:tcPr>
            <w:tcW w:w="851" w:type="dxa"/>
            <w:vAlign w:val="center"/>
          </w:tcPr>
          <w:p w14:paraId="5E242B03" w14:textId="6F43E4AE" w:rsidR="009963BE" w:rsidRPr="008D57AD" w:rsidRDefault="009963BE" w:rsidP="009963B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9D5C46">
              <w:rPr>
                <w:rFonts w:cs="Gill Sans MT"/>
                <w:color w:val="000000"/>
              </w:rPr>
              <w:t>45%</w:t>
            </w:r>
          </w:p>
        </w:tc>
        <w:tc>
          <w:tcPr>
            <w:tcW w:w="1984" w:type="dxa"/>
            <w:vAlign w:val="center"/>
          </w:tcPr>
          <w:p w14:paraId="2C92F107" w14:textId="5B894D6D" w:rsidR="009963BE" w:rsidRPr="008D57AD" w:rsidRDefault="009963BE" w:rsidP="009963B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9D5C46">
              <w:rPr>
                <w:rFonts w:cs="Gill Sans MT"/>
                <w:color w:val="000000"/>
              </w:rPr>
              <w:t>110,163</w:t>
            </w:r>
          </w:p>
        </w:tc>
      </w:tr>
      <w:tr w:rsidR="009963BE" w:rsidRPr="00325EF7" w14:paraId="59A1EC3B" w14:textId="77777777" w:rsidTr="00B14665">
        <w:trPr>
          <w:cnfStyle w:val="010000000000" w:firstRow="0" w:lastRow="1"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225" w:type="dxa"/>
            <w:vAlign w:val="center"/>
          </w:tcPr>
          <w:p w14:paraId="6E2D099D" w14:textId="5A44E31F" w:rsidR="009963BE" w:rsidRPr="00325EF7" w:rsidRDefault="009963BE" w:rsidP="009963BE">
            <w:pPr>
              <w:spacing w:before="0"/>
              <w:ind w:left="-142" w:firstLine="142"/>
            </w:pPr>
            <w:r>
              <w:t>1 July 2018 to 30 June 2019</w:t>
            </w:r>
          </w:p>
        </w:tc>
        <w:tc>
          <w:tcPr>
            <w:tcW w:w="1970" w:type="dxa"/>
            <w:vAlign w:val="center"/>
          </w:tcPr>
          <w:p w14:paraId="50D6BA41" w14:textId="3B2EE53F" w:rsidR="009963BE" w:rsidRDefault="009963BE" w:rsidP="009963B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9D5C46">
              <w:rPr>
                <w:rFonts w:cs="Gill Sans MT"/>
                <w:b w:val="0"/>
                <w:color w:val="000000"/>
              </w:rPr>
              <w:t>245,752</w:t>
            </w:r>
          </w:p>
        </w:tc>
        <w:tc>
          <w:tcPr>
            <w:tcW w:w="958" w:type="dxa"/>
            <w:vAlign w:val="center"/>
          </w:tcPr>
          <w:p w14:paraId="58B430F2" w14:textId="111D7FA0" w:rsidR="009963BE" w:rsidRDefault="009963BE" w:rsidP="009963B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9D5C46">
              <w:rPr>
                <w:rFonts w:cs="Gill Sans MT"/>
                <w:b w:val="0"/>
                <w:color w:val="000000"/>
              </w:rPr>
              <w:t>57%</w:t>
            </w:r>
          </w:p>
        </w:tc>
        <w:tc>
          <w:tcPr>
            <w:tcW w:w="1543" w:type="dxa"/>
            <w:vAlign w:val="center"/>
          </w:tcPr>
          <w:p w14:paraId="13C68BE2" w14:textId="33B5E7E8" w:rsidR="009963BE" w:rsidRDefault="009963BE" w:rsidP="009963B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9D5C46">
              <w:rPr>
                <w:rFonts w:cs="Gill Sans MT"/>
                <w:b w:val="0"/>
                <w:color w:val="000000"/>
              </w:rPr>
              <w:t>18%</w:t>
            </w:r>
          </w:p>
        </w:tc>
        <w:tc>
          <w:tcPr>
            <w:tcW w:w="1716" w:type="dxa"/>
            <w:vAlign w:val="center"/>
          </w:tcPr>
          <w:p w14:paraId="42F11A05" w14:textId="648E6D65" w:rsidR="009963BE" w:rsidRDefault="009963BE" w:rsidP="009963B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9D5C46">
              <w:rPr>
                <w:rFonts w:cs="Gill Sans MT"/>
                <w:b w:val="0"/>
                <w:color w:val="000000"/>
              </w:rPr>
              <w:t>22%</w:t>
            </w:r>
          </w:p>
        </w:tc>
        <w:tc>
          <w:tcPr>
            <w:tcW w:w="1532" w:type="dxa"/>
            <w:vAlign w:val="center"/>
          </w:tcPr>
          <w:p w14:paraId="367FFF25" w14:textId="4707ABC9" w:rsidR="009963BE" w:rsidRDefault="009963BE" w:rsidP="009963B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9D5C46">
              <w:rPr>
                <w:rFonts w:cs="Gill Sans MT"/>
                <w:b w:val="0"/>
                <w:color w:val="000000"/>
              </w:rPr>
              <w:t>3%</w:t>
            </w:r>
          </w:p>
        </w:tc>
        <w:tc>
          <w:tcPr>
            <w:tcW w:w="1134" w:type="dxa"/>
            <w:vAlign w:val="center"/>
          </w:tcPr>
          <w:p w14:paraId="676BF34C" w14:textId="0C560DAC" w:rsidR="009963BE" w:rsidRDefault="009963BE" w:rsidP="009963B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9D5C46">
              <w:rPr>
                <w:rFonts w:cs="Gill Sans MT"/>
                <w:b w:val="0"/>
                <w:color w:val="000000"/>
              </w:rPr>
              <w:t>188,700</w:t>
            </w:r>
          </w:p>
        </w:tc>
        <w:tc>
          <w:tcPr>
            <w:tcW w:w="851" w:type="dxa"/>
            <w:vAlign w:val="center"/>
          </w:tcPr>
          <w:p w14:paraId="3361A80A" w14:textId="5C57362E" w:rsidR="009963BE" w:rsidRDefault="009963BE" w:rsidP="009963B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9D5C46">
              <w:rPr>
                <w:rFonts w:cs="Gill Sans MT"/>
                <w:b w:val="0"/>
                <w:color w:val="000000"/>
              </w:rPr>
              <w:t>43%</w:t>
            </w:r>
          </w:p>
        </w:tc>
        <w:tc>
          <w:tcPr>
            <w:tcW w:w="1984" w:type="dxa"/>
            <w:vAlign w:val="center"/>
          </w:tcPr>
          <w:p w14:paraId="44786405" w14:textId="18C6737B" w:rsidR="009963BE" w:rsidRDefault="009963BE" w:rsidP="009963B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9D5C46">
              <w:rPr>
                <w:rFonts w:cs="Gill Sans MT"/>
                <w:b w:val="0"/>
                <w:color w:val="000000"/>
              </w:rPr>
              <w:t>434,452</w:t>
            </w:r>
          </w:p>
        </w:tc>
      </w:tr>
    </w:tbl>
    <w:p w14:paraId="77213DEC" w14:textId="77777777" w:rsidR="00C46E59" w:rsidRDefault="00C46E59" w:rsidP="0070239B">
      <w:pPr>
        <w:pStyle w:val="Heading2"/>
        <w:numPr>
          <w:ilvl w:val="0"/>
          <w:numId w:val="0"/>
        </w:numPr>
        <w:spacing w:after="120"/>
      </w:pPr>
    </w:p>
    <w:p w14:paraId="28ACE319" w14:textId="5EBC4148" w:rsidR="00AC2859" w:rsidRPr="00F9303A" w:rsidRDefault="00E10D7D" w:rsidP="0070239B">
      <w:pPr>
        <w:pStyle w:val="Heading2"/>
        <w:numPr>
          <w:ilvl w:val="0"/>
          <w:numId w:val="0"/>
        </w:numPr>
        <w:spacing w:after="120"/>
      </w:pPr>
      <w:bookmarkStart w:id="5" w:name="_Toc19281334"/>
      <w:r>
        <w:t>2</w:t>
      </w:r>
      <w:r w:rsidR="00970C39">
        <w:t>b.</w:t>
      </w:r>
      <w:r w:rsidR="00970C39">
        <w:tab/>
      </w:r>
      <w:r w:rsidR="00AC2859" w:rsidRPr="007D74E1">
        <w:rPr>
          <w:i/>
        </w:rPr>
        <w:t xml:space="preserve">Attendance at Re-engagement Appointments with </w:t>
      </w:r>
      <w:r w:rsidRPr="007D74E1">
        <w:rPr>
          <w:i/>
        </w:rPr>
        <w:t xml:space="preserve">CDP </w:t>
      </w:r>
      <w:r w:rsidR="00AC2859" w:rsidRPr="007D74E1">
        <w:rPr>
          <w:i/>
        </w:rPr>
        <w:t>employment services providers</w:t>
      </w:r>
      <w:bookmarkEnd w:id="5"/>
      <w:r w:rsidR="00D556D7" w:rsidRPr="00F9303A">
        <w:t xml:space="preserve"> </w:t>
      </w:r>
    </w:p>
    <w:tbl>
      <w:tblPr>
        <w:tblW w:w="504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ttendance at Re-engagement Appointments with employment services providers "/>
      </w:tblPr>
      <w:tblGrid>
        <w:gridCol w:w="3211"/>
        <w:gridCol w:w="1921"/>
        <w:gridCol w:w="957"/>
        <w:gridCol w:w="2307"/>
        <w:gridCol w:w="2604"/>
        <w:gridCol w:w="1038"/>
        <w:gridCol w:w="877"/>
        <w:gridCol w:w="1950"/>
      </w:tblGrid>
      <w:tr w:rsidR="006A26D7" w:rsidRPr="00C41921" w14:paraId="4EADFF95" w14:textId="77777777" w:rsidTr="009963BE">
        <w:trPr>
          <w:trHeight w:val="585"/>
        </w:trPr>
        <w:tc>
          <w:tcPr>
            <w:tcW w:w="1080" w:type="pct"/>
            <w:vMerge w:val="restart"/>
            <w:shd w:val="clear" w:color="auto" w:fill="auto"/>
            <w:noWrap/>
            <w:vAlign w:val="center"/>
            <w:hideMark/>
          </w:tcPr>
          <w:p w14:paraId="0B90EE0F" w14:textId="199A5067" w:rsidR="006A26D7" w:rsidRPr="00D458D7" w:rsidRDefault="006A26D7" w:rsidP="00F74E10">
            <w:pPr>
              <w:spacing w:before="0" w:after="0" w:line="240" w:lineRule="auto"/>
              <w:ind w:left="-142" w:firstLine="142"/>
              <w:rPr>
                <w:rFonts w:eastAsia="Times New Roman" w:cs="Calibri"/>
                <w:b/>
                <w:color w:val="000000"/>
                <w:lang w:eastAsia="en-AU"/>
              </w:rPr>
            </w:pPr>
          </w:p>
        </w:tc>
        <w:tc>
          <w:tcPr>
            <w:tcW w:w="968" w:type="pct"/>
            <w:gridSpan w:val="2"/>
            <w:vMerge w:val="restart"/>
            <w:shd w:val="clear" w:color="auto" w:fill="auto"/>
            <w:vAlign w:val="center"/>
            <w:hideMark/>
          </w:tcPr>
          <w:p w14:paraId="52095CDC" w14:textId="77777777" w:rsidR="006A26D7" w:rsidRPr="001523BE" w:rsidRDefault="006A26D7"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attended</w:t>
            </w:r>
          </w:p>
        </w:tc>
        <w:tc>
          <w:tcPr>
            <w:tcW w:w="2296" w:type="pct"/>
            <w:gridSpan w:val="4"/>
            <w:shd w:val="clear" w:color="auto" w:fill="auto"/>
            <w:vAlign w:val="center"/>
            <w:hideMark/>
          </w:tcPr>
          <w:p w14:paraId="4C3C5297" w14:textId="77777777" w:rsidR="006A26D7" w:rsidRPr="001523BE" w:rsidRDefault="006A26D7"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not attended</w:t>
            </w:r>
          </w:p>
        </w:tc>
        <w:tc>
          <w:tcPr>
            <w:tcW w:w="656" w:type="pct"/>
            <w:vMerge w:val="restart"/>
            <w:shd w:val="clear" w:color="auto" w:fill="auto"/>
            <w:vAlign w:val="center"/>
            <w:hideMark/>
          </w:tcPr>
          <w:p w14:paraId="41394F8F" w14:textId="77777777" w:rsidR="006A26D7" w:rsidRPr="001523BE" w:rsidRDefault="006A26D7"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 Appointments</w:t>
            </w:r>
          </w:p>
        </w:tc>
      </w:tr>
      <w:tr w:rsidR="006A26D7" w:rsidRPr="00C41921" w14:paraId="0185510F" w14:textId="77777777" w:rsidTr="009963BE">
        <w:trPr>
          <w:trHeight w:val="300"/>
        </w:trPr>
        <w:tc>
          <w:tcPr>
            <w:tcW w:w="1080" w:type="pct"/>
            <w:vMerge/>
            <w:vAlign w:val="center"/>
            <w:hideMark/>
          </w:tcPr>
          <w:p w14:paraId="0432E0C8" w14:textId="77777777" w:rsidR="006A26D7" w:rsidRPr="001523BE" w:rsidRDefault="006A26D7" w:rsidP="00887E4E">
            <w:pPr>
              <w:spacing w:before="0" w:after="0" w:line="240" w:lineRule="auto"/>
              <w:ind w:left="-142" w:firstLine="142"/>
              <w:rPr>
                <w:rFonts w:eastAsia="Times New Roman" w:cs="Calibri"/>
                <w:color w:val="000000"/>
                <w:lang w:eastAsia="en-AU"/>
              </w:rPr>
            </w:pPr>
          </w:p>
        </w:tc>
        <w:tc>
          <w:tcPr>
            <w:tcW w:w="968" w:type="pct"/>
            <w:gridSpan w:val="2"/>
            <w:vMerge/>
            <w:vAlign w:val="center"/>
            <w:hideMark/>
          </w:tcPr>
          <w:p w14:paraId="2EE6107B" w14:textId="77777777" w:rsidR="006A26D7" w:rsidRPr="001523BE" w:rsidRDefault="006A26D7" w:rsidP="00887E4E">
            <w:pPr>
              <w:spacing w:before="0" w:after="0" w:line="240" w:lineRule="auto"/>
              <w:ind w:left="-142" w:firstLine="142"/>
              <w:rPr>
                <w:rFonts w:eastAsia="Times New Roman" w:cs="Calibri"/>
                <w:b/>
                <w:bCs/>
                <w:color w:val="000000"/>
                <w:lang w:eastAsia="en-AU"/>
              </w:rPr>
            </w:pPr>
          </w:p>
        </w:tc>
        <w:tc>
          <w:tcPr>
            <w:tcW w:w="776" w:type="pct"/>
            <w:shd w:val="clear" w:color="auto" w:fill="auto"/>
            <w:noWrap/>
            <w:vAlign w:val="center"/>
            <w:hideMark/>
          </w:tcPr>
          <w:p w14:paraId="4B12FE86" w14:textId="77777777" w:rsidR="006A26D7" w:rsidRPr="001523BE" w:rsidRDefault="006A26D7"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Valid reason</w:t>
            </w:r>
          </w:p>
        </w:tc>
        <w:tc>
          <w:tcPr>
            <w:tcW w:w="876" w:type="pct"/>
            <w:shd w:val="clear" w:color="auto" w:fill="auto"/>
            <w:noWrap/>
            <w:vAlign w:val="center"/>
            <w:hideMark/>
          </w:tcPr>
          <w:p w14:paraId="32BB2B3B" w14:textId="77777777" w:rsidR="006A26D7" w:rsidRPr="001523BE" w:rsidRDefault="006A26D7"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Invalid reason</w:t>
            </w:r>
          </w:p>
        </w:tc>
        <w:tc>
          <w:tcPr>
            <w:tcW w:w="644" w:type="pct"/>
            <w:gridSpan w:val="2"/>
            <w:shd w:val="clear" w:color="auto" w:fill="auto"/>
            <w:noWrap/>
            <w:vAlign w:val="center"/>
            <w:hideMark/>
          </w:tcPr>
          <w:p w14:paraId="51763406" w14:textId="77777777" w:rsidR="006A26D7" w:rsidRPr="001523BE" w:rsidRDefault="006A26D7"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w:t>
            </w:r>
          </w:p>
        </w:tc>
        <w:tc>
          <w:tcPr>
            <w:tcW w:w="656" w:type="pct"/>
            <w:vMerge/>
            <w:vAlign w:val="center"/>
            <w:hideMark/>
          </w:tcPr>
          <w:p w14:paraId="3EB6AFDC" w14:textId="77777777" w:rsidR="006A26D7" w:rsidRPr="001523BE" w:rsidRDefault="006A26D7" w:rsidP="00887E4E">
            <w:pPr>
              <w:spacing w:before="0" w:after="0" w:line="240" w:lineRule="auto"/>
              <w:ind w:left="-142" w:firstLine="142"/>
              <w:rPr>
                <w:rFonts w:eastAsia="Times New Roman" w:cs="Calibri"/>
                <w:b/>
                <w:bCs/>
                <w:color w:val="000000"/>
                <w:lang w:eastAsia="en-AU"/>
              </w:rPr>
            </w:pPr>
          </w:p>
        </w:tc>
      </w:tr>
      <w:tr w:rsidR="006A26D7" w:rsidRPr="00C41921" w14:paraId="28AE26D9" w14:textId="77777777" w:rsidTr="009963BE">
        <w:trPr>
          <w:trHeight w:val="300"/>
        </w:trPr>
        <w:tc>
          <w:tcPr>
            <w:tcW w:w="1080" w:type="pct"/>
            <w:vMerge/>
            <w:shd w:val="clear" w:color="auto" w:fill="auto"/>
            <w:vAlign w:val="center"/>
            <w:hideMark/>
          </w:tcPr>
          <w:p w14:paraId="72836086" w14:textId="77777777" w:rsidR="006A26D7" w:rsidRPr="001523BE" w:rsidRDefault="006A26D7" w:rsidP="00887E4E">
            <w:pPr>
              <w:spacing w:before="0" w:after="0" w:line="240" w:lineRule="auto"/>
              <w:ind w:left="-142" w:firstLine="142"/>
              <w:rPr>
                <w:rFonts w:eastAsia="Times New Roman" w:cs="Calibri"/>
                <w:color w:val="000000"/>
                <w:lang w:eastAsia="en-AU"/>
              </w:rPr>
            </w:pPr>
          </w:p>
        </w:tc>
        <w:tc>
          <w:tcPr>
            <w:tcW w:w="646" w:type="pct"/>
            <w:shd w:val="clear" w:color="auto" w:fill="auto"/>
            <w:noWrap/>
            <w:vAlign w:val="center"/>
            <w:hideMark/>
          </w:tcPr>
          <w:p w14:paraId="351AD7BD" w14:textId="77777777" w:rsidR="006A26D7" w:rsidRPr="001523BE" w:rsidRDefault="006A26D7"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322" w:type="pct"/>
            <w:shd w:val="clear" w:color="auto" w:fill="auto"/>
            <w:noWrap/>
            <w:vAlign w:val="center"/>
            <w:hideMark/>
          </w:tcPr>
          <w:p w14:paraId="61D3319E" w14:textId="77777777" w:rsidR="006A26D7" w:rsidRPr="001523BE" w:rsidRDefault="006A26D7"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776" w:type="pct"/>
            <w:shd w:val="clear" w:color="auto" w:fill="auto"/>
            <w:noWrap/>
            <w:vAlign w:val="center"/>
            <w:hideMark/>
          </w:tcPr>
          <w:p w14:paraId="7E2370EE" w14:textId="77777777" w:rsidR="006A26D7" w:rsidRPr="001523BE" w:rsidRDefault="006A26D7"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876" w:type="pct"/>
            <w:shd w:val="clear" w:color="auto" w:fill="auto"/>
            <w:noWrap/>
            <w:vAlign w:val="center"/>
            <w:hideMark/>
          </w:tcPr>
          <w:p w14:paraId="30B0684D" w14:textId="77777777" w:rsidR="006A26D7" w:rsidRPr="001523BE" w:rsidRDefault="006A26D7"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349" w:type="pct"/>
            <w:shd w:val="clear" w:color="auto" w:fill="auto"/>
            <w:noWrap/>
            <w:vAlign w:val="center"/>
            <w:hideMark/>
          </w:tcPr>
          <w:p w14:paraId="7A9E25F7" w14:textId="77777777" w:rsidR="006A26D7" w:rsidRPr="001523BE" w:rsidRDefault="006A26D7"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95" w:type="pct"/>
            <w:shd w:val="clear" w:color="auto" w:fill="auto"/>
            <w:noWrap/>
            <w:vAlign w:val="center"/>
            <w:hideMark/>
          </w:tcPr>
          <w:p w14:paraId="20236653" w14:textId="77777777" w:rsidR="006A26D7" w:rsidRPr="001523BE" w:rsidRDefault="006A26D7"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656" w:type="pct"/>
            <w:shd w:val="clear" w:color="auto" w:fill="auto"/>
            <w:noWrap/>
            <w:vAlign w:val="center"/>
            <w:hideMark/>
          </w:tcPr>
          <w:p w14:paraId="09193FB8" w14:textId="77777777" w:rsidR="006A26D7" w:rsidRPr="001523BE" w:rsidRDefault="006A26D7"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r>
      <w:tr w:rsidR="009963BE" w:rsidRPr="00AD526D" w14:paraId="5A61D606" w14:textId="77777777" w:rsidTr="009963BE">
        <w:trPr>
          <w:trHeight w:val="411"/>
        </w:trPr>
        <w:tc>
          <w:tcPr>
            <w:tcW w:w="1080" w:type="pct"/>
            <w:shd w:val="clear" w:color="auto" w:fill="auto"/>
            <w:noWrap/>
            <w:vAlign w:val="bottom"/>
            <w:hideMark/>
          </w:tcPr>
          <w:p w14:paraId="3C1524BB" w14:textId="21B933D4" w:rsidR="009963BE" w:rsidRPr="001523BE" w:rsidRDefault="009963BE" w:rsidP="009963BE">
            <w:pPr>
              <w:spacing w:before="0" w:after="0" w:line="240" w:lineRule="auto"/>
              <w:ind w:left="-142" w:firstLine="142"/>
              <w:rPr>
                <w:rFonts w:eastAsia="Times New Roman" w:cs="Calibri"/>
                <w:b/>
                <w:bCs/>
                <w:color w:val="000000"/>
                <w:lang w:eastAsia="en-AU"/>
              </w:rPr>
            </w:pPr>
            <w:r>
              <w:rPr>
                <w:b/>
              </w:rPr>
              <w:t>1 April to 30 June 2019</w:t>
            </w:r>
          </w:p>
        </w:tc>
        <w:tc>
          <w:tcPr>
            <w:tcW w:w="646" w:type="pct"/>
            <w:shd w:val="clear" w:color="auto" w:fill="auto"/>
            <w:noWrap/>
            <w:vAlign w:val="center"/>
          </w:tcPr>
          <w:p w14:paraId="122EE1DE" w14:textId="2518DE6A" w:rsidR="009963BE" w:rsidRPr="00287925"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10,353</w:t>
            </w:r>
          </w:p>
        </w:tc>
        <w:tc>
          <w:tcPr>
            <w:tcW w:w="322" w:type="pct"/>
            <w:shd w:val="clear" w:color="auto" w:fill="auto"/>
            <w:noWrap/>
            <w:vAlign w:val="center"/>
          </w:tcPr>
          <w:p w14:paraId="2B9BC383" w14:textId="5515B691" w:rsidR="009963BE" w:rsidRPr="00287925"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91%</w:t>
            </w:r>
          </w:p>
        </w:tc>
        <w:tc>
          <w:tcPr>
            <w:tcW w:w="776" w:type="pct"/>
            <w:shd w:val="clear" w:color="auto" w:fill="auto"/>
            <w:noWrap/>
            <w:vAlign w:val="center"/>
          </w:tcPr>
          <w:p w14:paraId="11A84578" w14:textId="3876DF19" w:rsidR="009963BE" w:rsidRPr="00287925"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2%</w:t>
            </w:r>
          </w:p>
        </w:tc>
        <w:tc>
          <w:tcPr>
            <w:tcW w:w="876" w:type="pct"/>
            <w:shd w:val="clear" w:color="auto" w:fill="auto"/>
            <w:noWrap/>
            <w:vAlign w:val="center"/>
          </w:tcPr>
          <w:p w14:paraId="7F7DCE01" w14:textId="610FCF46" w:rsidR="009963BE" w:rsidRPr="00287925"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7%</w:t>
            </w:r>
          </w:p>
        </w:tc>
        <w:tc>
          <w:tcPr>
            <w:tcW w:w="349" w:type="pct"/>
            <w:shd w:val="clear" w:color="auto" w:fill="auto"/>
            <w:noWrap/>
            <w:vAlign w:val="center"/>
          </w:tcPr>
          <w:p w14:paraId="1854EC29" w14:textId="3E224EEF" w:rsidR="009963BE" w:rsidRPr="00287925"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1,062</w:t>
            </w:r>
          </w:p>
        </w:tc>
        <w:tc>
          <w:tcPr>
            <w:tcW w:w="295" w:type="pct"/>
            <w:shd w:val="clear" w:color="auto" w:fill="auto"/>
            <w:noWrap/>
            <w:vAlign w:val="center"/>
          </w:tcPr>
          <w:p w14:paraId="0CF494AC" w14:textId="02F7328C" w:rsidR="009963BE" w:rsidRPr="00287925"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9%</w:t>
            </w:r>
          </w:p>
        </w:tc>
        <w:tc>
          <w:tcPr>
            <w:tcW w:w="656" w:type="pct"/>
            <w:shd w:val="clear" w:color="auto" w:fill="auto"/>
            <w:noWrap/>
            <w:vAlign w:val="center"/>
          </w:tcPr>
          <w:p w14:paraId="1DF851AB" w14:textId="1791D3C6" w:rsidR="009963BE" w:rsidRPr="00287925"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11,415</w:t>
            </w:r>
          </w:p>
        </w:tc>
      </w:tr>
      <w:tr w:rsidR="009963BE" w:rsidRPr="00AD526D" w14:paraId="2F83D192" w14:textId="77777777" w:rsidTr="009963BE">
        <w:trPr>
          <w:trHeight w:val="411"/>
        </w:trPr>
        <w:tc>
          <w:tcPr>
            <w:tcW w:w="1080" w:type="pct"/>
            <w:shd w:val="clear" w:color="auto" w:fill="auto"/>
            <w:noWrap/>
            <w:vAlign w:val="bottom"/>
          </w:tcPr>
          <w:p w14:paraId="2415CEB8" w14:textId="0FA874C0" w:rsidR="009963BE" w:rsidRPr="001523BE" w:rsidRDefault="009963BE" w:rsidP="009963BE">
            <w:pPr>
              <w:spacing w:before="0" w:after="0" w:line="240" w:lineRule="auto"/>
              <w:ind w:left="-142" w:firstLine="142"/>
              <w:rPr>
                <w:rFonts w:eastAsia="Times New Roman" w:cs="Calibri"/>
                <w:b/>
                <w:bCs/>
                <w:color w:val="000000"/>
                <w:lang w:eastAsia="en-AU"/>
              </w:rPr>
            </w:pPr>
            <w:r w:rsidRPr="00167911">
              <w:rPr>
                <w:b/>
              </w:rPr>
              <w:t>1 July 2018 to 30 June 2019</w:t>
            </w:r>
          </w:p>
        </w:tc>
        <w:tc>
          <w:tcPr>
            <w:tcW w:w="646" w:type="pct"/>
            <w:shd w:val="clear" w:color="auto" w:fill="auto"/>
            <w:noWrap/>
            <w:vAlign w:val="center"/>
          </w:tcPr>
          <w:p w14:paraId="73A839FD" w14:textId="38BB26A3" w:rsidR="009963BE"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46,225</w:t>
            </w:r>
          </w:p>
        </w:tc>
        <w:tc>
          <w:tcPr>
            <w:tcW w:w="322" w:type="pct"/>
            <w:shd w:val="clear" w:color="auto" w:fill="auto"/>
            <w:noWrap/>
            <w:vAlign w:val="center"/>
          </w:tcPr>
          <w:p w14:paraId="17C59440" w14:textId="1059294E" w:rsidR="009963BE"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90%</w:t>
            </w:r>
          </w:p>
        </w:tc>
        <w:tc>
          <w:tcPr>
            <w:tcW w:w="776" w:type="pct"/>
            <w:shd w:val="clear" w:color="auto" w:fill="auto"/>
            <w:noWrap/>
            <w:vAlign w:val="center"/>
          </w:tcPr>
          <w:p w14:paraId="11D5201D" w14:textId="51B56899" w:rsidR="009963BE"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2%</w:t>
            </w:r>
          </w:p>
        </w:tc>
        <w:tc>
          <w:tcPr>
            <w:tcW w:w="876" w:type="pct"/>
            <w:shd w:val="clear" w:color="auto" w:fill="auto"/>
            <w:noWrap/>
            <w:vAlign w:val="center"/>
          </w:tcPr>
          <w:p w14:paraId="383DA93D" w14:textId="729B0263" w:rsidR="009963BE"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8%</w:t>
            </w:r>
          </w:p>
        </w:tc>
        <w:tc>
          <w:tcPr>
            <w:tcW w:w="349" w:type="pct"/>
            <w:shd w:val="clear" w:color="auto" w:fill="auto"/>
            <w:noWrap/>
            <w:vAlign w:val="center"/>
          </w:tcPr>
          <w:p w14:paraId="3092658C" w14:textId="003F5214" w:rsidR="009963BE"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5,255</w:t>
            </w:r>
          </w:p>
        </w:tc>
        <w:tc>
          <w:tcPr>
            <w:tcW w:w="295" w:type="pct"/>
            <w:shd w:val="clear" w:color="auto" w:fill="auto"/>
            <w:noWrap/>
            <w:vAlign w:val="center"/>
          </w:tcPr>
          <w:p w14:paraId="7B4E8445" w14:textId="6417305C" w:rsidR="009963BE"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10%</w:t>
            </w:r>
          </w:p>
        </w:tc>
        <w:tc>
          <w:tcPr>
            <w:tcW w:w="656" w:type="pct"/>
            <w:shd w:val="clear" w:color="auto" w:fill="auto"/>
            <w:noWrap/>
            <w:vAlign w:val="center"/>
          </w:tcPr>
          <w:p w14:paraId="0E355829" w14:textId="6D2CA477" w:rsidR="009963BE" w:rsidRDefault="009963BE" w:rsidP="009963BE">
            <w:pPr>
              <w:autoSpaceDE w:val="0"/>
              <w:autoSpaceDN w:val="0"/>
              <w:adjustRightInd w:val="0"/>
              <w:spacing w:before="0" w:after="0" w:line="240" w:lineRule="auto"/>
              <w:ind w:left="0"/>
              <w:jc w:val="center"/>
              <w:rPr>
                <w:rFonts w:cs="Gill Sans MT"/>
                <w:color w:val="000000"/>
              </w:rPr>
            </w:pPr>
            <w:r>
              <w:rPr>
                <w:rFonts w:cs="Gill Sans MT"/>
                <w:color w:val="000000"/>
              </w:rPr>
              <w:t>51,480</w:t>
            </w:r>
          </w:p>
        </w:tc>
      </w:tr>
    </w:tbl>
    <w:p w14:paraId="765C9A44"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599706BB" w14:textId="2FF4732E" w:rsidR="007E53AF"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4FF38A92" w14:textId="77777777" w:rsidR="007E53AF" w:rsidRDefault="007E53AF">
      <w:pPr>
        <w:spacing w:before="0"/>
        <w:ind w:left="0"/>
        <w:rPr>
          <w:noProof/>
        </w:rPr>
      </w:pPr>
      <w:r>
        <w:rPr>
          <w:noProof/>
        </w:rPr>
        <w:br w:type="page"/>
      </w:r>
    </w:p>
    <w:p w14:paraId="5DF39603" w14:textId="77777777" w:rsidR="00D1085F" w:rsidRPr="00970C39" w:rsidRDefault="00D1085F" w:rsidP="0070239B">
      <w:pPr>
        <w:pStyle w:val="Heading2"/>
        <w:spacing w:after="120"/>
        <w:ind w:left="-142" w:firstLine="142"/>
      </w:pPr>
      <w:bookmarkStart w:id="6" w:name="_Toc19281335"/>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6"/>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176"/>
        <w:gridCol w:w="3483"/>
        <w:gridCol w:w="4817"/>
        <w:gridCol w:w="3256"/>
      </w:tblGrid>
      <w:tr w:rsidR="00857A59" w:rsidRPr="00325EF7" w14:paraId="77180B28" w14:textId="77777777" w:rsidTr="00857A59">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078" w:type="pct"/>
            <w:vAlign w:val="center"/>
          </w:tcPr>
          <w:p w14:paraId="64CEC7C8" w14:textId="50552915" w:rsidR="00857A59" w:rsidRPr="00325EF7" w:rsidRDefault="00857A59" w:rsidP="00A03100">
            <w:pPr>
              <w:ind w:left="-142" w:firstLine="142"/>
              <w:jc w:val="left"/>
            </w:pPr>
          </w:p>
        </w:tc>
        <w:tc>
          <w:tcPr>
            <w:tcW w:w="1182" w:type="pct"/>
          </w:tcPr>
          <w:p w14:paraId="6BD32390" w14:textId="1B58CAEF" w:rsidR="00857A59" w:rsidRPr="00325EF7" w:rsidRDefault="00857A59" w:rsidP="00F2349F">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635" w:type="pct"/>
          </w:tcPr>
          <w:p w14:paraId="3C65F9CF" w14:textId="77777777" w:rsidR="00857A59" w:rsidRPr="00325EF7" w:rsidRDefault="00857A59" w:rsidP="00F74E10">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105" w:type="pct"/>
            <w:vAlign w:val="center"/>
          </w:tcPr>
          <w:p w14:paraId="2F2D4760" w14:textId="77777777" w:rsidR="00857A59" w:rsidRPr="00325EF7" w:rsidRDefault="00857A59" w:rsidP="0068194F">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3D2941" w:rsidRPr="00325EF7" w14:paraId="4A90102A" w14:textId="77777777" w:rsidTr="003D2941">
        <w:trPr>
          <w:trHeight w:val="573"/>
        </w:trPr>
        <w:tc>
          <w:tcPr>
            <w:cnfStyle w:val="001000000000" w:firstRow="0" w:lastRow="0" w:firstColumn="1" w:lastColumn="0" w:oddVBand="0" w:evenVBand="0" w:oddHBand="0" w:evenHBand="0" w:firstRowFirstColumn="0" w:firstRowLastColumn="0" w:lastRowFirstColumn="0" w:lastRowLastColumn="0"/>
            <w:tcW w:w="1078" w:type="pct"/>
            <w:vAlign w:val="center"/>
          </w:tcPr>
          <w:p w14:paraId="70710333" w14:textId="358C3BA8" w:rsidR="003D2941" w:rsidRPr="00325EF7" w:rsidRDefault="003D2941" w:rsidP="003D2941">
            <w:pPr>
              <w:ind w:left="-142" w:firstLine="142"/>
            </w:pPr>
            <w:r>
              <w:t>1 April to 30 June 2019</w:t>
            </w:r>
          </w:p>
        </w:tc>
        <w:tc>
          <w:tcPr>
            <w:tcW w:w="1182" w:type="pct"/>
            <w:vAlign w:val="center"/>
          </w:tcPr>
          <w:p w14:paraId="3A94BD87" w14:textId="148C4068" w:rsidR="003D2941" w:rsidRPr="00287925" w:rsidRDefault="003D2941" w:rsidP="003D2941">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13,579</w:t>
            </w:r>
          </w:p>
        </w:tc>
        <w:tc>
          <w:tcPr>
            <w:tcW w:w="1635" w:type="pct"/>
            <w:vAlign w:val="center"/>
          </w:tcPr>
          <w:p w14:paraId="3156CEF2" w14:textId="185FEECF" w:rsidR="003D2941" w:rsidRPr="00287925" w:rsidRDefault="003D2941" w:rsidP="003D2941">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8,120</w:t>
            </w:r>
          </w:p>
        </w:tc>
        <w:tc>
          <w:tcPr>
            <w:tcW w:w="1105" w:type="pct"/>
            <w:vAlign w:val="center"/>
          </w:tcPr>
          <w:p w14:paraId="6A4DED28" w14:textId="02AAAEA2" w:rsidR="003D2941" w:rsidRPr="00287925" w:rsidRDefault="003D2941" w:rsidP="003D2941">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21,699</w:t>
            </w:r>
          </w:p>
        </w:tc>
      </w:tr>
      <w:tr w:rsidR="003D2941" w:rsidRPr="00325EF7" w14:paraId="70314549" w14:textId="77777777" w:rsidTr="00857A59">
        <w:trPr>
          <w:trHeight w:val="573"/>
        </w:trPr>
        <w:tc>
          <w:tcPr>
            <w:cnfStyle w:val="001000000000" w:firstRow="0" w:lastRow="0" w:firstColumn="1" w:lastColumn="0" w:oddVBand="0" w:evenVBand="0" w:oddHBand="0" w:evenHBand="0" w:firstRowFirstColumn="0" w:firstRowLastColumn="0" w:lastRowFirstColumn="0" w:lastRowLastColumn="0"/>
            <w:tcW w:w="1078" w:type="pct"/>
          </w:tcPr>
          <w:p w14:paraId="5E8710D4" w14:textId="30C30945" w:rsidR="003D2941" w:rsidRPr="00325EF7" w:rsidRDefault="003D2941" w:rsidP="003D2941">
            <w:pPr>
              <w:ind w:left="-142" w:firstLine="142"/>
            </w:pPr>
            <w:r w:rsidRPr="00167911">
              <w:t>1 July 2018 to 30 June 2019</w:t>
            </w:r>
          </w:p>
        </w:tc>
        <w:tc>
          <w:tcPr>
            <w:tcW w:w="1182" w:type="pct"/>
            <w:vAlign w:val="center"/>
          </w:tcPr>
          <w:p w14:paraId="7E9D7D63" w14:textId="069AB57E" w:rsidR="003D2941" w:rsidRDefault="003D2941" w:rsidP="003D2941">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54,065</w:t>
            </w:r>
          </w:p>
        </w:tc>
        <w:tc>
          <w:tcPr>
            <w:tcW w:w="1635" w:type="pct"/>
            <w:vAlign w:val="center"/>
          </w:tcPr>
          <w:p w14:paraId="7AE04023" w14:textId="78315858" w:rsidR="003D2941" w:rsidRDefault="003D2941" w:rsidP="003D2941">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37,205</w:t>
            </w:r>
          </w:p>
        </w:tc>
        <w:tc>
          <w:tcPr>
            <w:tcW w:w="1105" w:type="pct"/>
            <w:vAlign w:val="center"/>
          </w:tcPr>
          <w:p w14:paraId="0809849E" w14:textId="1817234E" w:rsidR="003D2941" w:rsidRDefault="003D2941" w:rsidP="003D2941">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91,270</w:t>
            </w:r>
          </w:p>
        </w:tc>
      </w:tr>
    </w:tbl>
    <w:p w14:paraId="13C90609"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21F93487" w14:textId="77777777" w:rsidR="00C72483" w:rsidRDefault="00C72483" w:rsidP="00F423C3">
      <w:pPr>
        <w:pStyle w:val="ListParagraph"/>
        <w:numPr>
          <w:ilvl w:val="0"/>
          <w:numId w:val="5"/>
        </w:numPr>
        <w:spacing w:after="120" w:line="240" w:lineRule="auto"/>
        <w:ind w:left="709" w:hanging="425"/>
        <w:contextualSpacing w:val="0"/>
      </w:pPr>
      <w:r w:rsidRPr="00325EF7">
        <w:t>Non-Attendance Repor</w:t>
      </w:r>
      <w:r>
        <w:t xml:space="preserve">ts for non-attendance at a </w:t>
      </w:r>
      <w:r w:rsidRPr="00325EF7">
        <w:t>provider appointment (see note to Table 5)</w:t>
      </w:r>
      <w:r>
        <w:t xml:space="preserve">; </w:t>
      </w:r>
      <w:r w:rsidRPr="00325EF7">
        <w:t xml:space="preserve">or </w:t>
      </w:r>
    </w:p>
    <w:p w14:paraId="7060EDCA" w14:textId="77777777" w:rsidR="00C72483" w:rsidRDefault="00C72483" w:rsidP="00F423C3">
      <w:pPr>
        <w:pStyle w:val="ListParagraph"/>
        <w:numPr>
          <w:ilvl w:val="0"/>
          <w:numId w:val="5"/>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18F5AEA"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039F98A8" w14:textId="628A156D" w:rsidR="00AC09BA" w:rsidRPr="00AC09BA" w:rsidRDefault="00456F16" w:rsidP="00366AB0">
      <w:pPr>
        <w:pStyle w:val="Heading2"/>
        <w:spacing w:after="240"/>
        <w:ind w:left="-142" w:firstLine="142"/>
      </w:pPr>
      <w:bookmarkStart w:id="7" w:name="_Toc19281336"/>
      <w:r w:rsidRPr="00C41921">
        <w:lastRenderedPageBreak/>
        <w:t>Number of Non-Attendance Reports, Participation Reports and Provider Appointment Reports</w:t>
      </w:r>
      <w:bookmarkEnd w:id="7"/>
      <w:r w:rsidR="00970C39">
        <w:t xml:space="preserve"> </w:t>
      </w:r>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3178"/>
        <w:gridCol w:w="3489"/>
        <w:gridCol w:w="4744"/>
        <w:gridCol w:w="3321"/>
      </w:tblGrid>
      <w:tr w:rsidR="00E06683" w:rsidRPr="00C41921" w14:paraId="4D6EE323"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9" w:type="pct"/>
            <w:vAlign w:val="center"/>
          </w:tcPr>
          <w:p w14:paraId="1CB009C0" w14:textId="7B41915C" w:rsidR="00E06683" w:rsidRPr="001523BE" w:rsidRDefault="00E06683" w:rsidP="00F74E10">
            <w:pPr>
              <w:ind w:left="-142" w:firstLine="142"/>
              <w:jc w:val="left"/>
            </w:pPr>
          </w:p>
        </w:tc>
        <w:tc>
          <w:tcPr>
            <w:tcW w:w="1184" w:type="pct"/>
            <w:vAlign w:val="center"/>
          </w:tcPr>
          <w:p w14:paraId="2872BE61" w14:textId="77777777" w:rsidR="00E06683" w:rsidRPr="001523BE" w:rsidRDefault="00E06683" w:rsidP="00A34084">
            <w:pPr>
              <w:ind w:left="-142" w:firstLine="142"/>
              <w:cnfStyle w:val="100000000000" w:firstRow="1" w:lastRow="0" w:firstColumn="0" w:lastColumn="0" w:oddVBand="0" w:evenVBand="0" w:oddHBand="0" w:evenHBand="0" w:firstRowFirstColumn="0" w:firstRowLastColumn="0" w:lastRowFirstColumn="0" w:lastRowLastColumn="0"/>
            </w:pPr>
            <w:r w:rsidRPr="001523BE">
              <w:t>N</w:t>
            </w:r>
            <w:r w:rsidR="00A34084">
              <w:t xml:space="preserve">umber of </w:t>
            </w:r>
            <w:r w:rsidR="0068194F">
              <w:br/>
            </w:r>
            <w:r w:rsidRPr="001523BE">
              <w:t>N</w:t>
            </w:r>
            <w:r w:rsidR="00A34084">
              <w:t xml:space="preserve">on-Attendance Reports </w:t>
            </w:r>
          </w:p>
        </w:tc>
        <w:tc>
          <w:tcPr>
            <w:tcW w:w="1610" w:type="pct"/>
            <w:vAlign w:val="center"/>
          </w:tcPr>
          <w:p w14:paraId="54FE487C" w14:textId="77777777" w:rsidR="00E06683" w:rsidRPr="001523BE" w:rsidRDefault="00A34084" w:rsidP="0070239B">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00E06683" w:rsidRPr="001523BE">
              <w:t>as a % of non-attended appointments without a valid reason</w:t>
            </w:r>
          </w:p>
        </w:tc>
        <w:tc>
          <w:tcPr>
            <w:tcW w:w="1127" w:type="pct"/>
            <w:vAlign w:val="center"/>
          </w:tcPr>
          <w:p w14:paraId="3A2F8E32" w14:textId="0D3CFF7F" w:rsidR="00E06683" w:rsidRPr="001523BE" w:rsidRDefault="00A34084" w:rsidP="00117DA8">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w:t>
            </w:r>
            <w:r w:rsidR="0070239B">
              <w:rPr>
                <w:rFonts w:cs="Arial"/>
                <w:color w:val="000000"/>
              </w:rPr>
              <w:t xml:space="preserve"> </w:t>
            </w:r>
            <w:r>
              <w:rPr>
                <w:rFonts w:cs="Arial"/>
                <w:color w:val="000000"/>
              </w:rPr>
              <w:t>Appointment Reports</w:t>
            </w:r>
            <w:r w:rsidR="002E28D7">
              <w:rPr>
                <w:color w:val="FFFFFF" w:themeColor="background1"/>
              </w:rPr>
              <w:t xml:space="preserve"> </w:t>
            </w:r>
          </w:p>
        </w:tc>
      </w:tr>
      <w:tr w:rsidR="003D2941" w:rsidRPr="00C41921" w14:paraId="07992280" w14:textId="77777777" w:rsidTr="00A03100">
        <w:trPr>
          <w:trHeight w:val="539"/>
        </w:trPr>
        <w:tc>
          <w:tcPr>
            <w:cnfStyle w:val="001000000000" w:firstRow="0" w:lastRow="0" w:firstColumn="1" w:lastColumn="0" w:oddVBand="0" w:evenVBand="0" w:oddHBand="0" w:evenHBand="0" w:firstRowFirstColumn="0" w:firstRowLastColumn="0" w:lastRowFirstColumn="0" w:lastRowLastColumn="0"/>
            <w:tcW w:w="1079" w:type="pct"/>
          </w:tcPr>
          <w:p w14:paraId="320CA0CA" w14:textId="1D3D5F96" w:rsidR="003D2941" w:rsidRPr="001523BE" w:rsidRDefault="003D2941" w:rsidP="003D2941">
            <w:pPr>
              <w:ind w:left="-142" w:firstLine="142"/>
            </w:pPr>
            <w:r>
              <w:t>1 April to 30 June 2019</w:t>
            </w:r>
          </w:p>
        </w:tc>
        <w:tc>
          <w:tcPr>
            <w:tcW w:w="1184" w:type="pct"/>
            <w:vAlign w:val="center"/>
          </w:tcPr>
          <w:p w14:paraId="29812E84" w14:textId="3B7327B7" w:rsidR="003D2941" w:rsidRPr="0079507A"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19,734</w:t>
            </w:r>
          </w:p>
        </w:tc>
        <w:tc>
          <w:tcPr>
            <w:tcW w:w="1610" w:type="pct"/>
            <w:vAlign w:val="center"/>
          </w:tcPr>
          <w:p w14:paraId="5BE23C38" w14:textId="3D6D074C" w:rsidR="003D2941" w:rsidRPr="0079507A"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70.8%</w:t>
            </w:r>
          </w:p>
        </w:tc>
        <w:tc>
          <w:tcPr>
            <w:tcW w:w="1127" w:type="pct"/>
            <w:vAlign w:val="center"/>
          </w:tcPr>
          <w:p w14:paraId="112D0803" w14:textId="7DDF5406" w:rsidR="003D2941" w:rsidRPr="0079507A"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66,514</w:t>
            </w:r>
          </w:p>
        </w:tc>
      </w:tr>
      <w:tr w:rsidR="003D2941" w:rsidRPr="00C41921" w14:paraId="5D541E19" w14:textId="77777777" w:rsidTr="00A03100">
        <w:trPr>
          <w:trHeight w:val="539"/>
        </w:trPr>
        <w:tc>
          <w:tcPr>
            <w:cnfStyle w:val="001000000000" w:firstRow="0" w:lastRow="0" w:firstColumn="1" w:lastColumn="0" w:oddVBand="0" w:evenVBand="0" w:oddHBand="0" w:evenHBand="0" w:firstRowFirstColumn="0" w:firstRowLastColumn="0" w:lastRowFirstColumn="0" w:lastRowLastColumn="0"/>
            <w:tcW w:w="1079" w:type="pct"/>
          </w:tcPr>
          <w:p w14:paraId="7B22B710" w14:textId="63E2F886" w:rsidR="003D2941" w:rsidRPr="001523BE" w:rsidRDefault="003D2941" w:rsidP="003D2941">
            <w:pPr>
              <w:ind w:left="-142" w:firstLine="142"/>
            </w:pPr>
            <w:r w:rsidRPr="00167911">
              <w:t>1 July 2018 to 30 June 2019</w:t>
            </w:r>
          </w:p>
        </w:tc>
        <w:tc>
          <w:tcPr>
            <w:tcW w:w="1184" w:type="pct"/>
            <w:vAlign w:val="center"/>
          </w:tcPr>
          <w:p w14:paraId="7DD5DA31" w14:textId="0F60C6F8" w:rsidR="003D2941" w:rsidRPr="009D5C46"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80,324</w:t>
            </w:r>
          </w:p>
        </w:tc>
        <w:tc>
          <w:tcPr>
            <w:tcW w:w="1610" w:type="pct"/>
            <w:vAlign w:val="center"/>
          </w:tcPr>
          <w:p w14:paraId="102093E6" w14:textId="0EBDC1E8" w:rsidR="003D2941" w:rsidRPr="009D5C46"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73.6%</w:t>
            </w:r>
          </w:p>
        </w:tc>
        <w:tc>
          <w:tcPr>
            <w:tcW w:w="1127" w:type="pct"/>
            <w:vAlign w:val="center"/>
          </w:tcPr>
          <w:p w14:paraId="4CD6890A" w14:textId="20C4A265" w:rsidR="003D2941" w:rsidRPr="009D5C46"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301,563</w:t>
            </w:r>
          </w:p>
        </w:tc>
      </w:tr>
    </w:tbl>
    <w:p w14:paraId="18CD3FF3" w14:textId="77777777" w:rsidR="00B84812" w:rsidRPr="008C625E" w:rsidRDefault="00B84812" w:rsidP="00C46E59">
      <w:pPr>
        <w:spacing w:after="120" w:line="240" w:lineRule="auto"/>
        <w:ind w:left="-142"/>
      </w:pPr>
      <w:r w:rsidRPr="008C625E">
        <w:t>Non-Attendance Reports</w:t>
      </w:r>
      <w:r>
        <w:t xml:space="preserve"> may be used by providers,</w:t>
      </w:r>
      <w:r w:rsidRPr="008C625E">
        <w:t xml:space="preserve"> after first attempting to contact the job seeker, to report to the Department of Human Services where a job</w:t>
      </w:r>
      <w:r>
        <w:t xml:space="preserve"> seeker fails to attend a </w:t>
      </w:r>
      <w:r w:rsidRPr="008C625E">
        <w:t xml:space="preserve">provider appointment without giving prior notice of a valid reason. </w:t>
      </w:r>
    </w:p>
    <w:p w14:paraId="151B10A4" w14:textId="77777777" w:rsidR="00B84812" w:rsidRPr="00C41921" w:rsidRDefault="00B84812" w:rsidP="00C46E59">
      <w:pPr>
        <w:spacing w:after="120" w:line="240" w:lineRule="auto"/>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14:paraId="4A5A225E" w14:textId="61002107" w:rsidR="00B84812" w:rsidRPr="00703FB9" w:rsidRDefault="00B84812" w:rsidP="00C46E59">
      <w:pPr>
        <w:spacing w:after="12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7EE5523A" w14:textId="6CC342D8" w:rsidR="00B84812" w:rsidRDefault="00B84812" w:rsidP="00C46E59">
      <w:pPr>
        <w:spacing w:after="120" w:line="240" w:lineRule="auto"/>
        <w:ind w:left="-142"/>
      </w:pPr>
      <w:r w:rsidRPr="008C625E">
        <w:t>Provider Appointment Reports were introduced on 1 July 2015. A provider submits a Provider Appointment Report when they want the Department of Human Serv</w:t>
      </w:r>
      <w:r>
        <w:t>ices to investigate whether a ‘Non-Attendance F</w:t>
      </w:r>
      <w:r w:rsidRPr="008C625E">
        <w:t>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14:paraId="3E90725B" w14:textId="08D21703" w:rsidR="007E53AF"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7EC985C2" w14:textId="77777777" w:rsidR="007E53AF" w:rsidRDefault="007E53AF">
      <w:pPr>
        <w:spacing w:before="0"/>
        <w:ind w:left="0"/>
      </w:pPr>
      <w:r>
        <w:br w:type="page"/>
      </w:r>
    </w:p>
    <w:p w14:paraId="467FED7E" w14:textId="77777777" w:rsidR="00D1085F" w:rsidRPr="00970C39" w:rsidRDefault="00456F16" w:rsidP="00366AB0">
      <w:pPr>
        <w:pStyle w:val="Heading2"/>
        <w:spacing w:after="240"/>
        <w:ind w:left="-142" w:firstLine="142"/>
      </w:pPr>
      <w:bookmarkStart w:id="8" w:name="_Toc19281337"/>
      <w:r w:rsidRPr="00325EF7">
        <w:lastRenderedPageBreak/>
        <w:t>Reasons for providers reporting non-compliance to the Department of Human Services</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611"/>
        <w:gridCol w:w="1067"/>
        <w:gridCol w:w="1818"/>
        <w:gridCol w:w="846"/>
        <w:gridCol w:w="1623"/>
        <w:gridCol w:w="975"/>
        <w:gridCol w:w="1182"/>
        <w:gridCol w:w="1573"/>
      </w:tblGrid>
      <w:tr w:rsidR="00EC1684" w:rsidRPr="00DA25D1" w14:paraId="31128982" w14:textId="77777777" w:rsidTr="003D2941">
        <w:trPr>
          <w:trHeight w:val="300"/>
          <w:jc w:val="center"/>
        </w:trPr>
        <w:tc>
          <w:tcPr>
            <w:tcW w:w="1031" w:type="pct"/>
            <w:vMerge w:val="restart"/>
            <w:shd w:val="clear" w:color="auto" w:fill="auto"/>
            <w:noWrap/>
            <w:vAlign w:val="center"/>
            <w:hideMark/>
          </w:tcPr>
          <w:p w14:paraId="34C6CBD9" w14:textId="0F749E35" w:rsidR="00EC1684" w:rsidRPr="00D458D7" w:rsidRDefault="00EC1684" w:rsidP="00F74E10">
            <w:pPr>
              <w:spacing w:before="0" w:after="0" w:line="240" w:lineRule="auto"/>
              <w:ind w:left="-142" w:firstLine="142"/>
              <w:rPr>
                <w:rFonts w:eastAsia="Times New Roman" w:cs="Calibri"/>
                <w:b/>
                <w:bCs/>
                <w:color w:val="000000"/>
                <w:lang w:eastAsia="en-AU"/>
              </w:rPr>
            </w:pPr>
          </w:p>
        </w:tc>
        <w:tc>
          <w:tcPr>
            <w:tcW w:w="2152" w:type="pct"/>
            <w:gridSpan w:val="4"/>
            <w:shd w:val="clear" w:color="auto" w:fill="auto"/>
            <w:vAlign w:val="center"/>
            <w:hideMark/>
          </w:tcPr>
          <w:p w14:paraId="49870BD6" w14:textId="77777777" w:rsidR="00EC1684" w:rsidRPr="004C767C" w:rsidRDefault="00EC1684"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Main reasons</w:t>
            </w:r>
          </w:p>
        </w:tc>
        <w:tc>
          <w:tcPr>
            <w:tcW w:w="882" w:type="pct"/>
            <w:gridSpan w:val="2"/>
            <w:vMerge w:val="restart"/>
            <w:shd w:val="clear" w:color="auto" w:fill="auto"/>
            <w:vAlign w:val="center"/>
            <w:hideMark/>
          </w:tcPr>
          <w:p w14:paraId="5CDDFFEF" w14:textId="77777777" w:rsidR="00EC1684" w:rsidRPr="004C767C" w:rsidRDefault="00EC1684"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main reasons</w:t>
            </w:r>
          </w:p>
        </w:tc>
        <w:tc>
          <w:tcPr>
            <w:tcW w:w="401" w:type="pct"/>
            <w:vMerge w:val="restart"/>
            <w:shd w:val="clear" w:color="auto" w:fill="auto"/>
            <w:vAlign w:val="center"/>
            <w:hideMark/>
          </w:tcPr>
          <w:p w14:paraId="4BB062F1" w14:textId="77777777" w:rsidR="00EC1684" w:rsidRDefault="00EC1684"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Other</w:t>
            </w:r>
          </w:p>
          <w:p w14:paraId="48D09FB3" w14:textId="77777777" w:rsidR="00EC1684" w:rsidRPr="004C767C" w:rsidRDefault="00EC1684" w:rsidP="00A34084">
            <w:pPr>
              <w:spacing w:before="0" w:after="0" w:line="240" w:lineRule="auto"/>
              <w:ind w:left="-142" w:firstLine="142"/>
              <w:jc w:val="center"/>
              <w:rPr>
                <w:rFonts w:eastAsia="Times New Roman" w:cs="Calibri"/>
                <w:b/>
                <w:bCs/>
                <w:color w:val="000000"/>
                <w:lang w:eastAsia="en-AU"/>
              </w:rPr>
            </w:pPr>
            <w:r>
              <w:rPr>
                <w:rFonts w:eastAsia="Times New Roman" w:cs="Calibri"/>
                <w:b/>
                <w:bCs/>
                <w:color w:val="000000"/>
                <w:lang w:eastAsia="en-AU"/>
              </w:rPr>
              <w:t>r</w:t>
            </w:r>
            <w:r w:rsidRPr="004C767C">
              <w:rPr>
                <w:rFonts w:eastAsia="Times New Roman" w:cs="Calibri"/>
                <w:b/>
                <w:bCs/>
                <w:color w:val="000000"/>
                <w:lang w:eastAsia="en-AU"/>
              </w:rPr>
              <w:t>easons</w:t>
            </w:r>
          </w:p>
        </w:tc>
        <w:tc>
          <w:tcPr>
            <w:tcW w:w="534" w:type="pct"/>
            <w:vMerge w:val="restart"/>
            <w:shd w:val="clear" w:color="auto" w:fill="auto"/>
            <w:vAlign w:val="center"/>
            <w:hideMark/>
          </w:tcPr>
          <w:p w14:paraId="068B824D" w14:textId="77777777" w:rsidR="00EC1684" w:rsidRPr="004C767C" w:rsidRDefault="00EC1684"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all reasons</w:t>
            </w:r>
          </w:p>
        </w:tc>
      </w:tr>
      <w:tr w:rsidR="00EC1684" w:rsidRPr="00DA25D1" w14:paraId="6192414E" w14:textId="77777777" w:rsidTr="003D2941">
        <w:trPr>
          <w:trHeight w:val="300"/>
          <w:jc w:val="center"/>
        </w:trPr>
        <w:tc>
          <w:tcPr>
            <w:tcW w:w="1031" w:type="pct"/>
            <w:vMerge/>
            <w:vAlign w:val="center"/>
            <w:hideMark/>
          </w:tcPr>
          <w:p w14:paraId="2F320948" w14:textId="77777777" w:rsidR="00EC1684" w:rsidRPr="004C767C" w:rsidRDefault="00EC1684" w:rsidP="00887E4E">
            <w:pPr>
              <w:spacing w:before="0" w:after="0" w:line="240" w:lineRule="auto"/>
              <w:ind w:left="-142" w:firstLine="142"/>
              <w:rPr>
                <w:rFonts w:eastAsia="Times New Roman" w:cs="Calibri"/>
                <w:b/>
                <w:bCs/>
                <w:color w:val="000000"/>
                <w:lang w:eastAsia="en-AU"/>
              </w:rPr>
            </w:pPr>
          </w:p>
        </w:tc>
        <w:tc>
          <w:tcPr>
            <w:tcW w:w="1248" w:type="pct"/>
            <w:gridSpan w:val="2"/>
            <w:shd w:val="clear" w:color="auto" w:fill="auto"/>
            <w:vAlign w:val="center"/>
            <w:hideMark/>
          </w:tcPr>
          <w:p w14:paraId="2D9AECD1" w14:textId="77777777" w:rsidR="00EC1684" w:rsidRPr="004C767C" w:rsidRDefault="00EC1684"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provider appointment</w:t>
            </w:r>
          </w:p>
        </w:tc>
        <w:tc>
          <w:tcPr>
            <w:tcW w:w="904" w:type="pct"/>
            <w:gridSpan w:val="2"/>
            <w:shd w:val="clear" w:color="auto" w:fill="auto"/>
            <w:vAlign w:val="center"/>
            <w:hideMark/>
          </w:tcPr>
          <w:p w14:paraId="2B7BE9B7" w14:textId="77777777" w:rsidR="00EC1684" w:rsidRPr="004C767C" w:rsidRDefault="00EC1684"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activity</w:t>
            </w:r>
          </w:p>
        </w:tc>
        <w:tc>
          <w:tcPr>
            <w:tcW w:w="882" w:type="pct"/>
            <w:gridSpan w:val="2"/>
            <w:vMerge/>
            <w:vAlign w:val="center"/>
            <w:hideMark/>
          </w:tcPr>
          <w:p w14:paraId="4BC1D883" w14:textId="77777777" w:rsidR="00EC1684" w:rsidRPr="004C767C" w:rsidRDefault="00EC1684" w:rsidP="00887E4E">
            <w:pPr>
              <w:spacing w:before="0" w:after="0" w:line="240" w:lineRule="auto"/>
              <w:ind w:left="-142" w:firstLine="142"/>
              <w:rPr>
                <w:rFonts w:eastAsia="Times New Roman" w:cs="Calibri"/>
                <w:b/>
                <w:bCs/>
                <w:color w:val="000000"/>
                <w:lang w:eastAsia="en-AU"/>
              </w:rPr>
            </w:pPr>
          </w:p>
        </w:tc>
        <w:tc>
          <w:tcPr>
            <w:tcW w:w="401" w:type="pct"/>
            <w:vMerge/>
            <w:vAlign w:val="center"/>
            <w:hideMark/>
          </w:tcPr>
          <w:p w14:paraId="669BFAEB" w14:textId="77777777" w:rsidR="00EC1684" w:rsidRPr="004C767C" w:rsidRDefault="00EC1684" w:rsidP="00887E4E">
            <w:pPr>
              <w:spacing w:before="0" w:after="0" w:line="240" w:lineRule="auto"/>
              <w:ind w:left="-142" w:firstLine="142"/>
              <w:rPr>
                <w:rFonts w:eastAsia="Times New Roman" w:cs="Calibri"/>
                <w:b/>
                <w:bCs/>
                <w:color w:val="000000"/>
                <w:lang w:eastAsia="en-AU"/>
              </w:rPr>
            </w:pPr>
          </w:p>
        </w:tc>
        <w:tc>
          <w:tcPr>
            <w:tcW w:w="534" w:type="pct"/>
            <w:vMerge/>
            <w:vAlign w:val="center"/>
            <w:hideMark/>
          </w:tcPr>
          <w:p w14:paraId="08F607B4" w14:textId="77777777" w:rsidR="00EC1684" w:rsidRPr="004C767C" w:rsidRDefault="00EC1684" w:rsidP="00887E4E">
            <w:pPr>
              <w:spacing w:before="0" w:after="0" w:line="240" w:lineRule="auto"/>
              <w:ind w:left="-142" w:firstLine="142"/>
              <w:rPr>
                <w:rFonts w:eastAsia="Times New Roman" w:cs="Calibri"/>
                <w:b/>
                <w:bCs/>
                <w:color w:val="000000"/>
                <w:lang w:eastAsia="en-AU"/>
              </w:rPr>
            </w:pPr>
          </w:p>
        </w:tc>
      </w:tr>
      <w:tr w:rsidR="00EC1684" w:rsidRPr="00DA25D1" w14:paraId="592C3609" w14:textId="77777777" w:rsidTr="003D2941">
        <w:trPr>
          <w:trHeight w:val="311"/>
          <w:jc w:val="center"/>
        </w:trPr>
        <w:tc>
          <w:tcPr>
            <w:tcW w:w="1031" w:type="pct"/>
            <w:vMerge/>
            <w:shd w:val="clear" w:color="auto" w:fill="auto"/>
            <w:vAlign w:val="center"/>
            <w:hideMark/>
          </w:tcPr>
          <w:p w14:paraId="42E04106" w14:textId="77777777" w:rsidR="00EC1684" w:rsidRPr="004C767C" w:rsidRDefault="00EC1684" w:rsidP="00887E4E">
            <w:pPr>
              <w:spacing w:before="0" w:after="0" w:line="240" w:lineRule="auto"/>
              <w:ind w:left="-142" w:firstLine="142"/>
              <w:rPr>
                <w:rFonts w:eastAsia="Times New Roman" w:cs="Calibri"/>
                <w:b/>
                <w:bCs/>
                <w:color w:val="000000"/>
                <w:lang w:eastAsia="en-AU"/>
              </w:rPr>
            </w:pPr>
          </w:p>
        </w:tc>
        <w:tc>
          <w:tcPr>
            <w:tcW w:w="886" w:type="pct"/>
            <w:shd w:val="clear" w:color="auto" w:fill="auto"/>
            <w:noWrap/>
            <w:vAlign w:val="center"/>
            <w:hideMark/>
          </w:tcPr>
          <w:p w14:paraId="302B6E67" w14:textId="77777777" w:rsidR="00EC1684" w:rsidRPr="004C767C" w:rsidRDefault="00EC1684"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62" w:type="pct"/>
            <w:shd w:val="clear" w:color="auto" w:fill="auto"/>
            <w:noWrap/>
            <w:vAlign w:val="center"/>
            <w:hideMark/>
          </w:tcPr>
          <w:p w14:paraId="0D373C7D" w14:textId="77777777" w:rsidR="00EC1684" w:rsidRPr="004C767C" w:rsidRDefault="00EC1684"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617" w:type="pct"/>
            <w:shd w:val="clear" w:color="auto" w:fill="auto"/>
            <w:noWrap/>
            <w:vAlign w:val="center"/>
            <w:hideMark/>
          </w:tcPr>
          <w:p w14:paraId="1B183D70" w14:textId="77777777" w:rsidR="00EC1684" w:rsidRPr="004C767C" w:rsidRDefault="00EC1684"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287" w:type="pct"/>
            <w:shd w:val="clear" w:color="auto" w:fill="auto"/>
            <w:noWrap/>
            <w:vAlign w:val="center"/>
            <w:hideMark/>
          </w:tcPr>
          <w:p w14:paraId="0BF9A3BE" w14:textId="77777777" w:rsidR="00EC1684" w:rsidRPr="004C767C" w:rsidRDefault="00EC1684"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51" w:type="pct"/>
            <w:shd w:val="clear" w:color="auto" w:fill="auto"/>
            <w:noWrap/>
            <w:vAlign w:val="center"/>
            <w:hideMark/>
          </w:tcPr>
          <w:p w14:paraId="030B7064" w14:textId="77777777" w:rsidR="00EC1684" w:rsidRPr="004C767C" w:rsidRDefault="00EC1684"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31" w:type="pct"/>
            <w:shd w:val="clear" w:color="auto" w:fill="auto"/>
            <w:noWrap/>
            <w:vAlign w:val="center"/>
            <w:hideMark/>
          </w:tcPr>
          <w:p w14:paraId="68E360ED" w14:textId="77777777" w:rsidR="00EC1684" w:rsidRPr="004C767C" w:rsidRDefault="00EC1684"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401" w:type="pct"/>
            <w:shd w:val="clear" w:color="auto" w:fill="auto"/>
            <w:noWrap/>
            <w:vAlign w:val="center"/>
            <w:hideMark/>
          </w:tcPr>
          <w:p w14:paraId="760A5191" w14:textId="77777777" w:rsidR="00EC1684" w:rsidRPr="004C767C" w:rsidRDefault="00EC1684"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34" w:type="pct"/>
            <w:shd w:val="clear" w:color="auto" w:fill="auto"/>
            <w:noWrap/>
            <w:vAlign w:val="center"/>
            <w:hideMark/>
          </w:tcPr>
          <w:p w14:paraId="04E826FC" w14:textId="77777777" w:rsidR="00EC1684" w:rsidRPr="004C767C" w:rsidRDefault="00EC1684"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r>
      <w:tr w:rsidR="003D2941" w:rsidRPr="00DA25D1" w14:paraId="1AC2C312" w14:textId="77777777" w:rsidTr="003D2941">
        <w:trPr>
          <w:trHeight w:val="443"/>
          <w:jc w:val="center"/>
        </w:trPr>
        <w:tc>
          <w:tcPr>
            <w:tcW w:w="1031" w:type="pct"/>
            <w:shd w:val="clear" w:color="auto" w:fill="auto"/>
            <w:vAlign w:val="center"/>
            <w:hideMark/>
          </w:tcPr>
          <w:p w14:paraId="1021E2B8" w14:textId="07E60D48" w:rsidR="003D2941" w:rsidRPr="004C767C" w:rsidRDefault="003D2941" w:rsidP="003D2941">
            <w:pPr>
              <w:spacing w:before="0" w:after="0" w:line="240" w:lineRule="auto"/>
              <w:ind w:left="-142" w:firstLine="142"/>
              <w:rPr>
                <w:rFonts w:eastAsia="Times New Roman" w:cs="Calibri"/>
                <w:b/>
                <w:bCs/>
                <w:color w:val="000000"/>
                <w:lang w:eastAsia="en-AU"/>
              </w:rPr>
            </w:pPr>
            <w:r>
              <w:rPr>
                <w:b/>
              </w:rPr>
              <w:t>1 April to 30 June 2019</w:t>
            </w:r>
          </w:p>
        </w:tc>
        <w:tc>
          <w:tcPr>
            <w:tcW w:w="886" w:type="pct"/>
            <w:shd w:val="clear" w:color="auto" w:fill="auto"/>
            <w:noWrap/>
            <w:vAlign w:val="center"/>
          </w:tcPr>
          <w:p w14:paraId="7F037273" w14:textId="733C6368" w:rsidR="003D2941" w:rsidRPr="00932368" w:rsidRDefault="003D2941" w:rsidP="003D2941">
            <w:pPr>
              <w:spacing w:before="0" w:after="0" w:line="240" w:lineRule="auto"/>
              <w:ind w:left="-142" w:firstLine="142"/>
              <w:jc w:val="center"/>
              <w:rPr>
                <w:rFonts w:eastAsia="Times New Roman" w:cs="Calibri"/>
                <w:color w:val="000000"/>
                <w:lang w:eastAsia="en-AU"/>
              </w:rPr>
            </w:pPr>
            <w:r w:rsidRPr="009D5C46">
              <w:rPr>
                <w:rFonts w:cs="Gill Sans MT"/>
                <w:color w:val="000000"/>
              </w:rPr>
              <w:t>19,735</w:t>
            </w:r>
          </w:p>
        </w:tc>
        <w:tc>
          <w:tcPr>
            <w:tcW w:w="362" w:type="pct"/>
            <w:shd w:val="clear" w:color="auto" w:fill="auto"/>
            <w:noWrap/>
            <w:vAlign w:val="center"/>
          </w:tcPr>
          <w:p w14:paraId="424A9C2A" w14:textId="1AB5A507" w:rsidR="003D2941" w:rsidRPr="00932368" w:rsidRDefault="003D2941" w:rsidP="003D2941">
            <w:pPr>
              <w:spacing w:before="0" w:after="0" w:line="240" w:lineRule="auto"/>
              <w:ind w:left="-142" w:firstLine="142"/>
              <w:jc w:val="center"/>
              <w:rPr>
                <w:rFonts w:eastAsia="Times New Roman" w:cs="Calibri"/>
                <w:color w:val="000000"/>
                <w:lang w:eastAsia="en-AU"/>
              </w:rPr>
            </w:pPr>
            <w:r w:rsidRPr="009D5C46">
              <w:rPr>
                <w:rFonts w:eastAsia="Times New Roman" w:cs="Calibri"/>
                <w:color w:val="000000"/>
                <w:lang w:eastAsia="en-AU"/>
              </w:rPr>
              <w:t>23%</w:t>
            </w:r>
          </w:p>
        </w:tc>
        <w:tc>
          <w:tcPr>
            <w:tcW w:w="617" w:type="pct"/>
            <w:shd w:val="clear" w:color="auto" w:fill="auto"/>
            <w:noWrap/>
            <w:vAlign w:val="center"/>
          </w:tcPr>
          <w:p w14:paraId="4355D0CC" w14:textId="28CAD52E" w:rsidR="003D2941" w:rsidRPr="00932368" w:rsidRDefault="003D2941" w:rsidP="003D2941">
            <w:pPr>
              <w:spacing w:before="0" w:after="0" w:line="240" w:lineRule="auto"/>
              <w:ind w:left="-142" w:firstLine="142"/>
              <w:jc w:val="center"/>
              <w:rPr>
                <w:rFonts w:eastAsia="Times New Roman" w:cs="Calibri"/>
                <w:color w:val="000000"/>
                <w:lang w:eastAsia="en-AU"/>
              </w:rPr>
            </w:pPr>
            <w:r w:rsidRPr="009D5C46">
              <w:rPr>
                <w:rFonts w:cs="Gill Sans MT"/>
                <w:color w:val="000000"/>
              </w:rPr>
              <w:t>66,500</w:t>
            </w:r>
          </w:p>
        </w:tc>
        <w:tc>
          <w:tcPr>
            <w:tcW w:w="287" w:type="pct"/>
            <w:shd w:val="clear" w:color="auto" w:fill="auto"/>
            <w:noWrap/>
            <w:vAlign w:val="center"/>
          </w:tcPr>
          <w:p w14:paraId="4E37FE45" w14:textId="0CBA274D" w:rsidR="003D2941" w:rsidRPr="00932368" w:rsidRDefault="003D2941" w:rsidP="003D2941">
            <w:pPr>
              <w:spacing w:before="0" w:after="0" w:line="240" w:lineRule="auto"/>
              <w:ind w:left="-142" w:firstLine="142"/>
              <w:jc w:val="center"/>
              <w:rPr>
                <w:rFonts w:eastAsia="Times New Roman" w:cs="Calibri"/>
                <w:color w:val="000000"/>
                <w:lang w:eastAsia="en-AU"/>
              </w:rPr>
            </w:pPr>
            <w:r w:rsidRPr="009D5C46">
              <w:rPr>
                <w:rFonts w:eastAsia="Times New Roman" w:cs="Calibri"/>
                <w:color w:val="000000"/>
                <w:lang w:eastAsia="en-AU"/>
              </w:rPr>
              <w:t>77%</w:t>
            </w:r>
          </w:p>
        </w:tc>
        <w:tc>
          <w:tcPr>
            <w:tcW w:w="551" w:type="pct"/>
            <w:shd w:val="clear" w:color="auto" w:fill="auto"/>
            <w:noWrap/>
            <w:vAlign w:val="center"/>
          </w:tcPr>
          <w:p w14:paraId="552286F0" w14:textId="121053E7" w:rsidR="003D2941" w:rsidRPr="00932368" w:rsidRDefault="003D2941" w:rsidP="003D2941">
            <w:pPr>
              <w:spacing w:before="0" w:after="0" w:line="240" w:lineRule="auto"/>
              <w:ind w:left="-142" w:firstLine="142"/>
              <w:jc w:val="center"/>
              <w:rPr>
                <w:rFonts w:eastAsia="Times New Roman" w:cs="Calibri"/>
                <w:color w:val="000000"/>
                <w:lang w:eastAsia="en-AU"/>
              </w:rPr>
            </w:pPr>
            <w:r w:rsidRPr="009D5C46">
              <w:rPr>
                <w:rFonts w:cs="Gill Sans MT"/>
                <w:color w:val="000000"/>
              </w:rPr>
              <w:t>86,235</w:t>
            </w:r>
          </w:p>
        </w:tc>
        <w:tc>
          <w:tcPr>
            <w:tcW w:w="331" w:type="pct"/>
            <w:shd w:val="clear" w:color="auto" w:fill="auto"/>
            <w:noWrap/>
            <w:vAlign w:val="center"/>
          </w:tcPr>
          <w:p w14:paraId="289F9847" w14:textId="28AFE048" w:rsidR="003D2941" w:rsidRPr="00932368" w:rsidRDefault="003D2941" w:rsidP="003D2941">
            <w:pPr>
              <w:spacing w:before="0" w:after="0" w:line="240" w:lineRule="auto"/>
              <w:ind w:left="-142" w:firstLine="142"/>
              <w:jc w:val="center"/>
              <w:rPr>
                <w:rFonts w:eastAsia="Times New Roman" w:cs="Calibri"/>
                <w:color w:val="000000"/>
                <w:lang w:eastAsia="en-AU"/>
              </w:rPr>
            </w:pPr>
            <w:r w:rsidRPr="009D5C46">
              <w:rPr>
                <w:rFonts w:eastAsia="Times New Roman" w:cs="Calibri"/>
                <w:color w:val="000000"/>
                <w:lang w:eastAsia="en-AU"/>
              </w:rPr>
              <w:t>100%</w:t>
            </w:r>
          </w:p>
        </w:tc>
        <w:tc>
          <w:tcPr>
            <w:tcW w:w="401" w:type="pct"/>
            <w:shd w:val="clear" w:color="auto" w:fill="auto"/>
            <w:noWrap/>
            <w:vAlign w:val="center"/>
          </w:tcPr>
          <w:p w14:paraId="0DA1B5A3" w14:textId="5CC03E58" w:rsidR="003D2941" w:rsidRPr="00932368" w:rsidRDefault="003D2941" w:rsidP="003D2941">
            <w:pPr>
              <w:spacing w:before="0" w:after="0" w:line="240" w:lineRule="auto"/>
              <w:ind w:left="-142" w:firstLine="142"/>
              <w:jc w:val="center"/>
              <w:rPr>
                <w:rFonts w:eastAsia="Times New Roman" w:cs="Calibri"/>
                <w:color w:val="000000"/>
                <w:lang w:eastAsia="en-AU"/>
              </w:rPr>
            </w:pPr>
            <w:r w:rsidRPr="009D5C46">
              <w:rPr>
                <w:rFonts w:eastAsia="Times New Roman" w:cs="Calibri"/>
                <w:color w:val="000000"/>
                <w:lang w:eastAsia="en-AU"/>
              </w:rPr>
              <w:t>&lt;1%</w:t>
            </w:r>
          </w:p>
        </w:tc>
        <w:tc>
          <w:tcPr>
            <w:tcW w:w="534" w:type="pct"/>
            <w:shd w:val="clear" w:color="auto" w:fill="auto"/>
            <w:noWrap/>
            <w:vAlign w:val="center"/>
          </w:tcPr>
          <w:p w14:paraId="0FC1D987" w14:textId="582016A8" w:rsidR="003D2941" w:rsidRPr="00932368" w:rsidRDefault="003D2941" w:rsidP="003D2941">
            <w:pPr>
              <w:spacing w:before="0" w:after="0" w:line="240" w:lineRule="auto"/>
              <w:ind w:left="-142" w:firstLine="142"/>
              <w:jc w:val="center"/>
              <w:rPr>
                <w:rFonts w:eastAsia="Times New Roman" w:cs="Calibri"/>
                <w:color w:val="000000"/>
                <w:lang w:eastAsia="en-AU"/>
              </w:rPr>
            </w:pPr>
            <w:r w:rsidRPr="009D5C46">
              <w:rPr>
                <w:rFonts w:cs="Gill Sans MT"/>
                <w:color w:val="000000"/>
              </w:rPr>
              <w:t>86,248</w:t>
            </w:r>
          </w:p>
        </w:tc>
      </w:tr>
      <w:tr w:rsidR="003D2941" w:rsidRPr="00DA25D1" w14:paraId="5CA910FE" w14:textId="77777777" w:rsidTr="003D2941">
        <w:trPr>
          <w:trHeight w:val="443"/>
          <w:jc w:val="center"/>
        </w:trPr>
        <w:tc>
          <w:tcPr>
            <w:tcW w:w="1031" w:type="pct"/>
            <w:vAlign w:val="center"/>
          </w:tcPr>
          <w:p w14:paraId="7A32930F" w14:textId="703DE871" w:rsidR="003D2941" w:rsidRPr="004C767C" w:rsidRDefault="003D2941" w:rsidP="003D2941">
            <w:pPr>
              <w:spacing w:before="0" w:after="0" w:line="240" w:lineRule="auto"/>
              <w:ind w:left="-142" w:firstLine="142"/>
              <w:rPr>
                <w:rFonts w:eastAsia="Times New Roman" w:cs="Calibri"/>
                <w:b/>
                <w:bCs/>
                <w:color w:val="000000"/>
                <w:lang w:eastAsia="en-AU"/>
              </w:rPr>
            </w:pPr>
            <w:r w:rsidRPr="00167911">
              <w:rPr>
                <w:b/>
              </w:rPr>
              <w:t>1 July 2018 to 30 June 2019</w:t>
            </w:r>
          </w:p>
        </w:tc>
        <w:tc>
          <w:tcPr>
            <w:tcW w:w="886" w:type="pct"/>
            <w:shd w:val="clear" w:color="auto" w:fill="auto"/>
            <w:noWrap/>
            <w:vAlign w:val="center"/>
          </w:tcPr>
          <w:p w14:paraId="01409BA4" w14:textId="63A46476" w:rsidR="003D2941" w:rsidRPr="009D5C46" w:rsidRDefault="003D2941" w:rsidP="003D2941">
            <w:pPr>
              <w:spacing w:before="0" w:after="0" w:line="240" w:lineRule="auto"/>
              <w:ind w:left="-142" w:firstLine="142"/>
              <w:jc w:val="center"/>
              <w:rPr>
                <w:rFonts w:cs="Gill Sans MT"/>
                <w:color w:val="000000"/>
              </w:rPr>
            </w:pPr>
            <w:r w:rsidRPr="009D5C46">
              <w:rPr>
                <w:rFonts w:cs="Gill Sans MT"/>
                <w:color w:val="000000"/>
              </w:rPr>
              <w:t>80,366</w:t>
            </w:r>
          </w:p>
        </w:tc>
        <w:tc>
          <w:tcPr>
            <w:tcW w:w="362" w:type="pct"/>
            <w:shd w:val="clear" w:color="auto" w:fill="auto"/>
            <w:noWrap/>
            <w:vAlign w:val="center"/>
          </w:tcPr>
          <w:p w14:paraId="269F995A" w14:textId="34AEF8CE" w:rsidR="003D2941" w:rsidRPr="009D5C46" w:rsidRDefault="003D2941" w:rsidP="003D2941">
            <w:pPr>
              <w:spacing w:before="0" w:after="0" w:line="240" w:lineRule="auto"/>
              <w:ind w:left="-142" w:firstLine="142"/>
              <w:jc w:val="center"/>
              <w:rPr>
                <w:rFonts w:eastAsia="Times New Roman" w:cs="Calibri"/>
                <w:color w:val="000000"/>
                <w:lang w:eastAsia="en-AU"/>
              </w:rPr>
            </w:pPr>
            <w:r w:rsidRPr="009D5C46">
              <w:rPr>
                <w:rFonts w:eastAsia="Times New Roman" w:cs="Calibri"/>
                <w:color w:val="000000"/>
                <w:lang w:eastAsia="en-AU"/>
              </w:rPr>
              <w:t>21%</w:t>
            </w:r>
          </w:p>
        </w:tc>
        <w:tc>
          <w:tcPr>
            <w:tcW w:w="617" w:type="pct"/>
            <w:shd w:val="clear" w:color="auto" w:fill="auto"/>
            <w:noWrap/>
            <w:vAlign w:val="center"/>
          </w:tcPr>
          <w:p w14:paraId="53CAE311" w14:textId="378BCCEE" w:rsidR="003D2941" w:rsidRPr="009D5C46" w:rsidRDefault="003D2941" w:rsidP="003D2941">
            <w:pPr>
              <w:spacing w:before="0" w:after="0" w:line="240" w:lineRule="auto"/>
              <w:ind w:left="-142" w:firstLine="142"/>
              <w:jc w:val="center"/>
              <w:rPr>
                <w:rFonts w:cs="Gill Sans MT"/>
                <w:color w:val="000000"/>
              </w:rPr>
            </w:pPr>
            <w:r w:rsidRPr="009D5C46">
              <w:rPr>
                <w:rFonts w:cs="Gill Sans MT"/>
                <w:color w:val="000000"/>
              </w:rPr>
              <w:t>301,459</w:t>
            </w:r>
          </w:p>
        </w:tc>
        <w:tc>
          <w:tcPr>
            <w:tcW w:w="287" w:type="pct"/>
            <w:shd w:val="clear" w:color="auto" w:fill="auto"/>
            <w:noWrap/>
            <w:vAlign w:val="center"/>
          </w:tcPr>
          <w:p w14:paraId="2975F28F" w14:textId="094194FD" w:rsidR="003D2941" w:rsidRPr="009D5C46" w:rsidRDefault="003D2941" w:rsidP="003D2941">
            <w:pPr>
              <w:spacing w:before="0" w:after="0" w:line="240" w:lineRule="auto"/>
              <w:ind w:left="-142" w:firstLine="142"/>
              <w:jc w:val="center"/>
              <w:rPr>
                <w:rFonts w:eastAsia="Times New Roman" w:cs="Calibri"/>
                <w:color w:val="000000"/>
                <w:lang w:eastAsia="en-AU"/>
              </w:rPr>
            </w:pPr>
            <w:r w:rsidRPr="009D5C46">
              <w:rPr>
                <w:rFonts w:eastAsia="Times New Roman" w:cs="Calibri"/>
                <w:color w:val="000000"/>
                <w:lang w:eastAsia="en-AU"/>
              </w:rPr>
              <w:t>79%</w:t>
            </w:r>
          </w:p>
        </w:tc>
        <w:tc>
          <w:tcPr>
            <w:tcW w:w="551" w:type="pct"/>
            <w:shd w:val="clear" w:color="auto" w:fill="auto"/>
            <w:noWrap/>
            <w:vAlign w:val="center"/>
          </w:tcPr>
          <w:p w14:paraId="2CE71EFC" w14:textId="33FD6F2C" w:rsidR="003D2941" w:rsidRPr="009D5C46" w:rsidRDefault="003D2941" w:rsidP="003D2941">
            <w:pPr>
              <w:spacing w:before="0" w:after="0" w:line="240" w:lineRule="auto"/>
              <w:ind w:left="-142" w:firstLine="142"/>
              <w:jc w:val="center"/>
              <w:rPr>
                <w:rFonts w:cs="Gill Sans MT"/>
                <w:color w:val="000000"/>
              </w:rPr>
            </w:pPr>
            <w:r w:rsidRPr="009D5C46">
              <w:rPr>
                <w:rFonts w:cs="Gill Sans MT"/>
                <w:color w:val="000000"/>
              </w:rPr>
              <w:t>381,825</w:t>
            </w:r>
          </w:p>
        </w:tc>
        <w:tc>
          <w:tcPr>
            <w:tcW w:w="331" w:type="pct"/>
            <w:shd w:val="clear" w:color="auto" w:fill="auto"/>
            <w:noWrap/>
            <w:vAlign w:val="center"/>
          </w:tcPr>
          <w:p w14:paraId="399C6484" w14:textId="1C9ECCD8" w:rsidR="003D2941" w:rsidRPr="009D5C46" w:rsidRDefault="003D2941" w:rsidP="003D2941">
            <w:pPr>
              <w:spacing w:before="0" w:after="0" w:line="240" w:lineRule="auto"/>
              <w:ind w:left="-142" w:firstLine="142"/>
              <w:jc w:val="center"/>
              <w:rPr>
                <w:rFonts w:eastAsia="Times New Roman" w:cs="Calibri"/>
                <w:color w:val="000000"/>
                <w:lang w:eastAsia="en-AU"/>
              </w:rPr>
            </w:pPr>
            <w:r w:rsidRPr="009D5C46">
              <w:rPr>
                <w:rFonts w:eastAsia="Times New Roman" w:cs="Calibri"/>
                <w:color w:val="000000"/>
                <w:lang w:eastAsia="en-AU"/>
              </w:rPr>
              <w:t>100%</w:t>
            </w:r>
          </w:p>
        </w:tc>
        <w:tc>
          <w:tcPr>
            <w:tcW w:w="401" w:type="pct"/>
            <w:shd w:val="clear" w:color="auto" w:fill="auto"/>
            <w:noWrap/>
            <w:vAlign w:val="center"/>
          </w:tcPr>
          <w:p w14:paraId="3FC8F3EB" w14:textId="1325367D" w:rsidR="003D2941" w:rsidRPr="009D5C46" w:rsidRDefault="003D2941" w:rsidP="003D2941">
            <w:pPr>
              <w:spacing w:before="0" w:after="0" w:line="240" w:lineRule="auto"/>
              <w:ind w:left="-142" w:firstLine="142"/>
              <w:jc w:val="center"/>
              <w:rPr>
                <w:rFonts w:eastAsia="Times New Roman" w:cs="Calibri"/>
                <w:color w:val="000000"/>
                <w:lang w:eastAsia="en-AU"/>
              </w:rPr>
            </w:pPr>
            <w:r w:rsidRPr="009D5C46">
              <w:rPr>
                <w:rFonts w:eastAsia="Times New Roman" w:cs="Calibri"/>
                <w:color w:val="000000"/>
                <w:lang w:eastAsia="en-AU"/>
              </w:rPr>
              <w:t>&lt;1%</w:t>
            </w:r>
          </w:p>
        </w:tc>
        <w:tc>
          <w:tcPr>
            <w:tcW w:w="534" w:type="pct"/>
            <w:shd w:val="clear" w:color="auto" w:fill="auto"/>
            <w:noWrap/>
            <w:vAlign w:val="center"/>
          </w:tcPr>
          <w:p w14:paraId="1B4261A7" w14:textId="15A81FD8" w:rsidR="003D2941" w:rsidRPr="009D5C46" w:rsidRDefault="003D2941" w:rsidP="003D2941">
            <w:pPr>
              <w:spacing w:before="0" w:after="0" w:line="240" w:lineRule="auto"/>
              <w:ind w:left="-142" w:firstLine="142"/>
              <w:jc w:val="center"/>
              <w:rPr>
                <w:rFonts w:cs="Gill Sans MT"/>
                <w:color w:val="000000"/>
              </w:rPr>
            </w:pPr>
            <w:r w:rsidRPr="009D5C46">
              <w:rPr>
                <w:rFonts w:cs="Gill Sans MT"/>
                <w:color w:val="000000"/>
              </w:rPr>
              <w:t>381,892</w:t>
            </w:r>
          </w:p>
        </w:tc>
      </w:tr>
    </w:tbl>
    <w:p w14:paraId="3CC257C4" w14:textId="0AE33D8B" w:rsidR="007E53AF" w:rsidRDefault="00614498" w:rsidP="00887E4E">
      <w:pPr>
        <w:ind w:left="-142" w:firstLine="142"/>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ABCC08E" w14:textId="77777777" w:rsidR="007E53AF" w:rsidRDefault="007E53AF">
      <w:pPr>
        <w:spacing w:before="0"/>
        <w:ind w:left="0"/>
      </w:pPr>
      <w:r>
        <w:br w:type="page"/>
      </w:r>
    </w:p>
    <w:p w14:paraId="06ADC5F6" w14:textId="77777777" w:rsidR="00E909FA" w:rsidRPr="00E55094" w:rsidRDefault="005D34B6" w:rsidP="00456F16">
      <w:pPr>
        <w:pStyle w:val="Heading2"/>
        <w:ind w:left="-142" w:firstLine="142"/>
      </w:pPr>
      <w:bookmarkStart w:id="9" w:name="_Toc19281338"/>
      <w:r w:rsidRPr="00E55094">
        <w:lastRenderedPageBreak/>
        <w:t>Department of Human Services</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9"/>
    </w:p>
    <w:p w14:paraId="539013FB" w14:textId="77777777" w:rsidR="000C1C5A" w:rsidRPr="00897682" w:rsidRDefault="006D18C4" w:rsidP="00366AB0">
      <w:pPr>
        <w:pStyle w:val="Heading2"/>
        <w:numPr>
          <w:ilvl w:val="0"/>
          <w:numId w:val="0"/>
        </w:numPr>
        <w:spacing w:after="240"/>
      </w:pPr>
      <w:bookmarkStart w:id="10" w:name="_Toc19281339"/>
      <w:r>
        <w:t>6</w:t>
      </w:r>
      <w:r w:rsidR="00970C39">
        <w:t>a.</w:t>
      </w:r>
      <w:r w:rsidR="00970C39">
        <w:tab/>
      </w:r>
      <w:r w:rsidR="000C1C5A" w:rsidRPr="007D74E1">
        <w:rPr>
          <w:i/>
        </w:rPr>
        <w:t>Department of Human Services responses to Provider Appointment Reports and Participation Reports</w:t>
      </w:r>
      <w:bookmarkEnd w:id="10"/>
    </w:p>
    <w:tbl>
      <w:tblPr>
        <w:tblStyle w:val="CenterAlignTable"/>
        <w:tblW w:w="5002" w:type="pct"/>
        <w:tblInd w:w="0" w:type="dxa"/>
        <w:tblLook w:val="06A0" w:firstRow="1" w:lastRow="0" w:firstColumn="1" w:lastColumn="0" w:noHBand="1" w:noVBand="1"/>
        <w:tblCaption w:val="Human Services responses to Participation Report: Overivew"/>
      </w:tblPr>
      <w:tblGrid>
        <w:gridCol w:w="3258"/>
        <w:gridCol w:w="2794"/>
        <w:gridCol w:w="1539"/>
        <w:gridCol w:w="2169"/>
        <w:gridCol w:w="2287"/>
        <w:gridCol w:w="2691"/>
      </w:tblGrid>
      <w:tr w:rsidR="003D2941" w:rsidRPr="00325EF7" w14:paraId="198F9049" w14:textId="77777777" w:rsidTr="00D755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Merge w:val="restart"/>
            <w:vAlign w:val="center"/>
          </w:tcPr>
          <w:p w14:paraId="595B6511" w14:textId="189052FE" w:rsidR="003D2941" w:rsidRPr="00D75502" w:rsidRDefault="003D2941" w:rsidP="00D75502">
            <w:pPr>
              <w:spacing w:before="0"/>
              <w:ind w:left="-142" w:firstLine="142"/>
              <w:jc w:val="left"/>
            </w:pPr>
          </w:p>
        </w:tc>
        <w:tc>
          <w:tcPr>
            <w:tcW w:w="1470" w:type="pct"/>
            <w:gridSpan w:val="2"/>
          </w:tcPr>
          <w:p w14:paraId="224111B2" w14:textId="77777777" w:rsidR="003D2941" w:rsidRPr="00325EF7" w:rsidRDefault="003D2941"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Participation Failure imposed </w:t>
            </w:r>
            <w:r>
              <w:t>(</w:t>
            </w:r>
            <w:r w:rsidRPr="00325EF7">
              <w:t>Applied)</w:t>
            </w:r>
          </w:p>
        </w:tc>
        <w:tc>
          <w:tcPr>
            <w:tcW w:w="1512" w:type="pct"/>
            <w:gridSpan w:val="2"/>
          </w:tcPr>
          <w:p w14:paraId="3550AF4F" w14:textId="77777777" w:rsidR="003D2941" w:rsidRPr="00325EF7" w:rsidRDefault="003D2941"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Part</w:t>
            </w:r>
            <w:r>
              <w:t>icipation Failure not imposed (</w:t>
            </w:r>
            <w:r w:rsidRPr="00325EF7">
              <w:t>Rejected)</w:t>
            </w:r>
          </w:p>
        </w:tc>
        <w:tc>
          <w:tcPr>
            <w:tcW w:w="913" w:type="pct"/>
          </w:tcPr>
          <w:p w14:paraId="736234C6" w14:textId="77777777" w:rsidR="003D2941" w:rsidRPr="00325EF7" w:rsidRDefault="003D2941"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r</w:t>
            </w:r>
            <w:r w:rsidRPr="00325EF7">
              <w:t>eports</w:t>
            </w:r>
          </w:p>
        </w:tc>
      </w:tr>
      <w:tr w:rsidR="003D2941" w:rsidRPr="00325EF7" w14:paraId="57B1E866" w14:textId="77777777" w:rsidTr="00D755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Merge/>
          </w:tcPr>
          <w:p w14:paraId="339EF9D7" w14:textId="77777777" w:rsidR="003D2941" w:rsidRPr="00325EF7" w:rsidRDefault="003D2941" w:rsidP="00887E4E">
            <w:pPr>
              <w:ind w:left="-142" w:firstLine="142"/>
            </w:pPr>
          </w:p>
        </w:tc>
        <w:tc>
          <w:tcPr>
            <w:tcW w:w="948" w:type="pct"/>
          </w:tcPr>
          <w:p w14:paraId="74E38538" w14:textId="77777777" w:rsidR="003D2941" w:rsidRPr="00325EF7" w:rsidRDefault="003D2941"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522" w:type="pct"/>
          </w:tcPr>
          <w:p w14:paraId="577AA68F" w14:textId="77777777" w:rsidR="003D2941" w:rsidRPr="00325EF7" w:rsidRDefault="003D2941"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736" w:type="pct"/>
          </w:tcPr>
          <w:p w14:paraId="1754A779" w14:textId="77777777" w:rsidR="003D2941" w:rsidRPr="00325EF7" w:rsidRDefault="003D2941"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776" w:type="pct"/>
          </w:tcPr>
          <w:p w14:paraId="25A99989" w14:textId="77777777" w:rsidR="003D2941" w:rsidRPr="00325EF7" w:rsidRDefault="003D2941"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913" w:type="pct"/>
          </w:tcPr>
          <w:p w14:paraId="7673E8AB" w14:textId="77777777" w:rsidR="003D2941" w:rsidRPr="00325EF7" w:rsidRDefault="003D2941"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r>
      <w:tr w:rsidR="003D2941" w:rsidRPr="00325EF7" w14:paraId="235C403C" w14:textId="77777777" w:rsidTr="00D75502">
        <w:trPr>
          <w:trHeight w:val="348"/>
        </w:trPr>
        <w:tc>
          <w:tcPr>
            <w:cnfStyle w:val="001000000000" w:firstRow="0" w:lastRow="0" w:firstColumn="1" w:lastColumn="0" w:oddVBand="0" w:evenVBand="0" w:oddHBand="0" w:evenHBand="0" w:firstRowFirstColumn="0" w:firstRowLastColumn="0" w:lastRowFirstColumn="0" w:lastRowLastColumn="0"/>
            <w:tcW w:w="1105" w:type="pct"/>
          </w:tcPr>
          <w:p w14:paraId="5F2D69B1" w14:textId="0F99297B" w:rsidR="003D2941" w:rsidRPr="00325EF7" w:rsidRDefault="003D2941" w:rsidP="003D2941">
            <w:pPr>
              <w:ind w:left="-142" w:firstLine="142"/>
            </w:pPr>
            <w:r>
              <w:t>1 April to 30 June 2019</w:t>
            </w:r>
          </w:p>
        </w:tc>
        <w:tc>
          <w:tcPr>
            <w:tcW w:w="948" w:type="pct"/>
            <w:vAlign w:val="center"/>
          </w:tcPr>
          <w:p w14:paraId="6C3CA6EE" w14:textId="69535492" w:rsidR="003D2941" w:rsidRPr="00287925"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26,595</w:t>
            </w:r>
          </w:p>
        </w:tc>
        <w:tc>
          <w:tcPr>
            <w:tcW w:w="522" w:type="pct"/>
            <w:vAlign w:val="center"/>
          </w:tcPr>
          <w:p w14:paraId="6DDCED6C" w14:textId="05290943" w:rsidR="003D2941" w:rsidRPr="00287925"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40%</w:t>
            </w:r>
          </w:p>
        </w:tc>
        <w:tc>
          <w:tcPr>
            <w:tcW w:w="736" w:type="pct"/>
            <w:vAlign w:val="center"/>
          </w:tcPr>
          <w:p w14:paraId="4F8D36E7" w14:textId="6411A9CF" w:rsidR="003D2941" w:rsidRPr="00287925"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39,919</w:t>
            </w:r>
          </w:p>
        </w:tc>
        <w:tc>
          <w:tcPr>
            <w:tcW w:w="776" w:type="pct"/>
            <w:vAlign w:val="center"/>
          </w:tcPr>
          <w:p w14:paraId="778020B2" w14:textId="32E880B5" w:rsidR="003D2941" w:rsidRPr="00287925"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60%</w:t>
            </w:r>
          </w:p>
        </w:tc>
        <w:tc>
          <w:tcPr>
            <w:tcW w:w="913" w:type="pct"/>
            <w:vAlign w:val="center"/>
          </w:tcPr>
          <w:p w14:paraId="09733245" w14:textId="044D092F" w:rsidR="003D2941" w:rsidRPr="00287925"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66,514</w:t>
            </w:r>
          </w:p>
        </w:tc>
      </w:tr>
      <w:tr w:rsidR="003D2941" w:rsidRPr="00325EF7" w14:paraId="2EAF6A7C" w14:textId="77777777" w:rsidTr="00D75502">
        <w:trPr>
          <w:trHeight w:val="348"/>
        </w:trPr>
        <w:tc>
          <w:tcPr>
            <w:cnfStyle w:val="001000000000" w:firstRow="0" w:lastRow="0" w:firstColumn="1" w:lastColumn="0" w:oddVBand="0" w:evenVBand="0" w:oddHBand="0" w:evenHBand="0" w:firstRowFirstColumn="0" w:firstRowLastColumn="0" w:lastRowFirstColumn="0" w:lastRowLastColumn="0"/>
            <w:tcW w:w="1105" w:type="pct"/>
          </w:tcPr>
          <w:p w14:paraId="3D9415AD" w14:textId="6C0FDBB9" w:rsidR="003D2941" w:rsidRPr="00325EF7" w:rsidRDefault="003D2941" w:rsidP="003D2941">
            <w:pPr>
              <w:ind w:left="-142" w:firstLine="142"/>
            </w:pPr>
            <w:r w:rsidRPr="00167911">
              <w:t>1 July 2018 to 30 June 2019</w:t>
            </w:r>
          </w:p>
        </w:tc>
        <w:tc>
          <w:tcPr>
            <w:tcW w:w="948" w:type="pct"/>
            <w:vAlign w:val="center"/>
          </w:tcPr>
          <w:p w14:paraId="75106B94" w14:textId="5DEE0AEE" w:rsidR="003D2941" w:rsidRPr="009D5C46"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129,133</w:t>
            </w:r>
          </w:p>
        </w:tc>
        <w:tc>
          <w:tcPr>
            <w:tcW w:w="522" w:type="pct"/>
            <w:vAlign w:val="center"/>
          </w:tcPr>
          <w:p w14:paraId="11FC15E3" w14:textId="1026312B" w:rsidR="003D2941" w:rsidRPr="009D5C46"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43%</w:t>
            </w:r>
          </w:p>
        </w:tc>
        <w:tc>
          <w:tcPr>
            <w:tcW w:w="736" w:type="pct"/>
            <w:vAlign w:val="center"/>
          </w:tcPr>
          <w:p w14:paraId="0EE06887" w14:textId="2438F6E5" w:rsidR="003D2941" w:rsidRPr="009D5C46"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172,430</w:t>
            </w:r>
          </w:p>
        </w:tc>
        <w:tc>
          <w:tcPr>
            <w:tcW w:w="776" w:type="pct"/>
            <w:vAlign w:val="center"/>
          </w:tcPr>
          <w:p w14:paraId="5216CC52" w14:textId="3864727A" w:rsidR="003D2941" w:rsidRPr="009D5C46"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57%</w:t>
            </w:r>
          </w:p>
        </w:tc>
        <w:tc>
          <w:tcPr>
            <w:tcW w:w="913" w:type="pct"/>
            <w:vAlign w:val="center"/>
          </w:tcPr>
          <w:p w14:paraId="4FA9585B" w14:textId="00889082" w:rsidR="003D2941" w:rsidRPr="009D5C46"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D5C46">
              <w:rPr>
                <w:rFonts w:cs="Gill Sans MT"/>
                <w:color w:val="000000"/>
              </w:rPr>
              <w:t>301,563</w:t>
            </w:r>
          </w:p>
        </w:tc>
      </w:tr>
    </w:tbl>
    <w:p w14:paraId="2518F5FF" w14:textId="77777777" w:rsidR="00B84812" w:rsidRPr="008C625E" w:rsidRDefault="00B84812" w:rsidP="00B84812">
      <w:pPr>
        <w:ind w:left="-142"/>
      </w:pPr>
      <w:r w:rsidRPr="00325EF7">
        <w:t>Participation Reports and Provider Appointment Reports are rejected if the Department of Human Services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47CAA5C3" w14:textId="77777777" w:rsidR="00F2349F" w:rsidRDefault="00B84812" w:rsidP="00B84812">
      <w:pPr>
        <w:ind w:left="-142"/>
      </w:pPr>
      <w:r w:rsidRPr="008C625E">
        <w:t>Figures for “Participation Failure imposed” may differ from figures for “</w:t>
      </w:r>
      <w:r w:rsidR="00077329">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w:t>
      </w:r>
    </w:p>
    <w:p w14:paraId="49A1F3F4" w14:textId="6664E5A4" w:rsidR="00B84812" w:rsidRDefault="00B84812" w:rsidP="00B84812">
      <w:pPr>
        <w:ind w:left="-142"/>
      </w:pPr>
      <w:r w:rsidRPr="00D326F0">
        <w:t xml:space="preserve">Unemployment Non Payment Periods (UNPPs) are also excluded from the table as the majority of UNPPs are initiated by the Department of Human Services prior to the job seeker commencing in employment services. </w:t>
      </w:r>
      <w:r w:rsidR="003D35A6">
        <w:t>Table 11</w:t>
      </w:r>
      <w:r w:rsidR="00A9033B">
        <w:t xml:space="preserve"> include</w:t>
      </w:r>
      <w:r w:rsidR="00077329">
        <w:t>s</w:t>
      </w:r>
      <w:r w:rsidRPr="00D326F0">
        <w:t xml:space="preserve"> Serious Failures f</w:t>
      </w:r>
      <w:r w:rsidR="00A9033B">
        <w:t>or persistent non-compliance as well as</w:t>
      </w:r>
      <w:r w:rsidRPr="00D326F0">
        <w:t xml:space="preserve"> UNPPs.</w:t>
      </w:r>
    </w:p>
    <w:p w14:paraId="6518B9F2" w14:textId="77777777" w:rsidR="00E55094" w:rsidRDefault="00E55094">
      <w:pPr>
        <w:spacing w:before="0"/>
        <w:ind w:left="0"/>
        <w:rPr>
          <w:rFonts w:ascii="Arial" w:eastAsiaTheme="majorEastAsia" w:hAnsi="Arial" w:cstheme="majorBidi"/>
          <w:b/>
          <w:bCs/>
          <w:szCs w:val="26"/>
        </w:rPr>
      </w:pPr>
      <w:bookmarkStart w:id="11" w:name="_Toc490635921"/>
      <w:r>
        <w:br w:type="page"/>
      </w:r>
    </w:p>
    <w:p w14:paraId="00A25EBF" w14:textId="6E20E6D6" w:rsidR="00954B8A" w:rsidRPr="00C70B7A" w:rsidRDefault="00954B8A" w:rsidP="00954B8A">
      <w:pPr>
        <w:pStyle w:val="Heading2"/>
        <w:numPr>
          <w:ilvl w:val="0"/>
          <w:numId w:val="0"/>
        </w:numPr>
        <w:spacing w:after="240"/>
        <w:ind w:left="709" w:hanging="709"/>
      </w:pPr>
      <w:bookmarkStart w:id="12" w:name="_Toc19281340"/>
      <w:r>
        <w:lastRenderedPageBreak/>
        <w:t>6b.</w:t>
      </w:r>
      <w:r>
        <w:tab/>
      </w:r>
      <w:r w:rsidRPr="007D74E1">
        <w:rPr>
          <w:i/>
        </w:rPr>
        <w:t xml:space="preserve">Participation Failures applied by the Department of Human Services due to unacceptable reasons given by job seekers for </w:t>
      </w:r>
      <w:r w:rsidR="009E0535" w:rsidRPr="007D74E1">
        <w:rPr>
          <w:i/>
        </w:rPr>
        <w:br/>
      </w:r>
      <w:r w:rsidRPr="007D74E1">
        <w:rPr>
          <w:i/>
        </w:rPr>
        <w:t>non-attendance</w:t>
      </w:r>
      <w:bookmarkEnd w:id="11"/>
      <w:bookmarkEnd w:id="12"/>
    </w:p>
    <w:tbl>
      <w:tblPr>
        <w:tblW w:w="15031" w:type="dxa"/>
        <w:tblInd w:w="106" w:type="dxa"/>
        <w:tblLayout w:type="fixed"/>
        <w:tblCellMar>
          <w:left w:w="0" w:type="dxa"/>
          <w:right w:w="0" w:type="dxa"/>
        </w:tblCellMar>
        <w:tblLook w:val="01E0" w:firstRow="1" w:lastRow="1" w:firstColumn="1" w:lastColumn="1" w:noHBand="0" w:noVBand="0"/>
        <w:tblCaption w:val="Failures applied by DHS due to unacceptable reasons given by job seekers for non-attendance"/>
        <w:tblDescription w:val="Failures applied by DHS due to unacceptable reasons given by job seekers for non-attendance"/>
      </w:tblPr>
      <w:tblGrid>
        <w:gridCol w:w="6071"/>
        <w:gridCol w:w="4047"/>
        <w:gridCol w:w="4913"/>
      </w:tblGrid>
      <w:tr w:rsidR="003F7D91" w:rsidRPr="00023622" w14:paraId="6B09AC41"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0197317"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1B6131EB" w14:textId="5B3F8987" w:rsidR="003F7D91" w:rsidRPr="00023622" w:rsidRDefault="003F7D91" w:rsidP="00AF49CE">
            <w:pPr>
              <w:pStyle w:val="TableParagraph"/>
              <w:spacing w:before="22"/>
              <w:jc w:val="center"/>
              <w:rPr>
                <w:rFonts w:ascii="Gill Sans MT" w:eastAsia="Gill Sans MT" w:hAnsi="Gill Sans MT" w:cs="Gill Sans MT"/>
              </w:rPr>
            </w:pPr>
            <w:r w:rsidRPr="00023622">
              <w:rPr>
                <w:rFonts w:ascii="Gill Sans MT"/>
                <w:b/>
              </w:rPr>
              <w:t>N</w:t>
            </w:r>
            <w:r w:rsidR="00AF49CE">
              <w:rPr>
                <w:rFonts w:ascii="Gill Sans MT"/>
                <w:b/>
              </w:rPr>
              <w:t>umber of</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7AC4CD6C"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3D2941" w:rsidRPr="00023622" w14:paraId="72E8B41E" w14:textId="77777777" w:rsidTr="003D294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6D223BE9" w14:textId="77777777" w:rsidR="003D2941" w:rsidRPr="00023622" w:rsidRDefault="003D2941" w:rsidP="003D2941">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5561550D" w14:textId="3E5DDABA" w:rsidR="003D2941" w:rsidRPr="00023622" w:rsidRDefault="003D2941" w:rsidP="003D2941">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1208B3DC" w14:textId="7DB39A56" w:rsidR="003D2941" w:rsidRPr="00023622" w:rsidRDefault="003D2941" w:rsidP="003D2941">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3D2941" w:rsidRPr="00023622" w14:paraId="268EC15A" w14:textId="77777777" w:rsidTr="003D294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452E1C0" w14:textId="77777777" w:rsidR="003D2941" w:rsidRPr="00023622" w:rsidRDefault="003D2941" w:rsidP="003D2941">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5AAB7085" w14:textId="6E1694C2" w:rsidR="003D2941" w:rsidRPr="00023622" w:rsidRDefault="003D2941" w:rsidP="003D2941">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7E087C20" w14:textId="795545F5" w:rsidR="003D2941" w:rsidRPr="00023622" w:rsidRDefault="003D2941" w:rsidP="003D2941">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3D2941" w:rsidRPr="00023622" w14:paraId="1718BC49" w14:textId="77777777" w:rsidTr="003D294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D9C588F" w14:textId="77777777" w:rsidR="003D2941" w:rsidRPr="00023622" w:rsidRDefault="003D2941" w:rsidP="003D2941">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01FE4F01" w14:textId="3F252271" w:rsidR="003D2941" w:rsidRPr="00023622" w:rsidRDefault="003D2941" w:rsidP="003D2941">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14297FCE" w14:textId="0F12F7F0" w:rsidR="003D2941" w:rsidRPr="00023622" w:rsidRDefault="003D2941" w:rsidP="003D2941">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3D2941" w:rsidRPr="00023622" w14:paraId="1B65F094" w14:textId="77777777" w:rsidTr="003D294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2AFBFAB6" w14:textId="77777777" w:rsidR="003D2941" w:rsidRPr="00023622" w:rsidRDefault="003D2941" w:rsidP="003D2941">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FCDE8D1" w14:textId="3B76E792" w:rsidR="003D2941" w:rsidRPr="00023622" w:rsidRDefault="003D2941" w:rsidP="003D2941">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39696574" w14:textId="53CDA240" w:rsidR="003D2941" w:rsidRPr="00023622" w:rsidRDefault="003D2941" w:rsidP="003D2941">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3D2941" w:rsidRPr="00023622" w14:paraId="63EC2653" w14:textId="77777777" w:rsidTr="003D294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30CB24A6" w14:textId="77777777" w:rsidR="003D2941" w:rsidRPr="00023622" w:rsidRDefault="003D2941" w:rsidP="003D2941">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7C49C7B2" w14:textId="7145AF49" w:rsidR="003D2941" w:rsidRPr="00023622" w:rsidRDefault="003D2941" w:rsidP="003D2941">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357EFE3C" w14:textId="4105EECC" w:rsidR="003D2941" w:rsidRPr="00023622" w:rsidRDefault="003D2941" w:rsidP="003D2941">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3D2941" w:rsidRPr="00023622" w14:paraId="02C98C73" w14:textId="77777777" w:rsidTr="003D294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58738E2" w14:textId="77777777" w:rsidR="003D2941" w:rsidRPr="00023622" w:rsidRDefault="003D2941" w:rsidP="003D2941">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5F9E242B" w14:textId="71F43281" w:rsidR="003D2941" w:rsidRPr="00023622" w:rsidRDefault="003D2941" w:rsidP="003D2941">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50DE7F61" w14:textId="6ADB2898" w:rsidR="003D2941" w:rsidRPr="00023622" w:rsidRDefault="003D2941" w:rsidP="003D2941">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3D2941" w:rsidRPr="00023622" w14:paraId="5F266FAD" w14:textId="77777777" w:rsidTr="003D294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091DD3F3" w14:textId="77777777" w:rsidR="003D2941" w:rsidRPr="00023622" w:rsidRDefault="003D2941" w:rsidP="003D2941">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858BF49" w14:textId="519BA64D" w:rsidR="003D2941" w:rsidRPr="00023622" w:rsidRDefault="003D2941" w:rsidP="003D2941">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5FAF3238" w14:textId="512C94D0" w:rsidR="003D2941" w:rsidRPr="00023622" w:rsidRDefault="003D2941" w:rsidP="003D2941">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3D2941" w:rsidRPr="00023622" w14:paraId="5ECE66F8" w14:textId="77777777" w:rsidTr="003D294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9717D0" w14:textId="77777777" w:rsidR="003D2941" w:rsidRPr="00023622" w:rsidRDefault="003D2941" w:rsidP="003D2941">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1F7969D8" w14:textId="6715FA66" w:rsidR="003D2941" w:rsidRPr="00023622" w:rsidRDefault="003D2941" w:rsidP="003D2941">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0FDE50CC" w14:textId="12A0D72A" w:rsidR="003D2941" w:rsidRPr="00023622" w:rsidRDefault="003D2941" w:rsidP="003D2941">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3D2941" w:rsidRPr="00023622" w14:paraId="1ABAB5C5" w14:textId="77777777" w:rsidTr="003D294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2F510F29" w14:textId="77777777" w:rsidR="003D2941" w:rsidRPr="00023622" w:rsidRDefault="003D2941" w:rsidP="003D2941">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53BF7448" w14:textId="53AB0B51" w:rsidR="003D2941" w:rsidRPr="00023622" w:rsidRDefault="003D2941" w:rsidP="003D2941">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72DCC692" w14:textId="0BBE47DA" w:rsidR="003D2941" w:rsidRPr="00023622" w:rsidRDefault="003D2941" w:rsidP="003D2941">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3D2941" w:rsidRPr="00023622" w14:paraId="28A7B910" w14:textId="77777777" w:rsidTr="003D294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07DBFB3F" w14:textId="77777777" w:rsidR="003D2941" w:rsidRPr="00023622" w:rsidRDefault="003D2941" w:rsidP="003D2941">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1D42479A" w14:textId="56C1A743" w:rsidR="003D2941" w:rsidRPr="00023622" w:rsidRDefault="003D2941" w:rsidP="003D2941">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12C19CC4" w14:textId="60F68DB5" w:rsidR="003D2941" w:rsidRPr="00023622" w:rsidRDefault="003D2941" w:rsidP="003D2941">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3D2941" w:rsidRPr="00023622" w14:paraId="5A9FE427" w14:textId="77777777" w:rsidTr="003D294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5735495" w14:textId="77777777" w:rsidR="003D2941" w:rsidRPr="00023622" w:rsidRDefault="003D2941" w:rsidP="003D2941">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7480B3B0" w14:textId="08098416" w:rsidR="003D2941" w:rsidRPr="00023622" w:rsidRDefault="003D2941" w:rsidP="003D2941">
            <w:pPr>
              <w:pStyle w:val="TableParagraph"/>
              <w:spacing w:before="22"/>
              <w:ind w:left="4"/>
              <w:jc w:val="center"/>
              <w:rPr>
                <w:rFonts w:ascii="Gill Sans MT" w:eastAsia="Gill Sans MT" w:hAnsi="Gill Sans MT" w:cs="Gill Sans MT"/>
              </w:rPr>
            </w:pPr>
            <w:r>
              <w:rPr>
                <w:rFonts w:ascii="Gill Sans MT" w:eastAsia="Gill Sans MT" w:hAnsi="Gill Sans MT" w:cs="Gill Sans MT"/>
              </w:rPr>
              <w:t>18</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087A65CB" w14:textId="468B5201" w:rsidR="003D2941" w:rsidRPr="00023622" w:rsidRDefault="003D2941" w:rsidP="003D2941">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&lt;1%</w:t>
            </w:r>
          </w:p>
        </w:tc>
      </w:tr>
      <w:tr w:rsidR="003D2941" w:rsidRPr="00023622" w14:paraId="48540463" w14:textId="77777777" w:rsidTr="003D294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30089FA" w14:textId="77777777" w:rsidR="003D2941" w:rsidRPr="00023622" w:rsidRDefault="003D2941" w:rsidP="003D2941">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06BA258C" w14:textId="1F50CFD0" w:rsidR="003D2941" w:rsidRPr="00023622" w:rsidRDefault="003D2941" w:rsidP="003D2941">
            <w:pPr>
              <w:pStyle w:val="TableParagraph"/>
              <w:spacing w:before="20"/>
              <w:ind w:left="4"/>
              <w:jc w:val="center"/>
              <w:rPr>
                <w:rFonts w:ascii="Gill Sans MT" w:eastAsia="Gill Sans MT" w:hAnsi="Gill Sans MT" w:cs="Gill Sans MT"/>
              </w:rPr>
            </w:pPr>
            <w:r>
              <w:rPr>
                <w:rFonts w:ascii="Gill Sans MT" w:eastAsia="Gill Sans MT" w:hAnsi="Gill Sans MT" w:cs="Gill Sans MT"/>
              </w:rPr>
              <w:t>26,577</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2E3F2AA7" w14:textId="4BEE6537" w:rsidR="003D2941" w:rsidRPr="00023622" w:rsidRDefault="003D2941" w:rsidP="003D2941">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100%</w:t>
            </w:r>
          </w:p>
        </w:tc>
      </w:tr>
      <w:tr w:rsidR="003D2941" w:rsidRPr="00023622" w14:paraId="5F94967E" w14:textId="77777777" w:rsidTr="003D294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5A391AE3" w14:textId="77777777" w:rsidR="003D2941" w:rsidRPr="00023622" w:rsidRDefault="003D2941" w:rsidP="003D2941">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BC956E5" w14:textId="325FE1A0" w:rsidR="003D2941" w:rsidRPr="00023622" w:rsidRDefault="003D2941" w:rsidP="003D2941">
            <w:pPr>
              <w:pStyle w:val="TableParagraph"/>
              <w:spacing w:before="15"/>
              <w:ind w:left="5"/>
              <w:jc w:val="center"/>
              <w:rPr>
                <w:rFonts w:ascii="Gill Sans MT" w:eastAsia="Gill Sans MT" w:hAnsi="Gill Sans MT" w:cs="Gill Sans MT"/>
              </w:rPr>
            </w:pPr>
            <w:r>
              <w:rPr>
                <w:rFonts w:ascii="Gill Sans MT" w:eastAsia="Gill Sans MT" w:hAnsi="Gill Sans MT" w:cs="Gill Sans MT"/>
              </w:rPr>
              <w:t>26,595</w:t>
            </w:r>
          </w:p>
        </w:tc>
        <w:tc>
          <w:tcPr>
            <w:tcW w:w="4913" w:type="dxa"/>
            <w:tcBorders>
              <w:top w:val="single" w:sz="5" w:space="0" w:color="000000"/>
              <w:left w:val="single" w:sz="5" w:space="0" w:color="000000"/>
              <w:bottom w:val="single" w:sz="5" w:space="0" w:color="000000"/>
              <w:right w:val="single" w:sz="5" w:space="0" w:color="000000"/>
            </w:tcBorders>
            <w:shd w:val="clear" w:color="auto" w:fill="auto"/>
          </w:tcPr>
          <w:p w14:paraId="561786A0" w14:textId="0C9C365D" w:rsidR="003D2941" w:rsidRPr="00023622" w:rsidRDefault="003D2941" w:rsidP="003D2941">
            <w:pPr>
              <w:pStyle w:val="TableParagraph"/>
              <w:spacing w:before="15"/>
              <w:ind w:left="6"/>
              <w:jc w:val="center"/>
              <w:rPr>
                <w:rFonts w:ascii="Gill Sans MT" w:eastAsia="Gill Sans MT" w:hAnsi="Gill Sans MT" w:cs="Gill Sans MT"/>
              </w:rPr>
            </w:pPr>
            <w:r w:rsidRPr="00B34C0B">
              <w:rPr>
                <w:rFonts w:ascii="Gill Sans MT" w:eastAsia="Gill Sans MT" w:hAnsi="Gill Sans MT" w:cs="Gill Sans MT"/>
              </w:rPr>
              <w:t>100%</w:t>
            </w:r>
          </w:p>
        </w:tc>
      </w:tr>
    </w:tbl>
    <w:p w14:paraId="625E4EF7"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Reasons are recorded where the failure is for non-attendance at appointments with the Department of Human Services, third party appointments, with employers or for non-attendance at activities.</w:t>
      </w:r>
      <w:r w:rsidRPr="00325EF7">
        <w:t xml:space="preserve"> </w:t>
      </w:r>
    </w:p>
    <w:p w14:paraId="570848D9"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the Department of Human Services</w:t>
      </w:r>
    </w:p>
    <w:p w14:paraId="4A215FE7" w14:textId="77777777" w:rsidR="005102B2" w:rsidRDefault="00954B8A" w:rsidP="005102B2">
      <w:pPr>
        <w:spacing w:before="240" w:after="240" w:line="240" w:lineRule="auto"/>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Pr="00325EF7">
        <w:t xml:space="preserve"> gives the types of excuses that job seekers provided to the Department of Human Services and which the Department of Human Services did not accept as reasonable in the specific circumstances of each case. </w:t>
      </w:r>
      <w:r w:rsidRPr="00A64073">
        <w:t>In these instances, the Department of Human Services</w:t>
      </w:r>
      <w:r>
        <w:t>’</w:t>
      </w:r>
      <w:r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412C5706" w14:textId="0C6CEF34" w:rsidR="001B60AF" w:rsidRDefault="001B60AF" w:rsidP="005102B2">
      <w:pPr>
        <w:spacing w:before="240" w:after="240" w:line="240" w:lineRule="auto"/>
        <w:ind w:left="-142"/>
      </w:pPr>
      <w:r>
        <w:lastRenderedPageBreak/>
        <w:t xml:space="preserve">Note: </w:t>
      </w:r>
      <w:r w:rsidRPr="00325EF7">
        <w:t>Discrepancies m</w:t>
      </w:r>
      <w:r>
        <w:t xml:space="preserve">ay occur between the sum of </w:t>
      </w:r>
      <w:r w:rsidRPr="00325EF7">
        <w:t>component percentages and the total percentage, due to rounding.</w:t>
      </w:r>
    </w:p>
    <w:p w14:paraId="4077F38F" w14:textId="5DE6E579" w:rsidR="00CF167F" w:rsidRPr="00C936DE" w:rsidRDefault="00CF167F" w:rsidP="00CF167F">
      <w:pPr>
        <w:pStyle w:val="Heading2"/>
        <w:numPr>
          <w:ilvl w:val="0"/>
          <w:numId w:val="0"/>
        </w:numPr>
        <w:spacing w:after="240"/>
      </w:pPr>
      <w:bookmarkStart w:id="13" w:name="_Toc490635922"/>
      <w:bookmarkStart w:id="14" w:name="_Toc19281341"/>
      <w:r>
        <w:t>6</w:t>
      </w:r>
      <w:r w:rsidR="00954B8A">
        <w:t>c</w:t>
      </w:r>
      <w:r>
        <w:t>.</w:t>
      </w:r>
      <w:r>
        <w:tab/>
      </w:r>
      <w:r w:rsidRPr="007D74E1">
        <w:rPr>
          <w:i/>
        </w:rPr>
        <w:t>Department of Human Services’ reasons for applying Provider Appointment Reports or Participation Reports</w:t>
      </w:r>
      <w:bookmarkEnd w:id="13"/>
      <w:bookmarkEnd w:id="14"/>
    </w:p>
    <w:tbl>
      <w:tblPr>
        <w:tblStyle w:val="CenterAlignTable"/>
        <w:tblW w:w="11892" w:type="dxa"/>
        <w:tblInd w:w="108" w:type="dxa"/>
        <w:tblLayout w:type="fixed"/>
        <w:tblLook w:val="06A0" w:firstRow="1" w:lastRow="0" w:firstColumn="1" w:lastColumn="0" w:noHBand="1" w:noVBand="1"/>
        <w:tblCaption w:val="DHS reasons for applying Participation Reports"/>
        <w:tblDescription w:val="DHS reasons for applying Participation Reports"/>
      </w:tblPr>
      <w:tblGrid>
        <w:gridCol w:w="3261"/>
        <w:gridCol w:w="1275"/>
        <w:gridCol w:w="1134"/>
        <w:gridCol w:w="1134"/>
        <w:gridCol w:w="1276"/>
        <w:gridCol w:w="1276"/>
        <w:gridCol w:w="1133"/>
        <w:gridCol w:w="1403"/>
      </w:tblGrid>
      <w:tr w:rsidR="00EB70CC" w:rsidRPr="00325EF7" w14:paraId="356FCA23" w14:textId="77777777" w:rsidTr="00EB70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val="restart"/>
            <w:vAlign w:val="center"/>
          </w:tcPr>
          <w:p w14:paraId="54C78E7D" w14:textId="77777777" w:rsidR="00EB70CC" w:rsidRPr="00325EF7" w:rsidRDefault="00EB70CC" w:rsidP="00CF167F">
            <w:pPr>
              <w:ind w:left="0"/>
              <w:jc w:val="left"/>
            </w:pPr>
          </w:p>
        </w:tc>
        <w:tc>
          <w:tcPr>
            <w:tcW w:w="7228" w:type="dxa"/>
            <w:gridSpan w:val="6"/>
            <w:vAlign w:val="center"/>
          </w:tcPr>
          <w:p w14:paraId="06B22D93"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of reasonable excuse for non-attendance required</w:t>
            </w:r>
          </w:p>
        </w:tc>
        <w:tc>
          <w:tcPr>
            <w:tcW w:w="1403" w:type="dxa"/>
            <w:vMerge w:val="restart"/>
            <w:vAlign w:val="center"/>
          </w:tcPr>
          <w:p w14:paraId="00ED94BD"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Total Applied</w:t>
            </w:r>
          </w:p>
        </w:tc>
      </w:tr>
      <w:tr w:rsidR="00EB70CC" w:rsidRPr="00325EF7" w14:paraId="2D1A8BF7" w14:textId="77777777" w:rsidTr="00EB70CC">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1CAA7264" w14:textId="77777777" w:rsidR="00EB70CC" w:rsidRPr="00325EF7" w:rsidRDefault="00EB70CC" w:rsidP="00CF167F">
            <w:pPr>
              <w:ind w:left="-142" w:firstLine="142"/>
            </w:pPr>
          </w:p>
        </w:tc>
        <w:tc>
          <w:tcPr>
            <w:tcW w:w="2409" w:type="dxa"/>
            <w:gridSpan w:val="2"/>
            <w:vAlign w:val="center"/>
          </w:tcPr>
          <w:p w14:paraId="51F324D1"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 reasonable excuse</w:t>
            </w:r>
          </w:p>
        </w:tc>
        <w:tc>
          <w:tcPr>
            <w:tcW w:w="2410" w:type="dxa"/>
            <w:gridSpan w:val="2"/>
            <w:vAlign w:val="center"/>
          </w:tcPr>
          <w:p w14:paraId="77D8527E"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 no reasonable excuse</w:t>
            </w:r>
          </w:p>
        </w:tc>
        <w:tc>
          <w:tcPr>
            <w:tcW w:w="2409" w:type="dxa"/>
            <w:gridSpan w:val="2"/>
            <w:vAlign w:val="center"/>
          </w:tcPr>
          <w:p w14:paraId="40E1B38B"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Prior notice given </w:t>
            </w:r>
            <w:r>
              <w:t xml:space="preserve">or not relevant, </w:t>
            </w:r>
            <w:r w:rsidRPr="00325EF7">
              <w:t>but no reasonable excuse</w:t>
            </w:r>
          </w:p>
        </w:tc>
        <w:tc>
          <w:tcPr>
            <w:tcW w:w="1403" w:type="dxa"/>
            <w:vMerge/>
            <w:vAlign w:val="center"/>
          </w:tcPr>
          <w:p w14:paraId="1649ED1F"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p>
        </w:tc>
      </w:tr>
      <w:tr w:rsidR="00EB70CC" w:rsidRPr="00325EF7" w14:paraId="04E5D0BA" w14:textId="77777777" w:rsidTr="00EB70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6E784411" w14:textId="77777777" w:rsidR="00EB70CC" w:rsidRPr="00325EF7" w:rsidRDefault="00EB70CC" w:rsidP="00CF167F">
            <w:pPr>
              <w:ind w:left="-142" w:firstLine="142"/>
            </w:pPr>
          </w:p>
        </w:tc>
        <w:tc>
          <w:tcPr>
            <w:tcW w:w="1275" w:type="dxa"/>
          </w:tcPr>
          <w:p w14:paraId="16D82901"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134" w:type="dxa"/>
          </w:tcPr>
          <w:p w14:paraId="7DA9C355"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74B78804"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276" w:type="dxa"/>
          </w:tcPr>
          <w:p w14:paraId="3FE9F046"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0CB379C9"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133" w:type="dxa"/>
          </w:tcPr>
          <w:p w14:paraId="5C53CB04"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03" w:type="dxa"/>
          </w:tcPr>
          <w:p w14:paraId="145B129D"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3D2941" w:rsidRPr="00325EF7" w14:paraId="5C2749FF" w14:textId="77777777" w:rsidTr="00EB70CC">
        <w:trPr>
          <w:trHeight w:val="39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7F85322E" w14:textId="10D1682E" w:rsidR="003D2941" w:rsidRPr="00325EF7" w:rsidRDefault="003D2941" w:rsidP="003D2941">
            <w:pPr>
              <w:ind w:left="-142" w:firstLine="142"/>
            </w:pPr>
            <w:r>
              <w:t>1 April to 30 June 2019</w:t>
            </w:r>
          </w:p>
        </w:tc>
        <w:tc>
          <w:tcPr>
            <w:tcW w:w="1275" w:type="dxa"/>
            <w:vAlign w:val="center"/>
          </w:tcPr>
          <w:p w14:paraId="33E2FAE9" w14:textId="66804BC7" w:rsidR="003D2941" w:rsidRPr="00FE7CCB"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26,577</w:t>
            </w:r>
          </w:p>
        </w:tc>
        <w:tc>
          <w:tcPr>
            <w:tcW w:w="1134" w:type="dxa"/>
            <w:vAlign w:val="center"/>
          </w:tcPr>
          <w:p w14:paraId="25C07B36" w14:textId="792E06C0" w:rsidR="003D2941" w:rsidRPr="00FE7CCB"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c>
          <w:tcPr>
            <w:tcW w:w="1134" w:type="dxa"/>
            <w:vAlign w:val="center"/>
          </w:tcPr>
          <w:p w14:paraId="644393CB" w14:textId="436C6926" w:rsidR="003D2941" w:rsidRPr="00FE7CCB"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0F89B009" w14:textId="00449158" w:rsidR="003D2941" w:rsidRPr="00FE7CCB"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0330237" w14:textId="4F4DF4C2" w:rsidR="003D2941" w:rsidRPr="00FE7CCB"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w:t>
            </w:r>
          </w:p>
        </w:tc>
        <w:tc>
          <w:tcPr>
            <w:tcW w:w="1133" w:type="dxa"/>
            <w:vAlign w:val="center"/>
          </w:tcPr>
          <w:p w14:paraId="2FE8D39E" w14:textId="122CA8A6" w:rsidR="003D2941" w:rsidRPr="00FE7CCB"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&lt;1%</w:t>
            </w:r>
          </w:p>
        </w:tc>
        <w:tc>
          <w:tcPr>
            <w:tcW w:w="1403" w:type="dxa"/>
            <w:vAlign w:val="center"/>
          </w:tcPr>
          <w:p w14:paraId="40E2E992" w14:textId="22CC0189" w:rsidR="003D2941" w:rsidRPr="00FE7CCB"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26,595</w:t>
            </w:r>
          </w:p>
        </w:tc>
      </w:tr>
      <w:tr w:rsidR="003D2941" w:rsidRPr="00325EF7" w14:paraId="7B16E482" w14:textId="77777777" w:rsidTr="003D2941">
        <w:trPr>
          <w:trHeight w:val="395"/>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04680127" w14:textId="6E5F4D61" w:rsidR="003D2941" w:rsidRDefault="003D2941" w:rsidP="003D2941">
            <w:pPr>
              <w:ind w:left="-142" w:firstLine="142"/>
            </w:pPr>
            <w:r w:rsidRPr="00167911">
              <w:t>1 July 2018 to 30 June 2019</w:t>
            </w:r>
          </w:p>
        </w:tc>
        <w:tc>
          <w:tcPr>
            <w:tcW w:w="1275" w:type="dxa"/>
            <w:shd w:val="clear" w:color="auto" w:fill="auto"/>
            <w:vAlign w:val="center"/>
          </w:tcPr>
          <w:p w14:paraId="2500E161" w14:textId="061C395E" w:rsidR="003D2941"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128,995</w:t>
            </w:r>
          </w:p>
        </w:tc>
        <w:tc>
          <w:tcPr>
            <w:tcW w:w="1134" w:type="dxa"/>
            <w:shd w:val="clear" w:color="auto" w:fill="auto"/>
            <w:vAlign w:val="center"/>
          </w:tcPr>
          <w:p w14:paraId="2DD30029" w14:textId="03D18E23" w:rsidR="003D2941"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c>
          <w:tcPr>
            <w:tcW w:w="1134" w:type="dxa"/>
            <w:shd w:val="clear" w:color="auto" w:fill="auto"/>
            <w:vAlign w:val="center"/>
          </w:tcPr>
          <w:p w14:paraId="12B9E809" w14:textId="19469707" w:rsidR="003D2941"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shd w:val="clear" w:color="auto" w:fill="auto"/>
            <w:vAlign w:val="center"/>
          </w:tcPr>
          <w:p w14:paraId="01074B29" w14:textId="441CB7DE" w:rsidR="003D2941"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shd w:val="clear" w:color="auto" w:fill="auto"/>
            <w:vAlign w:val="center"/>
          </w:tcPr>
          <w:p w14:paraId="0FDB059E" w14:textId="1CC68EB3" w:rsidR="003D2941"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138</w:t>
            </w:r>
          </w:p>
        </w:tc>
        <w:tc>
          <w:tcPr>
            <w:tcW w:w="1133" w:type="dxa"/>
            <w:shd w:val="clear" w:color="auto" w:fill="auto"/>
            <w:vAlign w:val="center"/>
          </w:tcPr>
          <w:p w14:paraId="607327D5" w14:textId="085D34B5" w:rsidR="003D2941"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&lt;1%</w:t>
            </w:r>
          </w:p>
        </w:tc>
        <w:tc>
          <w:tcPr>
            <w:tcW w:w="1403" w:type="dxa"/>
            <w:shd w:val="clear" w:color="auto" w:fill="auto"/>
            <w:vAlign w:val="center"/>
          </w:tcPr>
          <w:p w14:paraId="3CCC0CE1" w14:textId="7ABBC8C2" w:rsidR="003D2941"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129,133</w:t>
            </w:r>
          </w:p>
        </w:tc>
      </w:tr>
    </w:tbl>
    <w:p w14:paraId="6A4EB22C" w14:textId="1699588E"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68162975" w14:textId="77777777" w:rsidR="00CF167F" w:rsidRDefault="00CF167F" w:rsidP="00F423C3">
      <w:pPr>
        <w:pStyle w:val="ListParagraph"/>
        <w:numPr>
          <w:ilvl w:val="0"/>
          <w:numId w:val="6"/>
        </w:numPr>
        <w:spacing w:before="0" w:after="120" w:line="240" w:lineRule="auto"/>
      </w:pPr>
      <w:r w:rsidRPr="00325EF7">
        <w:t xml:space="preserve">they failed to give prior notice of a reasonable excuse for not attending an appointment or activity; </w:t>
      </w:r>
    </w:p>
    <w:p w14:paraId="354167CA" w14:textId="77777777" w:rsidR="00CF167F" w:rsidRDefault="00CF167F" w:rsidP="00F423C3">
      <w:pPr>
        <w:pStyle w:val="ListParagraph"/>
        <w:numPr>
          <w:ilvl w:val="0"/>
          <w:numId w:val="6"/>
        </w:numPr>
        <w:spacing w:before="0" w:after="120" w:line="240" w:lineRule="auto"/>
      </w:pPr>
      <w:r w:rsidRPr="00325EF7">
        <w:t xml:space="preserve">they gave prior notice but their excuse was not accepted by the Department of Human Services as reasonable; or </w:t>
      </w:r>
    </w:p>
    <w:p w14:paraId="293774A5" w14:textId="77777777" w:rsidR="00CF167F" w:rsidRPr="00325EF7" w:rsidRDefault="00CF167F" w:rsidP="00F423C3">
      <w:pPr>
        <w:pStyle w:val="ListParagraph"/>
        <w:numPr>
          <w:ilvl w:val="0"/>
          <w:numId w:val="6"/>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4F82A3A0" w14:textId="4F4A1F28"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61CC081D" w14:textId="77777777" w:rsidR="00CF167F" w:rsidRDefault="00CF167F" w:rsidP="00CF167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should be applied.</w:t>
      </w:r>
    </w:p>
    <w:p w14:paraId="16D58B34" w14:textId="43A1E9E4" w:rsidR="00B84812" w:rsidRDefault="00CF167F" w:rsidP="00B51AA6">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1949FB1F" w14:textId="77777777" w:rsidR="00366AB0" w:rsidRPr="00366AB0" w:rsidRDefault="006D18C4" w:rsidP="00366AB0">
      <w:pPr>
        <w:pStyle w:val="Heading2"/>
        <w:numPr>
          <w:ilvl w:val="0"/>
          <w:numId w:val="0"/>
        </w:numPr>
        <w:spacing w:after="240"/>
      </w:pPr>
      <w:bookmarkStart w:id="15" w:name="_Toc19281342"/>
      <w:r>
        <w:lastRenderedPageBreak/>
        <w:t>6</w:t>
      </w:r>
      <w:r w:rsidR="00954B8A">
        <w:t>d</w:t>
      </w:r>
      <w:r w:rsidR="00970C39">
        <w:t>.</w:t>
      </w:r>
      <w:r w:rsidR="00970C39">
        <w:tab/>
      </w:r>
      <w:r w:rsidR="005D34B6" w:rsidRPr="007D74E1">
        <w:rPr>
          <w:i/>
        </w:rPr>
        <w:t>Department of Human Services</w:t>
      </w:r>
      <w:r w:rsidR="0057581F" w:rsidRPr="007D74E1">
        <w:rPr>
          <w:i/>
        </w:rPr>
        <w:t>’</w:t>
      </w:r>
      <w:r w:rsidR="0032395B" w:rsidRPr="007D74E1">
        <w:rPr>
          <w:i/>
        </w:rPr>
        <w:t xml:space="preserve"> reasons fo</w:t>
      </w:r>
      <w:r w:rsidR="0087481C" w:rsidRPr="007D74E1">
        <w:rPr>
          <w:i/>
        </w:rPr>
        <w:t>r</w:t>
      </w:r>
      <w:r w:rsidR="0032395B" w:rsidRPr="007D74E1">
        <w:rPr>
          <w:i/>
        </w:rPr>
        <w:t xml:space="preserve"> rejecting </w:t>
      </w:r>
      <w:r w:rsidR="00CC3CBA" w:rsidRPr="007D74E1">
        <w:rPr>
          <w:i/>
        </w:rPr>
        <w:t xml:space="preserve">Provider Appointment Reports </w:t>
      </w:r>
      <w:r w:rsidR="000C5CB6" w:rsidRPr="007D74E1">
        <w:rPr>
          <w:i/>
        </w:rPr>
        <w:t xml:space="preserve">and </w:t>
      </w:r>
      <w:r w:rsidR="0032395B" w:rsidRPr="007D74E1">
        <w:rPr>
          <w:i/>
        </w:rPr>
        <w:t>Participation Reports</w:t>
      </w:r>
      <w:bookmarkEnd w:id="15"/>
    </w:p>
    <w:tbl>
      <w:tblPr>
        <w:tblStyle w:val="CenterAlignTable"/>
        <w:tblW w:w="15026"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3119"/>
        <w:gridCol w:w="1134"/>
        <w:gridCol w:w="992"/>
        <w:gridCol w:w="1843"/>
        <w:gridCol w:w="1843"/>
        <w:gridCol w:w="2835"/>
        <w:gridCol w:w="1134"/>
        <w:gridCol w:w="850"/>
        <w:gridCol w:w="1276"/>
      </w:tblGrid>
      <w:tr w:rsidR="003E314C" w:rsidRPr="00325EF7" w14:paraId="5F5381BC"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val="restart"/>
            <w:vAlign w:val="center"/>
          </w:tcPr>
          <w:p w14:paraId="463394B3" w14:textId="7194B075" w:rsidR="003E314C" w:rsidRPr="00325EF7" w:rsidRDefault="003E314C" w:rsidP="00F74E10">
            <w:pPr>
              <w:ind w:left="0"/>
              <w:jc w:val="left"/>
            </w:pPr>
          </w:p>
        </w:tc>
        <w:tc>
          <w:tcPr>
            <w:tcW w:w="2126" w:type="dxa"/>
            <w:gridSpan w:val="2"/>
            <w:vMerge w:val="restart"/>
          </w:tcPr>
          <w:p w14:paraId="43DC78F5"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Job seeker had reasonable excuse</w:t>
            </w:r>
          </w:p>
        </w:tc>
        <w:tc>
          <w:tcPr>
            <w:tcW w:w="6521" w:type="dxa"/>
            <w:gridSpan w:val="3"/>
          </w:tcPr>
          <w:p w14:paraId="7C19385A"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Procedural errors relating to:</w:t>
            </w:r>
          </w:p>
        </w:tc>
        <w:tc>
          <w:tcPr>
            <w:tcW w:w="1984" w:type="dxa"/>
            <w:gridSpan w:val="2"/>
            <w:vMerge w:val="restart"/>
          </w:tcPr>
          <w:p w14:paraId="6E93BD5E"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procedural errors</w:t>
            </w:r>
          </w:p>
        </w:tc>
        <w:tc>
          <w:tcPr>
            <w:tcW w:w="1276" w:type="dxa"/>
            <w:vMerge w:val="restart"/>
          </w:tcPr>
          <w:p w14:paraId="34D4B5E9"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Rejections</w:t>
            </w:r>
          </w:p>
        </w:tc>
      </w:tr>
      <w:tr w:rsidR="003E314C" w:rsidRPr="00325EF7" w14:paraId="042975AC"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tcPr>
          <w:p w14:paraId="21A4FE30" w14:textId="77777777" w:rsidR="003E314C" w:rsidRPr="00325EF7" w:rsidRDefault="003E314C" w:rsidP="00887E4E">
            <w:pPr>
              <w:ind w:left="-142" w:firstLine="142"/>
            </w:pPr>
          </w:p>
        </w:tc>
        <w:tc>
          <w:tcPr>
            <w:tcW w:w="2126" w:type="dxa"/>
            <w:gridSpan w:val="2"/>
            <w:vMerge/>
          </w:tcPr>
          <w:p w14:paraId="51B838B3"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843" w:type="dxa"/>
          </w:tcPr>
          <w:p w14:paraId="23640CE3" w14:textId="77777777" w:rsidR="003E314C" w:rsidRPr="005339AE"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Nature of requirements</w:t>
            </w:r>
          </w:p>
        </w:tc>
        <w:tc>
          <w:tcPr>
            <w:tcW w:w="1843" w:type="dxa"/>
          </w:tcPr>
          <w:p w14:paraId="504F1C7B" w14:textId="77777777" w:rsidR="003E314C" w:rsidRPr="005339AE"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Notifying requirements</w:t>
            </w:r>
          </w:p>
        </w:tc>
        <w:tc>
          <w:tcPr>
            <w:tcW w:w="2835" w:type="dxa"/>
          </w:tcPr>
          <w:p w14:paraId="0604877C" w14:textId="77777777" w:rsidR="003E314C" w:rsidRPr="005339AE" w:rsidRDefault="003E314C" w:rsidP="005339AE">
            <w:pPr>
              <w:ind w:left="-142" w:firstLine="142"/>
              <w:cnfStyle w:val="100000000000" w:firstRow="1" w:lastRow="0" w:firstColumn="0" w:lastColumn="0" w:oddVBand="0" w:evenVBand="0" w:oddHBand="0" w:evenHBand="0" w:firstRowFirstColumn="0" w:firstRowLastColumn="0" w:lastRowFirstColumn="0" w:lastRowLastColumn="0"/>
            </w:pPr>
            <w:r w:rsidRPr="005339AE">
              <w:t>Submitting P</w:t>
            </w:r>
            <w:r>
              <w:t>rovider Appointment Reports and Participation Reports</w:t>
            </w:r>
          </w:p>
        </w:tc>
        <w:tc>
          <w:tcPr>
            <w:tcW w:w="1984" w:type="dxa"/>
            <w:gridSpan w:val="2"/>
            <w:vMerge/>
          </w:tcPr>
          <w:p w14:paraId="76CE49A1"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276" w:type="dxa"/>
            <w:vMerge/>
          </w:tcPr>
          <w:p w14:paraId="62EB9E6C"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3E314C" w:rsidRPr="00325EF7" w14:paraId="67FF7B2B"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tcPr>
          <w:p w14:paraId="4593F232" w14:textId="77777777" w:rsidR="003E314C" w:rsidRPr="00325EF7" w:rsidRDefault="003E314C" w:rsidP="00887E4E">
            <w:pPr>
              <w:ind w:left="-142" w:firstLine="142"/>
            </w:pPr>
          </w:p>
        </w:tc>
        <w:tc>
          <w:tcPr>
            <w:tcW w:w="1134" w:type="dxa"/>
          </w:tcPr>
          <w:p w14:paraId="57BF302B"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92" w:type="dxa"/>
          </w:tcPr>
          <w:p w14:paraId="5CA7D0D0"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2D02AAAF"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5A5ABD5C"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2835" w:type="dxa"/>
          </w:tcPr>
          <w:p w14:paraId="661F5EB1"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5C809832"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0" w:type="dxa"/>
          </w:tcPr>
          <w:p w14:paraId="4C5BA595"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72EC22C9"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3D2941" w:rsidRPr="00325EF7" w14:paraId="7BA07310" w14:textId="77777777" w:rsidTr="00305AF1">
        <w:trPr>
          <w:trHeight w:val="418"/>
        </w:trPr>
        <w:tc>
          <w:tcPr>
            <w:cnfStyle w:val="001000000000" w:firstRow="0" w:lastRow="0" w:firstColumn="1" w:lastColumn="0" w:oddVBand="0" w:evenVBand="0" w:oddHBand="0" w:evenHBand="0" w:firstRowFirstColumn="0" w:firstRowLastColumn="0" w:lastRowFirstColumn="0" w:lastRowLastColumn="0"/>
            <w:tcW w:w="3119" w:type="dxa"/>
          </w:tcPr>
          <w:p w14:paraId="4F250E17" w14:textId="70426C6A" w:rsidR="003D2941" w:rsidRPr="00325EF7" w:rsidRDefault="003E314C" w:rsidP="003D2941">
            <w:pPr>
              <w:ind w:left="-142" w:firstLine="142"/>
            </w:pPr>
            <w:r>
              <w:t>1 April to 30 June 2019</w:t>
            </w:r>
          </w:p>
        </w:tc>
        <w:tc>
          <w:tcPr>
            <w:tcW w:w="1134" w:type="dxa"/>
            <w:vAlign w:val="center"/>
          </w:tcPr>
          <w:p w14:paraId="5B9A70A7" w14:textId="60AE490C" w:rsidR="003D2941" w:rsidRPr="003330B9"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13,058</w:t>
            </w:r>
          </w:p>
        </w:tc>
        <w:tc>
          <w:tcPr>
            <w:tcW w:w="992" w:type="dxa"/>
            <w:vAlign w:val="center"/>
          </w:tcPr>
          <w:p w14:paraId="4EE0B0E0" w14:textId="2B730AE9" w:rsidR="003D2941" w:rsidRPr="003330B9"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33%</w:t>
            </w:r>
          </w:p>
        </w:tc>
        <w:tc>
          <w:tcPr>
            <w:tcW w:w="1843" w:type="dxa"/>
            <w:vAlign w:val="center"/>
          </w:tcPr>
          <w:p w14:paraId="1CEE6508" w14:textId="137A5DE7" w:rsidR="003D2941" w:rsidRPr="003330B9"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38%</w:t>
            </w:r>
          </w:p>
        </w:tc>
        <w:tc>
          <w:tcPr>
            <w:tcW w:w="1843" w:type="dxa"/>
            <w:vAlign w:val="center"/>
          </w:tcPr>
          <w:p w14:paraId="00A6ADB7" w14:textId="099ABD80" w:rsidR="003D2941" w:rsidRPr="003330B9" w:rsidRDefault="003D2941" w:rsidP="003D2941">
            <w:pPr>
              <w:spacing w:before="0"/>
              <w:ind w:left="-142" w:firstLine="142"/>
              <w:cnfStyle w:val="000000000000" w:firstRow="0" w:lastRow="0" w:firstColumn="0" w:lastColumn="0" w:oddVBand="0" w:evenVBand="0" w:oddHBand="0" w:evenHBand="0" w:firstRowFirstColumn="0" w:firstRowLastColumn="0" w:lastRowFirstColumn="0" w:lastRowLastColumn="0"/>
            </w:pPr>
            <w:r w:rsidRPr="00066098">
              <w:t>2%</w:t>
            </w:r>
          </w:p>
        </w:tc>
        <w:tc>
          <w:tcPr>
            <w:tcW w:w="2835" w:type="dxa"/>
            <w:vAlign w:val="center"/>
          </w:tcPr>
          <w:p w14:paraId="1562F5BD" w14:textId="7C73A7A5" w:rsidR="003D2941" w:rsidRPr="003330B9" w:rsidRDefault="003D2941" w:rsidP="003D2941">
            <w:pPr>
              <w:spacing w:before="0"/>
              <w:ind w:left="-142" w:firstLine="142"/>
              <w:cnfStyle w:val="000000000000" w:firstRow="0" w:lastRow="0" w:firstColumn="0" w:lastColumn="0" w:oddVBand="0" w:evenVBand="0" w:oddHBand="0" w:evenHBand="0" w:firstRowFirstColumn="0" w:firstRowLastColumn="0" w:lastRowFirstColumn="0" w:lastRowLastColumn="0"/>
            </w:pPr>
            <w:r w:rsidRPr="00066098">
              <w:t>27%</w:t>
            </w:r>
          </w:p>
        </w:tc>
        <w:tc>
          <w:tcPr>
            <w:tcW w:w="1134" w:type="dxa"/>
            <w:vAlign w:val="center"/>
          </w:tcPr>
          <w:p w14:paraId="107A063E" w14:textId="41542705" w:rsidR="003D2941" w:rsidRPr="003330B9"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26,861</w:t>
            </w:r>
          </w:p>
        </w:tc>
        <w:tc>
          <w:tcPr>
            <w:tcW w:w="850" w:type="dxa"/>
            <w:vAlign w:val="center"/>
          </w:tcPr>
          <w:p w14:paraId="344E2871" w14:textId="777F4026" w:rsidR="003D2941" w:rsidRPr="003330B9"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67%</w:t>
            </w:r>
          </w:p>
        </w:tc>
        <w:tc>
          <w:tcPr>
            <w:tcW w:w="1276" w:type="dxa"/>
            <w:vAlign w:val="center"/>
          </w:tcPr>
          <w:p w14:paraId="357243D1" w14:textId="3D58BDDE" w:rsidR="003D2941" w:rsidRPr="003330B9"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39,919</w:t>
            </w:r>
          </w:p>
        </w:tc>
      </w:tr>
      <w:tr w:rsidR="003D2941" w:rsidRPr="00325EF7" w14:paraId="2D9ACEE1" w14:textId="77777777" w:rsidTr="00305AF1">
        <w:trPr>
          <w:trHeight w:val="418"/>
        </w:trPr>
        <w:tc>
          <w:tcPr>
            <w:cnfStyle w:val="001000000000" w:firstRow="0" w:lastRow="0" w:firstColumn="1" w:lastColumn="0" w:oddVBand="0" w:evenVBand="0" w:oddHBand="0" w:evenHBand="0" w:firstRowFirstColumn="0" w:firstRowLastColumn="0" w:lastRowFirstColumn="0" w:lastRowLastColumn="0"/>
            <w:tcW w:w="3119" w:type="dxa"/>
          </w:tcPr>
          <w:p w14:paraId="3B0C8C98" w14:textId="324D7CE1" w:rsidR="003D2941" w:rsidRPr="00325EF7" w:rsidRDefault="003D2941" w:rsidP="003D2941">
            <w:pPr>
              <w:ind w:left="-142" w:firstLine="142"/>
            </w:pPr>
            <w:r w:rsidRPr="00167911">
              <w:t>1 July 2018 to 30 June 2019</w:t>
            </w:r>
          </w:p>
        </w:tc>
        <w:tc>
          <w:tcPr>
            <w:tcW w:w="1134" w:type="dxa"/>
            <w:vAlign w:val="center"/>
          </w:tcPr>
          <w:p w14:paraId="6B7A7663" w14:textId="61BC9D20" w:rsidR="003D2941" w:rsidRPr="00066098"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63,905</w:t>
            </w:r>
          </w:p>
        </w:tc>
        <w:tc>
          <w:tcPr>
            <w:tcW w:w="992" w:type="dxa"/>
            <w:vAlign w:val="center"/>
          </w:tcPr>
          <w:p w14:paraId="541CA5A1" w14:textId="1BE4C937" w:rsidR="003D2941" w:rsidRPr="00066098"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37%</w:t>
            </w:r>
          </w:p>
        </w:tc>
        <w:tc>
          <w:tcPr>
            <w:tcW w:w="1843" w:type="dxa"/>
            <w:vAlign w:val="center"/>
          </w:tcPr>
          <w:p w14:paraId="6A0B0074" w14:textId="33080EBC" w:rsidR="003D2941" w:rsidRPr="00066098"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25%</w:t>
            </w:r>
          </w:p>
        </w:tc>
        <w:tc>
          <w:tcPr>
            <w:tcW w:w="1843" w:type="dxa"/>
            <w:vAlign w:val="center"/>
          </w:tcPr>
          <w:p w14:paraId="431D62B8" w14:textId="572A0E46" w:rsidR="003D2941" w:rsidRPr="00066098" w:rsidRDefault="003D2941" w:rsidP="003D2941">
            <w:pPr>
              <w:spacing w:before="0"/>
              <w:ind w:left="-142" w:firstLine="142"/>
              <w:cnfStyle w:val="000000000000" w:firstRow="0" w:lastRow="0" w:firstColumn="0" w:lastColumn="0" w:oddVBand="0" w:evenVBand="0" w:oddHBand="0" w:evenHBand="0" w:firstRowFirstColumn="0" w:firstRowLastColumn="0" w:lastRowFirstColumn="0" w:lastRowLastColumn="0"/>
            </w:pPr>
            <w:r w:rsidRPr="00066098">
              <w:t>2%</w:t>
            </w:r>
          </w:p>
        </w:tc>
        <w:tc>
          <w:tcPr>
            <w:tcW w:w="2835" w:type="dxa"/>
            <w:vAlign w:val="center"/>
          </w:tcPr>
          <w:p w14:paraId="5960FAFE" w14:textId="03727451" w:rsidR="003D2941" w:rsidRPr="00066098" w:rsidRDefault="003D2941" w:rsidP="003D2941">
            <w:pPr>
              <w:spacing w:before="0"/>
              <w:ind w:left="-142" w:firstLine="142"/>
              <w:cnfStyle w:val="000000000000" w:firstRow="0" w:lastRow="0" w:firstColumn="0" w:lastColumn="0" w:oddVBand="0" w:evenVBand="0" w:oddHBand="0" w:evenHBand="0" w:firstRowFirstColumn="0" w:firstRowLastColumn="0" w:lastRowFirstColumn="0" w:lastRowLastColumn="0"/>
            </w:pPr>
            <w:r w:rsidRPr="00066098">
              <w:t>36%</w:t>
            </w:r>
          </w:p>
        </w:tc>
        <w:tc>
          <w:tcPr>
            <w:tcW w:w="1134" w:type="dxa"/>
            <w:vAlign w:val="center"/>
          </w:tcPr>
          <w:p w14:paraId="7889CD6B" w14:textId="58E4F595" w:rsidR="003D2941" w:rsidRPr="00066098"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108,525</w:t>
            </w:r>
          </w:p>
        </w:tc>
        <w:tc>
          <w:tcPr>
            <w:tcW w:w="850" w:type="dxa"/>
            <w:vAlign w:val="center"/>
          </w:tcPr>
          <w:p w14:paraId="599A7855" w14:textId="62AE2AC5" w:rsidR="003D2941" w:rsidRPr="00066098"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63%</w:t>
            </w:r>
          </w:p>
        </w:tc>
        <w:tc>
          <w:tcPr>
            <w:tcW w:w="1276" w:type="dxa"/>
            <w:vAlign w:val="center"/>
          </w:tcPr>
          <w:p w14:paraId="16073577" w14:textId="4EABB902" w:rsidR="003D2941" w:rsidRPr="00066098" w:rsidRDefault="003D2941" w:rsidP="003D29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66098">
              <w:rPr>
                <w:rFonts w:cs="Gill Sans MT"/>
                <w:color w:val="000000"/>
              </w:rPr>
              <w:t>172,430</w:t>
            </w:r>
          </w:p>
        </w:tc>
      </w:tr>
    </w:tbl>
    <w:p w14:paraId="556B35EE" w14:textId="7BA794F5" w:rsidR="00B84812" w:rsidRDefault="00B84812" w:rsidP="00366AB0">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0D00D4E3" w14:textId="77777777" w:rsidR="0032395B" w:rsidRDefault="006D18C4" w:rsidP="00366AB0">
      <w:pPr>
        <w:pStyle w:val="Heading2"/>
        <w:numPr>
          <w:ilvl w:val="0"/>
          <w:numId w:val="0"/>
        </w:numPr>
        <w:spacing w:after="240"/>
      </w:pPr>
      <w:bookmarkStart w:id="16" w:name="_Toc19281343"/>
      <w:r>
        <w:t>6</w:t>
      </w:r>
      <w:r w:rsidR="00954B8A">
        <w:t>e</w:t>
      </w:r>
      <w:r w:rsidR="00970C39">
        <w:t>.</w:t>
      </w:r>
      <w:r w:rsidR="00970C39">
        <w:tab/>
      </w:r>
      <w:r w:rsidR="005D34B6" w:rsidRPr="007D74E1">
        <w:rPr>
          <w:i/>
        </w:rPr>
        <w:t>Department of Human Services</w:t>
      </w:r>
      <w:r w:rsidR="007D480B" w:rsidRPr="007D74E1">
        <w:rPr>
          <w:i/>
        </w:rPr>
        <w:t>’</w:t>
      </w:r>
      <w:r w:rsidR="0032395B" w:rsidRPr="007D74E1">
        <w:rPr>
          <w:i/>
        </w:rPr>
        <w:t xml:space="preserve"> reasons for rejecting </w:t>
      </w:r>
      <w:r w:rsidR="00CC3CBA" w:rsidRPr="007D74E1">
        <w:rPr>
          <w:i/>
        </w:rPr>
        <w:t xml:space="preserve">Provider </w:t>
      </w:r>
      <w:r w:rsidR="00F44645" w:rsidRPr="007D74E1">
        <w:rPr>
          <w:i/>
        </w:rPr>
        <w:t xml:space="preserve">Appointment </w:t>
      </w:r>
      <w:r w:rsidR="00CC3CBA" w:rsidRPr="007D74E1">
        <w:rPr>
          <w:i/>
        </w:rPr>
        <w:t xml:space="preserve">Reports </w:t>
      </w:r>
      <w:r w:rsidR="00AC3830" w:rsidRPr="007D74E1">
        <w:rPr>
          <w:i/>
        </w:rPr>
        <w:t xml:space="preserve">and </w:t>
      </w:r>
      <w:r w:rsidR="0032395B" w:rsidRPr="007D74E1">
        <w:rPr>
          <w:i/>
        </w:rPr>
        <w:t>Participation Reports: Reasonable Excuse</w:t>
      </w:r>
      <w:bookmarkEnd w:id="16"/>
    </w:p>
    <w:tbl>
      <w:tblPr>
        <w:tblStyle w:val="CenterAlignTable"/>
        <w:tblW w:w="15026"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2014"/>
        <w:gridCol w:w="1105"/>
        <w:gridCol w:w="1134"/>
        <w:gridCol w:w="1134"/>
        <w:gridCol w:w="992"/>
        <w:gridCol w:w="1418"/>
        <w:gridCol w:w="1417"/>
        <w:gridCol w:w="1134"/>
        <w:gridCol w:w="1843"/>
        <w:gridCol w:w="851"/>
        <w:gridCol w:w="1134"/>
        <w:gridCol w:w="850"/>
      </w:tblGrid>
      <w:tr w:rsidR="003E314C" w:rsidRPr="00325EF7" w14:paraId="1C9291A7" w14:textId="77777777" w:rsidTr="009E05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4" w:type="dxa"/>
            <w:vMerge w:val="restart"/>
            <w:vAlign w:val="center"/>
          </w:tcPr>
          <w:p w14:paraId="73F3D1BE" w14:textId="36C5E85B" w:rsidR="003E314C" w:rsidRPr="005102B2" w:rsidRDefault="003E314C" w:rsidP="00F74E10">
            <w:pPr>
              <w:ind w:left="0"/>
              <w:jc w:val="left"/>
              <w:rPr>
                <w:sz w:val="20"/>
                <w:szCs w:val="20"/>
              </w:rPr>
            </w:pPr>
            <w:bookmarkStart w:id="17" w:name="OLE_LINK1"/>
          </w:p>
        </w:tc>
        <w:tc>
          <w:tcPr>
            <w:tcW w:w="1105" w:type="dxa"/>
          </w:tcPr>
          <w:p w14:paraId="6BC25896"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A</w:t>
            </w:r>
          </w:p>
        </w:tc>
        <w:tc>
          <w:tcPr>
            <w:tcW w:w="1134" w:type="dxa"/>
          </w:tcPr>
          <w:p w14:paraId="19CD685B"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B</w:t>
            </w:r>
          </w:p>
        </w:tc>
        <w:tc>
          <w:tcPr>
            <w:tcW w:w="1134" w:type="dxa"/>
          </w:tcPr>
          <w:p w14:paraId="78293A41"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 acceptable activity</w:t>
            </w:r>
          </w:p>
        </w:tc>
        <w:tc>
          <w:tcPr>
            <w:tcW w:w="992" w:type="dxa"/>
          </w:tcPr>
          <w:p w14:paraId="60ACCF97"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Personal crisis</w:t>
            </w:r>
          </w:p>
        </w:tc>
        <w:tc>
          <w:tcPr>
            <w:tcW w:w="1418" w:type="dxa"/>
          </w:tcPr>
          <w:p w14:paraId="60A4B6FC"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Caring responsibilities</w:t>
            </w:r>
          </w:p>
        </w:tc>
        <w:tc>
          <w:tcPr>
            <w:tcW w:w="1417" w:type="dxa"/>
          </w:tcPr>
          <w:p w14:paraId="2A0CC74D"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Homelessness</w:t>
            </w:r>
          </w:p>
        </w:tc>
        <w:tc>
          <w:tcPr>
            <w:tcW w:w="1134" w:type="dxa"/>
          </w:tcPr>
          <w:p w14:paraId="4746A213"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Transport difficulties</w:t>
            </w:r>
          </w:p>
        </w:tc>
        <w:tc>
          <w:tcPr>
            <w:tcW w:w="1843" w:type="dxa"/>
          </w:tcPr>
          <w:p w14:paraId="7BC48937"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Cultural/language issues</w:t>
            </w:r>
          </w:p>
        </w:tc>
        <w:tc>
          <w:tcPr>
            <w:tcW w:w="851" w:type="dxa"/>
          </w:tcPr>
          <w:p w14:paraId="3DD10CC6"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w:t>
            </w:r>
          </w:p>
        </w:tc>
        <w:tc>
          <w:tcPr>
            <w:tcW w:w="1984" w:type="dxa"/>
            <w:gridSpan w:val="2"/>
          </w:tcPr>
          <w:p w14:paraId="17E3E345" w14:textId="77777777" w:rsidR="003E314C" w:rsidRPr="00325EF7" w:rsidRDefault="003E314C"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 xml:space="preserve">Total rejections for reasonable excuse </w:t>
            </w:r>
          </w:p>
        </w:tc>
      </w:tr>
      <w:tr w:rsidR="003E314C" w:rsidRPr="00325EF7" w14:paraId="128D8E1B" w14:textId="77777777" w:rsidTr="009E0535">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2014" w:type="dxa"/>
            <w:vMerge/>
          </w:tcPr>
          <w:p w14:paraId="3DEA875D" w14:textId="77777777" w:rsidR="003E314C" w:rsidRPr="00325EF7" w:rsidRDefault="003E314C" w:rsidP="00887E4E">
            <w:pPr>
              <w:ind w:left="-142" w:firstLine="142"/>
              <w:rPr>
                <w:sz w:val="18"/>
                <w:szCs w:val="18"/>
              </w:rPr>
            </w:pPr>
          </w:p>
        </w:tc>
        <w:tc>
          <w:tcPr>
            <w:tcW w:w="1105" w:type="dxa"/>
            <w:vAlign w:val="center"/>
          </w:tcPr>
          <w:p w14:paraId="6957D080" w14:textId="77777777" w:rsidR="003E314C" w:rsidRPr="00325EF7" w:rsidRDefault="003E314C"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w:t>
            </w:r>
          </w:p>
        </w:tc>
        <w:tc>
          <w:tcPr>
            <w:tcW w:w="1134" w:type="dxa"/>
            <w:vAlign w:val="center"/>
          </w:tcPr>
          <w:p w14:paraId="68E6B6E8" w14:textId="77777777" w:rsidR="003E314C" w:rsidRPr="00325EF7" w:rsidRDefault="003E314C"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7603DE82" w14:textId="77777777" w:rsidR="003E314C" w:rsidRPr="00325EF7" w:rsidRDefault="003E314C"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992" w:type="dxa"/>
            <w:vAlign w:val="center"/>
          </w:tcPr>
          <w:p w14:paraId="0D7C2794" w14:textId="77777777" w:rsidR="003E314C" w:rsidRPr="00325EF7" w:rsidRDefault="003E314C"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8" w:type="dxa"/>
            <w:vAlign w:val="center"/>
          </w:tcPr>
          <w:p w14:paraId="6F07001A" w14:textId="77777777" w:rsidR="003E314C" w:rsidRPr="00325EF7" w:rsidRDefault="003E314C"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7" w:type="dxa"/>
            <w:vAlign w:val="center"/>
          </w:tcPr>
          <w:p w14:paraId="7A9BCD25" w14:textId="77777777" w:rsidR="003E314C" w:rsidRPr="00325EF7" w:rsidRDefault="003E314C"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4619ED44" w14:textId="77777777" w:rsidR="003E314C" w:rsidRPr="00325EF7" w:rsidRDefault="003E314C"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843" w:type="dxa"/>
            <w:vAlign w:val="center"/>
          </w:tcPr>
          <w:p w14:paraId="6BB02809" w14:textId="77777777" w:rsidR="003E314C" w:rsidRPr="00325EF7" w:rsidRDefault="003E314C"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1" w:type="dxa"/>
            <w:vAlign w:val="center"/>
          </w:tcPr>
          <w:p w14:paraId="5FFCD568" w14:textId="77777777" w:rsidR="003E314C" w:rsidRPr="00325EF7" w:rsidRDefault="003E314C"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0193E59B" w14:textId="77777777" w:rsidR="003E314C" w:rsidRPr="00325EF7" w:rsidRDefault="003E314C"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0" w:type="dxa"/>
            <w:vAlign w:val="center"/>
          </w:tcPr>
          <w:p w14:paraId="21DC1139" w14:textId="77777777" w:rsidR="003E314C" w:rsidRPr="00325EF7" w:rsidRDefault="003E314C"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No.</w:t>
            </w:r>
          </w:p>
        </w:tc>
      </w:tr>
      <w:tr w:rsidR="003E314C" w:rsidRPr="00325EF7" w14:paraId="0AF279D4" w14:textId="77777777" w:rsidTr="009E0535">
        <w:trPr>
          <w:trHeight w:val="382"/>
        </w:trPr>
        <w:tc>
          <w:tcPr>
            <w:cnfStyle w:val="001000000000" w:firstRow="0" w:lastRow="0" w:firstColumn="1" w:lastColumn="0" w:oddVBand="0" w:evenVBand="0" w:oddHBand="0" w:evenHBand="0" w:firstRowFirstColumn="0" w:firstRowLastColumn="0" w:lastRowFirstColumn="0" w:lastRowLastColumn="0"/>
            <w:tcW w:w="2014" w:type="dxa"/>
          </w:tcPr>
          <w:p w14:paraId="5B914AFB" w14:textId="616FC439" w:rsidR="003E314C" w:rsidRPr="00325EF7" w:rsidRDefault="003E314C" w:rsidP="003E314C">
            <w:pPr>
              <w:ind w:left="-142" w:firstLine="142"/>
              <w:rPr>
                <w:sz w:val="18"/>
                <w:szCs w:val="18"/>
              </w:rPr>
            </w:pPr>
            <w:r>
              <w:t>1 April to 30 June 2019</w:t>
            </w:r>
          </w:p>
        </w:tc>
        <w:tc>
          <w:tcPr>
            <w:tcW w:w="1105" w:type="dxa"/>
            <w:vAlign w:val="center"/>
          </w:tcPr>
          <w:p w14:paraId="6FF664F9" w14:textId="447984D2" w:rsidR="003E314C" w:rsidRPr="00325EF7"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c>
          <w:tcPr>
            <w:tcW w:w="1134" w:type="dxa"/>
            <w:vAlign w:val="center"/>
          </w:tcPr>
          <w:p w14:paraId="5A8C8843" w14:textId="05F1BD9E" w:rsidR="003E314C" w:rsidRPr="00325EF7"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w:t>
            </w:r>
          </w:p>
        </w:tc>
        <w:tc>
          <w:tcPr>
            <w:tcW w:w="1134" w:type="dxa"/>
            <w:vAlign w:val="center"/>
          </w:tcPr>
          <w:p w14:paraId="5C544A14" w14:textId="05ECF1AD" w:rsidR="003E314C" w:rsidRPr="00325EF7"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w:t>
            </w:r>
          </w:p>
        </w:tc>
        <w:tc>
          <w:tcPr>
            <w:tcW w:w="992" w:type="dxa"/>
            <w:vAlign w:val="center"/>
          </w:tcPr>
          <w:p w14:paraId="28AAD601" w14:textId="1A2AA00E" w:rsidR="003E314C" w:rsidRPr="00325EF7"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1418" w:type="dxa"/>
            <w:vAlign w:val="center"/>
          </w:tcPr>
          <w:p w14:paraId="3CE0BE0E" w14:textId="09B7B011" w:rsidR="003E314C" w:rsidRPr="00325EF7"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w:t>
            </w:r>
          </w:p>
        </w:tc>
        <w:tc>
          <w:tcPr>
            <w:tcW w:w="1417" w:type="dxa"/>
            <w:vAlign w:val="center"/>
          </w:tcPr>
          <w:p w14:paraId="14E7E2D3" w14:textId="443548AE" w:rsidR="003E314C" w:rsidRPr="00325EF7"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w:t>
            </w:r>
          </w:p>
        </w:tc>
        <w:tc>
          <w:tcPr>
            <w:tcW w:w="1134" w:type="dxa"/>
            <w:vAlign w:val="center"/>
          </w:tcPr>
          <w:p w14:paraId="1EF573EC" w14:textId="5C839834" w:rsidR="003E314C" w:rsidRPr="00325EF7"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c>
          <w:tcPr>
            <w:tcW w:w="1843" w:type="dxa"/>
            <w:vAlign w:val="center"/>
          </w:tcPr>
          <w:p w14:paraId="496CF236" w14:textId="34B8C18A" w:rsidR="003E314C" w:rsidRPr="00325EF7"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w:t>
            </w:r>
          </w:p>
        </w:tc>
        <w:tc>
          <w:tcPr>
            <w:tcW w:w="851" w:type="dxa"/>
            <w:vAlign w:val="center"/>
          </w:tcPr>
          <w:p w14:paraId="7394D469" w14:textId="36C3A67F" w:rsidR="003E314C" w:rsidRPr="00325EF7"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9.4%</w:t>
            </w:r>
          </w:p>
        </w:tc>
        <w:tc>
          <w:tcPr>
            <w:tcW w:w="1134" w:type="dxa"/>
            <w:vAlign w:val="center"/>
          </w:tcPr>
          <w:p w14:paraId="2FA5B555" w14:textId="7D49D0A0" w:rsidR="003E314C" w:rsidRPr="00325EF7"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w:t>
            </w:r>
          </w:p>
        </w:tc>
        <w:tc>
          <w:tcPr>
            <w:tcW w:w="850" w:type="dxa"/>
            <w:vAlign w:val="center"/>
          </w:tcPr>
          <w:p w14:paraId="032A5B05" w14:textId="01F4CC98" w:rsidR="003E314C" w:rsidRPr="00325EF7"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13,058</w:t>
            </w:r>
          </w:p>
        </w:tc>
      </w:tr>
      <w:tr w:rsidR="003E314C" w:rsidRPr="00325EF7" w14:paraId="39A05F24" w14:textId="77777777" w:rsidTr="009E0535">
        <w:trPr>
          <w:trHeight w:val="382"/>
        </w:trPr>
        <w:tc>
          <w:tcPr>
            <w:cnfStyle w:val="001000000000" w:firstRow="0" w:lastRow="0" w:firstColumn="1" w:lastColumn="0" w:oddVBand="0" w:evenVBand="0" w:oddHBand="0" w:evenHBand="0" w:firstRowFirstColumn="0" w:firstRowLastColumn="0" w:lastRowFirstColumn="0" w:lastRowLastColumn="0"/>
            <w:tcW w:w="2014" w:type="dxa"/>
          </w:tcPr>
          <w:p w14:paraId="004F60BF" w14:textId="00B32407" w:rsidR="003E314C" w:rsidRPr="00325EF7" w:rsidRDefault="003E314C" w:rsidP="003E314C">
            <w:pPr>
              <w:ind w:left="-142" w:firstLine="142"/>
              <w:rPr>
                <w:sz w:val="18"/>
                <w:szCs w:val="18"/>
              </w:rPr>
            </w:pPr>
            <w:r w:rsidRPr="00167911">
              <w:t>1 July 2018 to 30 June 2019</w:t>
            </w:r>
          </w:p>
        </w:tc>
        <w:tc>
          <w:tcPr>
            <w:tcW w:w="1105" w:type="dxa"/>
            <w:vAlign w:val="center"/>
          </w:tcPr>
          <w:p w14:paraId="003F4201" w14:textId="7379BFEF" w:rsidR="003E314C"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w:t>
            </w:r>
          </w:p>
        </w:tc>
        <w:tc>
          <w:tcPr>
            <w:tcW w:w="1134" w:type="dxa"/>
            <w:vAlign w:val="center"/>
          </w:tcPr>
          <w:p w14:paraId="15D3BFD6" w14:textId="20C53827" w:rsidR="003E314C"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c>
          <w:tcPr>
            <w:tcW w:w="1134" w:type="dxa"/>
            <w:vAlign w:val="center"/>
          </w:tcPr>
          <w:p w14:paraId="777341AE" w14:textId="4907E6A4" w:rsidR="003E314C"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11.3%</w:t>
            </w:r>
          </w:p>
        </w:tc>
        <w:tc>
          <w:tcPr>
            <w:tcW w:w="992" w:type="dxa"/>
            <w:vAlign w:val="center"/>
          </w:tcPr>
          <w:p w14:paraId="1BAB9952" w14:textId="4F27FD71" w:rsidR="003E314C"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4.9%</w:t>
            </w:r>
          </w:p>
        </w:tc>
        <w:tc>
          <w:tcPr>
            <w:tcW w:w="1418" w:type="dxa"/>
            <w:vAlign w:val="center"/>
          </w:tcPr>
          <w:p w14:paraId="21259411" w14:textId="4C32A60D" w:rsidR="003E314C"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w:t>
            </w:r>
          </w:p>
        </w:tc>
        <w:tc>
          <w:tcPr>
            <w:tcW w:w="1417" w:type="dxa"/>
            <w:vAlign w:val="center"/>
          </w:tcPr>
          <w:p w14:paraId="39AE0946" w14:textId="4E191DEF" w:rsidR="003E314C"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w:t>
            </w:r>
          </w:p>
        </w:tc>
        <w:tc>
          <w:tcPr>
            <w:tcW w:w="1134" w:type="dxa"/>
            <w:vAlign w:val="center"/>
          </w:tcPr>
          <w:p w14:paraId="64A685A3" w14:textId="349E322A" w:rsidR="003E314C"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1843" w:type="dxa"/>
            <w:vAlign w:val="center"/>
          </w:tcPr>
          <w:p w14:paraId="6361BBCB" w14:textId="33F75504" w:rsidR="003E314C"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w:t>
            </w:r>
          </w:p>
        </w:tc>
        <w:tc>
          <w:tcPr>
            <w:tcW w:w="851" w:type="dxa"/>
            <w:vAlign w:val="center"/>
          </w:tcPr>
          <w:p w14:paraId="376E4512" w14:textId="3285598A" w:rsidR="003E314C"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7.4%</w:t>
            </w:r>
          </w:p>
        </w:tc>
        <w:tc>
          <w:tcPr>
            <w:tcW w:w="1134" w:type="dxa"/>
            <w:vAlign w:val="center"/>
          </w:tcPr>
          <w:p w14:paraId="1C5C93B7" w14:textId="40C8C9DE" w:rsidR="003E314C"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tc>
        <w:tc>
          <w:tcPr>
            <w:tcW w:w="850" w:type="dxa"/>
            <w:vAlign w:val="center"/>
          </w:tcPr>
          <w:p w14:paraId="269B9498" w14:textId="71F50F1B" w:rsidR="003E314C" w:rsidRDefault="003E314C" w:rsidP="003E314C">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63,905</w:t>
            </w:r>
          </w:p>
        </w:tc>
      </w:tr>
    </w:tbl>
    <w:bookmarkEnd w:id="17"/>
    <w:p w14:paraId="1338778A" w14:textId="77777777" w:rsidR="00E909FA" w:rsidRDefault="0032395B" w:rsidP="00BB1E3F">
      <w:pPr>
        <w:spacing w:before="240" w:after="240" w:line="240" w:lineRule="auto"/>
        <w:ind w:left="-142"/>
      </w:pPr>
      <w:r w:rsidRPr="00325EF7">
        <w:t xml:space="preserve">Percentages </w:t>
      </w:r>
      <w:r w:rsidR="005339AE">
        <w:t>in this table</w:t>
      </w:r>
      <w:r w:rsidR="005339AE" w:rsidRPr="00325EF7">
        <w:t xml:space="preserve"> </w:t>
      </w:r>
      <w:r w:rsidRPr="00325EF7">
        <w:t xml:space="preserve">represent the proportion of all </w:t>
      </w:r>
      <w:r w:rsidR="00CC3CBA" w:rsidRPr="00325EF7">
        <w:t xml:space="preserve">Provider Appointment Reports </w:t>
      </w:r>
      <w:r w:rsidR="00AC3830" w:rsidRPr="00325EF7">
        <w:t xml:space="preserve">and </w:t>
      </w:r>
      <w:r w:rsidRPr="00325EF7">
        <w:t>Participation Reports rejected</w:t>
      </w:r>
      <w:r w:rsidR="0025083F">
        <w:t>. Each</w:t>
      </w:r>
      <w:r w:rsidRPr="00325EF7">
        <w:t xml:space="preserve"> row equals the “Total reasonable excuse” percentage, rather than adding up to 100%.</w:t>
      </w:r>
      <w:r w:rsidR="00081F87" w:rsidRPr="00325EF7">
        <w:t xml:space="preserve"> </w:t>
      </w:r>
      <w:r w:rsidRPr="00325EF7">
        <w:t>Discrepancies m</w:t>
      </w:r>
      <w:r w:rsidR="00215AE8">
        <w:t xml:space="preserve">ay occur between the sum of </w:t>
      </w:r>
      <w:r w:rsidRPr="00325EF7">
        <w:t>component percentages and the total percentage, due to rounding.</w:t>
      </w:r>
    </w:p>
    <w:p w14:paraId="784E921B" w14:textId="77777777" w:rsidR="00E909FA" w:rsidRDefault="00E909FA" w:rsidP="00887E4E">
      <w:pPr>
        <w:ind w:left="-142" w:firstLine="142"/>
      </w:pPr>
      <w:r>
        <w:br w:type="page"/>
      </w:r>
    </w:p>
    <w:p w14:paraId="79481479" w14:textId="27A52EA9" w:rsidR="00366AB0" w:rsidRPr="00366AB0" w:rsidRDefault="00456F16" w:rsidP="00366AB0">
      <w:pPr>
        <w:pStyle w:val="Heading2"/>
        <w:spacing w:before="0" w:after="240" w:line="240" w:lineRule="auto"/>
        <w:ind w:left="-142" w:firstLine="142"/>
      </w:pPr>
      <w:bookmarkStart w:id="18" w:name="_Toc19281344"/>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C37529">
        <w:t>30 June 2019</w:t>
      </w:r>
      <w:r w:rsidR="00C93A2C">
        <w:t>)</w:t>
      </w:r>
      <w:bookmarkEnd w:id="18"/>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10"/>
        <w:gridCol w:w="4446"/>
        <w:gridCol w:w="3091"/>
        <w:gridCol w:w="2985"/>
      </w:tblGrid>
      <w:tr w:rsidR="00C93A2C" w:rsidRPr="00325EF7" w14:paraId="0F59C189"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5D465586"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6E4BE159" w14:textId="69878431" w:rsidR="00C93A2C" w:rsidRPr="004741B6" w:rsidRDefault="00C93A2C" w:rsidP="00AF49C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sidR="00AF49CE">
              <w:rPr>
                <w:noProof/>
              </w:rPr>
              <w:t>umber</w:t>
            </w:r>
            <w:r w:rsidRPr="004741B6">
              <w:rPr>
                <w:noProof/>
              </w:rPr>
              <w:t xml:space="preserve"> of all job seekers</w:t>
            </w:r>
          </w:p>
        </w:tc>
        <w:tc>
          <w:tcPr>
            <w:tcW w:w="1049" w:type="pct"/>
          </w:tcPr>
          <w:p w14:paraId="7011143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5A411F47"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3E314C" w:rsidRPr="00325EF7" w14:paraId="738AA20B" w14:textId="77777777" w:rsidTr="009D67DD">
        <w:tc>
          <w:tcPr>
            <w:cnfStyle w:val="001000000000" w:firstRow="0" w:lastRow="0" w:firstColumn="1" w:lastColumn="0" w:oddVBand="0" w:evenVBand="0" w:oddHBand="0" w:evenHBand="0" w:firstRowFirstColumn="0" w:firstRowLastColumn="0" w:lastRowFirstColumn="0" w:lastRowLastColumn="0"/>
            <w:tcW w:w="1429" w:type="pct"/>
            <w:vAlign w:val="center"/>
          </w:tcPr>
          <w:p w14:paraId="016256FA" w14:textId="77777777" w:rsidR="003E314C" w:rsidRPr="004741B6" w:rsidRDefault="003E314C" w:rsidP="003E314C">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4AF5CC2" w14:textId="7FDCFAE5"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5,782</w:t>
            </w:r>
          </w:p>
        </w:tc>
        <w:tc>
          <w:tcPr>
            <w:tcW w:w="1049" w:type="pct"/>
            <w:tcBorders>
              <w:top w:val="single" w:sz="4" w:space="0" w:color="auto"/>
              <w:left w:val="nil"/>
              <w:bottom w:val="single" w:sz="4" w:space="0" w:color="auto"/>
              <w:right w:val="single" w:sz="4" w:space="0" w:color="auto"/>
            </w:tcBorders>
            <w:shd w:val="clear" w:color="auto" w:fill="auto"/>
            <w:vAlign w:val="center"/>
          </w:tcPr>
          <w:p w14:paraId="46865133" w14:textId="0FD211F6"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22.9%</w:t>
            </w:r>
          </w:p>
        </w:tc>
        <w:tc>
          <w:tcPr>
            <w:tcW w:w="1013" w:type="pct"/>
            <w:tcBorders>
              <w:top w:val="single" w:sz="4" w:space="0" w:color="auto"/>
              <w:left w:val="nil"/>
              <w:bottom w:val="single" w:sz="4" w:space="0" w:color="auto"/>
              <w:right w:val="single" w:sz="4" w:space="0" w:color="auto"/>
            </w:tcBorders>
            <w:shd w:val="clear" w:color="auto" w:fill="auto"/>
            <w:vAlign w:val="center"/>
          </w:tcPr>
          <w:p w14:paraId="29E5E4E3" w14:textId="0BB9DA3C"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N/A</w:t>
            </w:r>
          </w:p>
        </w:tc>
      </w:tr>
      <w:tr w:rsidR="003E314C" w:rsidRPr="00325EF7" w14:paraId="5355E8B8" w14:textId="77777777" w:rsidTr="009D67DD">
        <w:tc>
          <w:tcPr>
            <w:cnfStyle w:val="001000000000" w:firstRow="0" w:lastRow="0" w:firstColumn="1" w:lastColumn="0" w:oddVBand="0" w:evenVBand="0" w:oddHBand="0" w:evenHBand="0" w:firstRowFirstColumn="0" w:firstRowLastColumn="0" w:lastRowFirstColumn="0" w:lastRowLastColumn="0"/>
            <w:tcW w:w="1429" w:type="pct"/>
            <w:vAlign w:val="center"/>
          </w:tcPr>
          <w:p w14:paraId="28776813" w14:textId="77777777" w:rsidR="003E314C" w:rsidRPr="004741B6" w:rsidRDefault="003E314C" w:rsidP="003E314C">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07E05FEC" w14:textId="3CEB9148"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2,332</w:t>
            </w:r>
          </w:p>
        </w:tc>
        <w:tc>
          <w:tcPr>
            <w:tcW w:w="1049" w:type="pct"/>
            <w:tcBorders>
              <w:top w:val="nil"/>
              <w:left w:val="nil"/>
              <w:bottom w:val="single" w:sz="4" w:space="0" w:color="auto"/>
              <w:right w:val="single" w:sz="4" w:space="0" w:color="auto"/>
            </w:tcBorders>
            <w:shd w:val="clear" w:color="auto" w:fill="auto"/>
            <w:vAlign w:val="center"/>
          </w:tcPr>
          <w:p w14:paraId="45CC8AFE" w14:textId="613CAC7B"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9.2%</w:t>
            </w:r>
          </w:p>
        </w:tc>
        <w:tc>
          <w:tcPr>
            <w:tcW w:w="1013" w:type="pct"/>
            <w:tcBorders>
              <w:top w:val="nil"/>
              <w:left w:val="nil"/>
              <w:bottom w:val="single" w:sz="4" w:space="0" w:color="auto"/>
              <w:right w:val="single" w:sz="4" w:space="0" w:color="auto"/>
            </w:tcBorders>
            <w:shd w:val="clear" w:color="auto" w:fill="auto"/>
            <w:vAlign w:val="center"/>
          </w:tcPr>
          <w:p w14:paraId="52FD1D32" w14:textId="161728F4"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0.9%</w:t>
            </w:r>
          </w:p>
        </w:tc>
      </w:tr>
      <w:tr w:rsidR="003E314C" w:rsidRPr="00325EF7" w14:paraId="65EFCA2A" w14:textId="77777777" w:rsidTr="009D67DD">
        <w:tc>
          <w:tcPr>
            <w:cnfStyle w:val="001000000000" w:firstRow="0" w:lastRow="0" w:firstColumn="1" w:lastColumn="0" w:oddVBand="0" w:evenVBand="0" w:oddHBand="0" w:evenHBand="0" w:firstRowFirstColumn="0" w:firstRowLastColumn="0" w:lastRowFirstColumn="0" w:lastRowLastColumn="0"/>
            <w:tcW w:w="1429" w:type="pct"/>
            <w:vAlign w:val="center"/>
          </w:tcPr>
          <w:p w14:paraId="21CDC7B7" w14:textId="77777777" w:rsidR="003E314C" w:rsidRPr="004741B6" w:rsidRDefault="003E314C" w:rsidP="003E314C">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6E738E65" w14:textId="14806FAD"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1,596</w:t>
            </w:r>
          </w:p>
        </w:tc>
        <w:tc>
          <w:tcPr>
            <w:tcW w:w="1049" w:type="pct"/>
            <w:tcBorders>
              <w:top w:val="nil"/>
              <w:left w:val="nil"/>
              <w:bottom w:val="single" w:sz="4" w:space="0" w:color="auto"/>
              <w:right w:val="single" w:sz="4" w:space="0" w:color="auto"/>
            </w:tcBorders>
            <w:shd w:val="clear" w:color="auto" w:fill="auto"/>
            <w:vAlign w:val="center"/>
          </w:tcPr>
          <w:p w14:paraId="622AAD81" w14:textId="72ED2351"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6.3%</w:t>
            </w:r>
          </w:p>
        </w:tc>
        <w:tc>
          <w:tcPr>
            <w:tcW w:w="1013" w:type="pct"/>
            <w:tcBorders>
              <w:top w:val="nil"/>
              <w:left w:val="nil"/>
              <w:bottom w:val="single" w:sz="4" w:space="0" w:color="auto"/>
              <w:right w:val="single" w:sz="4" w:space="0" w:color="auto"/>
            </w:tcBorders>
            <w:shd w:val="clear" w:color="auto" w:fill="auto"/>
            <w:vAlign w:val="center"/>
          </w:tcPr>
          <w:p w14:paraId="1A4F0E99" w14:textId="198EAF1A"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1.2%</w:t>
            </w:r>
          </w:p>
        </w:tc>
      </w:tr>
      <w:tr w:rsidR="003E314C" w:rsidRPr="00325EF7" w14:paraId="1FC61730" w14:textId="77777777" w:rsidTr="009D67DD">
        <w:tc>
          <w:tcPr>
            <w:cnfStyle w:val="001000000000" w:firstRow="0" w:lastRow="0" w:firstColumn="1" w:lastColumn="0" w:oddVBand="0" w:evenVBand="0" w:oddHBand="0" w:evenHBand="0" w:firstRowFirstColumn="0" w:firstRowLastColumn="0" w:lastRowFirstColumn="0" w:lastRowLastColumn="0"/>
            <w:tcW w:w="1429" w:type="pct"/>
            <w:vAlign w:val="center"/>
          </w:tcPr>
          <w:p w14:paraId="3B2B8B25" w14:textId="77777777" w:rsidR="003E314C" w:rsidRPr="004741B6" w:rsidRDefault="003E314C" w:rsidP="003E314C">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1085D4C6" w14:textId="611E619A"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1,356</w:t>
            </w:r>
          </w:p>
        </w:tc>
        <w:tc>
          <w:tcPr>
            <w:tcW w:w="1049" w:type="pct"/>
            <w:tcBorders>
              <w:top w:val="nil"/>
              <w:left w:val="nil"/>
              <w:bottom w:val="single" w:sz="4" w:space="0" w:color="auto"/>
              <w:right w:val="single" w:sz="4" w:space="0" w:color="auto"/>
            </w:tcBorders>
            <w:shd w:val="clear" w:color="auto" w:fill="auto"/>
            <w:vAlign w:val="center"/>
          </w:tcPr>
          <w:p w14:paraId="79406A98" w14:textId="5BE57B48"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5.4%</w:t>
            </w:r>
          </w:p>
        </w:tc>
        <w:tc>
          <w:tcPr>
            <w:tcW w:w="1013" w:type="pct"/>
            <w:tcBorders>
              <w:top w:val="nil"/>
              <w:left w:val="nil"/>
              <w:bottom w:val="single" w:sz="4" w:space="0" w:color="auto"/>
              <w:right w:val="single" w:sz="4" w:space="0" w:color="auto"/>
            </w:tcBorders>
            <w:shd w:val="clear" w:color="auto" w:fill="auto"/>
            <w:vAlign w:val="center"/>
          </w:tcPr>
          <w:p w14:paraId="3746520A" w14:textId="5019CE3A"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1.6%</w:t>
            </w:r>
          </w:p>
        </w:tc>
      </w:tr>
      <w:tr w:rsidR="003E314C" w:rsidRPr="00325EF7" w14:paraId="3D92CB5E" w14:textId="77777777" w:rsidTr="009D67DD">
        <w:tc>
          <w:tcPr>
            <w:cnfStyle w:val="001000000000" w:firstRow="0" w:lastRow="0" w:firstColumn="1" w:lastColumn="0" w:oddVBand="0" w:evenVBand="0" w:oddHBand="0" w:evenHBand="0" w:firstRowFirstColumn="0" w:firstRowLastColumn="0" w:lastRowFirstColumn="0" w:lastRowLastColumn="0"/>
            <w:tcW w:w="1429" w:type="pct"/>
            <w:vAlign w:val="center"/>
          </w:tcPr>
          <w:p w14:paraId="0D743FD7" w14:textId="77777777" w:rsidR="003E314C" w:rsidRPr="004741B6" w:rsidRDefault="003E314C" w:rsidP="003E314C">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3FC1E5CF" w14:textId="47F17B27"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1,128</w:t>
            </w:r>
          </w:p>
        </w:tc>
        <w:tc>
          <w:tcPr>
            <w:tcW w:w="1049" w:type="pct"/>
            <w:tcBorders>
              <w:top w:val="nil"/>
              <w:left w:val="nil"/>
              <w:bottom w:val="single" w:sz="4" w:space="0" w:color="auto"/>
              <w:right w:val="single" w:sz="4" w:space="0" w:color="auto"/>
            </w:tcBorders>
            <w:shd w:val="clear" w:color="auto" w:fill="auto"/>
            <w:vAlign w:val="center"/>
          </w:tcPr>
          <w:p w14:paraId="0C9A13B7" w14:textId="40CBF9FA"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4.5%</w:t>
            </w:r>
          </w:p>
        </w:tc>
        <w:tc>
          <w:tcPr>
            <w:tcW w:w="1013" w:type="pct"/>
            <w:tcBorders>
              <w:top w:val="nil"/>
              <w:left w:val="nil"/>
              <w:bottom w:val="single" w:sz="4" w:space="0" w:color="auto"/>
              <w:right w:val="single" w:sz="4" w:space="0" w:color="auto"/>
            </w:tcBorders>
            <w:shd w:val="clear" w:color="auto" w:fill="auto"/>
            <w:vAlign w:val="center"/>
          </w:tcPr>
          <w:p w14:paraId="0DF2FAF9" w14:textId="312C22DF"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1.7%</w:t>
            </w:r>
          </w:p>
        </w:tc>
      </w:tr>
      <w:tr w:rsidR="003E314C" w:rsidRPr="00325EF7" w14:paraId="6A86AD9B" w14:textId="77777777" w:rsidTr="009D67DD">
        <w:tc>
          <w:tcPr>
            <w:cnfStyle w:val="001000000000" w:firstRow="0" w:lastRow="0" w:firstColumn="1" w:lastColumn="0" w:oddVBand="0" w:evenVBand="0" w:oddHBand="0" w:evenHBand="0" w:firstRowFirstColumn="0" w:firstRowLastColumn="0" w:lastRowFirstColumn="0" w:lastRowLastColumn="0"/>
            <w:tcW w:w="1429" w:type="pct"/>
            <w:vAlign w:val="center"/>
          </w:tcPr>
          <w:p w14:paraId="4390B5BB" w14:textId="77777777" w:rsidR="003E314C" w:rsidRPr="004741B6" w:rsidRDefault="003E314C" w:rsidP="003E314C">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198A5F2" w14:textId="65ACFBB2"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13,057</w:t>
            </w:r>
          </w:p>
        </w:tc>
        <w:tc>
          <w:tcPr>
            <w:tcW w:w="1049" w:type="pct"/>
            <w:tcBorders>
              <w:top w:val="nil"/>
              <w:left w:val="nil"/>
              <w:bottom w:val="single" w:sz="4" w:space="0" w:color="auto"/>
              <w:right w:val="single" w:sz="4" w:space="0" w:color="auto"/>
            </w:tcBorders>
            <w:shd w:val="clear" w:color="auto" w:fill="auto"/>
            <w:vAlign w:val="center"/>
          </w:tcPr>
          <w:p w14:paraId="7822F4AD" w14:textId="29067EEE"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51.7%</w:t>
            </w:r>
          </w:p>
        </w:tc>
        <w:tc>
          <w:tcPr>
            <w:tcW w:w="1013" w:type="pct"/>
            <w:tcBorders>
              <w:top w:val="nil"/>
              <w:left w:val="nil"/>
              <w:bottom w:val="single" w:sz="4" w:space="0" w:color="auto"/>
              <w:right w:val="single" w:sz="4" w:space="0" w:color="auto"/>
            </w:tcBorders>
            <w:shd w:val="clear" w:color="auto" w:fill="auto"/>
            <w:vAlign w:val="center"/>
          </w:tcPr>
          <w:p w14:paraId="701180CA" w14:textId="2E2AEECA" w:rsidR="003E314C" w:rsidRPr="00797B17" w:rsidRDefault="003E314C" w:rsidP="003E314C">
            <w:pPr>
              <w:ind w:left="-142" w:firstLine="142"/>
              <w:cnfStyle w:val="000000000000" w:firstRow="0" w:lastRow="0" w:firstColumn="0" w:lastColumn="0" w:oddVBand="0" w:evenVBand="0" w:oddHBand="0" w:evenHBand="0" w:firstRowFirstColumn="0" w:firstRowLastColumn="0" w:lastRowFirstColumn="0" w:lastRowLastColumn="0"/>
              <w:rPr>
                <w:noProof/>
              </w:rPr>
            </w:pPr>
            <w:r w:rsidRPr="002F44B7">
              <w:rPr>
                <w:rFonts w:cs="Gill Sans MT"/>
                <w:color w:val="000000"/>
              </w:rPr>
              <w:t>94.6%</w:t>
            </w:r>
          </w:p>
        </w:tc>
      </w:tr>
      <w:tr w:rsidR="003E314C" w:rsidRPr="00325EF7" w14:paraId="5DFF1E0D" w14:textId="77777777" w:rsidTr="009D67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4BBF069F" w14:textId="77777777" w:rsidR="003E314C" w:rsidRPr="004741B6" w:rsidRDefault="003E314C" w:rsidP="003E314C">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7A6DF081" w14:textId="62B089CB" w:rsidR="003E314C" w:rsidRPr="00E25233" w:rsidRDefault="003E314C" w:rsidP="003E314C">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2F44B7">
              <w:rPr>
                <w:rFonts w:cs="Gill Sans MT"/>
                <w:bCs/>
                <w:color w:val="000000"/>
              </w:rPr>
              <w:t>25,251</w:t>
            </w:r>
          </w:p>
        </w:tc>
        <w:tc>
          <w:tcPr>
            <w:tcW w:w="1049" w:type="pct"/>
            <w:tcBorders>
              <w:top w:val="nil"/>
              <w:left w:val="nil"/>
              <w:bottom w:val="single" w:sz="4" w:space="0" w:color="auto"/>
              <w:right w:val="single" w:sz="4" w:space="0" w:color="auto"/>
            </w:tcBorders>
            <w:shd w:val="clear" w:color="auto" w:fill="auto"/>
            <w:vAlign w:val="center"/>
          </w:tcPr>
          <w:p w14:paraId="66B07089" w14:textId="70949A3F" w:rsidR="003E314C" w:rsidRPr="00E25233" w:rsidRDefault="003E314C" w:rsidP="003E314C">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2F44B7">
              <w:rPr>
                <w:rFonts w:cs="Gill Sans MT"/>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9DA125C" w14:textId="442BDFD5" w:rsidR="003E314C" w:rsidRPr="00E25233" w:rsidRDefault="003E314C" w:rsidP="003E314C">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2F44B7">
              <w:rPr>
                <w:rFonts w:cs="Gill Sans MT"/>
                <w:bCs/>
                <w:color w:val="000000"/>
              </w:rPr>
              <w:t>100%</w:t>
            </w:r>
          </w:p>
        </w:tc>
      </w:tr>
    </w:tbl>
    <w:p w14:paraId="1F30AF44"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29C095AD"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5C3ADCBF" w14:textId="691CF29B" w:rsidR="008F1667" w:rsidRPr="00325EF7" w:rsidRDefault="00AF49CE" w:rsidP="00BB1E3F">
      <w:pPr>
        <w:spacing w:before="240" w:after="240" w:line="240" w:lineRule="auto"/>
        <w:ind w:left="-142"/>
      </w:pPr>
      <w:r>
        <w:t>“Number</w:t>
      </w:r>
      <w:r w:rsidR="008F1667" w:rsidRPr="00325EF7">
        <w:t xml:space="preserve"> of all job seekers” and “% of all job seekers” indicates the total number and proportion of </w:t>
      </w:r>
      <w:r w:rsidR="008F1667">
        <w:t xml:space="preserve">all </w:t>
      </w:r>
      <w:r w:rsidR="008F1667" w:rsidRPr="00325EF7">
        <w:t xml:space="preserve">job seekers as at </w:t>
      </w:r>
      <w:r w:rsidR="00C37529">
        <w:t>30 June 2019</w:t>
      </w:r>
      <w:r w:rsidR="008F1667" w:rsidRPr="00325EF7">
        <w:t xml:space="preserve"> who received the specified number of Participation Reports, Provider Appointment Reports and/or Non-Attendance Reports over the preceding twelve months.</w:t>
      </w:r>
    </w:p>
    <w:p w14:paraId="65E5A60D" w14:textId="77777777" w:rsidR="00F2349F" w:rsidRDefault="008F1667" w:rsidP="00F2349F">
      <w:pPr>
        <w:spacing w:before="240" w:after="240" w:line="240" w:lineRule="auto"/>
        <w:ind w:left="-142" w:right="-142"/>
      </w:pPr>
      <w:r w:rsidRPr="00325EF7">
        <w:t>“% of PRs</w:t>
      </w:r>
      <w:r w:rsidR="00F2349F">
        <w:t>, NARs or</w:t>
      </w:r>
      <w:r>
        <w:t xml:space="preserve">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C37529">
        <w:t>30 June 2019</w:t>
      </w:r>
      <w:r w:rsidRPr="00325EF7">
        <w:t xml:space="preserve"> during the preceding twelve </w:t>
      </w:r>
      <w:r w:rsidRPr="00287925">
        <w:t>month period (e.g.</w:t>
      </w:r>
      <w:r w:rsidR="00135D0E" w:rsidRPr="00287925">
        <w:t xml:space="preserve"> </w:t>
      </w:r>
      <w:r w:rsidR="000B2D21">
        <w:t>94.6</w:t>
      </w:r>
      <w:r w:rsidRPr="00287925">
        <w:t xml:space="preserve"> per cent of all compliance reports submitted between </w:t>
      </w:r>
      <w:r w:rsidRPr="00287925">
        <w:br/>
        <w:t xml:space="preserve">1 </w:t>
      </w:r>
      <w:r w:rsidR="003E314C">
        <w:t>July</w:t>
      </w:r>
      <w:r w:rsidRPr="00287925">
        <w:t xml:space="preserve"> 201</w:t>
      </w:r>
      <w:r w:rsidR="003E314C">
        <w:t>8</w:t>
      </w:r>
      <w:r w:rsidRPr="00287925">
        <w:t xml:space="preserve"> and </w:t>
      </w:r>
      <w:r w:rsidR="00C37529">
        <w:t>30 June 2019</w:t>
      </w:r>
      <w:r w:rsidRPr="00287925">
        <w:t xml:space="preserve"> were submitted in relation to those job seekers who, as at </w:t>
      </w:r>
      <w:r w:rsidR="00C37529">
        <w:t>30 June 2019</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3E757334" w14:textId="58F263A5" w:rsidR="00EB70CC" w:rsidRDefault="00EB70CC" w:rsidP="00F2349F">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25490207" w14:textId="77777777" w:rsidR="00ED1D1C" w:rsidRDefault="00ED1D1C" w:rsidP="008F1667">
      <w:pPr>
        <w:spacing w:before="0" w:after="120" w:line="240" w:lineRule="auto"/>
        <w:ind w:left="-142"/>
      </w:pPr>
    </w:p>
    <w:p w14:paraId="7CDF846E" w14:textId="77777777" w:rsidR="00E909FA" w:rsidRDefault="00E909FA" w:rsidP="00887E4E">
      <w:pPr>
        <w:ind w:left="-142" w:firstLine="142"/>
      </w:pPr>
      <w:r>
        <w:br w:type="page"/>
      </w:r>
    </w:p>
    <w:p w14:paraId="25E87184" w14:textId="77777777" w:rsidR="00366AB0" w:rsidRPr="00366AB0" w:rsidRDefault="00456F16" w:rsidP="00366AB0">
      <w:pPr>
        <w:pStyle w:val="Heading2"/>
        <w:spacing w:after="240"/>
        <w:ind w:left="-142" w:firstLine="142"/>
      </w:pPr>
      <w:bookmarkStart w:id="19" w:name="_Toc19281345"/>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Caption w:val="Number of Participation Failures"/>
        <w:tblDescription w:val=" Number of Participation Failures"/>
      </w:tblPr>
      <w:tblGrid>
        <w:gridCol w:w="4191"/>
        <w:gridCol w:w="5444"/>
        <w:gridCol w:w="5271"/>
      </w:tblGrid>
      <w:tr w:rsidR="0027748E" w:rsidRPr="00325EF7" w14:paraId="2C4B0F72"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61578AAD" w14:textId="77777777" w:rsidR="0027748E" w:rsidRPr="004741B6" w:rsidRDefault="0027748E" w:rsidP="002C4104">
            <w:pPr>
              <w:spacing w:before="0"/>
              <w:ind w:left="-142" w:firstLine="142"/>
              <w:rPr>
                <w:noProof/>
              </w:rPr>
            </w:pPr>
            <w:r w:rsidRPr="004741B6">
              <w:rPr>
                <w:noProof/>
              </w:rPr>
              <w:t>N</w:t>
            </w:r>
            <w:r>
              <w:rPr>
                <w:noProof/>
              </w:rPr>
              <w:t>umber</w:t>
            </w:r>
            <w:r w:rsidRPr="004741B6">
              <w:rPr>
                <w:noProof/>
              </w:rPr>
              <w:t xml:space="preserve"> of Participation Failures</w:t>
            </w:r>
          </w:p>
          <w:p w14:paraId="766FF1C0" w14:textId="06E5346D" w:rsidR="0027748E" w:rsidRPr="004741B6" w:rsidRDefault="00C37529" w:rsidP="002C4104">
            <w:pPr>
              <w:spacing w:before="0"/>
              <w:ind w:left="-142" w:firstLine="142"/>
              <w:rPr>
                <w:noProof/>
              </w:rPr>
            </w:pPr>
            <w:r>
              <w:t>1 April to 30 June 2019</w:t>
            </w:r>
          </w:p>
        </w:tc>
        <w:tc>
          <w:tcPr>
            <w:tcW w:w="1826" w:type="pct"/>
            <w:vAlign w:val="center"/>
          </w:tcPr>
          <w:p w14:paraId="3F9A49F6" w14:textId="1753839D" w:rsidR="0027748E" w:rsidRPr="004741B6" w:rsidRDefault="0027748E" w:rsidP="00AF49CE">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sidR="00AF49CE">
              <w:rPr>
                <w:noProof/>
              </w:rPr>
              <w:t>umber</w:t>
            </w:r>
            <w:r w:rsidRPr="004741B6">
              <w:rPr>
                <w:noProof/>
              </w:rPr>
              <w:t xml:space="preserve"> of job seekers with a Participation Failure applied</w:t>
            </w:r>
            <w:r>
              <w:rPr>
                <w:noProof/>
              </w:rPr>
              <w:t xml:space="preserve"> in past 12 months, as at </w:t>
            </w:r>
            <w:r w:rsidR="00C37529">
              <w:rPr>
                <w:noProof/>
              </w:rPr>
              <w:t>30 June 2019</w:t>
            </w:r>
          </w:p>
        </w:tc>
        <w:tc>
          <w:tcPr>
            <w:tcW w:w="1768" w:type="pct"/>
            <w:vAlign w:val="center"/>
          </w:tcPr>
          <w:p w14:paraId="1D143BE9" w14:textId="31E227D3" w:rsidR="0027748E" w:rsidRPr="004741B6" w:rsidRDefault="00F2349F" w:rsidP="00705337">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Pr>
                <w:noProof/>
              </w:rPr>
              <w:t>%</w:t>
            </w:r>
            <w:r w:rsidRPr="004741B6">
              <w:rPr>
                <w:noProof/>
              </w:rPr>
              <w:t xml:space="preserve"> of job seekers with a Participation Failure applied</w:t>
            </w:r>
            <w:r>
              <w:rPr>
                <w:noProof/>
              </w:rPr>
              <w:t xml:space="preserve"> in past 12 months, as at 30 June 2019</w:t>
            </w:r>
          </w:p>
        </w:tc>
      </w:tr>
      <w:tr w:rsidR="003E314C" w:rsidRPr="00325EF7" w14:paraId="64BB9272" w14:textId="77777777" w:rsidTr="00495540">
        <w:trPr>
          <w:trHeight w:val="413"/>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569C4BEC" w14:textId="4B0A6F33" w:rsidR="003E314C" w:rsidRPr="00495540" w:rsidRDefault="003E314C" w:rsidP="003E314C">
            <w:pPr>
              <w:autoSpaceDE w:val="0"/>
              <w:autoSpaceDN w:val="0"/>
              <w:adjustRightInd w:val="0"/>
              <w:spacing w:before="0"/>
              <w:ind w:left="0"/>
              <w:rPr>
                <w:rFonts w:cs="Gill Sans MT"/>
                <w:b w:val="0"/>
                <w:color w:val="000000"/>
              </w:rPr>
            </w:pPr>
            <w:r>
              <w:rPr>
                <w:rFonts w:cs="Gill Sans MT"/>
                <w:b w:val="0"/>
                <w:color w:val="000000"/>
              </w:rPr>
              <w:t>31,810</w:t>
            </w:r>
          </w:p>
        </w:tc>
        <w:tc>
          <w:tcPr>
            <w:tcW w:w="1826" w:type="pct"/>
            <w:vAlign w:val="center"/>
          </w:tcPr>
          <w:p w14:paraId="45198FD3" w14:textId="6E6FFD48" w:rsidR="003E314C" w:rsidRPr="00495540" w:rsidRDefault="003E314C" w:rsidP="003E314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11,816</w:t>
            </w:r>
          </w:p>
        </w:tc>
        <w:tc>
          <w:tcPr>
            <w:tcW w:w="1768" w:type="pct"/>
            <w:vAlign w:val="center"/>
          </w:tcPr>
          <w:p w14:paraId="00AF6B7F" w14:textId="1E35C76B" w:rsidR="003E314C" w:rsidRPr="00495540" w:rsidRDefault="003E314C" w:rsidP="003E314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46.8%</w:t>
            </w:r>
          </w:p>
        </w:tc>
      </w:tr>
    </w:tbl>
    <w:p w14:paraId="0AEDF8CF" w14:textId="2628CE62"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w:t>
      </w:r>
      <w:r w:rsidR="00400FF9">
        <w:t>s</w:t>
      </w:r>
      <w:r w:rsidR="00131442" w:rsidRPr="00325EF7">
        <w:t xml:space="preserv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666ED086" w14:textId="77777777" w:rsidR="00131442" w:rsidRPr="00A64073" w:rsidRDefault="00131442" w:rsidP="00BB1E3F">
      <w:pPr>
        <w:spacing w:before="240" w:after="240" w:line="240" w:lineRule="auto"/>
        <w:ind w:left="-142"/>
      </w:pPr>
      <w:r w:rsidRPr="00A64073">
        <w:t xml:space="preserve">Participation Failures are applied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 depending on the failure type. </w:t>
      </w:r>
    </w:p>
    <w:p w14:paraId="44428EC7" w14:textId="77777777" w:rsidR="00131442" w:rsidRDefault="00131442" w:rsidP="00BB1E3F">
      <w:pPr>
        <w:spacing w:before="240" w:after="240" w:line="240" w:lineRule="auto"/>
        <w:ind w:left="-142"/>
      </w:pPr>
      <w:r w:rsidRPr="00A64073">
        <w:t>Non</w:t>
      </w:r>
      <w:r w:rsidRPr="00A64073">
        <w:noBreakHyphen/>
        <w:t>Attendance Reports, like Participation Reports, are a mechanism for providers to report non-compliance. However, the Department of Human Services does not consider reasonable excuse before actioning Non</w:t>
      </w:r>
      <w:r w:rsidRPr="00A64073">
        <w:noBreakHyphen/>
        <w:t>Attendance Reports and they do not result in the application of a Participation Failure or penalty (only income support payment suspension). Unemployment Non Payment Periods (UNPPs) are also excluded from the table as the majority of UNPPs are initiated by the Department of Human Services prior</w:t>
      </w:r>
      <w:r w:rsidRPr="00325EF7">
        <w:t xml:space="preserve"> to a job seeker commencing in employment services.</w:t>
      </w:r>
    </w:p>
    <w:p w14:paraId="486C49ED" w14:textId="702DD44F"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8576DC">
        <w:t>Table 6a</w:t>
      </w:r>
      <w:r w:rsidRPr="00ED2055">
        <w:t>, as</w:t>
      </w:r>
      <w:r>
        <w:t xml:space="preserve"> </w:t>
      </w:r>
      <w:r w:rsidR="008576DC">
        <w:t>Table 6a</w:t>
      </w:r>
      <w:r w:rsidRPr="00325EF7">
        <w:t xml:space="preserve"> does not include Serious Failures for persistent non-compliance</w:t>
      </w:r>
      <w:r>
        <w:t>.</w:t>
      </w:r>
    </w:p>
    <w:p w14:paraId="7D5CD692" w14:textId="793F2176"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C37529">
        <w:t>30 June 2019</w:t>
      </w:r>
      <w:r w:rsidR="00131442" w:rsidRPr="00325EF7">
        <w:t xml:space="preserve"> 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6DA09832" w14:textId="05EBA6A4" w:rsidR="007E53AF" w:rsidRDefault="00131442" w:rsidP="00BB1E3F">
      <w:pPr>
        <w:spacing w:before="240" w:after="240" w:line="240" w:lineRule="auto"/>
        <w:ind w:left="-142"/>
      </w:pPr>
      <w:r>
        <w:t xml:space="preserve">The “% </w:t>
      </w:r>
      <w:r w:rsidRPr="00325EF7">
        <w:t>of job seekers</w:t>
      </w:r>
      <w:r>
        <w:t xml:space="preserve"> with a Participation Failure applied</w:t>
      </w:r>
      <w:r w:rsidR="00F2349F">
        <w:t xml:space="preserve"> in past 12 months</w:t>
      </w:r>
      <w:r w:rsidRPr="00325EF7">
        <w:t xml:space="preserve">” </w:t>
      </w:r>
      <w:r>
        <w:t xml:space="preserve">figure gives </w:t>
      </w:r>
      <w:r w:rsidRPr="006648D1">
        <w:t xml:space="preserve">the </w:t>
      </w:r>
      <w:r w:rsidR="00AF49CE">
        <w:t>“Number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C37529">
        <w:t>30 June 2019</w:t>
      </w:r>
      <w:r w:rsidR="00A9033B">
        <w:t>)</w:t>
      </w:r>
      <w:r>
        <w:t>.</w:t>
      </w:r>
    </w:p>
    <w:p w14:paraId="3C649608" w14:textId="77777777" w:rsidR="007E53AF" w:rsidRDefault="007E53AF">
      <w:pPr>
        <w:spacing w:before="0"/>
        <w:ind w:left="0"/>
      </w:pPr>
      <w:r>
        <w:br w:type="page"/>
      </w:r>
    </w:p>
    <w:p w14:paraId="05EC58C8" w14:textId="77777777" w:rsidR="00456F16" w:rsidRDefault="00456F16" w:rsidP="00456F16">
      <w:pPr>
        <w:pStyle w:val="Heading2"/>
        <w:ind w:left="-142" w:firstLine="142"/>
      </w:pPr>
      <w:bookmarkStart w:id="20" w:name="_Toc19281346"/>
      <w:r w:rsidRPr="00325EF7">
        <w:lastRenderedPageBreak/>
        <w:t>Types of Participation Failures</w:t>
      </w:r>
      <w:bookmarkEnd w:id="20"/>
    </w:p>
    <w:p w14:paraId="57169E83" w14:textId="77777777" w:rsidR="00BF5515" w:rsidRPr="00074775" w:rsidRDefault="00E55094" w:rsidP="006E21A3">
      <w:pPr>
        <w:pStyle w:val="Heading2"/>
        <w:numPr>
          <w:ilvl w:val="0"/>
          <w:numId w:val="0"/>
        </w:numPr>
        <w:ind w:left="567"/>
      </w:pPr>
      <w:bookmarkStart w:id="21" w:name="_Toc19281347"/>
      <w:r>
        <w:t>9</w:t>
      </w:r>
      <w:r w:rsidR="006E21A3">
        <w:t>a</w:t>
      </w:r>
      <w:r>
        <w:t>.</w:t>
      </w:r>
      <w:r w:rsidR="00970C39">
        <w:tab/>
      </w:r>
      <w:r w:rsidR="00BF5515" w:rsidRPr="007D74E1">
        <w:rPr>
          <w:i/>
        </w:rPr>
        <w:t>Types of Participation Failures</w:t>
      </w:r>
      <w:bookmarkEnd w:id="21"/>
    </w:p>
    <w:tbl>
      <w:tblPr>
        <w:tblStyle w:val="CenterAlignTable"/>
        <w:tblW w:w="4965" w:type="pct"/>
        <w:tblInd w:w="0" w:type="dxa"/>
        <w:tblLook w:val="07E0" w:firstRow="1" w:lastRow="1" w:firstColumn="1" w:lastColumn="1" w:noHBand="1" w:noVBand="1"/>
        <w:tblCaption w:val="Types of Participation Failures: Overview"/>
        <w:tblDescription w:val="Types of Participation Failures: Overview"/>
      </w:tblPr>
      <w:tblGrid>
        <w:gridCol w:w="1898"/>
        <w:gridCol w:w="1091"/>
        <w:gridCol w:w="904"/>
        <w:gridCol w:w="1118"/>
        <w:gridCol w:w="916"/>
        <w:gridCol w:w="1425"/>
        <w:gridCol w:w="1428"/>
        <w:gridCol w:w="1410"/>
        <w:gridCol w:w="995"/>
        <w:gridCol w:w="1279"/>
        <w:gridCol w:w="568"/>
        <w:gridCol w:w="1597"/>
      </w:tblGrid>
      <w:tr w:rsidR="00DB21EF" w:rsidRPr="00325EF7" w14:paraId="585F5AF8" w14:textId="7777777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val="restart"/>
            <w:vAlign w:val="center"/>
          </w:tcPr>
          <w:p w14:paraId="19CBE7BA" w14:textId="4E212B63" w:rsidR="00DB21EF" w:rsidRPr="004741B6" w:rsidRDefault="00DB21EF" w:rsidP="00B51AA6">
            <w:pPr>
              <w:ind w:left="0"/>
              <w:jc w:val="left"/>
            </w:pPr>
          </w:p>
        </w:tc>
        <w:tc>
          <w:tcPr>
            <w:tcW w:w="682" w:type="pct"/>
            <w:gridSpan w:val="2"/>
          </w:tcPr>
          <w:p w14:paraId="3E857FC5"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95" w:type="pct"/>
            <w:gridSpan w:val="2"/>
          </w:tcPr>
          <w:p w14:paraId="2283810F"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975" w:type="pct"/>
            <w:gridSpan w:val="2"/>
          </w:tcPr>
          <w:p w14:paraId="29FAE3C8"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22" w:type="pct"/>
            <w:gridSpan w:val="2"/>
          </w:tcPr>
          <w:p w14:paraId="19014680"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31" w:type="pct"/>
            <w:gridSpan w:val="2"/>
          </w:tcPr>
          <w:p w14:paraId="60FA63FB" w14:textId="3AC55E54" w:rsidR="00DB21EF" w:rsidRPr="004741B6" w:rsidRDefault="00DB21EF" w:rsidP="008D1ECC">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46" w:type="pct"/>
          </w:tcPr>
          <w:p w14:paraId="00DA78F7"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DB21EF" w:rsidRPr="00325EF7" w14:paraId="06EF8638" w14:textId="77777777" w:rsidTr="00797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tcPr>
          <w:p w14:paraId="5D31C19F" w14:textId="77777777" w:rsidR="00DB21EF" w:rsidRPr="004741B6" w:rsidRDefault="00DB21EF" w:rsidP="00887E4E">
            <w:pPr>
              <w:ind w:left="-142" w:firstLine="142"/>
            </w:pPr>
          </w:p>
        </w:tc>
        <w:tc>
          <w:tcPr>
            <w:tcW w:w="373" w:type="pct"/>
            <w:tcBorders>
              <w:bottom w:val="single" w:sz="8" w:space="0" w:color="auto"/>
            </w:tcBorders>
          </w:tcPr>
          <w:p w14:paraId="58DDDAC9"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09" w:type="pct"/>
            <w:tcBorders>
              <w:bottom w:val="single" w:sz="8" w:space="0" w:color="auto"/>
            </w:tcBorders>
          </w:tcPr>
          <w:p w14:paraId="521F2BAF"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382" w:type="pct"/>
            <w:tcBorders>
              <w:bottom w:val="single" w:sz="8" w:space="0" w:color="auto"/>
            </w:tcBorders>
          </w:tcPr>
          <w:p w14:paraId="10DBAA2D"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13" w:type="pct"/>
            <w:tcBorders>
              <w:bottom w:val="single" w:sz="8" w:space="0" w:color="auto"/>
            </w:tcBorders>
          </w:tcPr>
          <w:p w14:paraId="561C2C68"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7" w:type="pct"/>
            <w:tcBorders>
              <w:bottom w:val="single" w:sz="8" w:space="0" w:color="auto"/>
            </w:tcBorders>
          </w:tcPr>
          <w:p w14:paraId="11E06421"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488" w:type="pct"/>
            <w:tcBorders>
              <w:bottom w:val="single" w:sz="8" w:space="0" w:color="auto"/>
            </w:tcBorders>
          </w:tcPr>
          <w:p w14:paraId="686E115D"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2" w:type="pct"/>
            <w:tcBorders>
              <w:bottom w:val="single" w:sz="8" w:space="0" w:color="auto"/>
            </w:tcBorders>
          </w:tcPr>
          <w:p w14:paraId="619D12A5"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40" w:type="pct"/>
            <w:tcBorders>
              <w:bottom w:val="single" w:sz="8" w:space="0" w:color="auto"/>
            </w:tcBorders>
          </w:tcPr>
          <w:p w14:paraId="61E1396D"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37" w:type="pct"/>
            <w:tcBorders>
              <w:bottom w:val="single" w:sz="8" w:space="0" w:color="auto"/>
            </w:tcBorders>
          </w:tcPr>
          <w:p w14:paraId="1865039C"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94" w:type="pct"/>
            <w:tcBorders>
              <w:bottom w:val="single" w:sz="8" w:space="0" w:color="auto"/>
            </w:tcBorders>
          </w:tcPr>
          <w:p w14:paraId="7648388F"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546" w:type="pct"/>
            <w:tcBorders>
              <w:bottom w:val="single" w:sz="8" w:space="0" w:color="auto"/>
            </w:tcBorders>
          </w:tcPr>
          <w:p w14:paraId="4BAEAB54" w14:textId="77777777" w:rsidR="00DB21EF" w:rsidRPr="004741B6" w:rsidRDefault="00DB21E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045A2C" w:rsidRPr="00325EF7" w14:paraId="403B3DFC" w14:textId="77777777" w:rsidTr="003E314C">
        <w:trPr>
          <w:trHeight w:val="455"/>
        </w:trPr>
        <w:tc>
          <w:tcPr>
            <w:cnfStyle w:val="001000000000" w:firstRow="0" w:lastRow="0" w:firstColumn="1" w:lastColumn="0" w:oddVBand="0" w:evenVBand="0" w:oddHBand="0" w:evenHBand="0" w:firstRowFirstColumn="0" w:firstRowLastColumn="0" w:lastRowFirstColumn="0" w:lastRowLastColumn="0"/>
            <w:tcW w:w="649" w:type="pct"/>
          </w:tcPr>
          <w:p w14:paraId="2DFCB782" w14:textId="7F017EA0" w:rsidR="00797B17" w:rsidRPr="004741B6" w:rsidRDefault="003E314C" w:rsidP="00797B17">
            <w:pPr>
              <w:ind w:left="-142" w:firstLine="142"/>
            </w:pPr>
            <w:r>
              <w:t>1 July</w:t>
            </w:r>
            <w:r w:rsidRPr="0067210B">
              <w:t xml:space="preserve"> to</w:t>
            </w:r>
            <w:r>
              <w:br/>
              <w:t>30 June 2019</w:t>
            </w:r>
          </w:p>
        </w:tc>
        <w:tc>
          <w:tcPr>
            <w:tcW w:w="373" w:type="pct"/>
            <w:tcBorders>
              <w:top w:val="single" w:sz="8" w:space="0" w:color="auto"/>
              <w:left w:val="single" w:sz="8" w:space="0" w:color="auto"/>
              <w:bottom w:val="single" w:sz="8" w:space="0" w:color="auto"/>
              <w:right w:val="single" w:sz="8" w:space="0" w:color="auto"/>
            </w:tcBorders>
            <w:shd w:val="clear" w:color="auto" w:fill="auto"/>
            <w:vAlign w:val="center"/>
          </w:tcPr>
          <w:p w14:paraId="5318D3A9" w14:textId="2195A2A8" w:rsidR="00797B17" w:rsidRPr="00797B17" w:rsidRDefault="00A334DD" w:rsidP="00A334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b/>
              </w:rPr>
            </w:pPr>
            <w:r>
              <w:rPr>
                <w:b/>
              </w:rPr>
              <w:t>np</w:t>
            </w:r>
          </w:p>
        </w:tc>
        <w:tc>
          <w:tcPr>
            <w:tcW w:w="309" w:type="pct"/>
            <w:tcBorders>
              <w:top w:val="single" w:sz="8" w:space="0" w:color="auto"/>
              <w:left w:val="nil"/>
              <w:bottom w:val="single" w:sz="8" w:space="0" w:color="auto"/>
              <w:right w:val="single" w:sz="8" w:space="0" w:color="auto"/>
            </w:tcBorders>
            <w:shd w:val="clear" w:color="auto" w:fill="auto"/>
            <w:vAlign w:val="center"/>
          </w:tcPr>
          <w:p w14:paraId="7A7CE7A3" w14:textId="048DD389" w:rsidR="00797B17" w:rsidRPr="00797B17" w:rsidRDefault="00A334DD" w:rsidP="00797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b/>
              </w:rPr>
            </w:pPr>
            <w:r>
              <w:rPr>
                <w:b/>
              </w:rPr>
              <w:t>np</w:t>
            </w:r>
          </w:p>
        </w:tc>
        <w:tc>
          <w:tcPr>
            <w:tcW w:w="382" w:type="pct"/>
            <w:tcBorders>
              <w:top w:val="single" w:sz="8" w:space="0" w:color="auto"/>
              <w:left w:val="nil"/>
              <w:bottom w:val="single" w:sz="8" w:space="0" w:color="auto"/>
              <w:right w:val="single" w:sz="8" w:space="0" w:color="auto"/>
            </w:tcBorders>
            <w:shd w:val="clear" w:color="auto" w:fill="auto"/>
            <w:vAlign w:val="center"/>
          </w:tcPr>
          <w:p w14:paraId="24CF51FA" w14:textId="4FF8F3B4" w:rsidR="00797B17" w:rsidRPr="00797B17" w:rsidRDefault="00A334DD" w:rsidP="00797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b/>
              </w:rPr>
            </w:pPr>
            <w:r>
              <w:rPr>
                <w:b/>
              </w:rPr>
              <w:t>np</w:t>
            </w:r>
          </w:p>
        </w:tc>
        <w:tc>
          <w:tcPr>
            <w:tcW w:w="313" w:type="pct"/>
            <w:tcBorders>
              <w:top w:val="single" w:sz="8" w:space="0" w:color="auto"/>
              <w:left w:val="nil"/>
              <w:bottom w:val="single" w:sz="8" w:space="0" w:color="auto"/>
              <w:right w:val="single" w:sz="8" w:space="0" w:color="auto"/>
            </w:tcBorders>
            <w:shd w:val="clear" w:color="auto" w:fill="auto"/>
            <w:vAlign w:val="center"/>
          </w:tcPr>
          <w:p w14:paraId="40889DBD" w14:textId="1CAA1E6E" w:rsidR="00797B17" w:rsidRPr="00797B17" w:rsidRDefault="00A334DD" w:rsidP="00797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b/>
              </w:rPr>
            </w:pPr>
            <w:r>
              <w:rPr>
                <w:b/>
              </w:rPr>
              <w:t>np</w:t>
            </w:r>
          </w:p>
        </w:tc>
        <w:tc>
          <w:tcPr>
            <w:tcW w:w="487" w:type="pct"/>
            <w:tcBorders>
              <w:top w:val="single" w:sz="8" w:space="0" w:color="auto"/>
              <w:left w:val="nil"/>
              <w:bottom w:val="single" w:sz="8" w:space="0" w:color="auto"/>
              <w:right w:val="single" w:sz="8" w:space="0" w:color="auto"/>
            </w:tcBorders>
            <w:shd w:val="clear" w:color="auto" w:fill="auto"/>
            <w:vAlign w:val="center"/>
          </w:tcPr>
          <w:p w14:paraId="54184529" w14:textId="455E13DD" w:rsidR="00797B17" w:rsidRPr="00797B17" w:rsidRDefault="00A334DD" w:rsidP="00A334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b/>
              </w:rPr>
            </w:pPr>
            <w:r>
              <w:rPr>
                <w:b/>
              </w:rPr>
              <w:t>np</w:t>
            </w:r>
          </w:p>
        </w:tc>
        <w:tc>
          <w:tcPr>
            <w:tcW w:w="488" w:type="pct"/>
            <w:tcBorders>
              <w:top w:val="single" w:sz="8" w:space="0" w:color="auto"/>
              <w:left w:val="nil"/>
              <w:bottom w:val="single" w:sz="8" w:space="0" w:color="auto"/>
              <w:right w:val="single" w:sz="8" w:space="0" w:color="auto"/>
            </w:tcBorders>
            <w:shd w:val="clear" w:color="auto" w:fill="auto"/>
            <w:vAlign w:val="center"/>
          </w:tcPr>
          <w:p w14:paraId="42220625" w14:textId="452CDE13" w:rsidR="00797B17" w:rsidRPr="00797B17" w:rsidRDefault="00A334DD" w:rsidP="00797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b/>
              </w:rPr>
            </w:pPr>
            <w:r>
              <w:rPr>
                <w:b/>
              </w:rPr>
              <w:t>np</w:t>
            </w:r>
          </w:p>
        </w:tc>
        <w:tc>
          <w:tcPr>
            <w:tcW w:w="482" w:type="pct"/>
            <w:tcBorders>
              <w:top w:val="single" w:sz="8" w:space="0" w:color="auto"/>
              <w:left w:val="nil"/>
              <w:bottom w:val="single" w:sz="8" w:space="0" w:color="auto"/>
              <w:right w:val="single" w:sz="8" w:space="0" w:color="auto"/>
            </w:tcBorders>
            <w:shd w:val="clear" w:color="auto" w:fill="auto"/>
            <w:vAlign w:val="center"/>
          </w:tcPr>
          <w:p w14:paraId="2E528186" w14:textId="6550621B" w:rsidR="00797B17" w:rsidRPr="00797B17" w:rsidRDefault="00A334DD" w:rsidP="00797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b/>
              </w:rPr>
            </w:pPr>
            <w:r>
              <w:rPr>
                <w:b/>
              </w:rPr>
              <w:t>np</w:t>
            </w:r>
          </w:p>
        </w:tc>
        <w:tc>
          <w:tcPr>
            <w:tcW w:w="340" w:type="pct"/>
            <w:tcBorders>
              <w:top w:val="single" w:sz="8" w:space="0" w:color="auto"/>
              <w:left w:val="nil"/>
              <w:bottom w:val="single" w:sz="8" w:space="0" w:color="auto"/>
              <w:right w:val="single" w:sz="8" w:space="0" w:color="auto"/>
            </w:tcBorders>
            <w:shd w:val="clear" w:color="auto" w:fill="auto"/>
            <w:vAlign w:val="center"/>
          </w:tcPr>
          <w:p w14:paraId="2E3FC17B" w14:textId="57D09287" w:rsidR="00797B17" w:rsidRPr="00797B17" w:rsidRDefault="00A334DD" w:rsidP="00797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b/>
              </w:rPr>
            </w:pPr>
            <w:r>
              <w:rPr>
                <w:b/>
              </w:rPr>
              <w:t>np</w:t>
            </w:r>
          </w:p>
        </w:tc>
        <w:tc>
          <w:tcPr>
            <w:tcW w:w="437" w:type="pct"/>
            <w:tcBorders>
              <w:top w:val="single" w:sz="8" w:space="0" w:color="auto"/>
              <w:left w:val="nil"/>
              <w:bottom w:val="single" w:sz="8" w:space="0" w:color="auto"/>
              <w:right w:val="single" w:sz="8" w:space="0" w:color="auto"/>
            </w:tcBorders>
            <w:shd w:val="clear" w:color="auto" w:fill="auto"/>
            <w:vAlign w:val="center"/>
          </w:tcPr>
          <w:p w14:paraId="5EEE5051" w14:textId="77923462" w:rsidR="00797B17" w:rsidRPr="00797B17" w:rsidRDefault="00A334DD" w:rsidP="00A334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b/>
              </w:rPr>
            </w:pPr>
            <w:r>
              <w:rPr>
                <w:b/>
              </w:rPr>
              <w:t>np</w:t>
            </w:r>
          </w:p>
        </w:tc>
        <w:tc>
          <w:tcPr>
            <w:tcW w:w="194" w:type="pct"/>
            <w:tcBorders>
              <w:top w:val="single" w:sz="8" w:space="0" w:color="auto"/>
              <w:left w:val="nil"/>
              <w:bottom w:val="single" w:sz="8" w:space="0" w:color="auto"/>
              <w:right w:val="single" w:sz="8" w:space="0" w:color="auto"/>
            </w:tcBorders>
            <w:shd w:val="clear" w:color="auto" w:fill="auto"/>
            <w:vAlign w:val="center"/>
          </w:tcPr>
          <w:p w14:paraId="778C1BF3" w14:textId="3EF090A8" w:rsidR="00797B17" w:rsidRPr="00797B17" w:rsidRDefault="00A334DD" w:rsidP="00797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b/>
              </w:rPr>
            </w:pPr>
            <w:r>
              <w:rPr>
                <w:b/>
              </w:rPr>
              <w:t>np</w:t>
            </w:r>
          </w:p>
        </w:tc>
        <w:tc>
          <w:tcPr>
            <w:tcW w:w="546" w:type="pct"/>
            <w:tcBorders>
              <w:top w:val="single" w:sz="8" w:space="0" w:color="auto"/>
              <w:left w:val="nil"/>
              <w:bottom w:val="single" w:sz="8" w:space="0" w:color="auto"/>
              <w:right w:val="single" w:sz="8" w:space="0" w:color="auto"/>
            </w:tcBorders>
            <w:shd w:val="clear" w:color="auto" w:fill="auto"/>
            <w:vAlign w:val="center"/>
          </w:tcPr>
          <w:p w14:paraId="55192207" w14:textId="4D52235C" w:rsidR="00797B17" w:rsidRPr="003E314C" w:rsidRDefault="003E314C" w:rsidP="00797B1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b/>
              </w:rPr>
            </w:pPr>
            <w:r w:rsidRPr="003E314C">
              <w:rPr>
                <w:rFonts w:cs="Gill Sans MT"/>
                <w:b/>
                <w:color w:val="000000"/>
              </w:rPr>
              <w:t>31,810</w:t>
            </w:r>
          </w:p>
        </w:tc>
      </w:tr>
      <w:tr w:rsidR="003E314C" w:rsidRPr="00325EF7" w14:paraId="12DADE88" w14:textId="77777777" w:rsidTr="00797B17">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49" w:type="pct"/>
          </w:tcPr>
          <w:p w14:paraId="3B454A04" w14:textId="0D7C09FB" w:rsidR="003E314C" w:rsidRPr="004741B6" w:rsidRDefault="003E314C" w:rsidP="003E314C">
            <w:pPr>
              <w:ind w:left="-142" w:firstLine="142"/>
            </w:pPr>
            <w:r w:rsidRPr="00167911">
              <w:t>1 July 2018 to 30 June 2019</w:t>
            </w:r>
          </w:p>
        </w:tc>
        <w:tc>
          <w:tcPr>
            <w:tcW w:w="373" w:type="pct"/>
            <w:tcBorders>
              <w:top w:val="single" w:sz="8" w:space="0" w:color="auto"/>
              <w:left w:val="single" w:sz="8" w:space="0" w:color="auto"/>
              <w:bottom w:val="single" w:sz="4" w:space="0" w:color="auto"/>
              <w:right w:val="single" w:sz="8" w:space="0" w:color="auto"/>
            </w:tcBorders>
            <w:shd w:val="clear" w:color="auto" w:fill="auto"/>
            <w:vAlign w:val="center"/>
          </w:tcPr>
          <w:p w14:paraId="6C35410F" w14:textId="06D7F435" w:rsidR="003E314C" w:rsidRPr="003E314C" w:rsidRDefault="003E314C" w:rsidP="003E314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sidRPr="003E314C">
              <w:t>np</w:t>
            </w:r>
          </w:p>
        </w:tc>
        <w:tc>
          <w:tcPr>
            <w:tcW w:w="309" w:type="pct"/>
            <w:tcBorders>
              <w:top w:val="single" w:sz="8" w:space="0" w:color="auto"/>
              <w:left w:val="nil"/>
              <w:bottom w:val="single" w:sz="4" w:space="0" w:color="auto"/>
              <w:right w:val="single" w:sz="8" w:space="0" w:color="auto"/>
            </w:tcBorders>
            <w:shd w:val="clear" w:color="auto" w:fill="auto"/>
            <w:vAlign w:val="center"/>
          </w:tcPr>
          <w:p w14:paraId="520DD2D6" w14:textId="25C04A3B" w:rsidR="003E314C" w:rsidRPr="003E314C" w:rsidRDefault="003E314C" w:rsidP="003E314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sidRPr="003E314C">
              <w:t>np</w:t>
            </w:r>
          </w:p>
        </w:tc>
        <w:tc>
          <w:tcPr>
            <w:tcW w:w="382" w:type="pct"/>
            <w:tcBorders>
              <w:top w:val="single" w:sz="8" w:space="0" w:color="auto"/>
              <w:left w:val="nil"/>
              <w:bottom w:val="single" w:sz="4" w:space="0" w:color="auto"/>
              <w:right w:val="single" w:sz="8" w:space="0" w:color="auto"/>
            </w:tcBorders>
            <w:shd w:val="clear" w:color="auto" w:fill="auto"/>
            <w:vAlign w:val="center"/>
          </w:tcPr>
          <w:p w14:paraId="775E3547" w14:textId="5CEC7D04" w:rsidR="003E314C" w:rsidRPr="003E314C" w:rsidRDefault="003E314C" w:rsidP="003E314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sidRPr="003E314C">
              <w:t>np</w:t>
            </w:r>
          </w:p>
        </w:tc>
        <w:tc>
          <w:tcPr>
            <w:tcW w:w="313" w:type="pct"/>
            <w:tcBorders>
              <w:top w:val="single" w:sz="8" w:space="0" w:color="auto"/>
              <w:left w:val="nil"/>
              <w:bottom w:val="single" w:sz="4" w:space="0" w:color="auto"/>
              <w:right w:val="single" w:sz="8" w:space="0" w:color="auto"/>
            </w:tcBorders>
            <w:shd w:val="clear" w:color="auto" w:fill="auto"/>
            <w:vAlign w:val="center"/>
          </w:tcPr>
          <w:p w14:paraId="742EE751" w14:textId="7784FC82" w:rsidR="003E314C" w:rsidRPr="003E314C" w:rsidRDefault="003E314C" w:rsidP="003E314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sidRPr="003E314C">
              <w:t>np</w:t>
            </w:r>
          </w:p>
        </w:tc>
        <w:tc>
          <w:tcPr>
            <w:tcW w:w="487" w:type="pct"/>
            <w:tcBorders>
              <w:top w:val="single" w:sz="8" w:space="0" w:color="auto"/>
              <w:left w:val="nil"/>
              <w:bottom w:val="single" w:sz="4" w:space="0" w:color="auto"/>
              <w:right w:val="single" w:sz="8" w:space="0" w:color="auto"/>
            </w:tcBorders>
            <w:shd w:val="clear" w:color="auto" w:fill="auto"/>
            <w:vAlign w:val="center"/>
          </w:tcPr>
          <w:p w14:paraId="466CF873" w14:textId="43D8034F" w:rsidR="003E314C" w:rsidRPr="003E314C" w:rsidRDefault="003E314C" w:rsidP="003E314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sidRPr="003E314C">
              <w:t>np</w:t>
            </w:r>
          </w:p>
        </w:tc>
        <w:tc>
          <w:tcPr>
            <w:tcW w:w="488" w:type="pct"/>
            <w:tcBorders>
              <w:top w:val="single" w:sz="8" w:space="0" w:color="auto"/>
              <w:left w:val="nil"/>
              <w:bottom w:val="single" w:sz="4" w:space="0" w:color="auto"/>
              <w:right w:val="single" w:sz="8" w:space="0" w:color="auto"/>
            </w:tcBorders>
            <w:shd w:val="clear" w:color="auto" w:fill="auto"/>
            <w:vAlign w:val="center"/>
          </w:tcPr>
          <w:p w14:paraId="5D842E84" w14:textId="5103BFBF" w:rsidR="003E314C" w:rsidRPr="003E314C" w:rsidRDefault="003E314C" w:rsidP="003E314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sidRPr="003E314C">
              <w:t>np</w:t>
            </w:r>
          </w:p>
        </w:tc>
        <w:tc>
          <w:tcPr>
            <w:tcW w:w="482" w:type="pct"/>
            <w:tcBorders>
              <w:top w:val="single" w:sz="8" w:space="0" w:color="auto"/>
              <w:left w:val="nil"/>
              <w:bottom w:val="single" w:sz="4" w:space="0" w:color="auto"/>
              <w:right w:val="single" w:sz="8" w:space="0" w:color="auto"/>
            </w:tcBorders>
            <w:shd w:val="clear" w:color="auto" w:fill="auto"/>
            <w:vAlign w:val="center"/>
          </w:tcPr>
          <w:p w14:paraId="32F95685" w14:textId="17DFD842" w:rsidR="003E314C" w:rsidRPr="003E314C" w:rsidRDefault="003E314C" w:rsidP="003E314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sidRPr="003E314C">
              <w:t>np</w:t>
            </w:r>
          </w:p>
        </w:tc>
        <w:tc>
          <w:tcPr>
            <w:tcW w:w="340" w:type="pct"/>
            <w:tcBorders>
              <w:top w:val="single" w:sz="8" w:space="0" w:color="auto"/>
              <w:left w:val="nil"/>
              <w:bottom w:val="single" w:sz="4" w:space="0" w:color="auto"/>
              <w:right w:val="single" w:sz="8" w:space="0" w:color="auto"/>
            </w:tcBorders>
            <w:shd w:val="clear" w:color="auto" w:fill="auto"/>
            <w:vAlign w:val="center"/>
          </w:tcPr>
          <w:p w14:paraId="2278FA9E" w14:textId="0178159A" w:rsidR="003E314C" w:rsidRPr="003E314C" w:rsidRDefault="003E314C" w:rsidP="003E314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sidRPr="003E314C">
              <w:t>np</w:t>
            </w:r>
          </w:p>
        </w:tc>
        <w:tc>
          <w:tcPr>
            <w:tcW w:w="437" w:type="pct"/>
            <w:tcBorders>
              <w:top w:val="single" w:sz="8" w:space="0" w:color="auto"/>
              <w:left w:val="nil"/>
              <w:bottom w:val="single" w:sz="4" w:space="0" w:color="auto"/>
              <w:right w:val="single" w:sz="8" w:space="0" w:color="auto"/>
            </w:tcBorders>
            <w:shd w:val="clear" w:color="auto" w:fill="auto"/>
            <w:vAlign w:val="center"/>
          </w:tcPr>
          <w:p w14:paraId="1633521F" w14:textId="76E15C34" w:rsidR="003E314C" w:rsidRPr="003E314C" w:rsidRDefault="003E314C" w:rsidP="003E314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sidRPr="003E314C">
              <w:t>np</w:t>
            </w:r>
          </w:p>
        </w:tc>
        <w:tc>
          <w:tcPr>
            <w:tcW w:w="194" w:type="pct"/>
            <w:tcBorders>
              <w:top w:val="single" w:sz="8" w:space="0" w:color="auto"/>
              <w:left w:val="nil"/>
              <w:bottom w:val="single" w:sz="4" w:space="0" w:color="auto"/>
              <w:right w:val="single" w:sz="8" w:space="0" w:color="auto"/>
            </w:tcBorders>
            <w:shd w:val="clear" w:color="auto" w:fill="auto"/>
            <w:vAlign w:val="center"/>
          </w:tcPr>
          <w:p w14:paraId="49E2371E" w14:textId="3E9B3DFD" w:rsidR="003E314C" w:rsidRPr="003E314C" w:rsidRDefault="003E314C" w:rsidP="003E314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sidRPr="003E314C">
              <w:t>np</w:t>
            </w:r>
          </w:p>
        </w:tc>
        <w:tc>
          <w:tcPr>
            <w:tcW w:w="546" w:type="pct"/>
            <w:tcBorders>
              <w:top w:val="single" w:sz="8" w:space="0" w:color="auto"/>
              <w:left w:val="nil"/>
              <w:bottom w:val="single" w:sz="4" w:space="0" w:color="auto"/>
              <w:right w:val="single" w:sz="8" w:space="0" w:color="auto"/>
            </w:tcBorders>
            <w:shd w:val="clear" w:color="auto" w:fill="auto"/>
            <w:vAlign w:val="center"/>
          </w:tcPr>
          <w:p w14:paraId="06695B29" w14:textId="2007D710" w:rsidR="003E314C" w:rsidRPr="003E314C" w:rsidRDefault="003E314C" w:rsidP="003E314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sidRPr="003E314C">
              <w:rPr>
                <w:rFonts w:cs="Gill Sans MT"/>
                <w:color w:val="000000"/>
              </w:rPr>
              <w:t>157,290</w:t>
            </w:r>
          </w:p>
        </w:tc>
      </w:tr>
    </w:tbl>
    <w:p w14:paraId="3BC5C56A" w14:textId="62A8A25F"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the Department of Human Services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2D333752" w14:textId="3B94CF1A" w:rsidR="00EA1F85" w:rsidRPr="00074775" w:rsidRDefault="006D18C4" w:rsidP="006E21A3">
      <w:pPr>
        <w:pStyle w:val="Heading2"/>
        <w:numPr>
          <w:ilvl w:val="0"/>
          <w:numId w:val="0"/>
        </w:numPr>
        <w:ind w:left="567"/>
      </w:pPr>
      <w:bookmarkStart w:id="23" w:name="_Toc19281348"/>
      <w:r>
        <w:t>9</w:t>
      </w:r>
      <w:r w:rsidR="00970C39">
        <w:t>b.</w:t>
      </w:r>
      <w:r w:rsidR="00970C39">
        <w:tab/>
      </w:r>
      <w:r w:rsidR="00A00239" w:rsidRPr="007D74E1">
        <w:rPr>
          <w:i/>
        </w:rPr>
        <w:t>Types of Participation Failures: Serious Failures</w:t>
      </w:r>
      <w:bookmarkStart w:id="24" w:name="_Toc437613346"/>
      <w:bookmarkEnd w:id="24"/>
      <w:r w:rsidR="00705337">
        <w:rPr>
          <w:i/>
        </w:rPr>
        <w:t>^</w:t>
      </w:r>
      <w:bookmarkEnd w:id="23"/>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3957"/>
        <w:gridCol w:w="1869"/>
      </w:tblGrid>
      <w:tr w:rsidR="003E314C" w:rsidRPr="00325EF7" w14:paraId="07D3C47C" w14:textId="7777777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957" w:type="dxa"/>
            <w:vMerge w:val="restart"/>
            <w:vAlign w:val="center"/>
          </w:tcPr>
          <w:p w14:paraId="20DE0707" w14:textId="7E498A89" w:rsidR="003E314C" w:rsidRPr="004741B6" w:rsidRDefault="003E314C" w:rsidP="0067210B">
            <w:pPr>
              <w:ind w:left="-142" w:firstLine="142"/>
              <w:jc w:val="left"/>
            </w:pPr>
          </w:p>
        </w:tc>
        <w:tc>
          <w:tcPr>
            <w:tcW w:w="1869" w:type="dxa"/>
          </w:tcPr>
          <w:p w14:paraId="68B52184" w14:textId="77777777" w:rsidR="003E314C" w:rsidRPr="004741B6"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3E314C" w:rsidRPr="00325EF7" w14:paraId="3CDF7922" w14:textId="7777777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957" w:type="dxa"/>
            <w:vMerge/>
          </w:tcPr>
          <w:p w14:paraId="6225825E" w14:textId="77777777" w:rsidR="003E314C" w:rsidRPr="004741B6" w:rsidRDefault="003E314C" w:rsidP="00887E4E">
            <w:pPr>
              <w:ind w:left="-142" w:firstLine="142"/>
            </w:pPr>
          </w:p>
        </w:tc>
        <w:tc>
          <w:tcPr>
            <w:tcW w:w="1869" w:type="dxa"/>
          </w:tcPr>
          <w:p w14:paraId="7E7DD84A" w14:textId="77777777" w:rsidR="003E314C" w:rsidRPr="004741B6" w:rsidRDefault="003E314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681CAF" w:rsidRPr="00325EF7" w14:paraId="0363DAA7"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3957" w:type="dxa"/>
          </w:tcPr>
          <w:p w14:paraId="6436D6B4" w14:textId="7E4CF0F7" w:rsidR="00681CAF" w:rsidRPr="004741B6" w:rsidRDefault="003E314C" w:rsidP="00797B17">
            <w:pPr>
              <w:ind w:left="-142" w:firstLine="142"/>
            </w:pPr>
            <w:r>
              <w:t>1 April to 30 June 2019</w:t>
            </w:r>
          </w:p>
        </w:tc>
        <w:tc>
          <w:tcPr>
            <w:tcW w:w="1869" w:type="dxa"/>
            <w:vAlign w:val="center"/>
          </w:tcPr>
          <w:p w14:paraId="73D66815" w14:textId="2DEA5D04" w:rsidR="00681CAF" w:rsidRPr="00B2100F" w:rsidRDefault="00A334DD" w:rsidP="00797B1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np</w:t>
            </w:r>
          </w:p>
        </w:tc>
      </w:tr>
      <w:tr w:rsidR="003E314C" w:rsidRPr="00325EF7" w14:paraId="57F62EF5"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3957" w:type="dxa"/>
          </w:tcPr>
          <w:p w14:paraId="13E319CC" w14:textId="757834EE" w:rsidR="003E314C" w:rsidRPr="004741B6" w:rsidRDefault="003E314C" w:rsidP="00797B17">
            <w:pPr>
              <w:ind w:left="-142" w:firstLine="142"/>
            </w:pPr>
            <w:r w:rsidRPr="00167911">
              <w:t>1 July 2018 to 30 June 2019</w:t>
            </w:r>
          </w:p>
        </w:tc>
        <w:tc>
          <w:tcPr>
            <w:tcW w:w="1869" w:type="dxa"/>
            <w:vAlign w:val="center"/>
          </w:tcPr>
          <w:p w14:paraId="0A6175F0" w14:textId="1925ADDF" w:rsidR="003E314C" w:rsidRDefault="003E314C" w:rsidP="00797B1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np</w:t>
            </w:r>
          </w:p>
        </w:tc>
      </w:tr>
    </w:tbl>
    <w:p w14:paraId="28C7F73C" w14:textId="3A7AF3DF" w:rsidR="00045A2C" w:rsidRDefault="00131442" w:rsidP="00656FF9">
      <w:pPr>
        <w:spacing w:after="0" w:line="240" w:lineRule="auto"/>
        <w:ind w:left="0"/>
      </w:pPr>
      <w:r>
        <w:rPr>
          <w:sz w:val="32"/>
          <w:szCs w:val="32"/>
          <w:vertAlign w:val="superscript"/>
        </w:rPr>
        <w:t>^</w:t>
      </w:r>
      <w:r>
        <w:t xml:space="preserve">The Department of Human </w:t>
      </w:r>
      <w:r w:rsidRPr="00A64073">
        <w:t>S</w:t>
      </w:r>
      <w:r>
        <w:t>ervices</w:t>
      </w:r>
      <w:r w:rsidRPr="00A64073">
        <w:t xml:space="preserve"> undertake</w:t>
      </w:r>
      <w:r w:rsidR="00400FF9">
        <w:t>s</w:t>
      </w:r>
      <w:bookmarkStart w:id="25" w:name="_GoBack"/>
      <w:bookmarkEnd w:id="25"/>
      <w:r w:rsidRPr="00A64073">
        <w:t xml:space="preserv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1D747EBF" w14:textId="7470CA53" w:rsidR="007E53AF" w:rsidRDefault="00045A2C" w:rsidP="0017759B">
      <w:pPr>
        <w:spacing w:after="0" w:line="240" w:lineRule="auto"/>
        <w:ind w:left="0"/>
      </w:pPr>
      <w:r>
        <w:t>^^Total serious failures includes persistent non-compliance, refused</w:t>
      </w:r>
      <w:r w:rsidR="00131442" w:rsidRPr="00033DF5">
        <w:t xml:space="preserve"> </w:t>
      </w:r>
      <w:r>
        <w:t>suitable job and did not commence suitable job.</w:t>
      </w:r>
    </w:p>
    <w:p w14:paraId="260EC22C" w14:textId="77777777" w:rsidR="007E53AF" w:rsidRDefault="007E53AF">
      <w:pPr>
        <w:spacing w:before="0"/>
        <w:ind w:left="0"/>
      </w:pPr>
      <w:r>
        <w:br w:type="page"/>
      </w:r>
    </w:p>
    <w:p w14:paraId="3AC68FDE" w14:textId="77777777" w:rsidR="007B4B82" w:rsidRPr="00970C39" w:rsidRDefault="007B4B82" w:rsidP="007B4B82">
      <w:pPr>
        <w:pStyle w:val="Heading2"/>
        <w:spacing w:after="120"/>
        <w:ind w:left="-142" w:firstLine="142"/>
        <w:rPr>
          <w:noProof/>
        </w:rPr>
      </w:pPr>
      <w:bookmarkStart w:id="26" w:name="_Toc17274346"/>
      <w:bookmarkStart w:id="27" w:name="_Toc19281349"/>
      <w:r w:rsidRPr="00970C39">
        <w:lastRenderedPageBreak/>
        <w:t>Outcomes of Comprehensive Compliance Assessments</w:t>
      </w:r>
      <w:bookmarkEnd w:id="26"/>
      <w:bookmarkEnd w:id="27"/>
    </w:p>
    <w:tbl>
      <w:tblPr>
        <w:tblStyle w:val="CenterAlignTable"/>
        <w:tblW w:w="4965" w:type="pct"/>
        <w:tblInd w:w="0"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782"/>
        <w:gridCol w:w="977"/>
        <w:gridCol w:w="980"/>
        <w:gridCol w:w="1533"/>
        <w:gridCol w:w="1817"/>
        <w:gridCol w:w="696"/>
        <w:gridCol w:w="617"/>
        <w:gridCol w:w="1311"/>
        <w:gridCol w:w="1574"/>
        <w:gridCol w:w="919"/>
        <w:gridCol w:w="787"/>
        <w:gridCol w:w="1636"/>
      </w:tblGrid>
      <w:tr w:rsidR="007B4B82" w:rsidRPr="00325EF7" w14:paraId="6CA3BC32" w14:textId="77777777" w:rsidTr="008C69DF">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000" w:firstRow="0" w:lastRow="0" w:firstColumn="1" w:lastColumn="0" w:oddVBand="0" w:evenVBand="0" w:oddHBand="0" w:evenHBand="0" w:firstRowFirstColumn="0" w:firstRowLastColumn="0" w:lastRowFirstColumn="0" w:lastRowLastColumn="0"/>
            <w:tcW w:w="609" w:type="pct"/>
            <w:vMerge w:val="restart"/>
            <w:vAlign w:val="center"/>
          </w:tcPr>
          <w:p w14:paraId="6E8A0D5D" w14:textId="77777777" w:rsidR="007B4B82" w:rsidRPr="00325EF7" w:rsidRDefault="007B4B82" w:rsidP="008C69DF">
            <w:pPr>
              <w:ind w:left="57"/>
              <w:jc w:val="left"/>
            </w:pPr>
          </w:p>
        </w:tc>
        <w:tc>
          <w:tcPr>
            <w:tcW w:w="669" w:type="pct"/>
            <w:gridSpan w:val="2"/>
            <w:vMerge w:val="restart"/>
            <w:vAlign w:val="center"/>
          </w:tcPr>
          <w:p w14:paraId="412FA132" w14:textId="77777777" w:rsidR="007B4B82" w:rsidRDefault="007B4B82" w:rsidP="008C69DF">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Serious Failure</w:t>
            </w:r>
          </w:p>
          <w:p w14:paraId="5B47D11B" w14:textId="77777777" w:rsidR="007B4B82" w:rsidRPr="00325EF7" w:rsidRDefault="007B4B82" w:rsidP="008C69DF">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(8 week penalty) imposed for persistent non-compliance</w:t>
            </w:r>
          </w:p>
        </w:tc>
        <w:tc>
          <w:tcPr>
            <w:tcW w:w="1594" w:type="pct"/>
            <w:gridSpan w:val="4"/>
          </w:tcPr>
          <w:p w14:paraId="6D2DDFC2"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Further assessment/assistance</w:t>
            </w:r>
          </w:p>
        </w:tc>
        <w:tc>
          <w:tcPr>
            <w:tcW w:w="1569" w:type="pct"/>
            <w:gridSpan w:val="4"/>
          </w:tcPr>
          <w:p w14:paraId="13EE0559"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No change in Employment Services Programme or Stream</w:t>
            </w:r>
          </w:p>
        </w:tc>
        <w:tc>
          <w:tcPr>
            <w:tcW w:w="559" w:type="pct"/>
            <w:vMerge w:val="restart"/>
            <w:vAlign w:val="center"/>
          </w:tcPr>
          <w:p w14:paraId="2D4FE227"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Overall Total</w:t>
            </w:r>
          </w:p>
        </w:tc>
      </w:tr>
      <w:tr w:rsidR="007B4B82" w:rsidRPr="00325EF7" w14:paraId="7D424160" w14:textId="77777777" w:rsidTr="008C69DF">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609" w:type="pct"/>
            <w:vMerge/>
            <w:vAlign w:val="center"/>
          </w:tcPr>
          <w:p w14:paraId="6077B5AF" w14:textId="77777777" w:rsidR="007B4B82" w:rsidRPr="00325EF7" w:rsidRDefault="007B4B82" w:rsidP="008C69DF">
            <w:pPr>
              <w:ind w:left="-142" w:firstLine="142"/>
            </w:pPr>
          </w:p>
        </w:tc>
        <w:tc>
          <w:tcPr>
            <w:tcW w:w="669" w:type="pct"/>
            <w:gridSpan w:val="2"/>
            <w:vMerge/>
          </w:tcPr>
          <w:p w14:paraId="6B81ED96"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p>
        </w:tc>
        <w:tc>
          <w:tcPr>
            <w:tcW w:w="524" w:type="pct"/>
          </w:tcPr>
          <w:p w14:paraId="72848CB9"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referral for ESAt</w:t>
            </w:r>
          </w:p>
        </w:tc>
        <w:tc>
          <w:tcPr>
            <w:tcW w:w="621" w:type="pct"/>
          </w:tcPr>
          <w:p w14:paraId="62179183"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eligible for higher stream</w:t>
            </w:r>
          </w:p>
        </w:tc>
        <w:tc>
          <w:tcPr>
            <w:tcW w:w="449" w:type="pct"/>
            <w:gridSpan w:val="2"/>
          </w:tcPr>
          <w:p w14:paraId="3D36359E"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448" w:type="pct"/>
          </w:tcPr>
          <w:p w14:paraId="63B3BEDF"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Other Outcomes</w:t>
            </w:r>
          </w:p>
        </w:tc>
        <w:tc>
          <w:tcPr>
            <w:tcW w:w="538" w:type="pct"/>
          </w:tcPr>
          <w:p w14:paraId="01AE4E00"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No Outcomes</w:t>
            </w:r>
          </w:p>
        </w:tc>
        <w:tc>
          <w:tcPr>
            <w:tcW w:w="583" w:type="pct"/>
            <w:gridSpan w:val="2"/>
          </w:tcPr>
          <w:p w14:paraId="16F31970"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559" w:type="pct"/>
            <w:vMerge/>
          </w:tcPr>
          <w:p w14:paraId="0723A374"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p>
        </w:tc>
      </w:tr>
      <w:tr w:rsidR="007B4B82" w:rsidRPr="00325EF7" w14:paraId="44D6351A" w14:textId="77777777" w:rsidTr="008C69DF">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609" w:type="pct"/>
            <w:vMerge/>
            <w:vAlign w:val="center"/>
          </w:tcPr>
          <w:p w14:paraId="71D2EE77" w14:textId="77777777" w:rsidR="007B4B82" w:rsidRPr="00325EF7" w:rsidRDefault="007B4B82" w:rsidP="008C69DF">
            <w:pPr>
              <w:ind w:left="-142" w:firstLine="142"/>
            </w:pPr>
          </w:p>
        </w:tc>
        <w:tc>
          <w:tcPr>
            <w:tcW w:w="334" w:type="pct"/>
          </w:tcPr>
          <w:p w14:paraId="44134F54"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335" w:type="pct"/>
          </w:tcPr>
          <w:p w14:paraId="33D72C59"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524" w:type="pct"/>
          </w:tcPr>
          <w:p w14:paraId="60CD1C36"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621" w:type="pct"/>
          </w:tcPr>
          <w:p w14:paraId="37C02134"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38" w:type="pct"/>
          </w:tcPr>
          <w:p w14:paraId="60C69CB5"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11" w:type="pct"/>
          </w:tcPr>
          <w:p w14:paraId="3E76BD45"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448" w:type="pct"/>
          </w:tcPr>
          <w:p w14:paraId="6C47E105"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538" w:type="pct"/>
          </w:tcPr>
          <w:p w14:paraId="1C907EAB"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314" w:type="pct"/>
          </w:tcPr>
          <w:p w14:paraId="6E5837B7"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14:paraId="495E6044"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559" w:type="pct"/>
          </w:tcPr>
          <w:p w14:paraId="449FE30D" w14:textId="77777777" w:rsidR="007B4B82" w:rsidRPr="00325EF7" w:rsidRDefault="007B4B82" w:rsidP="008C69D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7B4B82" w:rsidRPr="00325EF7" w14:paraId="695CE5DB" w14:textId="77777777" w:rsidTr="008C69DF">
        <w:trPr>
          <w:trHeight w:val="384"/>
        </w:trPr>
        <w:tc>
          <w:tcPr>
            <w:cnfStyle w:val="001000000000" w:firstRow="0" w:lastRow="0" w:firstColumn="1" w:lastColumn="0" w:oddVBand="0" w:evenVBand="0" w:oddHBand="0" w:evenHBand="0" w:firstRowFirstColumn="0" w:firstRowLastColumn="0" w:lastRowFirstColumn="0" w:lastRowLastColumn="0"/>
            <w:tcW w:w="609" w:type="pct"/>
            <w:vAlign w:val="center"/>
          </w:tcPr>
          <w:p w14:paraId="1DB7EC46" w14:textId="77777777" w:rsidR="007B4B82" w:rsidRPr="00325EF7" w:rsidRDefault="007B4B82" w:rsidP="008C69DF">
            <w:pPr>
              <w:ind w:left="-142" w:firstLine="142"/>
            </w:pPr>
            <w:r w:rsidRPr="00167911">
              <w:t>1 July 2018 to 30 June 2019</w:t>
            </w:r>
          </w:p>
        </w:tc>
        <w:tc>
          <w:tcPr>
            <w:tcW w:w="334" w:type="pct"/>
            <w:vAlign w:val="center"/>
          </w:tcPr>
          <w:p w14:paraId="33F003D6" w14:textId="77777777" w:rsidR="007B4B82" w:rsidRPr="002F44B7" w:rsidRDefault="007B4B82" w:rsidP="008C69D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44B7">
              <w:rPr>
                <w:rFonts w:cs="Gill Sans MT"/>
                <w:color w:val="000000"/>
              </w:rPr>
              <w:t>28,157</w:t>
            </w:r>
          </w:p>
        </w:tc>
        <w:tc>
          <w:tcPr>
            <w:tcW w:w="335" w:type="pct"/>
            <w:vAlign w:val="center"/>
          </w:tcPr>
          <w:p w14:paraId="19CFEA62" w14:textId="77777777" w:rsidR="007B4B82" w:rsidRPr="002F44B7" w:rsidRDefault="007B4B82" w:rsidP="008C69D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44B7">
              <w:rPr>
                <w:rFonts w:cs="Gill Sans MT"/>
                <w:color w:val="000000"/>
              </w:rPr>
              <w:t>61%</w:t>
            </w:r>
          </w:p>
        </w:tc>
        <w:tc>
          <w:tcPr>
            <w:tcW w:w="524" w:type="pct"/>
            <w:vAlign w:val="center"/>
          </w:tcPr>
          <w:p w14:paraId="585F6992" w14:textId="77777777" w:rsidR="007B4B82" w:rsidRPr="002F44B7" w:rsidRDefault="007B4B82" w:rsidP="008C69D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44B7">
              <w:rPr>
                <w:rFonts w:cs="Gill Sans MT"/>
                <w:color w:val="000000"/>
              </w:rPr>
              <w:t>N/A</w:t>
            </w:r>
          </w:p>
        </w:tc>
        <w:tc>
          <w:tcPr>
            <w:tcW w:w="621" w:type="pct"/>
            <w:vAlign w:val="center"/>
          </w:tcPr>
          <w:p w14:paraId="5F61FA2D" w14:textId="77777777" w:rsidR="007B4B82" w:rsidRPr="002F44B7" w:rsidRDefault="007B4B82" w:rsidP="008C69D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44B7">
              <w:rPr>
                <w:rFonts w:cs="Gill Sans MT"/>
                <w:color w:val="000000"/>
              </w:rPr>
              <w:t>N/A</w:t>
            </w:r>
          </w:p>
        </w:tc>
        <w:tc>
          <w:tcPr>
            <w:tcW w:w="238" w:type="pct"/>
            <w:vAlign w:val="center"/>
          </w:tcPr>
          <w:p w14:paraId="4CC77F04" w14:textId="77777777" w:rsidR="007B4B82" w:rsidRPr="002F44B7" w:rsidRDefault="007B4B82" w:rsidP="008C69D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44B7">
              <w:rPr>
                <w:rFonts w:cs="Gill Sans MT"/>
                <w:color w:val="000000"/>
              </w:rPr>
              <w:t>N/A</w:t>
            </w:r>
          </w:p>
        </w:tc>
        <w:tc>
          <w:tcPr>
            <w:tcW w:w="211" w:type="pct"/>
            <w:vAlign w:val="center"/>
          </w:tcPr>
          <w:p w14:paraId="1C60A129" w14:textId="77777777" w:rsidR="007B4B82" w:rsidRPr="002F44B7" w:rsidRDefault="007B4B82" w:rsidP="008C69D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44B7">
              <w:rPr>
                <w:rFonts w:cs="Gill Sans MT"/>
                <w:color w:val="000000"/>
              </w:rPr>
              <w:t>N/A</w:t>
            </w:r>
          </w:p>
        </w:tc>
        <w:tc>
          <w:tcPr>
            <w:tcW w:w="448" w:type="pct"/>
            <w:vAlign w:val="center"/>
          </w:tcPr>
          <w:p w14:paraId="42135A2A" w14:textId="77777777" w:rsidR="007B4B82" w:rsidRPr="002F44B7" w:rsidRDefault="007B4B82" w:rsidP="008C69D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44B7">
              <w:rPr>
                <w:rFonts w:cs="Gill Sans MT"/>
                <w:color w:val="000000"/>
              </w:rPr>
              <w:t>307</w:t>
            </w:r>
          </w:p>
        </w:tc>
        <w:tc>
          <w:tcPr>
            <w:tcW w:w="538" w:type="pct"/>
            <w:vAlign w:val="center"/>
          </w:tcPr>
          <w:p w14:paraId="7B76E6E7" w14:textId="77777777" w:rsidR="007B4B82" w:rsidRPr="002F44B7" w:rsidRDefault="007B4B82" w:rsidP="008C69D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44B7">
              <w:rPr>
                <w:rFonts w:cs="Gill Sans MT"/>
                <w:color w:val="000000"/>
              </w:rPr>
              <w:t>17,478</w:t>
            </w:r>
          </w:p>
        </w:tc>
        <w:tc>
          <w:tcPr>
            <w:tcW w:w="314" w:type="pct"/>
            <w:vAlign w:val="center"/>
          </w:tcPr>
          <w:p w14:paraId="1B853078" w14:textId="77777777" w:rsidR="007B4B82" w:rsidRPr="002F44B7" w:rsidRDefault="007B4B82" w:rsidP="008C69D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44B7">
              <w:rPr>
                <w:rFonts w:cs="Gill Sans MT"/>
                <w:color w:val="000000"/>
              </w:rPr>
              <w:t>17,785</w:t>
            </w:r>
          </w:p>
        </w:tc>
        <w:tc>
          <w:tcPr>
            <w:tcW w:w="269" w:type="pct"/>
            <w:vAlign w:val="center"/>
          </w:tcPr>
          <w:p w14:paraId="5FA12B82" w14:textId="77777777" w:rsidR="007B4B82" w:rsidRPr="002F44B7" w:rsidRDefault="007B4B82" w:rsidP="008C69D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44B7">
              <w:rPr>
                <w:rFonts w:cs="Gill Sans MT"/>
                <w:color w:val="000000"/>
              </w:rPr>
              <w:t>39%</w:t>
            </w:r>
          </w:p>
        </w:tc>
        <w:tc>
          <w:tcPr>
            <w:tcW w:w="559" w:type="pct"/>
            <w:vAlign w:val="center"/>
          </w:tcPr>
          <w:p w14:paraId="450EF1BE" w14:textId="77777777" w:rsidR="007B4B82" w:rsidRPr="002F44B7" w:rsidRDefault="007B4B82" w:rsidP="008C69D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F44B7">
              <w:rPr>
                <w:rFonts w:cs="Gill Sans MT"/>
                <w:color w:val="000000"/>
              </w:rPr>
              <w:t>45,942</w:t>
            </w:r>
          </w:p>
        </w:tc>
      </w:tr>
    </w:tbl>
    <w:p w14:paraId="2BEAE89D" w14:textId="77777777" w:rsidR="007B4B82" w:rsidRPr="00325EF7" w:rsidRDefault="007B4B82" w:rsidP="007B4B82">
      <w:pPr>
        <w:spacing w:after="120" w:line="240" w:lineRule="auto"/>
        <w:ind w:left="-142"/>
      </w:pPr>
      <w:r w:rsidRPr="00325EF7">
        <w:t>Note: A C</w:t>
      </w:r>
      <w:r>
        <w:t>omprehensive Compliance Assessment (</w:t>
      </w:r>
      <w:r w:rsidRPr="00325EF7">
        <w:t>C</w:t>
      </w:r>
      <w:r>
        <w:t>C</w:t>
      </w:r>
      <w:r w:rsidRPr="00325EF7">
        <w:t>A</w:t>
      </w:r>
      <w:r>
        <w:t>)</w:t>
      </w:r>
      <w:r w:rsidRPr="00325EF7">
        <w:t xml:space="preserve"> can result in multiple outcomes but in the above table each CCA is counted only once under whichever outcome is highest within the Hierarchy below. For example, where a CCA recommends both referral for an Employment Services Assessment (ESAt) and another intervention, the CCA would be counted under JSCI- Referral for ESAt. </w:t>
      </w:r>
    </w:p>
    <w:p w14:paraId="6DEA91A5" w14:textId="77777777" w:rsidR="007B4B82" w:rsidRPr="00325EF7" w:rsidRDefault="007B4B82" w:rsidP="007B4B82">
      <w:pPr>
        <w:tabs>
          <w:tab w:val="left" w:pos="142"/>
        </w:tabs>
        <w:spacing w:before="0" w:after="0" w:line="240" w:lineRule="auto"/>
        <w:ind w:left="142"/>
      </w:pPr>
      <w:r w:rsidRPr="00325EF7">
        <w:t>The Outcome Hierarchy is:</w:t>
      </w:r>
    </w:p>
    <w:p w14:paraId="5AE25323" w14:textId="77777777" w:rsidR="007B4B82" w:rsidRPr="00325EF7" w:rsidRDefault="007B4B82" w:rsidP="007B4B82">
      <w:pPr>
        <w:pStyle w:val="ListParagraph"/>
        <w:numPr>
          <w:ilvl w:val="0"/>
          <w:numId w:val="4"/>
        </w:numPr>
        <w:spacing w:before="0" w:after="0" w:line="240" w:lineRule="auto"/>
        <w:ind w:left="142" w:firstLine="0"/>
        <w:contextualSpacing w:val="0"/>
      </w:pPr>
      <w:r w:rsidRPr="00325EF7">
        <w:t>Serious Failure</w:t>
      </w:r>
    </w:p>
    <w:p w14:paraId="379C4AA5" w14:textId="77777777" w:rsidR="007B4B82" w:rsidRPr="00325EF7" w:rsidRDefault="007B4B82" w:rsidP="007B4B82">
      <w:pPr>
        <w:pStyle w:val="ListParagraph"/>
        <w:numPr>
          <w:ilvl w:val="0"/>
          <w:numId w:val="4"/>
        </w:numPr>
        <w:spacing w:before="0" w:after="0" w:line="240" w:lineRule="auto"/>
        <w:ind w:left="142" w:firstLine="0"/>
        <w:contextualSpacing w:val="0"/>
      </w:pPr>
      <w:r w:rsidRPr="00325EF7">
        <w:t>JSCI – Referral for ESAt</w:t>
      </w:r>
    </w:p>
    <w:p w14:paraId="01E8691F" w14:textId="77777777" w:rsidR="007B4B82" w:rsidRPr="00325EF7" w:rsidRDefault="007B4B82" w:rsidP="007B4B82">
      <w:pPr>
        <w:pStyle w:val="ListParagraph"/>
        <w:numPr>
          <w:ilvl w:val="0"/>
          <w:numId w:val="4"/>
        </w:numPr>
        <w:spacing w:before="0" w:after="0" w:line="240" w:lineRule="auto"/>
        <w:ind w:left="142" w:firstLine="0"/>
        <w:contextualSpacing w:val="0"/>
      </w:pPr>
      <w:r w:rsidRPr="00325EF7">
        <w:t>JSCI – Eligible for higher stream</w:t>
      </w:r>
    </w:p>
    <w:p w14:paraId="4C15812F" w14:textId="77777777" w:rsidR="007B4B82" w:rsidRPr="00325EF7" w:rsidRDefault="007B4B82" w:rsidP="007B4B82">
      <w:pPr>
        <w:pStyle w:val="ListParagraph"/>
        <w:numPr>
          <w:ilvl w:val="0"/>
          <w:numId w:val="4"/>
        </w:numPr>
        <w:spacing w:before="0" w:after="0" w:line="240" w:lineRule="auto"/>
        <w:ind w:left="142" w:firstLine="0"/>
        <w:contextualSpacing w:val="0"/>
      </w:pPr>
      <w:r w:rsidRPr="00325EF7">
        <w:t>Other Outcomes</w:t>
      </w:r>
    </w:p>
    <w:p w14:paraId="1965B8D1" w14:textId="24F7564C" w:rsidR="001F06CA" w:rsidRDefault="007B4B82" w:rsidP="007B4B82">
      <w:pPr>
        <w:pStyle w:val="ListParagraph"/>
        <w:numPr>
          <w:ilvl w:val="0"/>
          <w:numId w:val="4"/>
        </w:numPr>
        <w:spacing w:before="0" w:after="0" w:line="240" w:lineRule="auto"/>
        <w:ind w:left="142" w:firstLine="0"/>
        <w:contextualSpacing w:val="0"/>
      </w:pPr>
      <w:r w:rsidRPr="00325EF7">
        <w:t>No Outcomes</w:t>
      </w:r>
    </w:p>
    <w:p w14:paraId="3FB65B28" w14:textId="77777777" w:rsidR="001F06CA" w:rsidRDefault="001F06CA">
      <w:pPr>
        <w:spacing w:before="0"/>
        <w:ind w:left="0"/>
      </w:pPr>
      <w:r>
        <w:br w:type="page"/>
      </w:r>
    </w:p>
    <w:p w14:paraId="0DF19FAC" w14:textId="58718676" w:rsidR="00FA1DE7" w:rsidRPr="00970C39" w:rsidRDefault="00A00239" w:rsidP="00BC0C49">
      <w:pPr>
        <w:pStyle w:val="Heading2"/>
        <w:spacing w:after="120"/>
        <w:ind w:left="-142" w:firstLine="142"/>
      </w:pPr>
      <w:bookmarkStart w:id="28" w:name="_Toc19281350"/>
      <w:r w:rsidRPr="00325EF7">
        <w:lastRenderedPageBreak/>
        <w:t>Sanctions for Serious Failures</w:t>
      </w:r>
      <w:r w:rsidR="006E5051">
        <w:t xml:space="preserve"> and Unemployment Non-Payment Periods</w:t>
      </w:r>
      <w:bookmarkEnd w:id="28"/>
    </w:p>
    <w:tbl>
      <w:tblPr>
        <w:tblStyle w:val="CenterAlignTable"/>
        <w:tblW w:w="0" w:type="auto"/>
        <w:tblInd w:w="0" w:type="dxa"/>
        <w:tblLook w:val="04A0" w:firstRow="1" w:lastRow="0" w:firstColumn="1" w:lastColumn="0" w:noHBand="0" w:noVBand="1"/>
        <w:tblCaption w:val="Sanctions for Serious Failures"/>
        <w:tblDescription w:val="Sanctions for Serious Failures"/>
      </w:tblPr>
      <w:tblGrid>
        <w:gridCol w:w="2306"/>
        <w:gridCol w:w="2342"/>
        <w:gridCol w:w="1841"/>
        <w:gridCol w:w="1599"/>
        <w:gridCol w:w="1729"/>
        <w:gridCol w:w="1639"/>
        <w:gridCol w:w="1631"/>
        <w:gridCol w:w="1645"/>
      </w:tblGrid>
      <w:tr w:rsidR="008A1BE9" w:rsidRPr="00325EF7" w14:paraId="414F2AEE"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val="restart"/>
            <w:vAlign w:val="center"/>
          </w:tcPr>
          <w:p w14:paraId="09873DB7" w14:textId="13B52CAC" w:rsidR="008A1BE9" w:rsidRPr="00325EF7" w:rsidRDefault="008A1BE9" w:rsidP="00B51AA6">
            <w:pPr>
              <w:ind w:left="0"/>
              <w:jc w:val="left"/>
            </w:pPr>
          </w:p>
        </w:tc>
        <w:tc>
          <w:tcPr>
            <w:tcW w:w="12426" w:type="dxa"/>
            <w:gridSpan w:val="7"/>
          </w:tcPr>
          <w:p w14:paraId="245739BF"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Serious Failures</w:t>
            </w:r>
          </w:p>
        </w:tc>
      </w:tr>
      <w:tr w:rsidR="008A1BE9" w:rsidRPr="00325EF7" w14:paraId="2D74D8D1"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152EBE6F" w14:textId="77777777" w:rsidR="008A1BE9" w:rsidRPr="00325EF7" w:rsidRDefault="008A1BE9" w:rsidP="00887E4E">
            <w:pPr>
              <w:ind w:left="-142" w:firstLine="142"/>
            </w:pPr>
          </w:p>
        </w:tc>
        <w:tc>
          <w:tcPr>
            <w:tcW w:w="4183" w:type="dxa"/>
            <w:gridSpan w:val="2"/>
            <w:vMerge w:val="restart"/>
          </w:tcPr>
          <w:p w14:paraId="3D4C7739"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Non-payment Period</w:t>
            </w:r>
          </w:p>
        </w:tc>
        <w:tc>
          <w:tcPr>
            <w:tcW w:w="6598" w:type="dxa"/>
            <w:gridSpan w:val="4"/>
          </w:tcPr>
          <w:p w14:paraId="3986A9D0"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Penalty waived</w:t>
            </w:r>
          </w:p>
        </w:tc>
        <w:tc>
          <w:tcPr>
            <w:tcW w:w="1645" w:type="dxa"/>
            <w:vMerge w:val="restart"/>
            <w:vAlign w:val="center"/>
          </w:tcPr>
          <w:p w14:paraId="7E2D5DCF" w14:textId="77777777" w:rsidR="008A1BE9" w:rsidRPr="00325EF7" w:rsidRDefault="008A1BE9"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r>
      <w:tr w:rsidR="008A1BE9" w:rsidRPr="00325EF7" w14:paraId="3F1B5BFE"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76AEA543" w14:textId="77777777" w:rsidR="008A1BE9" w:rsidRPr="00325EF7" w:rsidRDefault="008A1BE9" w:rsidP="00887E4E">
            <w:pPr>
              <w:ind w:left="-142" w:firstLine="142"/>
            </w:pPr>
          </w:p>
        </w:tc>
        <w:tc>
          <w:tcPr>
            <w:tcW w:w="4183" w:type="dxa"/>
            <w:gridSpan w:val="2"/>
            <w:vMerge/>
          </w:tcPr>
          <w:p w14:paraId="2506E54A"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3328" w:type="dxa"/>
            <w:gridSpan w:val="2"/>
          </w:tcPr>
          <w:p w14:paraId="14971BBB"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Compliance Activity</w:t>
            </w:r>
          </w:p>
        </w:tc>
        <w:tc>
          <w:tcPr>
            <w:tcW w:w="3270" w:type="dxa"/>
            <w:gridSpan w:val="2"/>
          </w:tcPr>
          <w:p w14:paraId="040F923B"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Hardship</w:t>
            </w:r>
          </w:p>
        </w:tc>
        <w:tc>
          <w:tcPr>
            <w:tcW w:w="1645" w:type="dxa"/>
            <w:vMerge/>
          </w:tcPr>
          <w:p w14:paraId="646984DF"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r>
      <w:tr w:rsidR="008A1BE9" w:rsidRPr="00325EF7" w14:paraId="78B62216"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17A4F837" w14:textId="77777777" w:rsidR="008A1BE9" w:rsidRPr="00325EF7" w:rsidRDefault="008A1BE9" w:rsidP="00887E4E">
            <w:pPr>
              <w:ind w:left="-142" w:firstLine="142"/>
            </w:pPr>
          </w:p>
        </w:tc>
        <w:tc>
          <w:tcPr>
            <w:tcW w:w="2342" w:type="dxa"/>
          </w:tcPr>
          <w:p w14:paraId="2ED320C3"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841" w:type="dxa"/>
          </w:tcPr>
          <w:p w14:paraId="749C96F4"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99" w:type="dxa"/>
          </w:tcPr>
          <w:p w14:paraId="3657FEBC"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729" w:type="dxa"/>
          </w:tcPr>
          <w:p w14:paraId="68D441F2"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39" w:type="dxa"/>
          </w:tcPr>
          <w:p w14:paraId="31F2BDFA"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631" w:type="dxa"/>
          </w:tcPr>
          <w:p w14:paraId="486EEA39"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45" w:type="dxa"/>
            <w:vMerge/>
          </w:tcPr>
          <w:p w14:paraId="621C74B5" w14:textId="77777777" w:rsidR="008A1BE9" w:rsidRPr="00325EF7" w:rsidRDefault="008A1BE9"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495540" w:rsidRPr="00325EF7" w14:paraId="3F89BB38" w14:textId="77777777" w:rsidTr="00495540">
        <w:trPr>
          <w:trHeight w:val="352"/>
        </w:trPr>
        <w:tc>
          <w:tcPr>
            <w:cnfStyle w:val="001000000000" w:firstRow="0" w:lastRow="0" w:firstColumn="1" w:lastColumn="0" w:oddVBand="0" w:evenVBand="0" w:oddHBand="0" w:evenHBand="0" w:firstRowFirstColumn="0" w:firstRowLastColumn="0" w:lastRowFirstColumn="0" w:lastRowLastColumn="0"/>
            <w:tcW w:w="2306" w:type="dxa"/>
          </w:tcPr>
          <w:p w14:paraId="7E469A21" w14:textId="6C69B5F6" w:rsidR="00495540" w:rsidRPr="00325EF7" w:rsidRDefault="008A1BE9" w:rsidP="00495540">
            <w:pPr>
              <w:ind w:left="-142" w:firstLine="142"/>
            </w:pPr>
            <w:r>
              <w:t>1 April to 30 June 2019</w:t>
            </w:r>
          </w:p>
        </w:tc>
        <w:tc>
          <w:tcPr>
            <w:tcW w:w="2342" w:type="dxa"/>
            <w:vAlign w:val="center"/>
          </w:tcPr>
          <w:p w14:paraId="7593D2CE" w14:textId="736D2E44" w:rsidR="00495540"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240</w:t>
            </w:r>
          </w:p>
        </w:tc>
        <w:tc>
          <w:tcPr>
            <w:tcW w:w="1841" w:type="dxa"/>
            <w:vAlign w:val="center"/>
          </w:tcPr>
          <w:p w14:paraId="430B1B8D" w14:textId="1505374E" w:rsidR="00495540"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4.6%</w:t>
            </w:r>
          </w:p>
        </w:tc>
        <w:tc>
          <w:tcPr>
            <w:tcW w:w="1599" w:type="dxa"/>
            <w:vAlign w:val="center"/>
          </w:tcPr>
          <w:p w14:paraId="1C2CCDA9" w14:textId="557168E4" w:rsidR="00495540"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4,964</w:t>
            </w:r>
          </w:p>
        </w:tc>
        <w:tc>
          <w:tcPr>
            <w:tcW w:w="1729" w:type="dxa"/>
            <w:vAlign w:val="center"/>
          </w:tcPr>
          <w:p w14:paraId="7DDA9346" w14:textId="4588FABA" w:rsidR="00495540"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94.9%</w:t>
            </w:r>
          </w:p>
        </w:tc>
        <w:tc>
          <w:tcPr>
            <w:tcW w:w="1639" w:type="dxa"/>
            <w:vAlign w:val="center"/>
          </w:tcPr>
          <w:p w14:paraId="4550DE30" w14:textId="5886A01C" w:rsidR="00495540"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w:t>
            </w:r>
          </w:p>
        </w:tc>
        <w:tc>
          <w:tcPr>
            <w:tcW w:w="1631" w:type="dxa"/>
            <w:vAlign w:val="center"/>
          </w:tcPr>
          <w:p w14:paraId="4A68B7B8" w14:textId="07250145" w:rsidR="00495540" w:rsidRPr="00495540" w:rsidRDefault="00243417"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&lt;1</w:t>
            </w:r>
            <w:r w:rsidR="00D50598">
              <w:rPr>
                <w:rFonts w:cs="Gill Sans MT"/>
                <w:color w:val="000000"/>
              </w:rPr>
              <w:t>%</w:t>
            </w:r>
          </w:p>
        </w:tc>
        <w:tc>
          <w:tcPr>
            <w:tcW w:w="1645" w:type="dxa"/>
            <w:vAlign w:val="center"/>
          </w:tcPr>
          <w:p w14:paraId="2E5CF758" w14:textId="016D54CB" w:rsidR="00495540"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5,231</w:t>
            </w:r>
          </w:p>
        </w:tc>
      </w:tr>
      <w:tr w:rsidR="008A1BE9" w:rsidRPr="00325EF7" w14:paraId="2BF7A53A" w14:textId="77777777" w:rsidTr="00495540">
        <w:trPr>
          <w:trHeight w:val="352"/>
        </w:trPr>
        <w:tc>
          <w:tcPr>
            <w:cnfStyle w:val="001000000000" w:firstRow="0" w:lastRow="0" w:firstColumn="1" w:lastColumn="0" w:oddVBand="0" w:evenVBand="0" w:oddHBand="0" w:evenHBand="0" w:firstRowFirstColumn="0" w:firstRowLastColumn="0" w:lastRowFirstColumn="0" w:lastRowLastColumn="0"/>
            <w:tcW w:w="2306" w:type="dxa"/>
          </w:tcPr>
          <w:p w14:paraId="2B7752E3" w14:textId="10932C1C" w:rsidR="008A1BE9" w:rsidRPr="00325EF7" w:rsidRDefault="008A1BE9" w:rsidP="00495540">
            <w:pPr>
              <w:ind w:left="-142" w:firstLine="142"/>
            </w:pPr>
            <w:r w:rsidRPr="00167911">
              <w:t>1 July 2018 to 30 June 2019</w:t>
            </w:r>
          </w:p>
        </w:tc>
        <w:tc>
          <w:tcPr>
            <w:tcW w:w="2342" w:type="dxa"/>
            <w:vAlign w:val="center"/>
          </w:tcPr>
          <w:p w14:paraId="1BB38D7B" w14:textId="34A7AEE8" w:rsidR="008A1BE9"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1,962</w:t>
            </w:r>
          </w:p>
        </w:tc>
        <w:tc>
          <w:tcPr>
            <w:tcW w:w="1841" w:type="dxa"/>
            <w:vAlign w:val="center"/>
          </w:tcPr>
          <w:p w14:paraId="5247784E" w14:textId="64E86AE1" w:rsidR="008A1BE9"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7.0%</w:t>
            </w:r>
          </w:p>
        </w:tc>
        <w:tc>
          <w:tcPr>
            <w:tcW w:w="1599" w:type="dxa"/>
            <w:vAlign w:val="center"/>
          </w:tcPr>
          <w:p w14:paraId="1ADF3343" w14:textId="00C0C391" w:rsidR="008A1BE9"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26,069</w:t>
            </w:r>
          </w:p>
        </w:tc>
        <w:tc>
          <w:tcPr>
            <w:tcW w:w="1729" w:type="dxa"/>
            <w:vAlign w:val="center"/>
          </w:tcPr>
          <w:p w14:paraId="7FBE4C88" w14:textId="73F96AA2" w:rsidR="008A1BE9"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92.4%</w:t>
            </w:r>
          </w:p>
        </w:tc>
        <w:tc>
          <w:tcPr>
            <w:tcW w:w="1639" w:type="dxa"/>
            <w:vAlign w:val="center"/>
          </w:tcPr>
          <w:p w14:paraId="428AEA47" w14:textId="219EB637" w:rsidR="008A1BE9"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191</w:t>
            </w:r>
          </w:p>
        </w:tc>
        <w:tc>
          <w:tcPr>
            <w:tcW w:w="1631" w:type="dxa"/>
            <w:vAlign w:val="center"/>
          </w:tcPr>
          <w:p w14:paraId="664A7CC8" w14:textId="506CA365" w:rsidR="008A1BE9" w:rsidRPr="00495540" w:rsidRDefault="00243417"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&lt;1</w:t>
            </w:r>
            <w:r w:rsidR="00D50598">
              <w:rPr>
                <w:rFonts w:cs="Gill Sans MT"/>
                <w:color w:val="000000"/>
              </w:rPr>
              <w:t>%</w:t>
            </w:r>
          </w:p>
        </w:tc>
        <w:tc>
          <w:tcPr>
            <w:tcW w:w="1645" w:type="dxa"/>
            <w:vAlign w:val="center"/>
          </w:tcPr>
          <w:p w14:paraId="52A20070" w14:textId="03753BA8" w:rsidR="008A1BE9" w:rsidRPr="00495540" w:rsidRDefault="00D50598" w:rsidP="0049554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28,222</w:t>
            </w:r>
          </w:p>
        </w:tc>
      </w:tr>
    </w:tbl>
    <w:p w14:paraId="21FAC06F" w14:textId="33208851" w:rsidR="001F06CA" w:rsidRDefault="00110D51" w:rsidP="00110D51">
      <w:pPr>
        <w:spacing w:before="240" w:after="240" w:line="240" w:lineRule="auto"/>
        <w:ind w:left="-142"/>
      </w:pPr>
      <w:r w:rsidRPr="00325EF7">
        <w:t>“Serious Failures</w:t>
      </w:r>
      <w:r w:rsidR="006E5051">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021A4E57" w14:textId="77777777" w:rsidR="001F06CA" w:rsidRDefault="001F06CA">
      <w:pPr>
        <w:spacing w:before="0"/>
        <w:ind w:left="0"/>
      </w:pPr>
      <w:r>
        <w:br w:type="page"/>
      </w:r>
    </w:p>
    <w:p w14:paraId="2D88F466" w14:textId="2435B77A" w:rsidR="00C24E8B" w:rsidRPr="00325EF7" w:rsidRDefault="00C24E8B" w:rsidP="0070239B">
      <w:pPr>
        <w:pStyle w:val="Heading1"/>
        <w:spacing w:before="240"/>
      </w:pPr>
      <w:bookmarkStart w:id="29" w:name="_Toc19281351"/>
      <w:r w:rsidRPr="00325EF7">
        <w:lastRenderedPageBreak/>
        <w:t>Part B</w:t>
      </w:r>
      <w:bookmarkEnd w:id="29"/>
    </w:p>
    <w:p w14:paraId="7A14B1B0" w14:textId="3316AA5E" w:rsidR="002F0647" w:rsidRPr="00325EF7" w:rsidRDefault="00A4210D" w:rsidP="00BC0C49">
      <w:pPr>
        <w:pStyle w:val="Heading2"/>
        <w:spacing w:after="240"/>
        <w:ind w:left="0" w:firstLine="0"/>
      </w:pPr>
      <w:bookmarkStart w:id="30" w:name="_Toc19281352"/>
      <w:r>
        <w:t xml:space="preserve">Financial Penalties, </w:t>
      </w:r>
      <w:r w:rsidR="00EE4D0A">
        <w:t>Income Support</w:t>
      </w:r>
      <w:r w:rsidR="002F0647" w:rsidRPr="00325EF7">
        <w:t xml:space="preserve"> </w:t>
      </w:r>
      <w:r w:rsidR="000770FC" w:rsidRPr="00325EF7">
        <w:t xml:space="preserve">Payment Suspensions </w:t>
      </w:r>
      <w:r>
        <w:t xml:space="preserve">and CCAs </w:t>
      </w:r>
      <w:r w:rsidR="002F0647" w:rsidRPr="00325EF7">
        <w:t>by Gender</w:t>
      </w:r>
      <w:bookmarkEnd w:id="30"/>
    </w:p>
    <w:p w14:paraId="06F19577" w14:textId="6E9AB35B" w:rsidR="00126999" w:rsidRPr="00023622" w:rsidRDefault="00A4210D" w:rsidP="006E21A3">
      <w:pPr>
        <w:pStyle w:val="Heading2"/>
        <w:numPr>
          <w:ilvl w:val="0"/>
          <w:numId w:val="0"/>
        </w:numPr>
        <w:spacing w:after="240"/>
        <w:ind w:left="567"/>
      </w:pPr>
      <w:bookmarkStart w:id="31" w:name="_Toc19281353"/>
      <w:r>
        <w:t>12</w:t>
      </w:r>
      <w:r w:rsidR="006E21A3">
        <w:t>a.</w:t>
      </w:r>
      <w:r w:rsidR="00126999" w:rsidRPr="00023622">
        <w:t xml:space="preserve"> </w:t>
      </w:r>
      <w:r w:rsidR="00052840">
        <w:tab/>
      </w:r>
      <w:r w:rsidR="00126999" w:rsidRPr="007D74E1">
        <w:rPr>
          <w:i/>
        </w:rPr>
        <w:t xml:space="preserve">Non Payment Periods (Serious and UNPPs) </w:t>
      </w:r>
      <w:r w:rsidR="00C37529">
        <w:rPr>
          <w:i/>
        </w:rPr>
        <w:t>1 April to 30 June 2019</w:t>
      </w:r>
      <w:bookmarkEnd w:id="31"/>
    </w:p>
    <w:tbl>
      <w:tblPr>
        <w:tblStyle w:val="LeftAlignTable"/>
        <w:tblW w:w="14898" w:type="dxa"/>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489"/>
        <w:gridCol w:w="1090"/>
        <w:gridCol w:w="1227"/>
        <w:gridCol w:w="1506"/>
        <w:gridCol w:w="1377"/>
        <w:gridCol w:w="1354"/>
        <w:gridCol w:w="1281"/>
        <w:gridCol w:w="1287"/>
        <w:gridCol w:w="1287"/>
      </w:tblGrid>
      <w:tr w:rsidR="00E758D1" w:rsidRPr="00325EF7" w14:paraId="056C31E1"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CFFB8B0"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795D3C8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08E9274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73945C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1DADA3EC"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29764D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3A80887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70013DD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7AAE227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8A1BE9" w:rsidRPr="00325EF7" w14:paraId="5E4A9442" w14:textId="77777777" w:rsidTr="00CA4BEA">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7F2EBE59" w14:textId="77777777" w:rsidR="008A1BE9" w:rsidRPr="00325EF7" w:rsidRDefault="008A1BE9" w:rsidP="008A1BE9">
            <w:pPr>
              <w:ind w:left="-142" w:firstLine="142"/>
            </w:pPr>
            <w:r w:rsidRPr="00325EF7">
              <w:t xml:space="preserve">Sub Total NPPs </w:t>
            </w:r>
          </w:p>
        </w:tc>
        <w:tc>
          <w:tcPr>
            <w:tcW w:w="1090" w:type="dxa"/>
            <w:vAlign w:val="center"/>
          </w:tcPr>
          <w:p w14:paraId="3F49569E" w14:textId="0CF649CF"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3,053</w:t>
            </w:r>
          </w:p>
        </w:tc>
        <w:tc>
          <w:tcPr>
            <w:tcW w:w="1227" w:type="dxa"/>
            <w:vAlign w:val="center"/>
          </w:tcPr>
          <w:p w14:paraId="7B8CAFA8" w14:textId="72FB40B8"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58.36%</w:t>
            </w:r>
          </w:p>
        </w:tc>
        <w:tc>
          <w:tcPr>
            <w:tcW w:w="1506" w:type="dxa"/>
            <w:vAlign w:val="center"/>
          </w:tcPr>
          <w:p w14:paraId="5F3BAC14" w14:textId="02C494E3"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2,178</w:t>
            </w:r>
          </w:p>
        </w:tc>
        <w:tc>
          <w:tcPr>
            <w:tcW w:w="1377" w:type="dxa"/>
            <w:vAlign w:val="center"/>
          </w:tcPr>
          <w:p w14:paraId="0F455269" w14:textId="2584EBFE"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41.64%</w:t>
            </w:r>
          </w:p>
        </w:tc>
        <w:tc>
          <w:tcPr>
            <w:tcW w:w="1354" w:type="dxa"/>
            <w:vAlign w:val="center"/>
          </w:tcPr>
          <w:p w14:paraId="71774322" w14:textId="73F19431"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5,231</w:t>
            </w:r>
          </w:p>
        </w:tc>
        <w:tc>
          <w:tcPr>
            <w:tcW w:w="1281" w:type="dxa"/>
            <w:vAlign w:val="center"/>
          </w:tcPr>
          <w:p w14:paraId="07576A03" w14:textId="43C8B740"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3F8AB5E7" w14:textId="38149B80"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28,222</w:t>
            </w:r>
          </w:p>
        </w:tc>
        <w:tc>
          <w:tcPr>
            <w:tcW w:w="1287" w:type="dxa"/>
            <w:vAlign w:val="center"/>
          </w:tcPr>
          <w:p w14:paraId="47713D54" w14:textId="1BD9C726"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6E269286" w14:textId="5EFA8B6F" w:rsidR="00126999" w:rsidRPr="006E21A3" w:rsidRDefault="00A4210D" w:rsidP="006E21A3">
      <w:pPr>
        <w:pStyle w:val="Heading2"/>
        <w:numPr>
          <w:ilvl w:val="0"/>
          <w:numId w:val="0"/>
        </w:numPr>
        <w:spacing w:after="240"/>
        <w:ind w:left="567"/>
      </w:pPr>
      <w:bookmarkStart w:id="32" w:name="_Toc19281354"/>
      <w:r>
        <w:t>12</w:t>
      </w:r>
      <w:r w:rsidR="00126999" w:rsidRPr="00023622">
        <w:t xml:space="preserve">b. </w:t>
      </w:r>
      <w:r w:rsidR="00052840">
        <w:tab/>
      </w:r>
      <w:r w:rsidR="00126999" w:rsidRPr="007D74E1">
        <w:rPr>
          <w:i/>
        </w:rPr>
        <w:t xml:space="preserve">Short Term Financial Penalties </w:t>
      </w:r>
      <w:r w:rsidR="00C37529">
        <w:rPr>
          <w:i/>
        </w:rPr>
        <w:t>1 April to 30 June 2019</w:t>
      </w:r>
      <w:bookmarkEnd w:id="32"/>
    </w:p>
    <w:tbl>
      <w:tblPr>
        <w:tblStyle w:val="LeftAlignTable"/>
        <w:tblW w:w="1487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988"/>
        <w:gridCol w:w="1276"/>
        <w:gridCol w:w="1559"/>
        <w:gridCol w:w="1276"/>
        <w:gridCol w:w="1417"/>
        <w:gridCol w:w="1276"/>
        <w:gridCol w:w="1276"/>
        <w:gridCol w:w="1276"/>
      </w:tblGrid>
      <w:tr w:rsidR="00877281" w:rsidRPr="00325EF7" w14:paraId="4FABC38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58D003C2"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F2D04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3D18C9C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7B01668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7FC637D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7258BF9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51BBF72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330461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4A2384D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8A1BE9" w:rsidRPr="00325EF7" w14:paraId="736A132D" w14:textId="77777777" w:rsidTr="002D6D5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2F3EA7F3" w14:textId="77777777" w:rsidR="008A1BE9" w:rsidRPr="00E84EAF" w:rsidRDefault="008A1BE9" w:rsidP="008A1BE9">
            <w:pPr>
              <w:spacing w:before="60" w:after="60"/>
              <w:ind w:left="0"/>
              <w:rPr>
                <w:b w:val="0"/>
                <w:noProof/>
              </w:rPr>
            </w:pPr>
            <w:r w:rsidRPr="00E84EAF">
              <w:rPr>
                <w:noProof/>
              </w:rPr>
              <w:t>Sub Total Short Term Financial Penalties</w:t>
            </w:r>
          </w:p>
        </w:tc>
        <w:tc>
          <w:tcPr>
            <w:tcW w:w="988" w:type="dxa"/>
            <w:vAlign w:val="center"/>
          </w:tcPr>
          <w:p w14:paraId="11BDE527" w14:textId="3C1F900F"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15,744</w:t>
            </w:r>
          </w:p>
        </w:tc>
        <w:tc>
          <w:tcPr>
            <w:tcW w:w="1276" w:type="dxa"/>
            <w:vAlign w:val="center"/>
          </w:tcPr>
          <w:p w14:paraId="3D0CD4C5" w14:textId="1E73784B"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59.21%</w:t>
            </w:r>
          </w:p>
        </w:tc>
        <w:tc>
          <w:tcPr>
            <w:tcW w:w="1559" w:type="dxa"/>
            <w:vAlign w:val="center"/>
          </w:tcPr>
          <w:p w14:paraId="304B6DF9" w14:textId="302F1938"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10,846</w:t>
            </w:r>
          </w:p>
        </w:tc>
        <w:tc>
          <w:tcPr>
            <w:tcW w:w="1276" w:type="dxa"/>
            <w:vAlign w:val="center"/>
          </w:tcPr>
          <w:p w14:paraId="58C6AC38" w14:textId="56221547"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40.79%</w:t>
            </w:r>
          </w:p>
        </w:tc>
        <w:tc>
          <w:tcPr>
            <w:tcW w:w="1417" w:type="dxa"/>
            <w:vAlign w:val="center"/>
          </w:tcPr>
          <w:p w14:paraId="58C9B41D" w14:textId="653F95DB"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26,590</w:t>
            </w:r>
          </w:p>
        </w:tc>
        <w:tc>
          <w:tcPr>
            <w:tcW w:w="1276" w:type="dxa"/>
            <w:vAlign w:val="center"/>
          </w:tcPr>
          <w:p w14:paraId="4D0F9939" w14:textId="61914238"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6A75EDA1" w14:textId="31EE1BEB"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129,105</w:t>
            </w:r>
          </w:p>
        </w:tc>
        <w:tc>
          <w:tcPr>
            <w:tcW w:w="1276" w:type="dxa"/>
            <w:vAlign w:val="center"/>
          </w:tcPr>
          <w:p w14:paraId="492A3618" w14:textId="3D4A3373"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BA69A65" w14:textId="495F1B4A" w:rsidR="00126999" w:rsidRPr="006E21A3" w:rsidRDefault="00A4210D" w:rsidP="006E21A3">
      <w:pPr>
        <w:pStyle w:val="Heading2"/>
        <w:numPr>
          <w:ilvl w:val="0"/>
          <w:numId w:val="0"/>
        </w:numPr>
        <w:spacing w:after="240"/>
        <w:ind w:left="567"/>
      </w:pPr>
      <w:bookmarkStart w:id="33" w:name="_Toc19281355"/>
      <w:r>
        <w:t>12</w:t>
      </w:r>
      <w:r w:rsidR="00126999" w:rsidRPr="00023622">
        <w:t xml:space="preserve">c. </w:t>
      </w:r>
      <w:r w:rsidR="00052840">
        <w:tab/>
      </w:r>
      <w:r w:rsidR="00126999" w:rsidRPr="007D74E1">
        <w:rPr>
          <w:i/>
        </w:rPr>
        <w:t xml:space="preserve">Total Financial Penalties </w:t>
      </w:r>
      <w:r w:rsidR="00C37529">
        <w:rPr>
          <w:i/>
        </w:rPr>
        <w:t>1 April to 30 June 2019</w:t>
      </w:r>
      <w:bookmarkEnd w:id="33"/>
    </w:p>
    <w:tbl>
      <w:tblPr>
        <w:tblStyle w:val="LeftAlignTable"/>
        <w:tblW w:w="14879"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61"/>
        <w:gridCol w:w="1129"/>
        <w:gridCol w:w="1231"/>
        <w:gridCol w:w="1512"/>
        <w:gridCol w:w="1301"/>
        <w:gridCol w:w="1443"/>
        <w:gridCol w:w="1286"/>
        <w:gridCol w:w="1290"/>
        <w:gridCol w:w="1226"/>
      </w:tblGrid>
      <w:tr w:rsidR="00E837BA" w:rsidRPr="00325EF7" w14:paraId="67B2C236" w14:textId="77777777" w:rsidTr="002D6D55">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4461" w:type="dxa"/>
            <w:vMerge w:val="restart"/>
            <w:vAlign w:val="center"/>
          </w:tcPr>
          <w:p w14:paraId="417E1D5C" w14:textId="77777777" w:rsidR="00E837BA" w:rsidRPr="00325EF7" w:rsidRDefault="00E837BA" w:rsidP="009C0637">
            <w:pPr>
              <w:ind w:left="-142" w:firstLine="142"/>
              <w:rPr>
                <w:noProof/>
              </w:rPr>
            </w:pPr>
            <w:r w:rsidRPr="00325EF7">
              <w:rPr>
                <w:noProof/>
              </w:rPr>
              <w:t>Total Financial Penalties</w:t>
            </w:r>
          </w:p>
        </w:tc>
        <w:tc>
          <w:tcPr>
            <w:tcW w:w="1129" w:type="dxa"/>
          </w:tcPr>
          <w:p w14:paraId="1E39384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31" w:type="dxa"/>
          </w:tcPr>
          <w:p w14:paraId="142FC353"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0764F2FD"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46CA915A"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6437016F"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2D3EF41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6325E38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3F958F99"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8A1BE9" w:rsidRPr="00325EF7" w14:paraId="5CE26DC5" w14:textId="77777777" w:rsidTr="002D6D55">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461" w:type="dxa"/>
            <w:vMerge/>
          </w:tcPr>
          <w:p w14:paraId="4FD18575" w14:textId="77777777" w:rsidR="008A1BE9" w:rsidRPr="00325EF7" w:rsidRDefault="008A1BE9" w:rsidP="008A1BE9">
            <w:pPr>
              <w:ind w:left="-142" w:firstLine="142"/>
              <w:rPr>
                <w:noProof/>
              </w:rPr>
            </w:pPr>
          </w:p>
        </w:tc>
        <w:tc>
          <w:tcPr>
            <w:tcW w:w="1129" w:type="dxa"/>
            <w:vAlign w:val="center"/>
          </w:tcPr>
          <w:p w14:paraId="33F9AC4D" w14:textId="3F5AD286" w:rsidR="008A1BE9" w:rsidRPr="00C164BC"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18,797</w:t>
            </w:r>
          </w:p>
        </w:tc>
        <w:tc>
          <w:tcPr>
            <w:tcW w:w="1231" w:type="dxa"/>
            <w:vAlign w:val="center"/>
          </w:tcPr>
          <w:p w14:paraId="0C53D4CD" w14:textId="519C054F" w:rsidR="008A1BE9" w:rsidRPr="00C164BC"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59.07%</w:t>
            </w:r>
          </w:p>
        </w:tc>
        <w:tc>
          <w:tcPr>
            <w:tcW w:w="1512" w:type="dxa"/>
            <w:vAlign w:val="center"/>
          </w:tcPr>
          <w:p w14:paraId="07177340" w14:textId="1BB7F951" w:rsidR="008A1BE9" w:rsidRPr="00C164BC"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13,024</w:t>
            </w:r>
          </w:p>
        </w:tc>
        <w:tc>
          <w:tcPr>
            <w:tcW w:w="1301" w:type="dxa"/>
            <w:vAlign w:val="center"/>
          </w:tcPr>
          <w:p w14:paraId="29AD0943" w14:textId="00C208C6" w:rsidR="008A1BE9" w:rsidRPr="00C164BC"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40.93%</w:t>
            </w:r>
          </w:p>
        </w:tc>
        <w:tc>
          <w:tcPr>
            <w:tcW w:w="1443" w:type="dxa"/>
            <w:vAlign w:val="center"/>
          </w:tcPr>
          <w:p w14:paraId="6E490CDA" w14:textId="14C1281C" w:rsidR="008A1BE9" w:rsidRPr="00C164BC"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31,821</w:t>
            </w:r>
          </w:p>
        </w:tc>
        <w:tc>
          <w:tcPr>
            <w:tcW w:w="1286" w:type="dxa"/>
            <w:vAlign w:val="center"/>
          </w:tcPr>
          <w:p w14:paraId="037F0C46" w14:textId="34752D01" w:rsidR="008A1BE9" w:rsidRPr="00C164BC"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3C067D52" w14:textId="1DFEFFFE" w:rsidR="008A1BE9" w:rsidRPr="00C164BC"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157,327</w:t>
            </w:r>
          </w:p>
        </w:tc>
        <w:tc>
          <w:tcPr>
            <w:tcW w:w="1226" w:type="dxa"/>
            <w:vAlign w:val="center"/>
          </w:tcPr>
          <w:p w14:paraId="60028CDA" w14:textId="193320D3" w:rsidR="008A1BE9" w:rsidRPr="00C164BC"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59A11F4" w14:textId="77777777" w:rsidR="00E84EAF" w:rsidRDefault="00E84EAF" w:rsidP="00E84EAF">
      <w:pPr>
        <w:spacing w:before="0" w:after="0" w:line="240" w:lineRule="auto"/>
        <w:ind w:left="142"/>
        <w:rPr>
          <w:noProof/>
        </w:rPr>
      </w:pPr>
    </w:p>
    <w:p w14:paraId="32AFB35B"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806B53" w14:textId="3ACE1460"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Pr="00FB63AD">
        <w:t xml:space="preserve">Department of Human Services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F2349F">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52B708A2" w14:textId="1A314744" w:rsidR="00126999" w:rsidRPr="00D446CC" w:rsidRDefault="00A4210D" w:rsidP="00D446CC">
      <w:pPr>
        <w:pStyle w:val="Heading2"/>
        <w:numPr>
          <w:ilvl w:val="0"/>
          <w:numId w:val="0"/>
        </w:numPr>
        <w:spacing w:after="240"/>
        <w:ind w:left="567"/>
      </w:pPr>
      <w:bookmarkStart w:id="34" w:name="_Toc19281356"/>
      <w:r>
        <w:lastRenderedPageBreak/>
        <w:t>12</w:t>
      </w:r>
      <w:r w:rsidR="00B6057A">
        <w:t>d</w:t>
      </w:r>
      <w:r w:rsidR="00126999" w:rsidRPr="00023622">
        <w:t xml:space="preserve">. </w:t>
      </w:r>
      <w:r w:rsidR="00052840">
        <w:tab/>
      </w:r>
      <w:r w:rsidR="00126999" w:rsidRPr="007D74E1">
        <w:rPr>
          <w:i/>
        </w:rPr>
        <w:t xml:space="preserve">Income Support Payment Suspensions </w:t>
      </w:r>
      <w:r w:rsidR="00C37529">
        <w:rPr>
          <w:i/>
        </w:rPr>
        <w:t>1 April to 30 June 2019</w:t>
      </w:r>
      <w:bookmarkEnd w:id="34"/>
    </w:p>
    <w:tbl>
      <w:tblPr>
        <w:tblStyle w:val="LeftAlignTable"/>
        <w:tblW w:w="14879" w:type="dxa"/>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355"/>
        <w:gridCol w:w="1310"/>
        <w:gridCol w:w="1134"/>
        <w:gridCol w:w="1559"/>
        <w:gridCol w:w="1276"/>
        <w:gridCol w:w="1417"/>
        <w:gridCol w:w="1276"/>
        <w:gridCol w:w="1276"/>
        <w:gridCol w:w="1276"/>
      </w:tblGrid>
      <w:tr w:rsidR="00877281" w:rsidRPr="00FB63AD" w14:paraId="44B5AA48"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52D32084" w14:textId="77777777" w:rsidR="001F7420" w:rsidRPr="00FB63AD" w:rsidRDefault="008164F9" w:rsidP="00F74E10">
            <w:pPr>
              <w:ind w:left="-142" w:firstLine="142"/>
            </w:pPr>
            <w:r w:rsidRPr="00FB63AD">
              <w:t>Income Support payment suspensions</w:t>
            </w:r>
          </w:p>
        </w:tc>
        <w:tc>
          <w:tcPr>
            <w:tcW w:w="1310" w:type="dxa"/>
            <w:vAlign w:val="center"/>
          </w:tcPr>
          <w:p w14:paraId="089356D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17779615"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61C54F8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6989258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4D72191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2D3A62A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33E7507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4C07077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A1BE9" w:rsidRPr="00FB63AD" w14:paraId="0347FF70"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08526E64" w14:textId="77777777" w:rsidR="008A1BE9" w:rsidRPr="00FB63AD" w:rsidRDefault="008A1BE9" w:rsidP="008A1BE9">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5D61AAD3" w14:textId="5BD16417"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7,616</w:t>
            </w:r>
          </w:p>
        </w:tc>
        <w:tc>
          <w:tcPr>
            <w:tcW w:w="1134" w:type="dxa"/>
            <w:vAlign w:val="center"/>
          </w:tcPr>
          <w:p w14:paraId="06E338D9" w14:textId="2674E4F9"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35.10%</w:t>
            </w:r>
          </w:p>
        </w:tc>
        <w:tc>
          <w:tcPr>
            <w:tcW w:w="1559" w:type="dxa"/>
            <w:vAlign w:val="center"/>
          </w:tcPr>
          <w:p w14:paraId="5608884A" w14:textId="0874BD9D"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5,963</w:t>
            </w:r>
          </w:p>
        </w:tc>
        <w:tc>
          <w:tcPr>
            <w:tcW w:w="1276" w:type="dxa"/>
            <w:vAlign w:val="center"/>
          </w:tcPr>
          <w:p w14:paraId="20616636" w14:textId="2DA3EF70"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27.48%</w:t>
            </w:r>
          </w:p>
        </w:tc>
        <w:tc>
          <w:tcPr>
            <w:tcW w:w="1417" w:type="dxa"/>
            <w:vAlign w:val="center"/>
          </w:tcPr>
          <w:p w14:paraId="539AEB99" w14:textId="04FE888E"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13,579</w:t>
            </w:r>
          </w:p>
        </w:tc>
        <w:tc>
          <w:tcPr>
            <w:tcW w:w="1276" w:type="dxa"/>
            <w:vAlign w:val="center"/>
          </w:tcPr>
          <w:p w14:paraId="794D3F72" w14:textId="4E1CD33E"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62.58%</w:t>
            </w:r>
          </w:p>
        </w:tc>
        <w:tc>
          <w:tcPr>
            <w:tcW w:w="1276" w:type="dxa"/>
            <w:vAlign w:val="center"/>
          </w:tcPr>
          <w:p w14:paraId="2387E3B7" w14:textId="43586268"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54,065</w:t>
            </w:r>
          </w:p>
        </w:tc>
        <w:tc>
          <w:tcPr>
            <w:tcW w:w="1276" w:type="dxa"/>
            <w:vAlign w:val="center"/>
          </w:tcPr>
          <w:p w14:paraId="2F379B27" w14:textId="6B72AD47"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59.24%</w:t>
            </w:r>
          </w:p>
        </w:tc>
      </w:tr>
      <w:tr w:rsidR="008A1BE9" w:rsidRPr="00FB63AD" w14:paraId="1B3FA3AF"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C1F1E1C" w14:textId="77777777" w:rsidR="008A1BE9" w:rsidRPr="00FB63AD" w:rsidRDefault="008A1BE9" w:rsidP="008A1BE9">
            <w:pPr>
              <w:ind w:left="0"/>
            </w:pPr>
            <w:r w:rsidRPr="00FB63AD">
              <w:rPr>
                <w:bCs/>
              </w:rPr>
              <w:t>Income support payment suspension – disengagement from activity</w:t>
            </w:r>
          </w:p>
        </w:tc>
        <w:tc>
          <w:tcPr>
            <w:tcW w:w="1310" w:type="dxa"/>
            <w:vAlign w:val="center"/>
          </w:tcPr>
          <w:p w14:paraId="50D321BE" w14:textId="0B03BF53"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4,656</w:t>
            </w:r>
          </w:p>
        </w:tc>
        <w:tc>
          <w:tcPr>
            <w:tcW w:w="1134" w:type="dxa"/>
            <w:vAlign w:val="center"/>
          </w:tcPr>
          <w:p w14:paraId="4EC25375" w14:textId="18784B28"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21.46%</w:t>
            </w:r>
          </w:p>
        </w:tc>
        <w:tc>
          <w:tcPr>
            <w:tcW w:w="1559" w:type="dxa"/>
            <w:vAlign w:val="center"/>
          </w:tcPr>
          <w:p w14:paraId="10089CC1" w14:textId="32C50383"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3,464</w:t>
            </w:r>
          </w:p>
        </w:tc>
        <w:tc>
          <w:tcPr>
            <w:tcW w:w="1276" w:type="dxa"/>
            <w:vAlign w:val="center"/>
          </w:tcPr>
          <w:p w14:paraId="35724525" w14:textId="51D39D02"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15.96%</w:t>
            </w:r>
          </w:p>
        </w:tc>
        <w:tc>
          <w:tcPr>
            <w:tcW w:w="1417" w:type="dxa"/>
            <w:vAlign w:val="center"/>
          </w:tcPr>
          <w:p w14:paraId="7BD37CA5" w14:textId="7FCD7D25"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8,120</w:t>
            </w:r>
          </w:p>
        </w:tc>
        <w:tc>
          <w:tcPr>
            <w:tcW w:w="1276" w:type="dxa"/>
            <w:vAlign w:val="center"/>
          </w:tcPr>
          <w:p w14:paraId="7B61CED5" w14:textId="0312C508"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37.42%</w:t>
            </w:r>
          </w:p>
        </w:tc>
        <w:tc>
          <w:tcPr>
            <w:tcW w:w="1276" w:type="dxa"/>
            <w:vAlign w:val="center"/>
          </w:tcPr>
          <w:p w14:paraId="7248BC2F" w14:textId="41FABF70"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37,205</w:t>
            </w:r>
          </w:p>
        </w:tc>
        <w:tc>
          <w:tcPr>
            <w:tcW w:w="1276" w:type="dxa"/>
            <w:vAlign w:val="center"/>
          </w:tcPr>
          <w:p w14:paraId="6B684C2F" w14:textId="46B74806"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40.76%</w:t>
            </w:r>
          </w:p>
        </w:tc>
      </w:tr>
      <w:tr w:rsidR="008A1BE9" w:rsidRPr="00FB63AD" w14:paraId="6FAA995A"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37726BF" w14:textId="77777777" w:rsidR="008A1BE9" w:rsidRPr="00FB63AD" w:rsidRDefault="008A1BE9" w:rsidP="008A1BE9">
            <w:pPr>
              <w:ind w:left="0"/>
              <w:jc w:val="center"/>
              <w:rPr>
                <w:b/>
                <w:bCs/>
              </w:rPr>
            </w:pPr>
            <w:r w:rsidRPr="00FB63AD">
              <w:rPr>
                <w:b/>
                <w:bCs/>
              </w:rPr>
              <w:t>Total Income Support payment suspensions</w:t>
            </w:r>
          </w:p>
        </w:tc>
        <w:tc>
          <w:tcPr>
            <w:tcW w:w="1310" w:type="dxa"/>
            <w:vAlign w:val="center"/>
          </w:tcPr>
          <w:p w14:paraId="3D1653BD" w14:textId="05A1F041"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12,272</w:t>
            </w:r>
          </w:p>
        </w:tc>
        <w:tc>
          <w:tcPr>
            <w:tcW w:w="1134" w:type="dxa"/>
            <w:vAlign w:val="center"/>
          </w:tcPr>
          <w:p w14:paraId="1C97584C" w14:textId="50B79662"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56.56%</w:t>
            </w:r>
          </w:p>
        </w:tc>
        <w:tc>
          <w:tcPr>
            <w:tcW w:w="1559" w:type="dxa"/>
            <w:vAlign w:val="center"/>
          </w:tcPr>
          <w:p w14:paraId="75231EE4" w14:textId="5EBA7739"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9,427</w:t>
            </w:r>
          </w:p>
        </w:tc>
        <w:tc>
          <w:tcPr>
            <w:tcW w:w="1276" w:type="dxa"/>
            <w:vAlign w:val="center"/>
          </w:tcPr>
          <w:p w14:paraId="5F651560" w14:textId="731B42DB"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43.44%</w:t>
            </w:r>
          </w:p>
        </w:tc>
        <w:tc>
          <w:tcPr>
            <w:tcW w:w="1417" w:type="dxa"/>
            <w:vAlign w:val="center"/>
          </w:tcPr>
          <w:p w14:paraId="43F1EA27" w14:textId="02DC6D49"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21,699</w:t>
            </w:r>
          </w:p>
        </w:tc>
        <w:tc>
          <w:tcPr>
            <w:tcW w:w="1276" w:type="dxa"/>
            <w:vAlign w:val="center"/>
          </w:tcPr>
          <w:p w14:paraId="32B0B1AF" w14:textId="427D6036"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3F9D6668" w14:textId="6EC54A38"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91,270</w:t>
            </w:r>
          </w:p>
        </w:tc>
        <w:tc>
          <w:tcPr>
            <w:tcW w:w="1276" w:type="dxa"/>
            <w:vAlign w:val="center"/>
          </w:tcPr>
          <w:p w14:paraId="146E89D6" w14:textId="75DAD415" w:rsidR="008A1BE9" w:rsidRPr="00495540"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0949C90A" w14:textId="71BAB1AC" w:rsidR="00994973" w:rsidRDefault="005B5D91" w:rsidP="0017759B">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223EF69E" w14:textId="73EA6693" w:rsidR="00DC7357" w:rsidRDefault="00A4210D" w:rsidP="00DC7357">
      <w:pPr>
        <w:pStyle w:val="Heading2"/>
        <w:numPr>
          <w:ilvl w:val="0"/>
          <w:numId w:val="0"/>
        </w:numPr>
        <w:spacing w:after="240"/>
        <w:ind w:left="567"/>
      </w:pPr>
      <w:bookmarkStart w:id="35" w:name="_Toc17274355"/>
      <w:bookmarkStart w:id="36" w:name="_Toc19281357"/>
      <w:r>
        <w:t>12</w:t>
      </w:r>
      <w:r w:rsidR="00DC7357">
        <w:t>e</w:t>
      </w:r>
      <w:r w:rsidR="00DC7357" w:rsidRPr="00023622">
        <w:t xml:space="preserve">. </w:t>
      </w:r>
      <w:r w:rsidR="00DC7357">
        <w:tab/>
      </w:r>
      <w:r w:rsidR="00DC7357" w:rsidRPr="00023622">
        <w:t>Finalised Comprehensive Compliance Assessment Outcome</w:t>
      </w:r>
      <w:r w:rsidR="00DC7357">
        <w:t>s</w:t>
      </w:r>
      <w:r w:rsidR="00DC7357" w:rsidRPr="00023622">
        <w:t xml:space="preserve"> </w:t>
      </w:r>
      <w:r w:rsidR="00DC7357">
        <w:t>1 July 2018 to 30 June 2019</w:t>
      </w:r>
      <w:bookmarkEnd w:id="35"/>
      <w:bookmarkEnd w:id="36"/>
    </w:p>
    <w:tbl>
      <w:tblPr>
        <w:tblStyle w:val="LeftAlignTable"/>
        <w:tblW w:w="14879"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311"/>
        <w:gridCol w:w="1354"/>
        <w:gridCol w:w="1134"/>
        <w:gridCol w:w="1559"/>
        <w:gridCol w:w="1276"/>
        <w:gridCol w:w="1417"/>
        <w:gridCol w:w="1276"/>
        <w:gridCol w:w="1276"/>
        <w:gridCol w:w="1276"/>
      </w:tblGrid>
      <w:tr w:rsidR="00DC7357" w:rsidRPr="00FB63AD" w14:paraId="6BACE61F" w14:textId="77777777" w:rsidTr="00DC73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44487592" w14:textId="77777777" w:rsidR="00DC7357" w:rsidRPr="00FB63AD" w:rsidRDefault="00DC7357" w:rsidP="009D67DD">
            <w:pPr>
              <w:ind w:left="0"/>
            </w:pPr>
            <w:r w:rsidRPr="00FB63AD">
              <w:t>Finalised C</w:t>
            </w:r>
            <w:r>
              <w:t xml:space="preserve">omprehensive </w:t>
            </w:r>
            <w:r w:rsidRPr="00FB63AD">
              <w:t>C</w:t>
            </w:r>
            <w:r>
              <w:t>ompliance</w:t>
            </w:r>
            <w:r>
              <w:br/>
            </w:r>
            <w:r w:rsidRPr="00FB63AD">
              <w:t>A</w:t>
            </w:r>
            <w:r>
              <w:t>ssessment</w:t>
            </w:r>
            <w:r w:rsidRPr="00FB63AD">
              <w:t xml:space="preserve"> Outcome</w:t>
            </w:r>
          </w:p>
        </w:tc>
        <w:tc>
          <w:tcPr>
            <w:tcW w:w="1354" w:type="dxa"/>
            <w:tcBorders>
              <w:bottom w:val="single" w:sz="4" w:space="0" w:color="auto"/>
            </w:tcBorders>
            <w:vAlign w:val="center"/>
          </w:tcPr>
          <w:p w14:paraId="2AD337C2" w14:textId="77777777" w:rsidR="00DC7357" w:rsidRPr="00FB63AD" w:rsidRDefault="00DC7357"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tcBorders>
              <w:bottom w:val="single" w:sz="4" w:space="0" w:color="auto"/>
            </w:tcBorders>
            <w:vAlign w:val="center"/>
          </w:tcPr>
          <w:p w14:paraId="040EDF87" w14:textId="77777777" w:rsidR="00DC7357" w:rsidRPr="00FB63AD" w:rsidRDefault="00DC7357"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tcBorders>
              <w:bottom w:val="single" w:sz="4" w:space="0" w:color="auto"/>
            </w:tcBorders>
            <w:vAlign w:val="center"/>
          </w:tcPr>
          <w:p w14:paraId="49A1ED8C" w14:textId="77777777" w:rsidR="00DC7357" w:rsidRPr="00FB63AD" w:rsidRDefault="00DC7357"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tcBorders>
              <w:bottom w:val="single" w:sz="4" w:space="0" w:color="auto"/>
            </w:tcBorders>
            <w:vAlign w:val="center"/>
          </w:tcPr>
          <w:p w14:paraId="6422F3D7" w14:textId="77777777" w:rsidR="00DC7357" w:rsidRPr="00FB63AD" w:rsidRDefault="00DC7357"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tcBorders>
              <w:bottom w:val="single" w:sz="4" w:space="0" w:color="auto"/>
            </w:tcBorders>
            <w:vAlign w:val="center"/>
          </w:tcPr>
          <w:p w14:paraId="2BF17319" w14:textId="77777777" w:rsidR="00DC7357" w:rsidRPr="00FB63AD" w:rsidRDefault="00DC7357"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Borders>
              <w:bottom w:val="single" w:sz="4" w:space="0" w:color="auto"/>
            </w:tcBorders>
            <w:vAlign w:val="center"/>
          </w:tcPr>
          <w:p w14:paraId="68D94073" w14:textId="77777777" w:rsidR="00DC7357" w:rsidRPr="00FB63AD" w:rsidRDefault="00DC7357"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Borders>
              <w:bottom w:val="single" w:sz="4" w:space="0" w:color="auto"/>
            </w:tcBorders>
            <w:vAlign w:val="center"/>
          </w:tcPr>
          <w:p w14:paraId="718A68B8" w14:textId="77777777" w:rsidR="00DC7357" w:rsidRPr="00FB63AD" w:rsidRDefault="00DC7357"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tcBorders>
              <w:bottom w:val="single" w:sz="4" w:space="0" w:color="auto"/>
            </w:tcBorders>
            <w:vAlign w:val="center"/>
          </w:tcPr>
          <w:p w14:paraId="65E05F17" w14:textId="77777777" w:rsidR="00DC7357" w:rsidRPr="00FB63AD" w:rsidRDefault="00DC7357"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DC7357" w:rsidRPr="00FB63AD" w14:paraId="21236682" w14:textId="77777777" w:rsidTr="00DC7357">
        <w:tc>
          <w:tcPr>
            <w:cnfStyle w:val="001000000000" w:firstRow="0" w:lastRow="0" w:firstColumn="1" w:lastColumn="0" w:oddVBand="0" w:evenVBand="0" w:oddHBand="0" w:evenHBand="0" w:firstRowFirstColumn="0" w:firstRowLastColumn="0" w:lastRowFirstColumn="0" w:lastRowLastColumn="0"/>
            <w:tcW w:w="4311" w:type="dxa"/>
          </w:tcPr>
          <w:p w14:paraId="63051B43" w14:textId="77777777" w:rsidR="00DC7357" w:rsidRPr="00FB63AD" w:rsidRDefault="00DC7357" w:rsidP="00DC7357">
            <w:pPr>
              <w:ind w:left="-142" w:firstLine="142"/>
            </w:pPr>
            <w:r w:rsidRPr="00FB63AD">
              <w:t xml:space="preserve">JSCI updated </w:t>
            </w:r>
            <w:r>
              <w:t>–</w:t>
            </w:r>
            <w:r w:rsidRPr="00FB63AD">
              <w:t xml:space="preserve"> referral for ESAt</w:t>
            </w:r>
          </w:p>
        </w:tc>
        <w:tc>
          <w:tcPr>
            <w:tcW w:w="1354" w:type="dxa"/>
            <w:tcBorders>
              <w:top w:val="single" w:sz="4" w:space="0" w:color="auto"/>
              <w:left w:val="nil"/>
              <w:bottom w:val="single" w:sz="4" w:space="0" w:color="auto"/>
              <w:right w:val="single" w:sz="4" w:space="0" w:color="auto"/>
            </w:tcBorders>
            <w:shd w:val="clear" w:color="auto" w:fill="auto"/>
            <w:vAlign w:val="bottom"/>
          </w:tcPr>
          <w:p w14:paraId="55F3B7AC" w14:textId="7A4E96EF"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1DA35A1" w14:textId="340137A6"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B48036F" w14:textId="2DC0B9A4"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4B877AC" w14:textId="559E965A"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3D3AA65" w14:textId="3FFAE95D"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A3CC546" w14:textId="17D7797E"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868ED70" w14:textId="405C8F0B"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C69C7D1" w14:textId="39E882A5"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r>
      <w:tr w:rsidR="00DC7357" w:rsidRPr="00FB63AD" w14:paraId="4DE07553" w14:textId="77777777" w:rsidTr="00DC7357">
        <w:tc>
          <w:tcPr>
            <w:cnfStyle w:val="001000000000" w:firstRow="0" w:lastRow="0" w:firstColumn="1" w:lastColumn="0" w:oddVBand="0" w:evenVBand="0" w:oddHBand="0" w:evenHBand="0" w:firstRowFirstColumn="0" w:firstRowLastColumn="0" w:lastRowFirstColumn="0" w:lastRowLastColumn="0"/>
            <w:tcW w:w="4311" w:type="dxa"/>
          </w:tcPr>
          <w:p w14:paraId="66204AF0" w14:textId="77777777" w:rsidR="00DC7357" w:rsidRPr="00FB63AD" w:rsidRDefault="00DC7357" w:rsidP="00DC7357">
            <w:pPr>
              <w:ind w:left="-142" w:firstLine="142"/>
            </w:pPr>
            <w:r w:rsidRPr="00FB63AD">
              <w:t xml:space="preserve">JSCI updated </w:t>
            </w:r>
            <w:r>
              <w:t>–</w:t>
            </w:r>
            <w:r w:rsidRPr="00FB63AD">
              <w:t xml:space="preserve"> eligible for higher stream</w:t>
            </w:r>
          </w:p>
        </w:tc>
        <w:tc>
          <w:tcPr>
            <w:tcW w:w="1354" w:type="dxa"/>
            <w:tcBorders>
              <w:top w:val="single" w:sz="4" w:space="0" w:color="auto"/>
              <w:left w:val="nil"/>
              <w:bottom w:val="single" w:sz="4" w:space="0" w:color="auto"/>
              <w:right w:val="single" w:sz="4" w:space="0" w:color="auto"/>
            </w:tcBorders>
            <w:shd w:val="clear" w:color="auto" w:fill="auto"/>
            <w:vAlign w:val="bottom"/>
          </w:tcPr>
          <w:p w14:paraId="7FE7BE7D" w14:textId="27E8D221"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883B16D" w14:textId="29D1FBD4"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F3A91B7" w14:textId="77B6C48F"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4F501B5" w14:textId="399FAC44"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64F49B5" w14:textId="3DA09288"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ACB6D23" w14:textId="54223F7A"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9269D07" w14:textId="40E9FD84"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962C9B2" w14:textId="6BAF94C1" w:rsidR="00DC7357" w:rsidRPr="00274845"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r>
      <w:tr w:rsidR="00DC7357" w:rsidRPr="00FB63AD" w14:paraId="72C74ED5" w14:textId="77777777" w:rsidTr="00DC7357">
        <w:tc>
          <w:tcPr>
            <w:cnfStyle w:val="001000000000" w:firstRow="0" w:lastRow="0" w:firstColumn="1" w:lastColumn="0" w:oddVBand="0" w:evenVBand="0" w:oddHBand="0" w:evenHBand="0" w:firstRowFirstColumn="0" w:firstRowLastColumn="0" w:lastRowFirstColumn="0" w:lastRowLastColumn="0"/>
            <w:tcW w:w="4311" w:type="dxa"/>
          </w:tcPr>
          <w:p w14:paraId="3701CBD1" w14:textId="77777777" w:rsidR="00DC7357" w:rsidRPr="00FB63AD" w:rsidRDefault="00DC7357" w:rsidP="00DC7357">
            <w:pPr>
              <w:ind w:left="-142" w:firstLine="142"/>
            </w:pPr>
            <w:r w:rsidRPr="00FB63AD">
              <w:t>Persistent non-compliance (Serious Failure)</w:t>
            </w:r>
          </w:p>
        </w:tc>
        <w:tc>
          <w:tcPr>
            <w:tcW w:w="1354" w:type="dxa"/>
            <w:tcBorders>
              <w:top w:val="single" w:sz="4" w:space="0" w:color="auto"/>
              <w:left w:val="nil"/>
              <w:bottom w:val="single" w:sz="4" w:space="0" w:color="auto"/>
              <w:right w:val="single" w:sz="4" w:space="0" w:color="auto"/>
            </w:tcBorders>
            <w:shd w:val="clear" w:color="auto" w:fill="auto"/>
            <w:vAlign w:val="bottom"/>
          </w:tcPr>
          <w:p w14:paraId="5AF4E285" w14:textId="49EAAE38"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16,416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FA30119" w14:textId="4B2A68CB"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35.73%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B6E14CB" w14:textId="35031468"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11,741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9207B33" w14:textId="52329965"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25.56%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E2329FF" w14:textId="7A3399B2"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28,157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60EE6A5" w14:textId="289C31FC"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61.29%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4B2F499" w14:textId="0B364ED1"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28,157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05E754F" w14:textId="3D7A593B"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61.29%</w:t>
            </w:r>
          </w:p>
        </w:tc>
      </w:tr>
      <w:tr w:rsidR="00DC7357" w:rsidRPr="00FB63AD" w14:paraId="574082E2" w14:textId="77777777" w:rsidTr="00DC7357">
        <w:tc>
          <w:tcPr>
            <w:cnfStyle w:val="001000000000" w:firstRow="0" w:lastRow="0" w:firstColumn="1" w:lastColumn="0" w:oddVBand="0" w:evenVBand="0" w:oddHBand="0" w:evenHBand="0" w:firstRowFirstColumn="0" w:firstRowLastColumn="0" w:lastRowFirstColumn="0" w:lastRowLastColumn="0"/>
            <w:tcW w:w="4311" w:type="dxa"/>
          </w:tcPr>
          <w:p w14:paraId="63283A63" w14:textId="77777777" w:rsidR="00DC7357" w:rsidRPr="00FB63AD" w:rsidRDefault="00DC7357" w:rsidP="00DC7357">
            <w:pPr>
              <w:ind w:left="-142" w:firstLine="142"/>
            </w:pPr>
            <w:r w:rsidRPr="00FB63AD">
              <w:t>Other outcomes</w:t>
            </w:r>
          </w:p>
        </w:tc>
        <w:tc>
          <w:tcPr>
            <w:tcW w:w="1354" w:type="dxa"/>
            <w:tcBorders>
              <w:top w:val="single" w:sz="4" w:space="0" w:color="auto"/>
              <w:left w:val="nil"/>
              <w:bottom w:val="single" w:sz="4" w:space="0" w:color="auto"/>
              <w:right w:val="single" w:sz="4" w:space="0" w:color="auto"/>
            </w:tcBorders>
            <w:shd w:val="clear" w:color="auto" w:fill="auto"/>
            <w:vAlign w:val="bottom"/>
          </w:tcPr>
          <w:p w14:paraId="1954CF4B" w14:textId="19BDF3D8"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5A1363A" w14:textId="27405CEB"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4AA41EF" w14:textId="6B3966BB"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2B0591F" w14:textId="1426F917"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257D84D" w14:textId="362EA339"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307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F11B3DF" w14:textId="3638A091"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52E712A" w14:textId="3574B2DE"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307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1B85277" w14:textId="58FEC078"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0.67%</w:t>
            </w:r>
          </w:p>
        </w:tc>
      </w:tr>
      <w:tr w:rsidR="00DC7357" w:rsidRPr="00FB63AD" w14:paraId="28F7951A" w14:textId="77777777" w:rsidTr="00DC7357">
        <w:tc>
          <w:tcPr>
            <w:cnfStyle w:val="001000000000" w:firstRow="0" w:lastRow="0" w:firstColumn="1" w:lastColumn="0" w:oddVBand="0" w:evenVBand="0" w:oddHBand="0" w:evenHBand="0" w:firstRowFirstColumn="0" w:firstRowLastColumn="0" w:lastRowFirstColumn="0" w:lastRowLastColumn="0"/>
            <w:tcW w:w="4311" w:type="dxa"/>
          </w:tcPr>
          <w:p w14:paraId="60EA0844" w14:textId="77777777" w:rsidR="00DC7357" w:rsidRPr="00FB63AD" w:rsidRDefault="00DC7357" w:rsidP="00DC7357">
            <w:pPr>
              <w:ind w:left="-142" w:firstLine="142"/>
            </w:pPr>
            <w:r w:rsidRPr="00FB63AD">
              <w:t>No outcomes</w:t>
            </w:r>
          </w:p>
        </w:tc>
        <w:tc>
          <w:tcPr>
            <w:tcW w:w="1354" w:type="dxa"/>
            <w:tcBorders>
              <w:top w:val="single" w:sz="4" w:space="0" w:color="auto"/>
              <w:left w:val="nil"/>
              <w:bottom w:val="single" w:sz="4" w:space="0" w:color="auto"/>
              <w:right w:val="single" w:sz="4" w:space="0" w:color="auto"/>
            </w:tcBorders>
            <w:shd w:val="clear" w:color="auto" w:fill="auto"/>
            <w:vAlign w:val="bottom"/>
          </w:tcPr>
          <w:p w14:paraId="0D4C15B0" w14:textId="402AA2EC"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9,973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AE8B384" w14:textId="3EB8FDB8"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21.71%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3B99BC" w14:textId="59EA4858"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7,505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5857F69" w14:textId="0BE64345"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16.34%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D75CF3D" w14:textId="1BAF65BE"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17,478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9C26CF" w14:textId="32DEDBED"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38.04%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089B042" w14:textId="2AA7EBE4"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17,478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D3BC4BE" w14:textId="071146AC" w:rsidR="00DC7357" w:rsidRPr="00EE0B9C" w:rsidRDefault="00DC7357" w:rsidP="00DC73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38.04%</w:t>
            </w:r>
          </w:p>
        </w:tc>
      </w:tr>
      <w:tr w:rsidR="00DC7357" w:rsidRPr="00FB63AD" w14:paraId="695D3E1F" w14:textId="77777777" w:rsidTr="00DC735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1" w:type="dxa"/>
          </w:tcPr>
          <w:p w14:paraId="3D1FC576" w14:textId="77777777" w:rsidR="00DC7357" w:rsidRPr="00FB63AD" w:rsidRDefault="00DC7357" w:rsidP="00DC7357">
            <w:pPr>
              <w:ind w:left="-142" w:firstLine="142"/>
            </w:pPr>
            <w:r w:rsidRPr="00FB63AD">
              <w:t>Total</w:t>
            </w:r>
          </w:p>
        </w:tc>
        <w:tc>
          <w:tcPr>
            <w:tcW w:w="1354" w:type="dxa"/>
            <w:tcBorders>
              <w:top w:val="single" w:sz="4" w:space="0" w:color="auto"/>
              <w:left w:val="nil"/>
              <w:bottom w:val="single" w:sz="4" w:space="0" w:color="auto"/>
              <w:right w:val="single" w:sz="4" w:space="0" w:color="auto"/>
            </w:tcBorders>
            <w:shd w:val="clear" w:color="auto" w:fill="auto"/>
            <w:vAlign w:val="bottom"/>
          </w:tcPr>
          <w:p w14:paraId="06E7107E" w14:textId="3CD0FAD8" w:rsidR="00DC7357" w:rsidRPr="00BA4971" w:rsidRDefault="00DC7357" w:rsidP="00DC735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26,537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9707655" w14:textId="3833F973" w:rsidR="00DC7357" w:rsidRPr="00BA4971" w:rsidRDefault="00DC7357" w:rsidP="00DC735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57.76%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A787C70" w14:textId="3CF58778" w:rsidR="00DC7357" w:rsidRPr="00BA4971" w:rsidRDefault="00DC7357" w:rsidP="00DC735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19,405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B4A9B33" w14:textId="325AE681" w:rsidR="00DC7357" w:rsidRPr="00BA4971" w:rsidRDefault="00DC7357" w:rsidP="00DC735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42.24%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830A415" w14:textId="6449A985" w:rsidR="00DC7357" w:rsidRPr="00BA4971" w:rsidRDefault="00DC7357" w:rsidP="00DC735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45,942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D138815" w14:textId="78F9382B" w:rsidR="00DC7357" w:rsidRPr="00BA4971" w:rsidRDefault="00DC7357" w:rsidP="00DC735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15847ED" w14:textId="0BECB632" w:rsidR="00DC7357" w:rsidRPr="00BA4971" w:rsidRDefault="00DC7357" w:rsidP="00DC735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45,942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CC0EB7" w14:textId="13165749" w:rsidR="00DC7357" w:rsidRPr="00BA4971" w:rsidRDefault="00DC7357" w:rsidP="00DC735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100.00%</w:t>
            </w:r>
          </w:p>
        </w:tc>
      </w:tr>
    </w:tbl>
    <w:p w14:paraId="487E545B" w14:textId="42AB1F7E" w:rsidR="001F06CA" w:rsidRDefault="001F06CA" w:rsidP="0017759B">
      <w:pPr>
        <w:spacing w:before="240" w:after="240" w:line="240" w:lineRule="auto"/>
        <w:ind w:left="142"/>
        <w:rPr>
          <w:noProof/>
        </w:rPr>
      </w:pPr>
    </w:p>
    <w:p w14:paraId="39E3F77F" w14:textId="77777777" w:rsidR="001F06CA" w:rsidRDefault="001F06CA">
      <w:pPr>
        <w:spacing w:before="0"/>
        <w:ind w:left="0"/>
        <w:rPr>
          <w:noProof/>
        </w:rPr>
      </w:pPr>
      <w:r>
        <w:rPr>
          <w:noProof/>
        </w:rPr>
        <w:br w:type="page"/>
      </w:r>
    </w:p>
    <w:p w14:paraId="5B916BD0" w14:textId="3A80DEB8" w:rsidR="005B5D91" w:rsidRPr="00FB63AD" w:rsidRDefault="005B5D91" w:rsidP="00D446CC">
      <w:pPr>
        <w:pStyle w:val="Heading2"/>
        <w:spacing w:after="240"/>
        <w:ind w:left="0" w:firstLine="0"/>
      </w:pPr>
      <w:bookmarkStart w:id="37" w:name="_Toc19281358"/>
      <w:r w:rsidRPr="00FB63AD">
        <w:lastRenderedPageBreak/>
        <w:t xml:space="preserve">Financial </w:t>
      </w:r>
      <w:r w:rsidR="00ED4EF2">
        <w:t>P</w:t>
      </w:r>
      <w:r w:rsidR="00994973">
        <w:t xml:space="preserve">enalties and </w:t>
      </w:r>
      <w:r w:rsidR="00EE4D0A">
        <w:t>Income Support</w:t>
      </w:r>
      <w:r w:rsidR="00EE4D0A" w:rsidRPr="00325EF7">
        <w:t xml:space="preserve"> </w:t>
      </w:r>
      <w:r w:rsidRPr="00FB63AD">
        <w:t>Payment Suspe</w:t>
      </w:r>
      <w:r w:rsidR="000770FC" w:rsidRPr="00FB63AD">
        <w:t xml:space="preserve">nsions </w:t>
      </w:r>
      <w:r w:rsidRPr="00FB63AD">
        <w:t>by Indigenous Status</w:t>
      </w:r>
      <w:bookmarkEnd w:id="37"/>
    </w:p>
    <w:p w14:paraId="74E1E752" w14:textId="66E83F1D" w:rsidR="00F11CBE" w:rsidRPr="00D446CC" w:rsidRDefault="00A4210D" w:rsidP="00D446CC">
      <w:pPr>
        <w:pStyle w:val="Heading2"/>
        <w:numPr>
          <w:ilvl w:val="0"/>
          <w:numId w:val="0"/>
        </w:numPr>
        <w:spacing w:after="240"/>
        <w:ind w:left="567"/>
      </w:pPr>
      <w:bookmarkStart w:id="38" w:name="_Toc19281359"/>
      <w:r>
        <w:t>13</w:t>
      </w:r>
      <w:r w:rsidR="00126999" w:rsidRPr="00023622">
        <w:t xml:space="preserve">a. </w:t>
      </w:r>
      <w:r w:rsidR="00052840">
        <w:tab/>
      </w:r>
      <w:r w:rsidR="00126999" w:rsidRPr="007D74E1">
        <w:rPr>
          <w:i/>
        </w:rPr>
        <w:t xml:space="preserve">Non Payment Periods (Serious and UNPPs) </w:t>
      </w:r>
      <w:r w:rsidR="00C37529">
        <w:rPr>
          <w:i/>
        </w:rPr>
        <w:t>1 April to 30 June 2019</w:t>
      </w:r>
      <w:bookmarkEnd w:id="38"/>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47"/>
        <w:gridCol w:w="1418"/>
        <w:gridCol w:w="1417"/>
        <w:gridCol w:w="1276"/>
        <w:gridCol w:w="1276"/>
        <w:gridCol w:w="1417"/>
        <w:gridCol w:w="1276"/>
        <w:gridCol w:w="1276"/>
        <w:gridCol w:w="1247"/>
      </w:tblGrid>
      <w:tr w:rsidR="00D9585E" w:rsidRPr="00FB63AD" w14:paraId="086F3320"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974300C" w14:textId="195DE379" w:rsidR="00D9585E" w:rsidRPr="00FB63AD" w:rsidRDefault="00D9585E" w:rsidP="00994973">
            <w:pPr>
              <w:ind w:left="-142" w:firstLine="142"/>
              <w:jc w:val="center"/>
            </w:pPr>
            <w:r w:rsidRPr="00FB63AD">
              <w:t>Non Payment Periods (Serious and</w:t>
            </w:r>
            <w:r w:rsidR="00994973">
              <w:t xml:space="preserve"> </w:t>
            </w:r>
            <w:r w:rsidR="00994973" w:rsidRPr="00FB63AD">
              <w:t>UNPPs)</w:t>
            </w:r>
          </w:p>
        </w:tc>
        <w:tc>
          <w:tcPr>
            <w:tcW w:w="1418" w:type="dxa"/>
            <w:vAlign w:val="center"/>
          </w:tcPr>
          <w:p w14:paraId="19640E8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2E8F416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48CC7112" w14:textId="71750768"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w:t>
            </w:r>
          </w:p>
        </w:tc>
        <w:tc>
          <w:tcPr>
            <w:tcW w:w="1276" w:type="dxa"/>
            <w:vAlign w:val="center"/>
          </w:tcPr>
          <w:p w14:paraId="661A8DE9" w14:textId="7EE16349"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 %</w:t>
            </w:r>
          </w:p>
        </w:tc>
        <w:tc>
          <w:tcPr>
            <w:tcW w:w="1417" w:type="dxa"/>
            <w:vAlign w:val="center"/>
          </w:tcPr>
          <w:p w14:paraId="23C323B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103D4DC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ADD1379"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2E40D66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A1BE9" w:rsidRPr="00FB63AD" w14:paraId="749564A6" w14:textId="77777777" w:rsidTr="008B6CA0">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52AD9C47" w14:textId="77777777" w:rsidR="008A1BE9" w:rsidRPr="00FB63AD" w:rsidRDefault="008A1BE9" w:rsidP="008A1BE9">
            <w:pPr>
              <w:ind w:left="-142" w:firstLine="142"/>
            </w:pPr>
            <w:r w:rsidRPr="00FB63AD">
              <w:t xml:space="preserve">Sub Total NPPs </w:t>
            </w:r>
          </w:p>
        </w:tc>
        <w:tc>
          <w:tcPr>
            <w:tcW w:w="1418" w:type="dxa"/>
            <w:vAlign w:val="center"/>
          </w:tcPr>
          <w:p w14:paraId="695124AF" w14:textId="4B2A706F"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5,169</w:t>
            </w:r>
          </w:p>
        </w:tc>
        <w:tc>
          <w:tcPr>
            <w:tcW w:w="1417" w:type="dxa"/>
            <w:vAlign w:val="center"/>
          </w:tcPr>
          <w:p w14:paraId="68F9460F" w14:textId="3E52B782"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98.81%</w:t>
            </w:r>
          </w:p>
        </w:tc>
        <w:tc>
          <w:tcPr>
            <w:tcW w:w="1276" w:type="dxa"/>
            <w:vAlign w:val="center"/>
          </w:tcPr>
          <w:p w14:paraId="3E018A49" w14:textId="4A5C5AA7"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62</w:t>
            </w:r>
          </w:p>
        </w:tc>
        <w:tc>
          <w:tcPr>
            <w:tcW w:w="1276" w:type="dxa"/>
            <w:vAlign w:val="center"/>
          </w:tcPr>
          <w:p w14:paraId="5C22EE61" w14:textId="4BEC8FDC"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1.19%</w:t>
            </w:r>
          </w:p>
        </w:tc>
        <w:tc>
          <w:tcPr>
            <w:tcW w:w="1417" w:type="dxa"/>
            <w:vAlign w:val="center"/>
          </w:tcPr>
          <w:p w14:paraId="431FF39A" w14:textId="39893102"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5,231</w:t>
            </w:r>
          </w:p>
        </w:tc>
        <w:tc>
          <w:tcPr>
            <w:tcW w:w="1276" w:type="dxa"/>
            <w:vAlign w:val="center"/>
          </w:tcPr>
          <w:p w14:paraId="3BD13828" w14:textId="63B49E69"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64642EDF" w14:textId="3A86F1E9"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28,222</w:t>
            </w:r>
          </w:p>
        </w:tc>
        <w:tc>
          <w:tcPr>
            <w:tcW w:w="1247" w:type="dxa"/>
            <w:vAlign w:val="center"/>
          </w:tcPr>
          <w:p w14:paraId="726700C4" w14:textId="7699E665"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243217A" w14:textId="679554B7" w:rsidR="00126999" w:rsidRPr="00D446CC" w:rsidRDefault="00A4210D" w:rsidP="00D446CC">
      <w:pPr>
        <w:pStyle w:val="Heading2"/>
        <w:numPr>
          <w:ilvl w:val="0"/>
          <w:numId w:val="0"/>
        </w:numPr>
        <w:spacing w:after="240"/>
        <w:ind w:left="567"/>
      </w:pPr>
      <w:bookmarkStart w:id="39" w:name="_Toc19281360"/>
      <w:r>
        <w:t>13</w:t>
      </w:r>
      <w:r w:rsidR="00126999" w:rsidRPr="00023622">
        <w:t xml:space="preserve">b. </w:t>
      </w:r>
      <w:r w:rsidR="00052840">
        <w:tab/>
      </w:r>
      <w:r w:rsidR="00126999" w:rsidRPr="007D74E1">
        <w:rPr>
          <w:i/>
        </w:rPr>
        <w:t xml:space="preserve">Short Term Financial Penalties </w:t>
      </w:r>
      <w:r w:rsidR="00C37529">
        <w:rPr>
          <w:i/>
        </w:rPr>
        <w:t>1 April to 30 June 2019</w:t>
      </w:r>
      <w:bookmarkEnd w:id="39"/>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47"/>
        <w:gridCol w:w="1418"/>
        <w:gridCol w:w="1417"/>
        <w:gridCol w:w="1276"/>
        <w:gridCol w:w="1418"/>
        <w:gridCol w:w="1275"/>
        <w:gridCol w:w="1276"/>
        <w:gridCol w:w="1276"/>
        <w:gridCol w:w="1247"/>
      </w:tblGrid>
      <w:tr w:rsidR="00D9585E" w:rsidRPr="00FB63AD" w14:paraId="0F2A76D1"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046811D3"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2780909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0A37A88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14491B50" w14:textId="67AAF464"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w:t>
            </w:r>
          </w:p>
        </w:tc>
        <w:tc>
          <w:tcPr>
            <w:tcW w:w="1418" w:type="dxa"/>
          </w:tcPr>
          <w:p w14:paraId="53A97E7D" w14:textId="791286A6"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 %</w:t>
            </w:r>
          </w:p>
        </w:tc>
        <w:tc>
          <w:tcPr>
            <w:tcW w:w="1275" w:type="dxa"/>
          </w:tcPr>
          <w:p w14:paraId="2866649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B2EC7C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4CB2267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697A2D5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A1BE9" w:rsidRPr="00FB63AD" w14:paraId="2A0EA1CF" w14:textId="77777777" w:rsidTr="008B6C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E2DF590" w14:textId="77777777" w:rsidR="008A1BE9" w:rsidRPr="00FB63AD" w:rsidRDefault="008A1BE9" w:rsidP="008A1BE9">
            <w:pPr>
              <w:ind w:left="0"/>
            </w:pPr>
            <w:r w:rsidRPr="00FB63AD">
              <w:t>Sub Total Short Term Financial Penalties</w:t>
            </w:r>
          </w:p>
        </w:tc>
        <w:tc>
          <w:tcPr>
            <w:tcW w:w="1418" w:type="dxa"/>
            <w:vAlign w:val="center"/>
          </w:tcPr>
          <w:p w14:paraId="64325C45" w14:textId="52541E9B"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26,015</w:t>
            </w:r>
          </w:p>
        </w:tc>
        <w:tc>
          <w:tcPr>
            <w:tcW w:w="1417" w:type="dxa"/>
            <w:vAlign w:val="center"/>
          </w:tcPr>
          <w:p w14:paraId="7B0A9D6D" w14:textId="71602099"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97.84%</w:t>
            </w:r>
          </w:p>
        </w:tc>
        <w:tc>
          <w:tcPr>
            <w:tcW w:w="1276" w:type="dxa"/>
            <w:vAlign w:val="center"/>
          </w:tcPr>
          <w:p w14:paraId="6146610C" w14:textId="240CEB5E"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575</w:t>
            </w:r>
          </w:p>
        </w:tc>
        <w:tc>
          <w:tcPr>
            <w:tcW w:w="1418" w:type="dxa"/>
            <w:vAlign w:val="center"/>
          </w:tcPr>
          <w:p w14:paraId="6405EC56" w14:textId="1DB4CD21"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2.16%</w:t>
            </w:r>
          </w:p>
        </w:tc>
        <w:tc>
          <w:tcPr>
            <w:tcW w:w="1275" w:type="dxa"/>
            <w:vAlign w:val="center"/>
          </w:tcPr>
          <w:p w14:paraId="52489D6C" w14:textId="5552B35A"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26,590</w:t>
            </w:r>
          </w:p>
        </w:tc>
        <w:tc>
          <w:tcPr>
            <w:tcW w:w="1276" w:type="dxa"/>
            <w:vAlign w:val="center"/>
          </w:tcPr>
          <w:p w14:paraId="46CC0D94" w14:textId="769D3627"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1D31BC56" w14:textId="3811DA8A"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129,105</w:t>
            </w:r>
          </w:p>
        </w:tc>
        <w:tc>
          <w:tcPr>
            <w:tcW w:w="1247" w:type="dxa"/>
            <w:vAlign w:val="center"/>
          </w:tcPr>
          <w:p w14:paraId="1812F35B" w14:textId="49DEFCF3"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980F635" w14:textId="176FE903" w:rsidR="00126999" w:rsidRPr="00D446CC" w:rsidRDefault="00A4210D" w:rsidP="00D446CC">
      <w:pPr>
        <w:pStyle w:val="Heading2"/>
        <w:numPr>
          <w:ilvl w:val="0"/>
          <w:numId w:val="0"/>
        </w:numPr>
        <w:spacing w:after="240"/>
        <w:ind w:left="567"/>
      </w:pPr>
      <w:bookmarkStart w:id="40" w:name="_Toc19281361"/>
      <w:r>
        <w:t>13</w:t>
      </w:r>
      <w:r w:rsidR="00126999" w:rsidRPr="00023622">
        <w:t xml:space="preserve">c. </w:t>
      </w:r>
      <w:r w:rsidR="00052840">
        <w:tab/>
      </w:r>
      <w:r w:rsidR="00126999" w:rsidRPr="007D74E1">
        <w:rPr>
          <w:i/>
        </w:rPr>
        <w:t xml:space="preserve">Total Financial Penalties </w:t>
      </w:r>
      <w:r w:rsidR="00C37529">
        <w:rPr>
          <w:i/>
        </w:rPr>
        <w:t>1 April to 30 June 2019</w:t>
      </w:r>
      <w:bookmarkEnd w:id="40"/>
    </w:p>
    <w:tbl>
      <w:tblPr>
        <w:tblStyle w:val="LeftAlignTable"/>
        <w:tblW w:w="14737" w:type="dxa"/>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11"/>
        <w:gridCol w:w="1328"/>
        <w:gridCol w:w="1328"/>
        <w:gridCol w:w="1507"/>
        <w:gridCol w:w="1186"/>
        <w:gridCol w:w="1524"/>
        <w:gridCol w:w="1251"/>
        <w:gridCol w:w="1268"/>
        <w:gridCol w:w="1134"/>
      </w:tblGrid>
      <w:tr w:rsidR="00F11CBE" w:rsidRPr="00FB63AD" w14:paraId="072EE518" w14:textId="77777777" w:rsidTr="008A1B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1" w:type="dxa"/>
            <w:vMerge w:val="restart"/>
            <w:vAlign w:val="center"/>
          </w:tcPr>
          <w:p w14:paraId="137232D6" w14:textId="77777777" w:rsidR="00F11CBE" w:rsidRPr="00FB63AD" w:rsidRDefault="00F11CBE" w:rsidP="00F74E10">
            <w:pPr>
              <w:ind w:left="-142" w:firstLine="142"/>
            </w:pPr>
            <w:r w:rsidRPr="00FB63AD">
              <w:t>Total Financial Penalties</w:t>
            </w:r>
          </w:p>
        </w:tc>
        <w:tc>
          <w:tcPr>
            <w:tcW w:w="1328" w:type="dxa"/>
          </w:tcPr>
          <w:p w14:paraId="1F14FE95"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28" w:type="dxa"/>
          </w:tcPr>
          <w:p w14:paraId="03774E82"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5" w:type="dxa"/>
          </w:tcPr>
          <w:p w14:paraId="130B836E" w14:textId="6089B8E6"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w:t>
            </w:r>
          </w:p>
        </w:tc>
        <w:tc>
          <w:tcPr>
            <w:tcW w:w="1186" w:type="dxa"/>
          </w:tcPr>
          <w:p w14:paraId="3BBDE143" w14:textId="5F1F06E5"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566B0C">
              <w:t>-</w:t>
            </w:r>
            <w:r w:rsidRPr="00FB63AD">
              <w:t xml:space="preserve"> Indigenous %</w:t>
            </w:r>
          </w:p>
        </w:tc>
        <w:tc>
          <w:tcPr>
            <w:tcW w:w="1520" w:type="dxa"/>
          </w:tcPr>
          <w:p w14:paraId="7E779A0F"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48" w:type="dxa"/>
          </w:tcPr>
          <w:p w14:paraId="4D5E1FA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7" w:type="dxa"/>
          </w:tcPr>
          <w:p w14:paraId="2EF1C474"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0C0A6E1C"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A1BE9" w:rsidRPr="00FB63AD" w14:paraId="616A5CC0" w14:textId="77777777" w:rsidTr="009D67DD">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47" w:type="dxa"/>
            <w:vMerge/>
            <w:vAlign w:val="center"/>
          </w:tcPr>
          <w:p w14:paraId="2D1770AF" w14:textId="77777777" w:rsidR="008A1BE9" w:rsidRPr="00FB63AD" w:rsidRDefault="008A1BE9" w:rsidP="008A1BE9">
            <w:pPr>
              <w:ind w:left="-142" w:firstLine="142"/>
              <w:jc w:val="center"/>
            </w:pPr>
          </w:p>
        </w:tc>
        <w:tc>
          <w:tcPr>
            <w:tcW w:w="1288" w:type="dxa"/>
            <w:vAlign w:val="center"/>
          </w:tcPr>
          <w:p w14:paraId="774AAE6E" w14:textId="203100FA"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31,184</w:t>
            </w:r>
          </w:p>
        </w:tc>
        <w:tc>
          <w:tcPr>
            <w:tcW w:w="1328" w:type="dxa"/>
            <w:vAlign w:val="center"/>
          </w:tcPr>
          <w:p w14:paraId="0712AF65" w14:textId="63A184C9"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98.00%</w:t>
            </w:r>
          </w:p>
        </w:tc>
        <w:tc>
          <w:tcPr>
            <w:tcW w:w="1508" w:type="dxa"/>
            <w:vAlign w:val="center"/>
          </w:tcPr>
          <w:p w14:paraId="72DF6BDD" w14:textId="52793C14"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637</w:t>
            </w:r>
          </w:p>
        </w:tc>
        <w:tc>
          <w:tcPr>
            <w:tcW w:w="1186" w:type="dxa"/>
            <w:vAlign w:val="center"/>
          </w:tcPr>
          <w:p w14:paraId="0039E3A4" w14:textId="536D4CFC"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2.00%</w:t>
            </w:r>
          </w:p>
        </w:tc>
        <w:tc>
          <w:tcPr>
            <w:tcW w:w="1526" w:type="dxa"/>
            <w:vAlign w:val="center"/>
          </w:tcPr>
          <w:p w14:paraId="47DEC2D9" w14:textId="66ADB1A4"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31,821</w:t>
            </w:r>
          </w:p>
        </w:tc>
        <w:tc>
          <w:tcPr>
            <w:tcW w:w="1252" w:type="dxa"/>
            <w:vAlign w:val="center"/>
          </w:tcPr>
          <w:p w14:paraId="47E5E87B" w14:textId="73DE53C4"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5A14A341" w14:textId="4C7700B4"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157,327</w:t>
            </w:r>
          </w:p>
        </w:tc>
        <w:tc>
          <w:tcPr>
            <w:tcW w:w="1134" w:type="dxa"/>
            <w:vAlign w:val="center"/>
          </w:tcPr>
          <w:p w14:paraId="64C7D605" w14:textId="4839D9FE"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87510E9"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4E168858" w14:textId="629DD2D8"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Pr="00FB63AD">
        <w:t xml:space="preserve">Department of Human Services (including </w:t>
      </w:r>
      <w:r w:rsidR="00F341B9">
        <w:t>CCA</w:t>
      </w:r>
      <w:r>
        <w:t>) appointment</w:t>
      </w:r>
      <w:r w:rsidRPr="00481EB2">
        <w:t>.</w:t>
      </w:r>
    </w:p>
    <w:p w14:paraId="47AD96E5" w14:textId="388FE04C" w:rsidR="00994973" w:rsidRDefault="00CA1CCB" w:rsidP="0017759B">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F2349F">
        <w:rPr>
          <w:bCs/>
        </w:rPr>
        <w:t>p</w:t>
      </w:r>
      <w:r w:rsidRPr="00481EB2">
        <w:rPr>
          <w:bCs/>
        </w:rPr>
        <w:t>rovider then refuses to enter into a Job Plan at their re-engagement appointment. </w:t>
      </w:r>
      <w:r w:rsidR="009D509B" w:rsidRPr="00481EB2">
        <w:rPr>
          <w:bCs/>
        </w:rPr>
        <w:t>This refusal represents the job seeker</w:t>
      </w:r>
      <w:r w:rsidR="00566B0C">
        <w:rPr>
          <w:bCs/>
        </w:rPr>
        <w:t>’</w:t>
      </w:r>
      <w:r w:rsidR="009D509B" w:rsidRPr="00481EB2">
        <w:rPr>
          <w:bCs/>
        </w:rPr>
        <w:t>s first refusal to enter into a Job Plan.</w:t>
      </w:r>
    </w:p>
    <w:p w14:paraId="1C6E6FB7" w14:textId="69D30857" w:rsidR="00126999" w:rsidRPr="00D446CC" w:rsidRDefault="00A4210D" w:rsidP="00D446CC">
      <w:pPr>
        <w:pStyle w:val="Heading2"/>
        <w:numPr>
          <w:ilvl w:val="0"/>
          <w:numId w:val="0"/>
        </w:numPr>
        <w:spacing w:after="240"/>
        <w:ind w:left="567"/>
      </w:pPr>
      <w:bookmarkStart w:id="41" w:name="_Toc19281362"/>
      <w:r>
        <w:lastRenderedPageBreak/>
        <w:t>13</w:t>
      </w:r>
      <w:r w:rsidR="00B6057A">
        <w:t>d</w:t>
      </w:r>
      <w:r w:rsidR="00126999" w:rsidRPr="00023622">
        <w:t xml:space="preserve">. </w:t>
      </w:r>
      <w:r w:rsidR="00052840">
        <w:tab/>
      </w:r>
      <w:r w:rsidR="00126999" w:rsidRPr="007D74E1">
        <w:rPr>
          <w:i/>
        </w:rPr>
        <w:t xml:space="preserve">Income Support Payment Suspensions </w:t>
      </w:r>
      <w:r w:rsidR="00C37529">
        <w:rPr>
          <w:i/>
        </w:rPr>
        <w:t>1 April to 30 June 2019</w:t>
      </w:r>
      <w:bookmarkEnd w:id="41"/>
    </w:p>
    <w:tbl>
      <w:tblPr>
        <w:tblStyle w:val="CenterAlignTable"/>
        <w:tblW w:w="14737" w:type="dxa"/>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06"/>
        <w:gridCol w:w="1417"/>
        <w:gridCol w:w="1418"/>
        <w:gridCol w:w="1417"/>
        <w:gridCol w:w="1303"/>
        <w:gridCol w:w="1390"/>
        <w:gridCol w:w="1311"/>
        <w:gridCol w:w="1241"/>
        <w:gridCol w:w="1134"/>
      </w:tblGrid>
      <w:tr w:rsidR="00D9585E" w:rsidRPr="00FB63AD" w14:paraId="36661339" w14:textId="77777777" w:rsidTr="00F234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3C07641" w14:textId="77777777" w:rsidR="00D9585E" w:rsidRPr="00FB63AD" w:rsidRDefault="00D9585E" w:rsidP="00F74E10">
            <w:pPr>
              <w:ind w:left="-142" w:firstLine="142"/>
              <w:jc w:val="left"/>
              <w:rPr>
                <w:noProof/>
              </w:rPr>
            </w:pPr>
            <w:r w:rsidRPr="00FB63AD">
              <w:rPr>
                <w:noProof/>
              </w:rPr>
              <w:t>Income support payment suspensions</w:t>
            </w:r>
          </w:p>
        </w:tc>
        <w:tc>
          <w:tcPr>
            <w:tcW w:w="1417" w:type="dxa"/>
          </w:tcPr>
          <w:p w14:paraId="19856CF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EB2E36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1FCBAB4F" w14:textId="0D5A9273"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566B0C">
              <w:rPr>
                <w:noProof/>
              </w:rPr>
              <w:t>-</w:t>
            </w:r>
            <w:r w:rsidRPr="00FB63AD">
              <w:rPr>
                <w:noProof/>
              </w:rPr>
              <w:t xml:space="preserve"> Indigenous</w:t>
            </w:r>
          </w:p>
        </w:tc>
        <w:tc>
          <w:tcPr>
            <w:tcW w:w="1303" w:type="dxa"/>
          </w:tcPr>
          <w:p w14:paraId="6377BFF4" w14:textId="1221AA1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566B0C">
              <w:rPr>
                <w:noProof/>
              </w:rPr>
              <w:t>-</w:t>
            </w:r>
            <w:r w:rsidRPr="00FB63AD">
              <w:rPr>
                <w:noProof/>
              </w:rPr>
              <w:t xml:space="preserve"> Indigenous %</w:t>
            </w:r>
          </w:p>
        </w:tc>
        <w:tc>
          <w:tcPr>
            <w:tcW w:w="1390" w:type="dxa"/>
          </w:tcPr>
          <w:p w14:paraId="040BCDB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53DF58F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3A64EF1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4D36479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8A1BE9" w:rsidRPr="00FB63AD" w14:paraId="743386C3" w14:textId="77777777" w:rsidTr="00F2349F">
        <w:tc>
          <w:tcPr>
            <w:cnfStyle w:val="001000000000" w:firstRow="0" w:lastRow="0" w:firstColumn="1" w:lastColumn="0" w:oddVBand="0" w:evenVBand="0" w:oddHBand="0" w:evenHBand="0" w:firstRowFirstColumn="0" w:firstRowLastColumn="0" w:lastRowFirstColumn="0" w:lastRowLastColumn="0"/>
            <w:tcW w:w="4106" w:type="dxa"/>
            <w:vAlign w:val="center"/>
          </w:tcPr>
          <w:p w14:paraId="04FC4C99" w14:textId="77777777" w:rsidR="008A1BE9" w:rsidRPr="00FB63AD" w:rsidRDefault="008A1BE9" w:rsidP="008A1BE9">
            <w:pPr>
              <w:ind w:left="-142" w:firstLine="142"/>
              <w:rPr>
                <w:b w:val="0"/>
                <w:noProof/>
              </w:rPr>
            </w:pPr>
            <w:r w:rsidRPr="00FB63AD">
              <w:rPr>
                <w:b w:val="0"/>
                <w:bCs/>
              </w:rPr>
              <w:t xml:space="preserve">Income support payment suspension </w:t>
            </w:r>
            <w:r>
              <w:rPr>
                <w:b w:val="0"/>
                <w:bCs/>
              </w:rPr>
              <w:t>–</w:t>
            </w:r>
            <w:r w:rsidRPr="00FB63AD">
              <w:rPr>
                <w:b w:val="0"/>
                <w:bCs/>
              </w:rPr>
              <w:t xml:space="preserve"> non-attendance at appointment</w:t>
            </w:r>
          </w:p>
        </w:tc>
        <w:tc>
          <w:tcPr>
            <w:tcW w:w="1417" w:type="dxa"/>
            <w:vAlign w:val="center"/>
          </w:tcPr>
          <w:p w14:paraId="5E1349B8" w14:textId="30DB127C"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12,649</w:t>
            </w:r>
          </w:p>
        </w:tc>
        <w:tc>
          <w:tcPr>
            <w:tcW w:w="1418" w:type="dxa"/>
            <w:vAlign w:val="center"/>
          </w:tcPr>
          <w:p w14:paraId="25000444" w14:textId="23B50B1C"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58.29%</w:t>
            </w:r>
          </w:p>
        </w:tc>
        <w:tc>
          <w:tcPr>
            <w:tcW w:w="1417" w:type="dxa"/>
            <w:vAlign w:val="center"/>
          </w:tcPr>
          <w:p w14:paraId="0CB0782D" w14:textId="59D6429D"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930</w:t>
            </w:r>
          </w:p>
        </w:tc>
        <w:tc>
          <w:tcPr>
            <w:tcW w:w="1303" w:type="dxa"/>
            <w:vAlign w:val="center"/>
          </w:tcPr>
          <w:p w14:paraId="68FF1729" w14:textId="54B8881D"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4.29%</w:t>
            </w:r>
          </w:p>
        </w:tc>
        <w:tc>
          <w:tcPr>
            <w:tcW w:w="1390" w:type="dxa"/>
            <w:vAlign w:val="center"/>
          </w:tcPr>
          <w:p w14:paraId="1D285E4E" w14:textId="387B5641"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13,579</w:t>
            </w:r>
          </w:p>
        </w:tc>
        <w:tc>
          <w:tcPr>
            <w:tcW w:w="1311" w:type="dxa"/>
            <w:vAlign w:val="center"/>
          </w:tcPr>
          <w:p w14:paraId="30B6AB15" w14:textId="5AECB906"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62.58%</w:t>
            </w:r>
          </w:p>
        </w:tc>
        <w:tc>
          <w:tcPr>
            <w:tcW w:w="1241" w:type="dxa"/>
            <w:vAlign w:val="center"/>
          </w:tcPr>
          <w:p w14:paraId="6ACE08D0" w14:textId="29660DD6"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54,065</w:t>
            </w:r>
          </w:p>
        </w:tc>
        <w:tc>
          <w:tcPr>
            <w:tcW w:w="1134" w:type="dxa"/>
            <w:vAlign w:val="center"/>
          </w:tcPr>
          <w:p w14:paraId="7D34F8A3" w14:textId="2C023400"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59.24%</w:t>
            </w:r>
          </w:p>
        </w:tc>
      </w:tr>
      <w:tr w:rsidR="008A1BE9" w:rsidRPr="00FB63AD" w14:paraId="05452116" w14:textId="77777777" w:rsidTr="00F2349F">
        <w:tc>
          <w:tcPr>
            <w:cnfStyle w:val="001000000000" w:firstRow="0" w:lastRow="0" w:firstColumn="1" w:lastColumn="0" w:oddVBand="0" w:evenVBand="0" w:oddHBand="0" w:evenHBand="0" w:firstRowFirstColumn="0" w:firstRowLastColumn="0" w:lastRowFirstColumn="0" w:lastRowLastColumn="0"/>
            <w:tcW w:w="4106" w:type="dxa"/>
            <w:vAlign w:val="center"/>
          </w:tcPr>
          <w:p w14:paraId="77C5E949" w14:textId="77777777" w:rsidR="008A1BE9" w:rsidRPr="00FB63AD" w:rsidRDefault="008A1BE9" w:rsidP="008A1BE9">
            <w:pPr>
              <w:ind w:left="-142" w:firstLine="142"/>
              <w:rPr>
                <w:b w:val="0"/>
                <w:noProof/>
              </w:rPr>
            </w:pPr>
            <w:r w:rsidRPr="00FB63AD">
              <w:rPr>
                <w:b w:val="0"/>
                <w:bCs/>
              </w:rPr>
              <w:t>Income support payment suspension – disengagement from activity</w:t>
            </w:r>
          </w:p>
        </w:tc>
        <w:tc>
          <w:tcPr>
            <w:tcW w:w="1417" w:type="dxa"/>
            <w:vAlign w:val="center"/>
          </w:tcPr>
          <w:p w14:paraId="7E939EDC" w14:textId="4D4FDF44"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7,875</w:t>
            </w:r>
          </w:p>
        </w:tc>
        <w:tc>
          <w:tcPr>
            <w:tcW w:w="1418" w:type="dxa"/>
            <w:vAlign w:val="center"/>
          </w:tcPr>
          <w:p w14:paraId="00425C2E" w14:textId="6A04E2C9"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36.29%</w:t>
            </w:r>
          </w:p>
        </w:tc>
        <w:tc>
          <w:tcPr>
            <w:tcW w:w="1417" w:type="dxa"/>
            <w:vAlign w:val="center"/>
          </w:tcPr>
          <w:p w14:paraId="0CD706BD" w14:textId="570351A3"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245</w:t>
            </w:r>
          </w:p>
        </w:tc>
        <w:tc>
          <w:tcPr>
            <w:tcW w:w="1303" w:type="dxa"/>
            <w:vAlign w:val="center"/>
          </w:tcPr>
          <w:p w14:paraId="302A32B7" w14:textId="34B6414F"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1.13%</w:t>
            </w:r>
          </w:p>
        </w:tc>
        <w:tc>
          <w:tcPr>
            <w:tcW w:w="1390" w:type="dxa"/>
            <w:vAlign w:val="center"/>
          </w:tcPr>
          <w:p w14:paraId="5DE86538" w14:textId="0C4144F7"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8,120</w:t>
            </w:r>
          </w:p>
        </w:tc>
        <w:tc>
          <w:tcPr>
            <w:tcW w:w="1311" w:type="dxa"/>
            <w:vAlign w:val="center"/>
          </w:tcPr>
          <w:p w14:paraId="378002A1" w14:textId="683F1C3C"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37.42%</w:t>
            </w:r>
          </w:p>
        </w:tc>
        <w:tc>
          <w:tcPr>
            <w:tcW w:w="1241" w:type="dxa"/>
            <w:vAlign w:val="center"/>
          </w:tcPr>
          <w:p w14:paraId="44F19E39" w14:textId="06B88490"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37,205</w:t>
            </w:r>
          </w:p>
        </w:tc>
        <w:tc>
          <w:tcPr>
            <w:tcW w:w="1134" w:type="dxa"/>
            <w:vAlign w:val="center"/>
          </w:tcPr>
          <w:p w14:paraId="044FD258" w14:textId="0726A0F5"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40.76%</w:t>
            </w:r>
          </w:p>
        </w:tc>
      </w:tr>
      <w:tr w:rsidR="008A1BE9" w:rsidRPr="00FB63AD" w14:paraId="65BDC694" w14:textId="77777777" w:rsidTr="00F2349F">
        <w:tc>
          <w:tcPr>
            <w:cnfStyle w:val="001000000000" w:firstRow="0" w:lastRow="0" w:firstColumn="1" w:lastColumn="0" w:oddVBand="0" w:evenVBand="0" w:oddHBand="0" w:evenHBand="0" w:firstRowFirstColumn="0" w:firstRowLastColumn="0" w:lastRowFirstColumn="0" w:lastRowLastColumn="0"/>
            <w:tcW w:w="4106" w:type="dxa"/>
            <w:vAlign w:val="center"/>
          </w:tcPr>
          <w:p w14:paraId="4812F56D" w14:textId="77777777" w:rsidR="008A1BE9" w:rsidRPr="00FB63AD" w:rsidRDefault="008A1BE9" w:rsidP="008A1BE9">
            <w:pPr>
              <w:ind w:left="0"/>
              <w:jc w:val="left"/>
              <w:rPr>
                <w:bCs/>
              </w:rPr>
            </w:pPr>
            <w:r w:rsidRPr="00FB63AD">
              <w:rPr>
                <w:bCs/>
              </w:rPr>
              <w:t>Total Income Support payment suspensions</w:t>
            </w:r>
          </w:p>
        </w:tc>
        <w:tc>
          <w:tcPr>
            <w:tcW w:w="1417" w:type="dxa"/>
            <w:vAlign w:val="center"/>
          </w:tcPr>
          <w:p w14:paraId="1A5E256D" w14:textId="5530CC1C"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20,524</w:t>
            </w:r>
          </w:p>
        </w:tc>
        <w:tc>
          <w:tcPr>
            <w:tcW w:w="1418" w:type="dxa"/>
            <w:vAlign w:val="center"/>
          </w:tcPr>
          <w:p w14:paraId="28CE7D5F" w14:textId="18E9AA9F"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94.59%</w:t>
            </w:r>
          </w:p>
        </w:tc>
        <w:tc>
          <w:tcPr>
            <w:tcW w:w="1417" w:type="dxa"/>
            <w:vAlign w:val="center"/>
          </w:tcPr>
          <w:p w14:paraId="14AC76E3" w14:textId="4EFB1130"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1,175</w:t>
            </w:r>
          </w:p>
        </w:tc>
        <w:tc>
          <w:tcPr>
            <w:tcW w:w="1303" w:type="dxa"/>
            <w:vAlign w:val="center"/>
          </w:tcPr>
          <w:p w14:paraId="37599FFB" w14:textId="7AF93314"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5.41%</w:t>
            </w:r>
          </w:p>
        </w:tc>
        <w:tc>
          <w:tcPr>
            <w:tcW w:w="1390" w:type="dxa"/>
            <w:vAlign w:val="center"/>
          </w:tcPr>
          <w:p w14:paraId="045B3EE6" w14:textId="6585B66D"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21,699</w:t>
            </w:r>
          </w:p>
        </w:tc>
        <w:tc>
          <w:tcPr>
            <w:tcW w:w="1311" w:type="dxa"/>
            <w:vAlign w:val="center"/>
          </w:tcPr>
          <w:p w14:paraId="3B88A172" w14:textId="018CED8B"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03A66C7B" w14:textId="06EC57EB"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91,270</w:t>
            </w:r>
          </w:p>
        </w:tc>
        <w:tc>
          <w:tcPr>
            <w:tcW w:w="1134" w:type="dxa"/>
            <w:vAlign w:val="center"/>
          </w:tcPr>
          <w:p w14:paraId="229C6AE6" w14:textId="6BF8E4A1"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09E14732" w14:textId="16D3A8A7" w:rsidR="001F06CA" w:rsidRDefault="00BF54B3" w:rsidP="0017759B">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50F9DE51" w14:textId="77777777" w:rsidR="001F06CA" w:rsidRDefault="001F06CA">
      <w:pPr>
        <w:spacing w:before="0"/>
        <w:ind w:left="0"/>
        <w:rPr>
          <w:noProof/>
        </w:rPr>
      </w:pPr>
      <w:r>
        <w:rPr>
          <w:noProof/>
        </w:rPr>
        <w:br w:type="page"/>
      </w:r>
    </w:p>
    <w:p w14:paraId="1C0C1C4B" w14:textId="77F1EDAD" w:rsidR="005B5D91" w:rsidRPr="00FB63AD" w:rsidRDefault="00ED4EF2" w:rsidP="009A4DB3">
      <w:pPr>
        <w:pStyle w:val="Heading2"/>
        <w:ind w:left="-142" w:firstLine="142"/>
        <w:rPr>
          <w:noProof/>
        </w:rPr>
      </w:pPr>
      <w:bookmarkStart w:id="42" w:name="_Toc19281363"/>
      <w:r>
        <w:rPr>
          <w:noProof/>
        </w:rPr>
        <w:lastRenderedPageBreak/>
        <w:t>Financial P</w:t>
      </w:r>
      <w:r w:rsidR="00A4210D">
        <w:rPr>
          <w:noProof/>
        </w:rPr>
        <w:t xml:space="preserve">enalties, </w:t>
      </w:r>
      <w:r w:rsidR="00EE4D0A">
        <w:t>Income Support</w:t>
      </w:r>
      <w:r w:rsidR="00EE4D0A" w:rsidRPr="00325EF7">
        <w:t xml:space="preserve"> </w:t>
      </w:r>
      <w:r w:rsidR="005A3646" w:rsidRPr="00FB63AD">
        <w:rPr>
          <w:noProof/>
        </w:rPr>
        <w:t xml:space="preserve">Payment Suspensions </w:t>
      </w:r>
      <w:r w:rsidR="00A4210D">
        <w:rPr>
          <w:noProof/>
        </w:rPr>
        <w:t xml:space="preserve">and CCAs </w:t>
      </w:r>
      <w:r w:rsidR="005A3646" w:rsidRPr="00FB63AD">
        <w:rPr>
          <w:noProof/>
        </w:rPr>
        <w:t>by Age Group</w:t>
      </w:r>
      <w:bookmarkEnd w:id="42"/>
    </w:p>
    <w:p w14:paraId="17A6293D" w14:textId="797FE679" w:rsidR="00126999" w:rsidRPr="00023622" w:rsidRDefault="00A4210D" w:rsidP="00D446CC">
      <w:pPr>
        <w:pStyle w:val="Heading2"/>
        <w:numPr>
          <w:ilvl w:val="0"/>
          <w:numId w:val="0"/>
        </w:numPr>
        <w:spacing w:after="240"/>
        <w:ind w:left="567"/>
      </w:pPr>
      <w:bookmarkStart w:id="43" w:name="_Toc19281364"/>
      <w:r>
        <w:t>14</w:t>
      </w:r>
      <w:r w:rsidR="00126999" w:rsidRPr="00023622">
        <w:t xml:space="preserve">a. </w:t>
      </w:r>
      <w:r w:rsidR="00052840">
        <w:tab/>
      </w:r>
      <w:r w:rsidR="00126999" w:rsidRPr="007D74E1">
        <w:rPr>
          <w:i/>
        </w:rPr>
        <w:t xml:space="preserve">Non Payment Periods (Serious and UNPPs) </w:t>
      </w:r>
      <w:r w:rsidR="00C37529">
        <w:rPr>
          <w:i/>
        </w:rPr>
        <w:t>1 April to 30 June 2019</w:t>
      </w:r>
      <w:bookmarkEnd w:id="43"/>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413"/>
        <w:gridCol w:w="934"/>
        <w:gridCol w:w="1148"/>
        <w:gridCol w:w="1388"/>
        <w:gridCol w:w="1148"/>
        <w:gridCol w:w="1139"/>
        <w:gridCol w:w="1422"/>
        <w:gridCol w:w="1428"/>
        <w:gridCol w:w="1428"/>
      </w:tblGrid>
      <w:tr w:rsidR="00BB1E9F" w:rsidRPr="00FB63AD" w14:paraId="1C5FD4BF"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5C88C148" w14:textId="77777777" w:rsidR="00BB1E9F" w:rsidRPr="00FB63AD" w:rsidRDefault="00BB1E9F" w:rsidP="00F74E10">
            <w:pPr>
              <w:keepNext/>
              <w:keepLines/>
              <w:ind w:left="0"/>
            </w:pPr>
            <w:r w:rsidRPr="00FB63AD">
              <w:t>Non Payment Periods (Serious and UNPPs)</w:t>
            </w:r>
          </w:p>
        </w:tc>
        <w:tc>
          <w:tcPr>
            <w:tcW w:w="934" w:type="dxa"/>
          </w:tcPr>
          <w:p w14:paraId="056BC2DF"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21FA5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630CAF5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78B00DA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508801C"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02276DBE"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3DA9D5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375D966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A1BE9" w:rsidRPr="00FB63AD" w14:paraId="66F304F9" w14:textId="77777777" w:rsidTr="00C164BC">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607475BE" w14:textId="77777777" w:rsidR="008A1BE9" w:rsidRPr="00FB63AD" w:rsidRDefault="008A1BE9" w:rsidP="008A1BE9">
            <w:pPr>
              <w:keepNext/>
              <w:keepLines/>
              <w:ind w:left="-142" w:firstLine="142"/>
              <w:jc w:val="center"/>
            </w:pPr>
            <w:r w:rsidRPr="00FB63AD">
              <w:t>Sub Total NPPs</w:t>
            </w:r>
          </w:p>
        </w:tc>
        <w:tc>
          <w:tcPr>
            <w:tcW w:w="934" w:type="dxa"/>
            <w:vAlign w:val="center"/>
          </w:tcPr>
          <w:p w14:paraId="6ED5D8F4" w14:textId="49A63615"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580</w:t>
            </w:r>
          </w:p>
        </w:tc>
        <w:tc>
          <w:tcPr>
            <w:tcW w:w="1148" w:type="dxa"/>
            <w:vAlign w:val="center"/>
          </w:tcPr>
          <w:p w14:paraId="1CF10E2A" w14:textId="235D73CF"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2,246</w:t>
            </w:r>
          </w:p>
        </w:tc>
        <w:tc>
          <w:tcPr>
            <w:tcW w:w="1388" w:type="dxa"/>
            <w:vAlign w:val="center"/>
          </w:tcPr>
          <w:p w14:paraId="66B92F1B" w14:textId="0C1102CD"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1,493</w:t>
            </w:r>
          </w:p>
        </w:tc>
        <w:tc>
          <w:tcPr>
            <w:tcW w:w="1148" w:type="dxa"/>
            <w:vAlign w:val="center"/>
          </w:tcPr>
          <w:p w14:paraId="69511472" w14:textId="7109D451"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863</w:t>
            </w:r>
          </w:p>
        </w:tc>
        <w:tc>
          <w:tcPr>
            <w:tcW w:w="1139" w:type="dxa"/>
            <w:vAlign w:val="center"/>
          </w:tcPr>
          <w:p w14:paraId="668A39FF" w14:textId="5D57F5C9"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49</w:t>
            </w:r>
          </w:p>
        </w:tc>
        <w:tc>
          <w:tcPr>
            <w:tcW w:w="1422" w:type="dxa"/>
            <w:vAlign w:val="center"/>
          </w:tcPr>
          <w:p w14:paraId="5FDFCAA5" w14:textId="6483A54D"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5,231</w:t>
            </w:r>
          </w:p>
        </w:tc>
        <w:tc>
          <w:tcPr>
            <w:tcW w:w="1428" w:type="dxa"/>
            <w:vAlign w:val="center"/>
          </w:tcPr>
          <w:p w14:paraId="276E0212" w14:textId="4B34C6B9"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28,222</w:t>
            </w:r>
          </w:p>
        </w:tc>
        <w:tc>
          <w:tcPr>
            <w:tcW w:w="1428" w:type="dxa"/>
            <w:vAlign w:val="center"/>
          </w:tcPr>
          <w:p w14:paraId="4252361E" w14:textId="3B0A9D3B"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412A9C3" w14:textId="77777777" w:rsidR="00126999" w:rsidRDefault="00126999" w:rsidP="00126999">
      <w:pPr>
        <w:spacing w:before="0" w:after="60" w:line="240" w:lineRule="auto"/>
        <w:ind w:left="0"/>
        <w:rPr>
          <w:rFonts w:ascii="Arial" w:eastAsiaTheme="majorEastAsia" w:hAnsi="Arial" w:cstheme="majorBidi"/>
          <w:b/>
          <w:bCs/>
          <w:szCs w:val="26"/>
        </w:rPr>
      </w:pPr>
    </w:p>
    <w:p w14:paraId="2B07677F" w14:textId="48540447" w:rsidR="00126999" w:rsidRPr="00D446CC" w:rsidRDefault="00A4210D" w:rsidP="00D446CC">
      <w:pPr>
        <w:pStyle w:val="Heading2"/>
        <w:numPr>
          <w:ilvl w:val="0"/>
          <w:numId w:val="0"/>
        </w:numPr>
        <w:spacing w:after="240"/>
        <w:ind w:left="567"/>
      </w:pPr>
      <w:bookmarkStart w:id="44" w:name="_Toc19281365"/>
      <w:r>
        <w:t>14</w:t>
      </w:r>
      <w:r w:rsidR="00126999" w:rsidRPr="00023622">
        <w:t xml:space="preserve">b. </w:t>
      </w:r>
      <w:r w:rsidR="00052840">
        <w:tab/>
      </w:r>
      <w:r w:rsidR="00126999" w:rsidRPr="007D74E1">
        <w:rPr>
          <w:i/>
        </w:rPr>
        <w:t xml:space="preserve">Short Term Financial Penalties </w:t>
      </w:r>
      <w:r w:rsidR="00C37529">
        <w:rPr>
          <w:i/>
        </w:rPr>
        <w:t>1 April to 30 June 2019</w:t>
      </w:r>
      <w:bookmarkEnd w:id="44"/>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89"/>
        <w:gridCol w:w="1037"/>
        <w:gridCol w:w="1089"/>
        <w:gridCol w:w="1276"/>
        <w:gridCol w:w="1134"/>
        <w:gridCol w:w="1276"/>
        <w:gridCol w:w="1417"/>
        <w:gridCol w:w="1418"/>
        <w:gridCol w:w="1412"/>
      </w:tblGrid>
      <w:tr w:rsidR="00EF4695" w:rsidRPr="00FB63AD" w14:paraId="774A71E0"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561A3BD1" w14:textId="77777777" w:rsidR="00BB1E9F" w:rsidRPr="00FB63AD" w:rsidRDefault="00DE65F3" w:rsidP="00F74E10">
            <w:pPr>
              <w:ind w:left="0"/>
            </w:pPr>
            <w:r w:rsidRPr="00FB63AD">
              <w:t>Short Term Financial Penalties (Non-Attendance, Reconnection and NSNP)</w:t>
            </w:r>
          </w:p>
        </w:tc>
        <w:tc>
          <w:tcPr>
            <w:tcW w:w="1037" w:type="dxa"/>
          </w:tcPr>
          <w:p w14:paraId="4775A21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06D8D63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479E4E0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F25154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CAEF6D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F41C94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69D3F48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03588DF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A1BE9" w:rsidRPr="00FB63AD" w14:paraId="4A1369F1" w14:textId="77777777" w:rsidTr="00EF4695">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738CE35D" w14:textId="77777777" w:rsidR="008A1BE9" w:rsidRPr="00FB63AD" w:rsidRDefault="008A1BE9" w:rsidP="008A1BE9">
            <w:pPr>
              <w:ind w:left="0"/>
            </w:pPr>
            <w:r w:rsidRPr="00FB63AD">
              <w:t>Sub Total Short Term Financial Penalties</w:t>
            </w:r>
          </w:p>
        </w:tc>
        <w:tc>
          <w:tcPr>
            <w:tcW w:w="1037" w:type="dxa"/>
            <w:vAlign w:val="center"/>
          </w:tcPr>
          <w:p w14:paraId="7EFB5E71" w14:textId="4A799766"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3,156</w:t>
            </w:r>
          </w:p>
        </w:tc>
        <w:tc>
          <w:tcPr>
            <w:tcW w:w="1089" w:type="dxa"/>
            <w:vAlign w:val="center"/>
          </w:tcPr>
          <w:p w14:paraId="0C631867" w14:textId="078E7591"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10,652</w:t>
            </w:r>
          </w:p>
        </w:tc>
        <w:tc>
          <w:tcPr>
            <w:tcW w:w="1276" w:type="dxa"/>
            <w:vAlign w:val="center"/>
          </w:tcPr>
          <w:p w14:paraId="50ABEAED" w14:textId="796599DD"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7,501</w:t>
            </w:r>
          </w:p>
        </w:tc>
        <w:tc>
          <w:tcPr>
            <w:tcW w:w="1134" w:type="dxa"/>
            <w:vAlign w:val="center"/>
          </w:tcPr>
          <w:p w14:paraId="6E60792F" w14:textId="4A4B73F9"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4,947</w:t>
            </w:r>
          </w:p>
        </w:tc>
        <w:tc>
          <w:tcPr>
            <w:tcW w:w="1276" w:type="dxa"/>
            <w:vAlign w:val="center"/>
          </w:tcPr>
          <w:p w14:paraId="06160048" w14:textId="425EBD0D"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334</w:t>
            </w:r>
          </w:p>
        </w:tc>
        <w:tc>
          <w:tcPr>
            <w:tcW w:w="1417" w:type="dxa"/>
            <w:vAlign w:val="center"/>
          </w:tcPr>
          <w:p w14:paraId="1515758B" w14:textId="3400781D"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26,590</w:t>
            </w:r>
          </w:p>
        </w:tc>
        <w:tc>
          <w:tcPr>
            <w:tcW w:w="1418" w:type="dxa"/>
            <w:vAlign w:val="center"/>
          </w:tcPr>
          <w:p w14:paraId="734B0F7D" w14:textId="30A30EBB"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129,105</w:t>
            </w:r>
          </w:p>
        </w:tc>
        <w:tc>
          <w:tcPr>
            <w:tcW w:w="1412" w:type="dxa"/>
            <w:vAlign w:val="center"/>
          </w:tcPr>
          <w:p w14:paraId="219E1EE1" w14:textId="0DE99990"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3C26BFB" w14:textId="5F099DD5" w:rsidR="00126999" w:rsidRPr="00023622" w:rsidRDefault="00A4210D" w:rsidP="00D446CC">
      <w:pPr>
        <w:pStyle w:val="Heading2"/>
        <w:numPr>
          <w:ilvl w:val="0"/>
          <w:numId w:val="0"/>
        </w:numPr>
        <w:spacing w:after="240"/>
        <w:ind w:left="567"/>
        <w:rPr>
          <w:b w:val="0"/>
        </w:rPr>
      </w:pPr>
      <w:bookmarkStart w:id="45" w:name="_Toc19281366"/>
      <w:r>
        <w:t>14</w:t>
      </w:r>
      <w:r w:rsidR="00126999" w:rsidRPr="00023622">
        <w:t xml:space="preserve">c. </w:t>
      </w:r>
      <w:r w:rsidR="00052840">
        <w:tab/>
      </w:r>
      <w:r w:rsidR="00126999" w:rsidRPr="007D74E1">
        <w:rPr>
          <w:i/>
        </w:rPr>
        <w:t xml:space="preserve">Total Financial Penalties </w:t>
      </w:r>
      <w:r w:rsidR="00C37529">
        <w:rPr>
          <w:i/>
        </w:rPr>
        <w:t>1 April to 30 June 2019</w:t>
      </w:r>
      <w:bookmarkEnd w:id="45"/>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89"/>
        <w:gridCol w:w="992"/>
        <w:gridCol w:w="1076"/>
        <w:gridCol w:w="1334"/>
        <w:gridCol w:w="1134"/>
        <w:gridCol w:w="1227"/>
        <w:gridCol w:w="1428"/>
        <w:gridCol w:w="1434"/>
        <w:gridCol w:w="1434"/>
      </w:tblGrid>
      <w:tr w:rsidR="00F11CBE" w:rsidRPr="00FB63AD" w14:paraId="5CB232B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Merge w:val="restart"/>
            <w:vAlign w:val="center"/>
          </w:tcPr>
          <w:p w14:paraId="24B52C97" w14:textId="77777777" w:rsidR="00F11CBE" w:rsidRPr="00FB63AD" w:rsidRDefault="00F11CBE" w:rsidP="00F74E10">
            <w:pPr>
              <w:ind w:left="-142" w:firstLine="142"/>
            </w:pPr>
            <w:r w:rsidRPr="00FB63AD">
              <w:t>Total Financial Penalties</w:t>
            </w:r>
          </w:p>
        </w:tc>
        <w:tc>
          <w:tcPr>
            <w:tcW w:w="992" w:type="dxa"/>
          </w:tcPr>
          <w:p w14:paraId="557C5D5E"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76" w:type="dxa"/>
          </w:tcPr>
          <w:p w14:paraId="1F16C80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34" w:type="dxa"/>
          </w:tcPr>
          <w:p w14:paraId="48055996"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04AB88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1D96794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30B8396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267F8B6C"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06148801"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A1BE9" w:rsidRPr="00FB63AD" w14:paraId="4CEFF98F" w14:textId="77777777" w:rsidTr="00EF4695">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389" w:type="dxa"/>
            <w:vMerge/>
          </w:tcPr>
          <w:p w14:paraId="3B5000E7" w14:textId="77777777" w:rsidR="008A1BE9" w:rsidRPr="00FB63AD" w:rsidRDefault="008A1BE9" w:rsidP="008A1BE9">
            <w:pPr>
              <w:ind w:left="-142" w:firstLine="142"/>
            </w:pPr>
          </w:p>
        </w:tc>
        <w:tc>
          <w:tcPr>
            <w:tcW w:w="992" w:type="dxa"/>
            <w:vAlign w:val="center"/>
          </w:tcPr>
          <w:p w14:paraId="073F6BC6" w14:textId="69420F8F"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3,736</w:t>
            </w:r>
          </w:p>
        </w:tc>
        <w:tc>
          <w:tcPr>
            <w:tcW w:w="1076" w:type="dxa"/>
            <w:vAlign w:val="center"/>
          </w:tcPr>
          <w:p w14:paraId="271633D8" w14:textId="2E12E441"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12,898</w:t>
            </w:r>
          </w:p>
        </w:tc>
        <w:tc>
          <w:tcPr>
            <w:tcW w:w="1334" w:type="dxa"/>
            <w:vAlign w:val="center"/>
          </w:tcPr>
          <w:p w14:paraId="19CF9FB1" w14:textId="06FA5D6C"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8,994</w:t>
            </w:r>
          </w:p>
        </w:tc>
        <w:tc>
          <w:tcPr>
            <w:tcW w:w="1134" w:type="dxa"/>
            <w:vAlign w:val="center"/>
          </w:tcPr>
          <w:p w14:paraId="4D2E01F2" w14:textId="7143443C"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5,810</w:t>
            </w:r>
          </w:p>
        </w:tc>
        <w:tc>
          <w:tcPr>
            <w:tcW w:w="1227" w:type="dxa"/>
            <w:vAlign w:val="center"/>
          </w:tcPr>
          <w:p w14:paraId="790D870A" w14:textId="09AE3125"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383</w:t>
            </w:r>
          </w:p>
        </w:tc>
        <w:tc>
          <w:tcPr>
            <w:tcW w:w="1428" w:type="dxa"/>
            <w:vAlign w:val="center"/>
          </w:tcPr>
          <w:p w14:paraId="17027A94" w14:textId="6B09D01E"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31,821</w:t>
            </w:r>
          </w:p>
        </w:tc>
        <w:tc>
          <w:tcPr>
            <w:tcW w:w="1434" w:type="dxa"/>
            <w:vAlign w:val="center"/>
          </w:tcPr>
          <w:p w14:paraId="552541A0" w14:textId="7D76E4A5"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157,327</w:t>
            </w:r>
          </w:p>
        </w:tc>
        <w:tc>
          <w:tcPr>
            <w:tcW w:w="1434" w:type="dxa"/>
            <w:vAlign w:val="center"/>
          </w:tcPr>
          <w:p w14:paraId="11538A5E" w14:textId="747D854A"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D45D2BE"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AB29D29" w14:textId="184B24CE"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F341B9">
        <w:t>CCA</w:t>
      </w:r>
      <w:r>
        <w:t>) appointment</w:t>
      </w:r>
      <w:r w:rsidRPr="00481EB2">
        <w:t>.</w:t>
      </w:r>
    </w:p>
    <w:p w14:paraId="61441B70" w14:textId="499101A5"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F2349F">
        <w:rPr>
          <w:bCs/>
        </w:rPr>
        <w:t>p</w:t>
      </w:r>
      <w:r w:rsidRPr="00481EB2">
        <w:rPr>
          <w:bCs/>
        </w:rPr>
        <w:t>rovider then refuses to enter into a Job Plan at their re-engagement appointment. This refusal represents the job seeker</w:t>
      </w:r>
      <w:r w:rsidR="00566B0C">
        <w:rPr>
          <w:bCs/>
        </w:rPr>
        <w:t>’</w:t>
      </w:r>
      <w:r w:rsidRPr="00481EB2">
        <w:rPr>
          <w:bCs/>
        </w:rPr>
        <w:t>s first refusal to enter into a Job Plan.</w:t>
      </w:r>
    </w:p>
    <w:p w14:paraId="47D99A70" w14:textId="77777777" w:rsidR="00A4210D" w:rsidRDefault="00A4210D" w:rsidP="000D7376">
      <w:pPr>
        <w:spacing w:before="0" w:after="120" w:line="240" w:lineRule="auto"/>
        <w:ind w:left="142"/>
        <w:rPr>
          <w:bCs/>
        </w:rPr>
      </w:pPr>
    </w:p>
    <w:p w14:paraId="5B4BB7F6" w14:textId="4EF5661F" w:rsidR="00126999" w:rsidRPr="007D74E1" w:rsidRDefault="00A4210D" w:rsidP="00D446CC">
      <w:pPr>
        <w:pStyle w:val="Heading2"/>
        <w:numPr>
          <w:ilvl w:val="0"/>
          <w:numId w:val="0"/>
        </w:numPr>
        <w:spacing w:after="240"/>
        <w:ind w:left="567"/>
        <w:rPr>
          <w:i/>
        </w:rPr>
      </w:pPr>
      <w:bookmarkStart w:id="46" w:name="_Toc19281367"/>
      <w:r>
        <w:lastRenderedPageBreak/>
        <w:t>14</w:t>
      </w:r>
      <w:r w:rsidR="00B6057A">
        <w:t>d</w:t>
      </w:r>
      <w:r w:rsidR="00126999" w:rsidRPr="00023622">
        <w:t xml:space="preserve">. </w:t>
      </w:r>
      <w:r w:rsidR="00052840">
        <w:tab/>
      </w:r>
      <w:r w:rsidR="00126999" w:rsidRPr="007D74E1">
        <w:rPr>
          <w:i/>
        </w:rPr>
        <w:t xml:space="preserve">Income Support Payment Suspensions </w:t>
      </w:r>
      <w:r w:rsidR="00C37529">
        <w:rPr>
          <w:i/>
        </w:rPr>
        <w:t>1 April to 30 June 2019</w:t>
      </w:r>
      <w:bookmarkEnd w:id="46"/>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40"/>
        <w:gridCol w:w="1041"/>
        <w:gridCol w:w="1079"/>
        <w:gridCol w:w="1331"/>
        <w:gridCol w:w="1160"/>
        <w:gridCol w:w="1246"/>
        <w:gridCol w:w="1280"/>
        <w:gridCol w:w="1559"/>
        <w:gridCol w:w="1412"/>
      </w:tblGrid>
      <w:tr w:rsidR="00BB1E9F" w:rsidRPr="00FB63AD" w14:paraId="2993FDE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02DD349C"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7B37E8C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2AEA55F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7AF1BC2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26CB031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5541B5A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54E2F25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21785E5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21C8A5F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8A1BE9" w:rsidRPr="00FB63AD" w14:paraId="02CB56C1"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2D8136FA" w14:textId="77777777" w:rsidR="008A1BE9" w:rsidRPr="00FB63AD" w:rsidRDefault="008A1BE9" w:rsidP="008A1BE9">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5126F268" w14:textId="03926696"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1,635</w:t>
            </w:r>
          </w:p>
        </w:tc>
        <w:tc>
          <w:tcPr>
            <w:tcW w:w="1079" w:type="dxa"/>
            <w:vAlign w:val="center"/>
          </w:tcPr>
          <w:p w14:paraId="5E2E5499" w14:textId="2BB6B87A"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4,231</w:t>
            </w:r>
          </w:p>
        </w:tc>
        <w:tc>
          <w:tcPr>
            <w:tcW w:w="1331" w:type="dxa"/>
            <w:vAlign w:val="center"/>
          </w:tcPr>
          <w:p w14:paraId="32706319" w14:textId="1124F1F4"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3,553</w:t>
            </w:r>
          </w:p>
        </w:tc>
        <w:tc>
          <w:tcPr>
            <w:tcW w:w="1160" w:type="dxa"/>
            <w:vAlign w:val="center"/>
          </w:tcPr>
          <w:p w14:paraId="1C96970B" w14:textId="5913E584"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3,233</w:t>
            </w:r>
          </w:p>
        </w:tc>
        <w:tc>
          <w:tcPr>
            <w:tcW w:w="1246" w:type="dxa"/>
            <w:vAlign w:val="center"/>
          </w:tcPr>
          <w:p w14:paraId="582D361E" w14:textId="49A706E6"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927</w:t>
            </w:r>
          </w:p>
        </w:tc>
        <w:tc>
          <w:tcPr>
            <w:tcW w:w="1280" w:type="dxa"/>
            <w:vAlign w:val="center"/>
          </w:tcPr>
          <w:p w14:paraId="598214C8" w14:textId="221FF21F"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13,579</w:t>
            </w:r>
          </w:p>
        </w:tc>
        <w:tc>
          <w:tcPr>
            <w:tcW w:w="1559" w:type="dxa"/>
            <w:vAlign w:val="center"/>
          </w:tcPr>
          <w:p w14:paraId="6E642E78" w14:textId="728FDAF7"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54,065</w:t>
            </w:r>
          </w:p>
        </w:tc>
        <w:tc>
          <w:tcPr>
            <w:tcW w:w="1412" w:type="dxa"/>
            <w:vAlign w:val="center"/>
          </w:tcPr>
          <w:p w14:paraId="1457AE6D" w14:textId="36D156A4"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59.24%</w:t>
            </w:r>
          </w:p>
        </w:tc>
      </w:tr>
      <w:tr w:rsidR="008A1BE9" w:rsidRPr="00FB63AD" w14:paraId="5E5B2FB4"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4DCBE4B5" w14:textId="77777777" w:rsidR="008A1BE9" w:rsidRPr="00FB63AD" w:rsidRDefault="008A1BE9" w:rsidP="008A1BE9">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211CF3F" w14:textId="4373BF6F"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1,058</w:t>
            </w:r>
          </w:p>
        </w:tc>
        <w:tc>
          <w:tcPr>
            <w:tcW w:w="1079" w:type="dxa"/>
            <w:vAlign w:val="center"/>
          </w:tcPr>
          <w:p w14:paraId="2048660D" w14:textId="42BE6148"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2,978</w:t>
            </w:r>
          </w:p>
        </w:tc>
        <w:tc>
          <w:tcPr>
            <w:tcW w:w="1331" w:type="dxa"/>
            <w:vAlign w:val="center"/>
          </w:tcPr>
          <w:p w14:paraId="147FC31D" w14:textId="465DA77A"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2,318</w:t>
            </w:r>
          </w:p>
        </w:tc>
        <w:tc>
          <w:tcPr>
            <w:tcW w:w="1160" w:type="dxa"/>
            <w:vAlign w:val="center"/>
          </w:tcPr>
          <w:p w14:paraId="046CE078" w14:textId="108C57B8"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1,616</w:t>
            </w:r>
          </w:p>
        </w:tc>
        <w:tc>
          <w:tcPr>
            <w:tcW w:w="1246" w:type="dxa"/>
            <w:vAlign w:val="center"/>
          </w:tcPr>
          <w:p w14:paraId="5FEC0028" w14:textId="752288A0"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150</w:t>
            </w:r>
          </w:p>
        </w:tc>
        <w:tc>
          <w:tcPr>
            <w:tcW w:w="1280" w:type="dxa"/>
            <w:vAlign w:val="center"/>
          </w:tcPr>
          <w:p w14:paraId="7BCEF0F2" w14:textId="5FD068CD"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8,120</w:t>
            </w:r>
          </w:p>
        </w:tc>
        <w:tc>
          <w:tcPr>
            <w:tcW w:w="1559" w:type="dxa"/>
            <w:vAlign w:val="center"/>
          </w:tcPr>
          <w:p w14:paraId="4CFE5BC4" w14:textId="220DD4B6"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37,205</w:t>
            </w:r>
          </w:p>
        </w:tc>
        <w:tc>
          <w:tcPr>
            <w:tcW w:w="1412" w:type="dxa"/>
            <w:vAlign w:val="center"/>
          </w:tcPr>
          <w:p w14:paraId="55133EC0" w14:textId="05FBA206"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40.76%</w:t>
            </w:r>
          </w:p>
        </w:tc>
      </w:tr>
      <w:tr w:rsidR="008A1BE9" w:rsidRPr="00FB63AD" w14:paraId="0A10D1F9"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6B41F211" w14:textId="77777777" w:rsidR="008A1BE9" w:rsidRPr="00FB63AD" w:rsidRDefault="008A1BE9" w:rsidP="008A1BE9">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5BF062AC" w14:textId="4B859F5E"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2,693</w:t>
            </w:r>
          </w:p>
        </w:tc>
        <w:tc>
          <w:tcPr>
            <w:tcW w:w="1079" w:type="dxa"/>
            <w:vAlign w:val="center"/>
          </w:tcPr>
          <w:p w14:paraId="30063AED" w14:textId="052D17D2"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7,209</w:t>
            </w:r>
          </w:p>
        </w:tc>
        <w:tc>
          <w:tcPr>
            <w:tcW w:w="1331" w:type="dxa"/>
            <w:vAlign w:val="center"/>
          </w:tcPr>
          <w:p w14:paraId="7A0F52C9" w14:textId="0CC035F4"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5,871</w:t>
            </w:r>
          </w:p>
        </w:tc>
        <w:tc>
          <w:tcPr>
            <w:tcW w:w="1160" w:type="dxa"/>
            <w:vAlign w:val="center"/>
          </w:tcPr>
          <w:p w14:paraId="38E7EE2B" w14:textId="44699B6B"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4,849</w:t>
            </w:r>
          </w:p>
        </w:tc>
        <w:tc>
          <w:tcPr>
            <w:tcW w:w="1246" w:type="dxa"/>
            <w:vAlign w:val="center"/>
          </w:tcPr>
          <w:p w14:paraId="34A8B8EB" w14:textId="1343B101"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1,077</w:t>
            </w:r>
          </w:p>
        </w:tc>
        <w:tc>
          <w:tcPr>
            <w:tcW w:w="1280" w:type="dxa"/>
            <w:vAlign w:val="center"/>
          </w:tcPr>
          <w:p w14:paraId="47CAEC48" w14:textId="030E532F"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21,699</w:t>
            </w:r>
          </w:p>
        </w:tc>
        <w:tc>
          <w:tcPr>
            <w:tcW w:w="1559" w:type="dxa"/>
            <w:vAlign w:val="center"/>
          </w:tcPr>
          <w:p w14:paraId="4ED768FC" w14:textId="43A99F2F"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91,270</w:t>
            </w:r>
          </w:p>
        </w:tc>
        <w:tc>
          <w:tcPr>
            <w:tcW w:w="1412" w:type="dxa"/>
            <w:vAlign w:val="center"/>
          </w:tcPr>
          <w:p w14:paraId="38E37BCA" w14:textId="62483CDE" w:rsidR="008A1BE9" w:rsidRPr="00885055"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4253EBEA" w14:textId="75D0BE37" w:rsidR="005532F7"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2B387ED7" w14:textId="457E918C" w:rsidR="009D67DD" w:rsidRDefault="00A4210D" w:rsidP="009D67DD">
      <w:pPr>
        <w:pStyle w:val="Heading2"/>
        <w:numPr>
          <w:ilvl w:val="0"/>
          <w:numId w:val="0"/>
        </w:numPr>
        <w:spacing w:after="240"/>
        <w:ind w:left="567"/>
      </w:pPr>
      <w:bookmarkStart w:id="47" w:name="_Toc17274369"/>
      <w:bookmarkStart w:id="48" w:name="_Toc19281368"/>
      <w:r>
        <w:t>14</w:t>
      </w:r>
      <w:r w:rsidR="009D67DD">
        <w:t>e</w:t>
      </w:r>
      <w:r w:rsidR="009D67DD" w:rsidRPr="00023622">
        <w:t xml:space="preserve">. </w:t>
      </w:r>
      <w:r w:rsidR="009D67DD">
        <w:tab/>
      </w:r>
      <w:r w:rsidR="009D67DD" w:rsidRPr="00023622">
        <w:t>Finalised Comprehensive Compliance Assessment Outcome</w:t>
      </w:r>
      <w:r w:rsidR="009D67DD">
        <w:t>s</w:t>
      </w:r>
      <w:r w:rsidR="009D67DD" w:rsidRPr="00023622">
        <w:t xml:space="preserve"> </w:t>
      </w:r>
      <w:r w:rsidR="009D67DD">
        <w:t>1 July 2018 to 30 June 2019</w:t>
      </w:r>
      <w:bookmarkEnd w:id="47"/>
      <w:bookmarkEnd w:id="48"/>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407"/>
        <w:gridCol w:w="1967"/>
        <w:gridCol w:w="1842"/>
        <w:gridCol w:w="1985"/>
        <w:gridCol w:w="1984"/>
        <w:gridCol w:w="2263"/>
      </w:tblGrid>
      <w:tr w:rsidR="009D67DD" w:rsidRPr="00FB63AD" w14:paraId="15155C6E" w14:textId="77777777" w:rsidTr="009D6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7" w:type="dxa"/>
          </w:tcPr>
          <w:p w14:paraId="19EC359E" w14:textId="77777777" w:rsidR="009D67DD" w:rsidRPr="00FB63AD" w:rsidRDefault="009D67DD" w:rsidP="009D67DD">
            <w:pPr>
              <w:ind w:left="0"/>
            </w:pPr>
            <w:r w:rsidRPr="00FB63AD">
              <w:t>Finalised CCA Outcome</w:t>
            </w:r>
          </w:p>
        </w:tc>
        <w:tc>
          <w:tcPr>
            <w:tcW w:w="1967" w:type="dxa"/>
            <w:tcBorders>
              <w:bottom w:val="single" w:sz="4" w:space="0" w:color="auto"/>
            </w:tcBorders>
          </w:tcPr>
          <w:p w14:paraId="28ABA3FC" w14:textId="72672DF1" w:rsidR="009D67DD" w:rsidRPr="00FB63AD" w:rsidRDefault="009D67DD" w:rsidP="009D67DD">
            <w:pPr>
              <w:ind w:left="-142" w:firstLine="142"/>
              <w:cnfStyle w:val="100000000000" w:firstRow="1" w:lastRow="0" w:firstColumn="0" w:lastColumn="0" w:oddVBand="0" w:evenVBand="0" w:oddHBand="0" w:evenHBand="0" w:firstRowFirstColumn="0" w:firstRowLastColumn="0" w:lastRowFirstColumn="0" w:lastRowLastColumn="0"/>
            </w:pPr>
            <w:r>
              <w:t>Under 31</w:t>
            </w:r>
          </w:p>
        </w:tc>
        <w:tc>
          <w:tcPr>
            <w:tcW w:w="1842" w:type="dxa"/>
            <w:tcBorders>
              <w:bottom w:val="single" w:sz="4" w:space="0" w:color="auto"/>
            </w:tcBorders>
          </w:tcPr>
          <w:p w14:paraId="12F125A6" w14:textId="7422CFE0" w:rsidR="009D67DD" w:rsidRPr="00FB63AD" w:rsidRDefault="009D67DD" w:rsidP="009D67DD">
            <w:pPr>
              <w:ind w:left="-142" w:firstLine="142"/>
              <w:cnfStyle w:val="100000000000" w:firstRow="1" w:lastRow="0" w:firstColumn="0" w:lastColumn="0" w:oddVBand="0" w:evenVBand="0" w:oddHBand="0" w:evenHBand="0" w:firstRowFirstColumn="0" w:firstRowLastColumn="0" w:lastRowFirstColumn="0" w:lastRowLastColumn="0"/>
            </w:pPr>
            <w:r>
              <w:t>31+</w:t>
            </w:r>
          </w:p>
        </w:tc>
        <w:tc>
          <w:tcPr>
            <w:tcW w:w="1985" w:type="dxa"/>
            <w:tcBorders>
              <w:bottom w:val="single" w:sz="4" w:space="0" w:color="auto"/>
            </w:tcBorders>
          </w:tcPr>
          <w:p w14:paraId="483E0814" w14:textId="77777777" w:rsidR="009D67DD" w:rsidRPr="00FB63AD" w:rsidRDefault="009D67DD"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984" w:type="dxa"/>
            <w:tcBorders>
              <w:bottom w:val="single" w:sz="4" w:space="0" w:color="auto"/>
            </w:tcBorders>
          </w:tcPr>
          <w:p w14:paraId="0EC8B8A4" w14:textId="77777777" w:rsidR="009D67DD" w:rsidRPr="00FB63AD" w:rsidRDefault="009D67DD"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2263" w:type="dxa"/>
            <w:tcBorders>
              <w:bottom w:val="single" w:sz="4" w:space="0" w:color="auto"/>
            </w:tcBorders>
          </w:tcPr>
          <w:p w14:paraId="45602918" w14:textId="77777777" w:rsidR="009D67DD" w:rsidRPr="00FB63AD" w:rsidRDefault="009D67DD"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9D67DD" w:rsidRPr="00FB63AD" w14:paraId="0497A47B" w14:textId="77777777" w:rsidTr="009D67DD">
        <w:tc>
          <w:tcPr>
            <w:cnfStyle w:val="001000000000" w:firstRow="0" w:lastRow="0" w:firstColumn="1" w:lastColumn="0" w:oddVBand="0" w:evenVBand="0" w:oddHBand="0" w:evenHBand="0" w:firstRowFirstColumn="0" w:firstRowLastColumn="0" w:lastRowFirstColumn="0" w:lastRowLastColumn="0"/>
            <w:tcW w:w="4407" w:type="dxa"/>
          </w:tcPr>
          <w:p w14:paraId="6F87B236" w14:textId="77777777" w:rsidR="009D67DD" w:rsidRPr="00FB63AD" w:rsidRDefault="009D67DD" w:rsidP="009D67DD">
            <w:pPr>
              <w:ind w:left="0"/>
            </w:pPr>
            <w:r w:rsidRPr="00FB63AD">
              <w:t>JSCI updated - referral for ESAt</w:t>
            </w:r>
          </w:p>
        </w:tc>
        <w:tc>
          <w:tcPr>
            <w:tcW w:w="1967" w:type="dxa"/>
            <w:tcBorders>
              <w:top w:val="single" w:sz="4" w:space="0" w:color="auto"/>
              <w:left w:val="nil"/>
              <w:bottom w:val="single" w:sz="4" w:space="0" w:color="auto"/>
              <w:right w:val="single" w:sz="4" w:space="0" w:color="auto"/>
            </w:tcBorders>
            <w:shd w:val="clear" w:color="auto" w:fill="auto"/>
            <w:vAlign w:val="bottom"/>
          </w:tcPr>
          <w:p w14:paraId="213D06BA" w14:textId="212CC31B"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4A352FA8" w14:textId="4D459DED"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57213E0" w14:textId="02C87301"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4715C08" w14:textId="5EF0A209"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14:paraId="7BE468DB" w14:textId="508527B6"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r>
      <w:tr w:rsidR="009D67DD" w:rsidRPr="00FB63AD" w14:paraId="515BF05A" w14:textId="77777777" w:rsidTr="009D67DD">
        <w:tc>
          <w:tcPr>
            <w:cnfStyle w:val="001000000000" w:firstRow="0" w:lastRow="0" w:firstColumn="1" w:lastColumn="0" w:oddVBand="0" w:evenVBand="0" w:oddHBand="0" w:evenHBand="0" w:firstRowFirstColumn="0" w:firstRowLastColumn="0" w:lastRowFirstColumn="0" w:lastRowLastColumn="0"/>
            <w:tcW w:w="4407" w:type="dxa"/>
          </w:tcPr>
          <w:p w14:paraId="488DAD2B" w14:textId="77777777" w:rsidR="009D67DD" w:rsidRPr="00FB63AD" w:rsidRDefault="009D67DD" w:rsidP="009D67DD">
            <w:pPr>
              <w:ind w:left="0"/>
            </w:pPr>
            <w:r w:rsidRPr="00FB63AD">
              <w:t>JSCI updated - eligible for higher stream</w:t>
            </w:r>
          </w:p>
        </w:tc>
        <w:tc>
          <w:tcPr>
            <w:tcW w:w="1967" w:type="dxa"/>
            <w:tcBorders>
              <w:top w:val="single" w:sz="4" w:space="0" w:color="auto"/>
              <w:left w:val="nil"/>
              <w:bottom w:val="single" w:sz="4" w:space="0" w:color="auto"/>
              <w:right w:val="single" w:sz="4" w:space="0" w:color="auto"/>
            </w:tcBorders>
            <w:shd w:val="clear" w:color="auto" w:fill="auto"/>
            <w:vAlign w:val="bottom"/>
          </w:tcPr>
          <w:p w14:paraId="712A352F" w14:textId="1F5145F0"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518BA206" w14:textId="0BF4D358"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3A9C0" w14:textId="4A5C9190"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77242854" w14:textId="5C491CCC"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14:paraId="412C08D7" w14:textId="7BE2B5FE"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r>
      <w:tr w:rsidR="009D67DD" w:rsidRPr="00FB63AD" w14:paraId="1FC08367" w14:textId="77777777" w:rsidTr="009D67DD">
        <w:tc>
          <w:tcPr>
            <w:cnfStyle w:val="001000000000" w:firstRow="0" w:lastRow="0" w:firstColumn="1" w:lastColumn="0" w:oddVBand="0" w:evenVBand="0" w:oddHBand="0" w:evenHBand="0" w:firstRowFirstColumn="0" w:firstRowLastColumn="0" w:lastRowFirstColumn="0" w:lastRowLastColumn="0"/>
            <w:tcW w:w="4407" w:type="dxa"/>
          </w:tcPr>
          <w:p w14:paraId="4F209B24" w14:textId="77777777" w:rsidR="009D67DD" w:rsidRPr="00FB63AD" w:rsidRDefault="009D67DD" w:rsidP="009D67DD">
            <w:pPr>
              <w:ind w:left="0"/>
            </w:pPr>
            <w:r w:rsidRPr="00FB63AD">
              <w:t>Persistent non-compliance (Serious Failure)</w:t>
            </w:r>
          </w:p>
        </w:tc>
        <w:tc>
          <w:tcPr>
            <w:tcW w:w="1967" w:type="dxa"/>
            <w:tcBorders>
              <w:top w:val="single" w:sz="4" w:space="0" w:color="auto"/>
              <w:left w:val="nil"/>
              <w:bottom w:val="single" w:sz="4" w:space="0" w:color="auto"/>
              <w:right w:val="single" w:sz="4" w:space="0" w:color="auto"/>
            </w:tcBorders>
            <w:shd w:val="clear" w:color="auto" w:fill="auto"/>
            <w:vAlign w:val="bottom"/>
          </w:tcPr>
          <w:p w14:paraId="7C8C135F" w14:textId="436CC317"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15,109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13FDCFC" w14:textId="3E851FE6"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13,048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A0D4FFF" w14:textId="14258C87"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28,157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BC28FB4" w14:textId="7F8CE5F0"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28,157</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14:paraId="320FB5DC" w14:textId="5B5E32A7"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61.29%</w:t>
            </w:r>
          </w:p>
        </w:tc>
      </w:tr>
      <w:tr w:rsidR="009D67DD" w:rsidRPr="00FB63AD" w14:paraId="50F95FEA" w14:textId="77777777" w:rsidTr="009D67DD">
        <w:tc>
          <w:tcPr>
            <w:cnfStyle w:val="001000000000" w:firstRow="0" w:lastRow="0" w:firstColumn="1" w:lastColumn="0" w:oddVBand="0" w:evenVBand="0" w:oddHBand="0" w:evenHBand="0" w:firstRowFirstColumn="0" w:firstRowLastColumn="0" w:lastRowFirstColumn="0" w:lastRowLastColumn="0"/>
            <w:tcW w:w="4407" w:type="dxa"/>
          </w:tcPr>
          <w:p w14:paraId="377DCF06" w14:textId="77777777" w:rsidR="009D67DD" w:rsidRPr="00FB63AD" w:rsidRDefault="009D67DD" w:rsidP="009D67DD">
            <w:pPr>
              <w:ind w:left="0"/>
            </w:pPr>
            <w:r w:rsidRPr="00FB63AD">
              <w:t xml:space="preserve">Other </w:t>
            </w:r>
            <w:r>
              <w:t xml:space="preserve">or no </w:t>
            </w:r>
            <w:r w:rsidRPr="00FB63AD">
              <w:t>outcomes</w:t>
            </w:r>
          </w:p>
        </w:tc>
        <w:tc>
          <w:tcPr>
            <w:tcW w:w="1967" w:type="dxa"/>
            <w:tcBorders>
              <w:top w:val="single" w:sz="4" w:space="0" w:color="auto"/>
              <w:left w:val="nil"/>
              <w:bottom w:val="single" w:sz="4" w:space="0" w:color="auto"/>
              <w:right w:val="single" w:sz="4" w:space="0" w:color="auto"/>
            </w:tcBorders>
            <w:shd w:val="clear" w:color="auto" w:fill="auto"/>
            <w:vAlign w:val="bottom"/>
          </w:tcPr>
          <w:p w14:paraId="5E3537D7" w14:textId="47CA2448"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8,297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3ED75784" w14:textId="30DEC269"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9,488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6453B71" w14:textId="6CD51154"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17,785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09064BC0" w14:textId="4506C5E4"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17,785</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14:paraId="5194B53A" w14:textId="2FE297C4" w:rsidR="009D67DD" w:rsidRPr="00885055"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38.71%</w:t>
            </w:r>
          </w:p>
        </w:tc>
      </w:tr>
      <w:tr w:rsidR="009D67DD" w:rsidRPr="00FB63AD" w14:paraId="39DD2CC9" w14:textId="77777777" w:rsidTr="009D67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09E178CA" w14:textId="77777777" w:rsidR="009D67DD" w:rsidRPr="00FB63AD" w:rsidRDefault="009D67DD" w:rsidP="009D67DD">
            <w:pPr>
              <w:ind w:left="0"/>
            </w:pPr>
            <w:r w:rsidRPr="00FB63AD">
              <w:t>Total</w:t>
            </w:r>
          </w:p>
        </w:tc>
        <w:tc>
          <w:tcPr>
            <w:tcW w:w="1967" w:type="dxa"/>
            <w:tcBorders>
              <w:top w:val="single" w:sz="4" w:space="0" w:color="auto"/>
              <w:left w:val="nil"/>
              <w:bottom w:val="single" w:sz="4" w:space="0" w:color="auto"/>
              <w:right w:val="single" w:sz="4" w:space="0" w:color="auto"/>
            </w:tcBorders>
            <w:shd w:val="clear" w:color="auto" w:fill="auto"/>
            <w:vAlign w:val="bottom"/>
          </w:tcPr>
          <w:p w14:paraId="1BFC654B" w14:textId="22E50F2D" w:rsidR="009D67DD" w:rsidRPr="00BA4971" w:rsidRDefault="009D67DD" w:rsidP="009D67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23,406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1C8A2B3E" w14:textId="4883E413" w:rsidR="009D67DD" w:rsidRPr="00BA4971" w:rsidRDefault="009D67DD" w:rsidP="009D67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22,536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BA9A8FC" w14:textId="06D1859F" w:rsidR="009D67DD" w:rsidRPr="00BA4971" w:rsidRDefault="009D67DD" w:rsidP="009D67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45,942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36C4C5FB" w14:textId="2EFFDAA3" w:rsidR="009D67DD" w:rsidRPr="00BA4971" w:rsidRDefault="009D67DD" w:rsidP="009D67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45,942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tcPr>
          <w:p w14:paraId="35EC0088" w14:textId="287369B2" w:rsidR="009D67DD" w:rsidRPr="00BA4971" w:rsidRDefault="009D67DD" w:rsidP="009D67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100.00%</w:t>
            </w:r>
          </w:p>
        </w:tc>
      </w:tr>
    </w:tbl>
    <w:p w14:paraId="4ED69A59" w14:textId="77BB90BD" w:rsidR="001F06CA" w:rsidRDefault="001F06CA" w:rsidP="00B51AA6">
      <w:pPr>
        <w:ind w:left="142"/>
        <w:rPr>
          <w:noProof/>
        </w:rPr>
      </w:pPr>
    </w:p>
    <w:p w14:paraId="71AC9885" w14:textId="77777777" w:rsidR="001F06CA" w:rsidRDefault="001F06CA">
      <w:pPr>
        <w:spacing w:before="0"/>
        <w:ind w:left="0"/>
        <w:rPr>
          <w:noProof/>
        </w:rPr>
      </w:pPr>
      <w:r>
        <w:rPr>
          <w:noProof/>
        </w:rPr>
        <w:br w:type="page"/>
      </w:r>
    </w:p>
    <w:p w14:paraId="6887EF87" w14:textId="1F595678" w:rsidR="00AF5603" w:rsidRDefault="00994973" w:rsidP="00CB70FC">
      <w:pPr>
        <w:pStyle w:val="Heading2"/>
        <w:ind w:left="-142" w:firstLine="142"/>
      </w:pPr>
      <w:bookmarkStart w:id="49" w:name="_Toc490635936"/>
      <w:bookmarkStart w:id="50" w:name="_Toc19281369"/>
      <w:r>
        <w:lastRenderedPageBreak/>
        <w:t>Financial Penalties and</w:t>
      </w:r>
      <w:r w:rsidR="00AF5603" w:rsidRPr="00FB63AD">
        <w:t xml:space="preserve"> </w:t>
      </w:r>
      <w:r w:rsidR="00AF5603">
        <w:t>Income Support</w:t>
      </w:r>
      <w:r w:rsidR="00AF5603" w:rsidRPr="00325EF7">
        <w:t xml:space="preserve"> </w:t>
      </w:r>
      <w:r w:rsidR="00AF5603" w:rsidRPr="00FB63AD">
        <w:t>Payment Suspensions by Allowance Types</w:t>
      </w:r>
      <w:bookmarkEnd w:id="49"/>
      <w:bookmarkEnd w:id="50"/>
      <w:r w:rsidR="00AF5603">
        <w:t xml:space="preserve"> </w:t>
      </w:r>
    </w:p>
    <w:p w14:paraId="41FD0016" w14:textId="2D7F0A9E" w:rsidR="003F7D91" w:rsidRPr="00023622" w:rsidRDefault="00A4210D" w:rsidP="00D446CC">
      <w:pPr>
        <w:pStyle w:val="Heading2"/>
        <w:numPr>
          <w:ilvl w:val="0"/>
          <w:numId w:val="0"/>
        </w:numPr>
        <w:spacing w:after="240"/>
        <w:ind w:left="567"/>
      </w:pPr>
      <w:bookmarkStart w:id="51" w:name="_Toc19281370"/>
      <w:r>
        <w:t>15</w:t>
      </w:r>
      <w:r w:rsidR="003F7D91" w:rsidRPr="00023622">
        <w:t xml:space="preserve">a. </w:t>
      </w:r>
      <w:r w:rsidR="00052840">
        <w:tab/>
      </w:r>
      <w:r w:rsidR="003F7D91" w:rsidRPr="007D74E1">
        <w:rPr>
          <w:i/>
        </w:rPr>
        <w:t xml:space="preserve">Non Payment Periods (Serious and UNPPs) </w:t>
      </w:r>
      <w:r w:rsidR="00C37529">
        <w:rPr>
          <w:i/>
        </w:rPr>
        <w:t>1 April to 30 June 2019</w:t>
      </w:r>
      <w:bookmarkEnd w:id="51"/>
    </w:p>
    <w:tbl>
      <w:tblPr>
        <w:tblStyle w:val="LeftAlignTable"/>
        <w:tblW w:w="14312"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31"/>
        <w:gridCol w:w="1275"/>
        <w:gridCol w:w="1560"/>
        <w:gridCol w:w="1276"/>
        <w:gridCol w:w="1276"/>
        <w:gridCol w:w="1276"/>
        <w:gridCol w:w="1729"/>
      </w:tblGrid>
      <w:tr w:rsidR="0099429B" w:rsidRPr="00FB63AD" w14:paraId="4938FE7E" w14:textId="77777777" w:rsidTr="0099429B">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21F91101" w14:textId="77777777" w:rsidR="0099429B" w:rsidRPr="00FB63AD" w:rsidRDefault="0099429B" w:rsidP="00AF5603">
            <w:pPr>
              <w:ind w:left="0"/>
            </w:pPr>
            <w:r w:rsidRPr="00FB63AD">
              <w:t>Non Payment Periods (Serious Failure and UNPP)</w:t>
            </w:r>
          </w:p>
        </w:tc>
        <w:tc>
          <w:tcPr>
            <w:tcW w:w="1531" w:type="dxa"/>
          </w:tcPr>
          <w:p w14:paraId="6B0E1200" w14:textId="3CBF9439" w:rsidR="0099429B" w:rsidRPr="00FB63AD" w:rsidRDefault="0099429B" w:rsidP="00620122">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0B012C">
              <w:t>^</w:t>
            </w:r>
          </w:p>
        </w:tc>
        <w:tc>
          <w:tcPr>
            <w:tcW w:w="1275" w:type="dxa"/>
          </w:tcPr>
          <w:p w14:paraId="15D58483"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3B494877"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4674A1D8" w14:textId="35859A2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63CC2918" w14:textId="2FC22791"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A516F50"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112811A1"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A1BE9" w:rsidRPr="00FB63AD" w14:paraId="511F8520" w14:textId="77777777" w:rsidTr="009942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3A56394" w14:textId="77777777" w:rsidR="008A1BE9" w:rsidRPr="00FB63AD" w:rsidRDefault="008A1BE9" w:rsidP="008A1BE9">
            <w:pPr>
              <w:ind w:left="-142" w:firstLine="142"/>
            </w:pPr>
            <w:r w:rsidRPr="00FB63AD">
              <w:t xml:space="preserve">Sub Total NPPs </w:t>
            </w:r>
          </w:p>
        </w:tc>
        <w:tc>
          <w:tcPr>
            <w:tcW w:w="1531" w:type="dxa"/>
            <w:shd w:val="clear" w:color="auto" w:fill="auto"/>
            <w:vAlign w:val="center"/>
          </w:tcPr>
          <w:p w14:paraId="0AEA1217" w14:textId="1D51831B"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rPr>
              <w:t>np</w:t>
            </w:r>
          </w:p>
        </w:tc>
        <w:tc>
          <w:tcPr>
            <w:tcW w:w="1275" w:type="dxa"/>
            <w:shd w:val="clear" w:color="auto" w:fill="auto"/>
            <w:vAlign w:val="center"/>
          </w:tcPr>
          <w:p w14:paraId="50C4B05B" w14:textId="5B1F5BFA"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np</w:t>
            </w:r>
          </w:p>
        </w:tc>
        <w:tc>
          <w:tcPr>
            <w:tcW w:w="1560" w:type="dxa"/>
            <w:shd w:val="clear" w:color="auto" w:fill="auto"/>
            <w:vAlign w:val="center"/>
          </w:tcPr>
          <w:p w14:paraId="24AE6F26" w14:textId="5D18765C"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np</w:t>
            </w:r>
          </w:p>
        </w:tc>
        <w:tc>
          <w:tcPr>
            <w:tcW w:w="1276" w:type="dxa"/>
          </w:tcPr>
          <w:p w14:paraId="3B7392D0" w14:textId="4274C953" w:rsidR="008A1BE9" w:rsidRPr="0099429B" w:rsidRDefault="008A1BE9" w:rsidP="008A1BE9">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Arial"/>
                <w:b w:val="0"/>
                <w:bCs/>
              </w:rPr>
            </w:pPr>
            <w:r w:rsidRPr="0099429B">
              <w:rPr>
                <w:rFonts w:cs="Arial"/>
                <w:b w:val="0"/>
                <w:bCs/>
              </w:rPr>
              <w:t>np</w:t>
            </w:r>
          </w:p>
        </w:tc>
        <w:tc>
          <w:tcPr>
            <w:tcW w:w="1276" w:type="dxa"/>
            <w:shd w:val="clear" w:color="auto" w:fill="auto"/>
            <w:vAlign w:val="center"/>
          </w:tcPr>
          <w:p w14:paraId="1308442F" w14:textId="5A434B2E"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5,231</w:t>
            </w:r>
          </w:p>
        </w:tc>
        <w:tc>
          <w:tcPr>
            <w:tcW w:w="1276" w:type="dxa"/>
            <w:shd w:val="clear" w:color="auto" w:fill="auto"/>
            <w:vAlign w:val="center"/>
          </w:tcPr>
          <w:p w14:paraId="3F2C722D" w14:textId="61D0BABB"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28,222</w:t>
            </w:r>
          </w:p>
        </w:tc>
        <w:tc>
          <w:tcPr>
            <w:tcW w:w="1729" w:type="dxa"/>
            <w:shd w:val="clear" w:color="auto" w:fill="auto"/>
            <w:vAlign w:val="center"/>
          </w:tcPr>
          <w:p w14:paraId="2724FD8B" w14:textId="3671292E"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1430F57" w14:textId="16BA2E70" w:rsidR="00AF5603" w:rsidRDefault="00AF5603" w:rsidP="008E21A0">
      <w:pPr>
        <w:pStyle w:val="Heading3"/>
        <w:rPr>
          <w:b w:val="0"/>
        </w:rPr>
      </w:pPr>
      <w:bookmarkStart w:id="52" w:name="_Toc16086933"/>
      <w:bookmarkStart w:id="53" w:name="_Toc16160204"/>
      <w:bookmarkStart w:id="54" w:name="_Toc16263040"/>
      <w:bookmarkStart w:id="55" w:name="_Toc16265143"/>
      <w:bookmarkStart w:id="56" w:name="_Toc16688825"/>
      <w:bookmarkStart w:id="57" w:name="_Toc18943886"/>
      <w:bookmarkStart w:id="58" w:name="_Toc19281371"/>
      <w:r w:rsidRPr="00E25233">
        <w:rPr>
          <w:b w:val="0"/>
        </w:rPr>
        <w:t>^ Due to the small number of Activity Tested recipients of Special Benefit (SpB), these job seekers are included under the Newstart Al</w:t>
      </w:r>
      <w:r w:rsidR="00857A59">
        <w:rPr>
          <w:b w:val="0"/>
        </w:rPr>
        <w:t>lowance (NSA) column</w:t>
      </w:r>
      <w:r w:rsidRPr="00E25233">
        <w:rPr>
          <w:b w:val="0"/>
        </w:rPr>
        <w:t>.</w:t>
      </w:r>
      <w:bookmarkEnd w:id="52"/>
      <w:bookmarkEnd w:id="53"/>
      <w:bookmarkEnd w:id="54"/>
      <w:bookmarkEnd w:id="55"/>
      <w:bookmarkEnd w:id="56"/>
      <w:bookmarkEnd w:id="57"/>
      <w:bookmarkEnd w:id="58"/>
    </w:p>
    <w:p w14:paraId="44B059F7" w14:textId="7D3127B9" w:rsidR="003F7D91" w:rsidRPr="003F7D91" w:rsidRDefault="00A4210D" w:rsidP="00D446CC">
      <w:pPr>
        <w:pStyle w:val="Heading2"/>
        <w:numPr>
          <w:ilvl w:val="0"/>
          <w:numId w:val="0"/>
        </w:numPr>
        <w:spacing w:after="240"/>
        <w:ind w:left="567"/>
        <w:rPr>
          <w:b w:val="0"/>
        </w:rPr>
      </w:pPr>
      <w:bookmarkStart w:id="59" w:name="_Toc19281372"/>
      <w:r>
        <w:t>15</w:t>
      </w:r>
      <w:r w:rsidR="003F7D91" w:rsidRPr="003F7D91">
        <w:t xml:space="preserve">b. </w:t>
      </w:r>
      <w:r w:rsidR="00052840">
        <w:tab/>
      </w:r>
      <w:r w:rsidR="003F7D91" w:rsidRPr="007D74E1">
        <w:rPr>
          <w:i/>
        </w:rPr>
        <w:t xml:space="preserve">Short Term Financial Penalties </w:t>
      </w:r>
      <w:r w:rsidR="00C37529">
        <w:rPr>
          <w:i/>
        </w:rPr>
        <w:t>1 April to 30 June 2019</w:t>
      </w:r>
      <w:bookmarkEnd w:id="59"/>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59"/>
        <w:gridCol w:w="1276"/>
        <w:gridCol w:w="1559"/>
        <w:gridCol w:w="1258"/>
        <w:gridCol w:w="1258"/>
        <w:gridCol w:w="1276"/>
        <w:gridCol w:w="1588"/>
      </w:tblGrid>
      <w:tr w:rsidR="0099429B" w:rsidRPr="00FB63AD" w14:paraId="25FC515B" w14:textId="77777777" w:rsidTr="008F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C783F02" w14:textId="77777777" w:rsidR="0099429B" w:rsidRPr="00FB63AD" w:rsidRDefault="0099429B" w:rsidP="00AF5603">
            <w:pPr>
              <w:ind w:left="0"/>
            </w:pPr>
            <w:r w:rsidRPr="00FB63AD">
              <w:t>Short Term Financial Penalties (Non-Attendance, Reconnection and NSNP)</w:t>
            </w:r>
          </w:p>
        </w:tc>
        <w:tc>
          <w:tcPr>
            <w:tcW w:w="1559" w:type="dxa"/>
          </w:tcPr>
          <w:p w14:paraId="6C16073E" w14:textId="33FA9D2F"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0B012C">
              <w:t>^</w:t>
            </w:r>
          </w:p>
        </w:tc>
        <w:tc>
          <w:tcPr>
            <w:tcW w:w="1276" w:type="dxa"/>
          </w:tcPr>
          <w:p w14:paraId="2420B55C"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15DA4A30"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503CD7BA" w14:textId="0306F10E"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6F97CA87" w14:textId="02B40BFF"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D41826C"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53539EF" w14:textId="77777777" w:rsidR="0099429B" w:rsidRPr="00FB63AD" w:rsidRDefault="0099429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A1BE9" w:rsidRPr="00FB63AD" w14:paraId="7310C71A" w14:textId="77777777" w:rsidTr="0099429B">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F977B7C" w14:textId="77777777" w:rsidR="008A1BE9" w:rsidRPr="00FB63AD" w:rsidRDefault="008A1BE9" w:rsidP="008A1BE9">
            <w:pPr>
              <w:ind w:left="0"/>
            </w:pPr>
            <w:r w:rsidRPr="00FB63AD">
              <w:t>Sub Total Short Term Financial Penalties</w:t>
            </w:r>
          </w:p>
        </w:tc>
        <w:tc>
          <w:tcPr>
            <w:tcW w:w="1559" w:type="dxa"/>
            <w:shd w:val="clear" w:color="auto" w:fill="auto"/>
            <w:vAlign w:val="center"/>
          </w:tcPr>
          <w:p w14:paraId="01692396" w14:textId="08FB6640"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color w:val="000000"/>
              </w:rPr>
              <w:t>np</w:t>
            </w:r>
          </w:p>
        </w:tc>
        <w:tc>
          <w:tcPr>
            <w:tcW w:w="1276" w:type="dxa"/>
            <w:shd w:val="clear" w:color="auto" w:fill="auto"/>
            <w:vAlign w:val="center"/>
          </w:tcPr>
          <w:p w14:paraId="3986D54F" w14:textId="2F8E4B04"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color w:val="000000"/>
              </w:rPr>
              <w:t>np</w:t>
            </w:r>
          </w:p>
        </w:tc>
        <w:tc>
          <w:tcPr>
            <w:tcW w:w="1559" w:type="dxa"/>
            <w:shd w:val="clear" w:color="auto" w:fill="auto"/>
            <w:vAlign w:val="center"/>
          </w:tcPr>
          <w:p w14:paraId="04B20ACD" w14:textId="00E0A0EA"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color w:val="000000"/>
              </w:rPr>
              <w:t>np</w:t>
            </w:r>
          </w:p>
        </w:tc>
        <w:tc>
          <w:tcPr>
            <w:tcW w:w="1258" w:type="dxa"/>
          </w:tcPr>
          <w:p w14:paraId="5B951E03" w14:textId="664E0C2C" w:rsidR="008A1BE9" w:rsidRPr="0099429B" w:rsidRDefault="008A1BE9" w:rsidP="008A1BE9">
            <w:pPr>
              <w:autoSpaceDE w:val="0"/>
              <w:autoSpaceDN w:val="0"/>
              <w:adjustRightInd w:val="0"/>
              <w:spacing w:before="240" w:after="100" w:afterAutospacing="1"/>
              <w:ind w:left="0"/>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99429B">
              <w:rPr>
                <w:rFonts w:cs="Arial"/>
                <w:b w:val="0"/>
                <w:bCs/>
                <w:color w:val="000000"/>
              </w:rPr>
              <w:t>np</w:t>
            </w:r>
          </w:p>
        </w:tc>
        <w:tc>
          <w:tcPr>
            <w:tcW w:w="1258" w:type="dxa"/>
            <w:shd w:val="clear" w:color="auto" w:fill="auto"/>
            <w:vAlign w:val="center"/>
          </w:tcPr>
          <w:p w14:paraId="0183C648" w14:textId="6CDAA26A"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26,590</w:t>
            </w:r>
          </w:p>
        </w:tc>
        <w:tc>
          <w:tcPr>
            <w:tcW w:w="1276" w:type="dxa"/>
            <w:shd w:val="clear" w:color="auto" w:fill="auto"/>
            <w:vAlign w:val="center"/>
          </w:tcPr>
          <w:p w14:paraId="375A7A52" w14:textId="7DE85EB0"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129,105</w:t>
            </w:r>
          </w:p>
        </w:tc>
        <w:tc>
          <w:tcPr>
            <w:tcW w:w="1588" w:type="dxa"/>
            <w:shd w:val="clear" w:color="auto" w:fill="auto"/>
            <w:vAlign w:val="center"/>
          </w:tcPr>
          <w:p w14:paraId="25135E2E" w14:textId="5ABD0D4E"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0D034DC5" w14:textId="7986F6A5" w:rsidR="001F06CA" w:rsidRDefault="000B012C" w:rsidP="000B012C">
      <w:pPr>
        <w:pStyle w:val="Heading3"/>
        <w:numPr>
          <w:ilvl w:val="0"/>
          <w:numId w:val="11"/>
        </w:numPr>
        <w:rPr>
          <w:b w:val="0"/>
        </w:rPr>
      </w:pPr>
      <w:bookmarkStart w:id="60" w:name="_Toc19281373"/>
      <w:r w:rsidRPr="000B012C">
        <w:rPr>
          <w:b w:val="0"/>
        </w:rPr>
        <w:t>^ Due to the small number of Activity Tested recipients of Special Benefit (SpB), these job seekers are included under the Newstart Allowance (NSA) column.</w:t>
      </w:r>
      <w:bookmarkEnd w:id="60"/>
    </w:p>
    <w:p w14:paraId="49B11E23" w14:textId="77777777" w:rsidR="001F06CA" w:rsidRDefault="001F06CA" w:rsidP="001F06CA">
      <w:pPr>
        <w:rPr>
          <w:rFonts w:eastAsiaTheme="majorEastAsia" w:cstheme="majorBidi"/>
        </w:rPr>
      </w:pPr>
      <w:r>
        <w:br w:type="page"/>
      </w:r>
    </w:p>
    <w:p w14:paraId="22EE89A1" w14:textId="00FE1092" w:rsidR="003F7D91" w:rsidRPr="00D446CC" w:rsidRDefault="00A4210D" w:rsidP="00D446CC">
      <w:pPr>
        <w:pStyle w:val="Heading2"/>
        <w:numPr>
          <w:ilvl w:val="0"/>
          <w:numId w:val="0"/>
        </w:numPr>
        <w:spacing w:after="240"/>
        <w:ind w:left="567"/>
      </w:pPr>
      <w:bookmarkStart w:id="61" w:name="_Toc19281374"/>
      <w:r>
        <w:lastRenderedPageBreak/>
        <w:t>15</w:t>
      </w:r>
      <w:r w:rsidR="003F7D91" w:rsidRPr="00023622">
        <w:t xml:space="preserve">c. </w:t>
      </w:r>
      <w:r w:rsidR="00052840">
        <w:tab/>
      </w:r>
      <w:r w:rsidR="003F7D91" w:rsidRPr="007D74E1">
        <w:rPr>
          <w:i/>
        </w:rPr>
        <w:t xml:space="preserve">Total Financial Penalties </w:t>
      </w:r>
      <w:r w:rsidR="00C37529">
        <w:rPr>
          <w:i/>
        </w:rPr>
        <w:t>1 April to 30 June 2019</w:t>
      </w:r>
      <w:bookmarkEnd w:id="61"/>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31"/>
        <w:gridCol w:w="1275"/>
        <w:gridCol w:w="1560"/>
        <w:gridCol w:w="1276"/>
        <w:gridCol w:w="1276"/>
        <w:gridCol w:w="1276"/>
        <w:gridCol w:w="1588"/>
      </w:tblGrid>
      <w:tr w:rsidR="0099429B" w:rsidRPr="00FB63AD" w14:paraId="7F5B3984" w14:textId="77777777" w:rsidTr="008F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Merge w:val="restart"/>
            <w:vAlign w:val="center"/>
          </w:tcPr>
          <w:p w14:paraId="34229A8A" w14:textId="77777777" w:rsidR="0099429B" w:rsidRPr="00FB63AD" w:rsidRDefault="0099429B" w:rsidP="00AF5603">
            <w:pPr>
              <w:keepNext/>
              <w:keepLines/>
              <w:ind w:left="0"/>
            </w:pPr>
            <w:r w:rsidRPr="00FB63AD">
              <w:t>Total Financial Penalties</w:t>
            </w:r>
          </w:p>
        </w:tc>
        <w:tc>
          <w:tcPr>
            <w:tcW w:w="1531" w:type="dxa"/>
          </w:tcPr>
          <w:p w14:paraId="2E8F6AB0" w14:textId="1009690C"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0B012C">
              <w:t>^</w:t>
            </w:r>
          </w:p>
        </w:tc>
        <w:tc>
          <w:tcPr>
            <w:tcW w:w="1275" w:type="dxa"/>
          </w:tcPr>
          <w:p w14:paraId="4EFCB183" w14:textId="77777777"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4F32C4AF" w14:textId="77777777"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15189D4" w14:textId="40257D7A"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28FE72B6" w14:textId="02A5E512"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4836B9C" w14:textId="77777777"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0C4220F" w14:textId="77777777" w:rsidR="0099429B" w:rsidRPr="00FB63AD" w:rsidRDefault="0099429B"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A1BE9" w:rsidRPr="00FB63AD" w14:paraId="036C705A" w14:textId="77777777" w:rsidTr="0099429B">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389" w:type="dxa"/>
            <w:vMerge/>
          </w:tcPr>
          <w:p w14:paraId="69BA7344" w14:textId="77777777" w:rsidR="008A1BE9" w:rsidRPr="00FB63AD" w:rsidRDefault="008A1BE9" w:rsidP="008A1BE9">
            <w:pPr>
              <w:keepNext/>
              <w:keepLines/>
              <w:ind w:left="-142" w:firstLine="142"/>
            </w:pPr>
          </w:p>
        </w:tc>
        <w:tc>
          <w:tcPr>
            <w:tcW w:w="1531" w:type="dxa"/>
            <w:shd w:val="clear" w:color="auto" w:fill="auto"/>
            <w:vAlign w:val="center"/>
          </w:tcPr>
          <w:p w14:paraId="30E4D5E4" w14:textId="6083AB7C"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np</w:t>
            </w:r>
          </w:p>
        </w:tc>
        <w:tc>
          <w:tcPr>
            <w:tcW w:w="1275" w:type="dxa"/>
            <w:shd w:val="clear" w:color="auto" w:fill="auto"/>
            <w:vAlign w:val="center"/>
          </w:tcPr>
          <w:p w14:paraId="55EE4BAB" w14:textId="3656A99C"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np</w:t>
            </w:r>
          </w:p>
        </w:tc>
        <w:tc>
          <w:tcPr>
            <w:tcW w:w="1560" w:type="dxa"/>
            <w:shd w:val="clear" w:color="auto" w:fill="auto"/>
            <w:vAlign w:val="center"/>
          </w:tcPr>
          <w:p w14:paraId="31D9AFAC" w14:textId="35B59F49"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5233">
              <w:rPr>
                <w:rFonts w:cs="Arial"/>
                <w:b w:val="0"/>
                <w:bCs/>
              </w:rPr>
              <w:t>np</w:t>
            </w:r>
          </w:p>
        </w:tc>
        <w:tc>
          <w:tcPr>
            <w:tcW w:w="1276" w:type="dxa"/>
          </w:tcPr>
          <w:p w14:paraId="3AF55D43" w14:textId="7681200A" w:rsidR="008A1BE9" w:rsidRPr="00E25233" w:rsidRDefault="008A1BE9" w:rsidP="008A1BE9">
            <w:pPr>
              <w:autoSpaceDE w:val="0"/>
              <w:autoSpaceDN w:val="0"/>
              <w:adjustRightInd w:val="0"/>
              <w:ind w:left="0"/>
              <w:cnfStyle w:val="010000000000" w:firstRow="0" w:lastRow="1" w:firstColumn="0" w:lastColumn="0" w:oddVBand="0" w:evenVBand="0" w:oddHBand="0" w:evenHBand="0" w:firstRowFirstColumn="0" w:firstRowLastColumn="0" w:lastRowFirstColumn="0" w:lastRowLastColumn="0"/>
              <w:rPr>
                <w:rFonts w:cs="Arial"/>
                <w:bCs/>
              </w:rPr>
            </w:pPr>
            <w:r w:rsidRPr="0099429B">
              <w:rPr>
                <w:rFonts w:cs="Arial"/>
                <w:b w:val="0"/>
                <w:bCs/>
              </w:rPr>
              <w:t>np</w:t>
            </w:r>
          </w:p>
        </w:tc>
        <w:tc>
          <w:tcPr>
            <w:tcW w:w="1276" w:type="dxa"/>
            <w:shd w:val="clear" w:color="auto" w:fill="auto"/>
            <w:vAlign w:val="center"/>
          </w:tcPr>
          <w:p w14:paraId="1AC31995" w14:textId="7E7BBACC"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31,821</w:t>
            </w:r>
          </w:p>
        </w:tc>
        <w:tc>
          <w:tcPr>
            <w:tcW w:w="1276" w:type="dxa"/>
            <w:shd w:val="clear" w:color="auto" w:fill="auto"/>
            <w:vAlign w:val="center"/>
          </w:tcPr>
          <w:p w14:paraId="49B92F43" w14:textId="5E15CDFC"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157,327</w:t>
            </w:r>
          </w:p>
        </w:tc>
        <w:tc>
          <w:tcPr>
            <w:tcW w:w="1588" w:type="dxa"/>
            <w:shd w:val="clear" w:color="auto" w:fill="auto"/>
            <w:vAlign w:val="center"/>
          </w:tcPr>
          <w:p w14:paraId="6056F7C7" w14:textId="6C320F64"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E3C37BA" w14:textId="77777777" w:rsidR="000B012C" w:rsidRPr="000B012C" w:rsidRDefault="000B012C" w:rsidP="000B012C">
      <w:pPr>
        <w:pStyle w:val="Heading3"/>
        <w:numPr>
          <w:ilvl w:val="0"/>
          <w:numId w:val="10"/>
        </w:numPr>
        <w:rPr>
          <w:b w:val="0"/>
        </w:rPr>
      </w:pPr>
      <w:bookmarkStart w:id="62" w:name="_Toc19281375"/>
      <w:r w:rsidRPr="000B012C">
        <w:rPr>
          <w:b w:val="0"/>
        </w:rPr>
        <w:t>^ Due to the small number of Activity Tested recipients of Special Benefit (SpB), these job seekers are included under the Newstart Allowance (NSA) column.</w:t>
      </w:r>
      <w:bookmarkEnd w:id="62"/>
    </w:p>
    <w:p w14:paraId="721EE51D" w14:textId="4C06B26D"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2648811F" w14:textId="71CBC6D9"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468E5834" w14:textId="1A769A21"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F2349F">
        <w:rPr>
          <w:bCs/>
        </w:rPr>
        <w:t>p</w:t>
      </w:r>
      <w:r w:rsidRPr="00481EB2">
        <w:rPr>
          <w:bCs/>
        </w:rPr>
        <w:t>rovider then refuses to enter into a Job Plan at their re-engagement appointment. This refusal represents the job seeker</w:t>
      </w:r>
      <w:r w:rsidR="00566B0C">
        <w:rPr>
          <w:bCs/>
        </w:rPr>
        <w:t>’</w:t>
      </w:r>
      <w:r w:rsidRPr="00481EB2">
        <w:rPr>
          <w:bCs/>
        </w:rPr>
        <w:t>s first refusal to enter into a Job Plan.</w:t>
      </w:r>
    </w:p>
    <w:p w14:paraId="0064A356" w14:textId="2EE952BB" w:rsidR="003F7D91" w:rsidRPr="00D446CC" w:rsidRDefault="00A4210D" w:rsidP="00D446CC">
      <w:pPr>
        <w:pStyle w:val="Heading2"/>
        <w:numPr>
          <w:ilvl w:val="0"/>
          <w:numId w:val="0"/>
        </w:numPr>
        <w:spacing w:after="240"/>
        <w:ind w:left="567"/>
      </w:pPr>
      <w:bookmarkStart w:id="63" w:name="_Toc19281376"/>
      <w:r>
        <w:t>15</w:t>
      </w:r>
      <w:r w:rsidR="00B6057A">
        <w:t>d</w:t>
      </w:r>
      <w:r w:rsidR="003F7D91" w:rsidRPr="00023622">
        <w:t xml:space="preserve">. </w:t>
      </w:r>
      <w:r w:rsidR="00052840">
        <w:tab/>
      </w:r>
      <w:r w:rsidR="003F7D91" w:rsidRPr="007D74E1">
        <w:rPr>
          <w:i/>
        </w:rPr>
        <w:t xml:space="preserve">Income Support Payment Suspensions </w:t>
      </w:r>
      <w:r w:rsidR="00C37529">
        <w:rPr>
          <w:i/>
        </w:rPr>
        <w:t>1 April to 30 June 2019</w:t>
      </w:r>
      <w:bookmarkEnd w:id="63"/>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4389"/>
        <w:gridCol w:w="1559"/>
        <w:gridCol w:w="1276"/>
        <w:gridCol w:w="1701"/>
        <w:gridCol w:w="1843"/>
        <w:gridCol w:w="2003"/>
        <w:gridCol w:w="1541"/>
      </w:tblGrid>
      <w:tr w:rsidR="00AF5603" w:rsidRPr="00FB63AD" w14:paraId="4BC90A7B"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2FDAD67C" w14:textId="77777777" w:rsidR="00AF5603" w:rsidRPr="00FB63AD" w:rsidRDefault="00AF5603" w:rsidP="00AF5603">
            <w:pPr>
              <w:ind w:left="-142" w:firstLine="142"/>
            </w:pPr>
            <w:r w:rsidRPr="00FB63AD">
              <w:t>Income Support payment suspensions</w:t>
            </w:r>
          </w:p>
        </w:tc>
        <w:tc>
          <w:tcPr>
            <w:tcW w:w="1559" w:type="dxa"/>
          </w:tcPr>
          <w:p w14:paraId="79632E62" w14:textId="27916473"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0B012C">
              <w:t>^</w:t>
            </w:r>
          </w:p>
        </w:tc>
        <w:tc>
          <w:tcPr>
            <w:tcW w:w="1276" w:type="dxa"/>
          </w:tcPr>
          <w:p w14:paraId="6CF75DEF"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68DB8F3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A12E2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5197F6F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4DEB026E"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8A1BE9" w:rsidRPr="00FB63AD" w14:paraId="63C14DE2" w14:textId="77777777" w:rsidTr="00DD1A9F">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AA3E653" w14:textId="77777777" w:rsidR="008A1BE9" w:rsidRPr="00FB63AD" w:rsidRDefault="008A1BE9" w:rsidP="008A1BE9">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C7EF97" w14:textId="4131AAB1"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11,495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3F745C" w14:textId="7F26A782"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1,977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FB4AE" w14:textId="3F34E2B1"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A34716" w14:textId="19D46AB1"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13,579</w:t>
            </w:r>
          </w:p>
        </w:tc>
        <w:tc>
          <w:tcPr>
            <w:tcW w:w="2003" w:type="dxa"/>
            <w:tcBorders>
              <w:top w:val="single" w:sz="4" w:space="0" w:color="auto"/>
              <w:left w:val="nil"/>
              <w:bottom w:val="single" w:sz="4" w:space="0" w:color="auto"/>
              <w:right w:val="single" w:sz="4" w:space="0" w:color="auto"/>
            </w:tcBorders>
            <w:shd w:val="clear" w:color="auto" w:fill="auto"/>
            <w:vAlign w:val="center"/>
          </w:tcPr>
          <w:p w14:paraId="52EAE298" w14:textId="7E5EEB21"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54,065</w:t>
            </w:r>
          </w:p>
        </w:tc>
        <w:tc>
          <w:tcPr>
            <w:tcW w:w="1541" w:type="dxa"/>
            <w:tcBorders>
              <w:top w:val="single" w:sz="4" w:space="0" w:color="auto"/>
              <w:left w:val="nil"/>
              <w:bottom w:val="single" w:sz="4" w:space="0" w:color="auto"/>
              <w:right w:val="single" w:sz="4" w:space="0" w:color="auto"/>
            </w:tcBorders>
            <w:shd w:val="clear" w:color="auto" w:fill="auto"/>
            <w:vAlign w:val="center"/>
          </w:tcPr>
          <w:p w14:paraId="1803C5A0" w14:textId="3AFADD04"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59.24%</w:t>
            </w:r>
          </w:p>
        </w:tc>
      </w:tr>
      <w:tr w:rsidR="008A1BE9" w:rsidRPr="00FB63AD" w14:paraId="0AF911E8" w14:textId="77777777" w:rsidTr="00DD1A9F">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9D5D13D" w14:textId="77777777" w:rsidR="008A1BE9" w:rsidRPr="00FB63AD" w:rsidRDefault="008A1BE9" w:rsidP="008A1BE9">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C8C77B" w14:textId="5289D94F"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6,698</w:t>
            </w:r>
          </w:p>
        </w:tc>
        <w:tc>
          <w:tcPr>
            <w:tcW w:w="1276" w:type="dxa"/>
            <w:tcBorders>
              <w:top w:val="nil"/>
              <w:left w:val="nil"/>
              <w:bottom w:val="single" w:sz="4" w:space="0" w:color="auto"/>
              <w:right w:val="single" w:sz="4" w:space="0" w:color="auto"/>
            </w:tcBorders>
            <w:shd w:val="clear" w:color="auto" w:fill="auto"/>
            <w:vAlign w:val="center"/>
          </w:tcPr>
          <w:p w14:paraId="3399ADF9" w14:textId="18FFE16B"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1,362</w:t>
            </w:r>
          </w:p>
        </w:tc>
        <w:tc>
          <w:tcPr>
            <w:tcW w:w="1701" w:type="dxa"/>
            <w:tcBorders>
              <w:top w:val="nil"/>
              <w:left w:val="nil"/>
              <w:bottom w:val="single" w:sz="4" w:space="0" w:color="auto"/>
              <w:right w:val="single" w:sz="4" w:space="0" w:color="auto"/>
            </w:tcBorders>
            <w:shd w:val="clear" w:color="auto" w:fill="auto"/>
            <w:vAlign w:val="center"/>
          </w:tcPr>
          <w:p w14:paraId="29B3FFB4" w14:textId="22A4EF6D"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60</w:t>
            </w:r>
          </w:p>
        </w:tc>
        <w:tc>
          <w:tcPr>
            <w:tcW w:w="1843" w:type="dxa"/>
            <w:tcBorders>
              <w:top w:val="nil"/>
              <w:left w:val="nil"/>
              <w:bottom w:val="single" w:sz="4" w:space="0" w:color="auto"/>
              <w:right w:val="single" w:sz="4" w:space="0" w:color="auto"/>
            </w:tcBorders>
            <w:shd w:val="clear" w:color="auto" w:fill="auto"/>
            <w:vAlign w:val="center"/>
          </w:tcPr>
          <w:p w14:paraId="7965527C" w14:textId="10F807A2"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8,120</w:t>
            </w:r>
          </w:p>
        </w:tc>
        <w:tc>
          <w:tcPr>
            <w:tcW w:w="2003" w:type="dxa"/>
            <w:tcBorders>
              <w:top w:val="nil"/>
              <w:left w:val="nil"/>
              <w:bottom w:val="single" w:sz="4" w:space="0" w:color="auto"/>
              <w:right w:val="single" w:sz="4" w:space="0" w:color="auto"/>
            </w:tcBorders>
            <w:shd w:val="clear" w:color="auto" w:fill="auto"/>
            <w:vAlign w:val="center"/>
          </w:tcPr>
          <w:p w14:paraId="3F1A64CB" w14:textId="1D841994"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37,205</w:t>
            </w:r>
          </w:p>
        </w:tc>
        <w:tc>
          <w:tcPr>
            <w:tcW w:w="1541" w:type="dxa"/>
            <w:tcBorders>
              <w:top w:val="nil"/>
              <w:left w:val="nil"/>
              <w:bottom w:val="single" w:sz="4" w:space="0" w:color="auto"/>
              <w:right w:val="single" w:sz="4" w:space="0" w:color="auto"/>
            </w:tcBorders>
            <w:shd w:val="clear" w:color="auto" w:fill="auto"/>
            <w:vAlign w:val="center"/>
          </w:tcPr>
          <w:p w14:paraId="7299A26D" w14:textId="001D85A3" w:rsidR="008A1BE9" w:rsidRPr="007A076A"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40.76%</w:t>
            </w:r>
          </w:p>
        </w:tc>
      </w:tr>
      <w:tr w:rsidR="008A1BE9" w:rsidRPr="00FB63AD" w14:paraId="0D91A305" w14:textId="77777777" w:rsidTr="00DD1A9F">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030B0C0" w14:textId="77777777" w:rsidR="008A1BE9" w:rsidRPr="00F7644E" w:rsidRDefault="008A1BE9" w:rsidP="008A1BE9">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F96375" w14:textId="173E2AED" w:rsidR="008A1BE9" w:rsidRPr="00E25233"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18,193</w:t>
            </w:r>
          </w:p>
        </w:tc>
        <w:tc>
          <w:tcPr>
            <w:tcW w:w="1276" w:type="dxa"/>
            <w:tcBorders>
              <w:top w:val="nil"/>
              <w:left w:val="nil"/>
              <w:bottom w:val="single" w:sz="4" w:space="0" w:color="auto"/>
              <w:right w:val="single" w:sz="4" w:space="0" w:color="auto"/>
            </w:tcBorders>
            <w:shd w:val="clear" w:color="auto" w:fill="auto"/>
            <w:vAlign w:val="center"/>
          </w:tcPr>
          <w:p w14:paraId="186951B4" w14:textId="2061DDED" w:rsidR="008A1BE9" w:rsidRPr="00E25233"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3,339</w:t>
            </w:r>
          </w:p>
        </w:tc>
        <w:tc>
          <w:tcPr>
            <w:tcW w:w="1701" w:type="dxa"/>
            <w:tcBorders>
              <w:top w:val="nil"/>
              <w:left w:val="nil"/>
              <w:bottom w:val="single" w:sz="4" w:space="0" w:color="auto"/>
              <w:right w:val="single" w:sz="4" w:space="0" w:color="auto"/>
            </w:tcBorders>
            <w:shd w:val="clear" w:color="auto" w:fill="auto"/>
            <w:vAlign w:val="center"/>
          </w:tcPr>
          <w:p w14:paraId="1B7023D6" w14:textId="383A0640" w:rsidR="008A1BE9" w:rsidRPr="00E25233"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167</w:t>
            </w:r>
          </w:p>
        </w:tc>
        <w:tc>
          <w:tcPr>
            <w:tcW w:w="1843" w:type="dxa"/>
            <w:tcBorders>
              <w:top w:val="nil"/>
              <w:left w:val="nil"/>
              <w:bottom w:val="single" w:sz="4" w:space="0" w:color="auto"/>
              <w:right w:val="single" w:sz="4" w:space="0" w:color="auto"/>
            </w:tcBorders>
            <w:shd w:val="clear" w:color="auto" w:fill="auto"/>
            <w:vAlign w:val="center"/>
          </w:tcPr>
          <w:p w14:paraId="381B7A1F" w14:textId="3BA9B629" w:rsidR="008A1BE9" w:rsidRPr="00E25233"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21,699</w:t>
            </w:r>
          </w:p>
        </w:tc>
        <w:tc>
          <w:tcPr>
            <w:tcW w:w="2003" w:type="dxa"/>
            <w:tcBorders>
              <w:top w:val="nil"/>
              <w:left w:val="nil"/>
              <w:bottom w:val="single" w:sz="4" w:space="0" w:color="auto"/>
              <w:right w:val="single" w:sz="4" w:space="0" w:color="auto"/>
            </w:tcBorders>
            <w:shd w:val="clear" w:color="auto" w:fill="auto"/>
            <w:vAlign w:val="center"/>
          </w:tcPr>
          <w:p w14:paraId="1128C5A4" w14:textId="2DD4A754" w:rsidR="008A1BE9" w:rsidRPr="00E25233"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91,270</w:t>
            </w:r>
          </w:p>
        </w:tc>
        <w:tc>
          <w:tcPr>
            <w:tcW w:w="1541" w:type="dxa"/>
            <w:tcBorders>
              <w:top w:val="nil"/>
              <w:left w:val="nil"/>
              <w:bottom w:val="single" w:sz="4" w:space="0" w:color="auto"/>
              <w:right w:val="single" w:sz="4" w:space="0" w:color="auto"/>
            </w:tcBorders>
            <w:shd w:val="clear" w:color="auto" w:fill="auto"/>
            <w:vAlign w:val="center"/>
          </w:tcPr>
          <w:p w14:paraId="6432D7E7" w14:textId="4AA26D1D" w:rsidR="008A1BE9" w:rsidRPr="00E25233" w:rsidRDefault="008A1BE9" w:rsidP="008A1BE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554E35B9" w14:textId="77777777" w:rsidR="000B012C" w:rsidRPr="000B012C" w:rsidRDefault="000B012C" w:rsidP="000B012C">
      <w:pPr>
        <w:pStyle w:val="Heading3"/>
        <w:numPr>
          <w:ilvl w:val="0"/>
          <w:numId w:val="12"/>
        </w:numPr>
        <w:rPr>
          <w:b w:val="0"/>
        </w:rPr>
      </w:pPr>
      <w:bookmarkStart w:id="64" w:name="_Toc19281377"/>
      <w:r w:rsidRPr="000B012C">
        <w:rPr>
          <w:b w:val="0"/>
        </w:rPr>
        <w:t>^ Due to the small number of Activity Tested recipients of Special Benefit (SpB), these job seekers are included under the Newstart Allowance (NSA) column.</w:t>
      </w:r>
      <w:bookmarkEnd w:id="64"/>
    </w:p>
    <w:p w14:paraId="44985066" w14:textId="53B4F388" w:rsidR="001F06CA" w:rsidRDefault="00AF5603" w:rsidP="001F06CA">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r w:rsidR="001F06CA">
        <w:rPr>
          <w:noProof/>
        </w:rPr>
        <w:br w:type="page"/>
      </w:r>
    </w:p>
    <w:p w14:paraId="006347C6" w14:textId="608F49AB" w:rsidR="00AF5603" w:rsidRPr="00F4190C" w:rsidRDefault="00AF5603" w:rsidP="00F7644E">
      <w:pPr>
        <w:pStyle w:val="Heading2"/>
        <w:spacing w:before="0" w:after="120" w:line="240" w:lineRule="auto"/>
        <w:ind w:left="-142" w:firstLine="142"/>
      </w:pPr>
      <w:bookmarkStart w:id="65" w:name="_Toc490635937"/>
      <w:bookmarkStart w:id="66" w:name="_Toc19281378"/>
      <w:r w:rsidRPr="00F4190C">
        <w:lastRenderedPageBreak/>
        <w:t>Financial P</w:t>
      </w:r>
      <w:r>
        <w:t>enalties</w:t>
      </w:r>
      <w:r w:rsidR="00A4210D">
        <w:t xml:space="preserve">, </w:t>
      </w:r>
      <w:r>
        <w:t>Income Support</w:t>
      </w:r>
      <w:r w:rsidRPr="00325EF7">
        <w:t xml:space="preserve"> </w:t>
      </w:r>
      <w:r w:rsidRPr="00F4190C">
        <w:t>Payment Suspensions</w:t>
      </w:r>
      <w:r w:rsidR="00A4210D">
        <w:t xml:space="preserve"> and CCAs</w:t>
      </w:r>
      <w:r w:rsidRPr="00F4190C">
        <w:t xml:space="preserve"> by Employment Services</w:t>
      </w:r>
      <w:bookmarkEnd w:id="65"/>
      <w:bookmarkEnd w:id="66"/>
      <w:r w:rsidRPr="00F4190C">
        <w:t xml:space="preserve">  </w:t>
      </w:r>
    </w:p>
    <w:p w14:paraId="7BC52FCC" w14:textId="7D5FD424" w:rsidR="003F7D91" w:rsidRPr="00023622" w:rsidRDefault="00A4210D" w:rsidP="00D446CC">
      <w:pPr>
        <w:pStyle w:val="Heading2"/>
        <w:numPr>
          <w:ilvl w:val="0"/>
          <w:numId w:val="0"/>
        </w:numPr>
        <w:spacing w:after="240"/>
        <w:ind w:left="567"/>
      </w:pPr>
      <w:bookmarkStart w:id="67" w:name="_Toc19281379"/>
      <w:r>
        <w:t>16</w:t>
      </w:r>
      <w:r w:rsidR="003F7D91" w:rsidRPr="00023622">
        <w:t xml:space="preserve">a. </w:t>
      </w:r>
      <w:r w:rsidR="00052840">
        <w:tab/>
      </w:r>
      <w:r w:rsidR="003F7D91" w:rsidRPr="007D74E1">
        <w:rPr>
          <w:i/>
        </w:rPr>
        <w:t xml:space="preserve">Non Payment Periods (Serious and UNPPs) </w:t>
      </w:r>
      <w:r w:rsidR="00C37529">
        <w:rPr>
          <w:i/>
        </w:rPr>
        <w:t>1 April to 30 June 2019</w:t>
      </w:r>
      <w:bookmarkEnd w:id="67"/>
    </w:p>
    <w:tbl>
      <w:tblPr>
        <w:tblStyle w:val="LeftAlignTable"/>
        <w:tblW w:w="7995"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19"/>
        <w:gridCol w:w="1004"/>
        <w:gridCol w:w="1149"/>
        <w:gridCol w:w="1323"/>
      </w:tblGrid>
      <w:tr w:rsidR="00DE0653" w:rsidRPr="00FB63AD" w14:paraId="4EB78F7B"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56C7A024" w14:textId="77777777" w:rsidR="00DE0653" w:rsidRPr="00FB63AD" w:rsidRDefault="00DE0653" w:rsidP="00AF5603">
            <w:pPr>
              <w:ind w:left="142"/>
            </w:pPr>
            <w:r w:rsidRPr="00FB63AD">
              <w:t>Non Payment Periods (Serious and UNPPs)</w:t>
            </w:r>
          </w:p>
        </w:tc>
        <w:tc>
          <w:tcPr>
            <w:tcW w:w="1004" w:type="dxa"/>
            <w:vAlign w:val="center"/>
          </w:tcPr>
          <w:p w14:paraId="4357770B"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0D7EC567"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5367C32E"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A1BE9" w:rsidRPr="00FB63AD" w14:paraId="45EE881F" w14:textId="77777777" w:rsidTr="00DD1A9F">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7ADA4F02" w14:textId="77777777" w:rsidR="008A1BE9" w:rsidRPr="00FB63AD" w:rsidRDefault="008A1BE9" w:rsidP="008A1BE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4160926" w14:textId="4891805B"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5,231</w:t>
            </w:r>
          </w:p>
        </w:tc>
        <w:tc>
          <w:tcPr>
            <w:tcW w:w="1149" w:type="dxa"/>
            <w:tcBorders>
              <w:top w:val="nil"/>
              <w:left w:val="nil"/>
              <w:bottom w:val="single" w:sz="4" w:space="0" w:color="auto"/>
              <w:right w:val="single" w:sz="4" w:space="0" w:color="auto"/>
            </w:tcBorders>
            <w:shd w:val="clear" w:color="auto" w:fill="auto"/>
            <w:vAlign w:val="center"/>
          </w:tcPr>
          <w:p w14:paraId="7C69AF5F" w14:textId="459DF020"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28,222</w:t>
            </w:r>
          </w:p>
        </w:tc>
        <w:tc>
          <w:tcPr>
            <w:tcW w:w="1323" w:type="dxa"/>
            <w:tcBorders>
              <w:top w:val="nil"/>
              <w:left w:val="nil"/>
              <w:bottom w:val="single" w:sz="4" w:space="0" w:color="auto"/>
              <w:right w:val="single" w:sz="4" w:space="0" w:color="auto"/>
            </w:tcBorders>
            <w:shd w:val="clear" w:color="auto" w:fill="auto"/>
            <w:vAlign w:val="center"/>
          </w:tcPr>
          <w:p w14:paraId="7D79D508" w14:textId="641FB1EA"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100.00%</w:t>
            </w:r>
          </w:p>
        </w:tc>
      </w:tr>
    </w:tbl>
    <w:p w14:paraId="6AE8DC9C" w14:textId="77777777" w:rsidR="00AF5603" w:rsidRDefault="00AF5603" w:rsidP="00AF5603">
      <w:pPr>
        <w:spacing w:before="0"/>
        <w:ind w:left="0"/>
        <w:rPr>
          <w:b/>
        </w:rPr>
      </w:pPr>
    </w:p>
    <w:p w14:paraId="0264343A" w14:textId="7F3B92C6" w:rsidR="003F7D91" w:rsidRPr="007D74E1" w:rsidRDefault="00A4210D" w:rsidP="00D446CC">
      <w:pPr>
        <w:pStyle w:val="Heading2"/>
        <w:numPr>
          <w:ilvl w:val="0"/>
          <w:numId w:val="0"/>
        </w:numPr>
        <w:spacing w:after="240"/>
        <w:ind w:left="567"/>
        <w:rPr>
          <w:i/>
        </w:rPr>
      </w:pPr>
      <w:bookmarkStart w:id="68" w:name="_Toc19281380"/>
      <w:r>
        <w:t>16</w:t>
      </w:r>
      <w:r w:rsidR="003F7D91" w:rsidRPr="00023622">
        <w:t xml:space="preserve">b. </w:t>
      </w:r>
      <w:r w:rsidR="00052840">
        <w:tab/>
      </w:r>
      <w:r w:rsidR="003F7D91" w:rsidRPr="007D74E1">
        <w:rPr>
          <w:i/>
        </w:rPr>
        <w:t xml:space="preserve">Short Term Financial Penalties </w:t>
      </w:r>
      <w:r w:rsidR="00C37529">
        <w:rPr>
          <w:i/>
        </w:rPr>
        <w:t>1 April to 30 June 2019</w:t>
      </w:r>
      <w:bookmarkEnd w:id="68"/>
    </w:p>
    <w:tbl>
      <w:tblPr>
        <w:tblStyle w:val="LeftAlignTable"/>
        <w:tblW w:w="8046"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31"/>
        <w:gridCol w:w="992"/>
        <w:gridCol w:w="1134"/>
        <w:gridCol w:w="1389"/>
      </w:tblGrid>
      <w:tr w:rsidR="00DE0653" w:rsidRPr="00FB63AD" w14:paraId="1D324F56"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93449BE"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45FDF277"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3A4B940D"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007B81E1"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A1BE9" w:rsidRPr="00FB63AD" w14:paraId="4DD2C280" w14:textId="77777777" w:rsidTr="00DD1A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9D4CE8F" w14:textId="77777777" w:rsidR="008A1BE9" w:rsidRPr="00FB63AD" w:rsidRDefault="008A1BE9" w:rsidP="008A1BE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140506DD" w14:textId="37B9C708"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26,590</w:t>
            </w:r>
          </w:p>
        </w:tc>
        <w:tc>
          <w:tcPr>
            <w:tcW w:w="1134" w:type="dxa"/>
            <w:tcBorders>
              <w:top w:val="nil"/>
              <w:left w:val="nil"/>
              <w:bottom w:val="single" w:sz="4" w:space="0" w:color="auto"/>
              <w:right w:val="single" w:sz="4" w:space="0" w:color="auto"/>
            </w:tcBorders>
            <w:shd w:val="clear" w:color="auto" w:fill="auto"/>
            <w:vAlign w:val="center"/>
          </w:tcPr>
          <w:p w14:paraId="1FE507A1" w14:textId="674CC6A0"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129,105</w:t>
            </w:r>
          </w:p>
        </w:tc>
        <w:tc>
          <w:tcPr>
            <w:tcW w:w="1389" w:type="dxa"/>
            <w:tcBorders>
              <w:top w:val="nil"/>
              <w:left w:val="nil"/>
              <w:bottom w:val="single" w:sz="4" w:space="0" w:color="auto"/>
              <w:right w:val="single" w:sz="4" w:space="0" w:color="auto"/>
            </w:tcBorders>
            <w:shd w:val="clear" w:color="auto" w:fill="auto"/>
            <w:vAlign w:val="center"/>
          </w:tcPr>
          <w:p w14:paraId="30627FEF" w14:textId="751752D8"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100.00%</w:t>
            </w:r>
          </w:p>
        </w:tc>
      </w:tr>
    </w:tbl>
    <w:p w14:paraId="2708E7A5" w14:textId="172BBCF9" w:rsidR="003F7D91" w:rsidRPr="00D446CC" w:rsidRDefault="00A4210D" w:rsidP="00D446CC">
      <w:pPr>
        <w:pStyle w:val="Heading2"/>
        <w:numPr>
          <w:ilvl w:val="0"/>
          <w:numId w:val="0"/>
        </w:numPr>
        <w:spacing w:after="240"/>
        <w:ind w:left="567"/>
      </w:pPr>
      <w:bookmarkStart w:id="69" w:name="_Toc19281381"/>
      <w:r>
        <w:t>16</w:t>
      </w:r>
      <w:r w:rsidR="003F7D91" w:rsidRPr="003F7D91">
        <w:t xml:space="preserve">c. </w:t>
      </w:r>
      <w:r w:rsidR="00052840">
        <w:tab/>
      </w:r>
      <w:r w:rsidR="003F7D91" w:rsidRPr="007D74E1">
        <w:rPr>
          <w:i/>
        </w:rPr>
        <w:t xml:space="preserve">Total Financial Penalties </w:t>
      </w:r>
      <w:r w:rsidR="00C37529">
        <w:rPr>
          <w:i/>
        </w:rPr>
        <w:t>1 April to 30 June 2019</w:t>
      </w:r>
      <w:bookmarkEnd w:id="69"/>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4517"/>
        <w:gridCol w:w="989"/>
        <w:gridCol w:w="1130"/>
        <w:gridCol w:w="1413"/>
      </w:tblGrid>
      <w:tr w:rsidR="00DE0653" w:rsidRPr="00FB63AD" w14:paraId="2892DCCF" w14:textId="77777777" w:rsidTr="008D1ECC">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4517" w:type="dxa"/>
            <w:vMerge w:val="restart"/>
            <w:vAlign w:val="center"/>
          </w:tcPr>
          <w:p w14:paraId="1BAB61B6" w14:textId="77777777" w:rsidR="00DE0653" w:rsidRPr="00FB63AD" w:rsidRDefault="00DE0653" w:rsidP="00AF5603">
            <w:pPr>
              <w:keepNext/>
              <w:keepLines/>
              <w:spacing w:before="0"/>
              <w:ind w:left="-142" w:firstLine="142"/>
            </w:pPr>
            <w:r w:rsidRPr="00FB63AD">
              <w:t>Total Financial Penalties</w:t>
            </w:r>
          </w:p>
        </w:tc>
        <w:tc>
          <w:tcPr>
            <w:tcW w:w="989" w:type="dxa"/>
            <w:vAlign w:val="center"/>
          </w:tcPr>
          <w:p w14:paraId="18D04282"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0" w:type="dxa"/>
            <w:vAlign w:val="center"/>
          </w:tcPr>
          <w:p w14:paraId="08944255"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3AC166D5"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A1BE9" w:rsidRPr="00FB63AD" w14:paraId="3B9813E0" w14:textId="77777777" w:rsidTr="008D1ECC">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517" w:type="dxa"/>
            <w:vMerge/>
            <w:vAlign w:val="center"/>
          </w:tcPr>
          <w:p w14:paraId="252DCC77" w14:textId="77777777" w:rsidR="008A1BE9" w:rsidRPr="00FB63AD" w:rsidRDefault="008A1BE9" w:rsidP="008A1BE9">
            <w:pPr>
              <w:keepNext/>
              <w:keepLines/>
              <w:spacing w:before="0"/>
              <w:ind w:left="-142" w:firstLine="142"/>
              <w:jc w:val="center"/>
            </w:pPr>
          </w:p>
        </w:tc>
        <w:tc>
          <w:tcPr>
            <w:tcW w:w="989" w:type="dxa"/>
            <w:tcBorders>
              <w:top w:val="single" w:sz="4" w:space="0" w:color="auto"/>
              <w:left w:val="nil"/>
              <w:bottom w:val="single" w:sz="4" w:space="0" w:color="auto"/>
              <w:right w:val="single" w:sz="4" w:space="0" w:color="auto"/>
            </w:tcBorders>
            <w:shd w:val="clear" w:color="auto" w:fill="auto"/>
            <w:vAlign w:val="center"/>
          </w:tcPr>
          <w:p w14:paraId="6909ADD8" w14:textId="228F6729"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31,821</w:t>
            </w:r>
          </w:p>
        </w:tc>
        <w:tc>
          <w:tcPr>
            <w:tcW w:w="1130" w:type="dxa"/>
            <w:tcBorders>
              <w:top w:val="single" w:sz="4" w:space="0" w:color="auto"/>
              <w:left w:val="nil"/>
              <w:bottom w:val="single" w:sz="4" w:space="0" w:color="auto"/>
              <w:right w:val="single" w:sz="4" w:space="0" w:color="auto"/>
            </w:tcBorders>
            <w:shd w:val="clear" w:color="auto" w:fill="auto"/>
            <w:vAlign w:val="center"/>
          </w:tcPr>
          <w:p w14:paraId="335F35A6" w14:textId="1B32BC52"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157,327</w:t>
            </w:r>
          </w:p>
        </w:tc>
        <w:tc>
          <w:tcPr>
            <w:tcW w:w="1413" w:type="dxa"/>
            <w:tcBorders>
              <w:top w:val="single" w:sz="4" w:space="0" w:color="auto"/>
              <w:left w:val="nil"/>
              <w:bottom w:val="single" w:sz="4" w:space="0" w:color="auto"/>
              <w:right w:val="single" w:sz="4" w:space="0" w:color="auto"/>
            </w:tcBorders>
            <w:shd w:val="clear" w:color="auto" w:fill="auto"/>
            <w:vAlign w:val="center"/>
          </w:tcPr>
          <w:p w14:paraId="6699F6A5" w14:textId="3C9F8446" w:rsidR="008A1BE9" w:rsidRPr="00E25233" w:rsidRDefault="008A1BE9" w:rsidP="008A1B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Cs/>
                <w:color w:val="000000"/>
              </w:rPr>
              <w:t>100.00%</w:t>
            </w:r>
          </w:p>
        </w:tc>
      </w:tr>
    </w:tbl>
    <w:p w14:paraId="543F3C7C"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003F29" w14:textId="33A47CA3"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3983C0C4" w14:textId="7D3C5322"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F2349F">
        <w:rPr>
          <w:bCs/>
        </w:rPr>
        <w:t>tend an appointment with their p</w:t>
      </w:r>
      <w:r w:rsidRPr="00481EB2">
        <w:rPr>
          <w:bCs/>
        </w:rPr>
        <w:t>rovider then refuses to enter into a Job Plan at their re-engagement appointment. This refusal represents the job seeker</w:t>
      </w:r>
      <w:r w:rsidR="00566B0C">
        <w:rPr>
          <w:bCs/>
        </w:rPr>
        <w:t>’</w:t>
      </w:r>
      <w:r w:rsidRPr="00481EB2">
        <w:rPr>
          <w:bCs/>
        </w:rPr>
        <w:t>s first refusal to enter into a Job Plan.</w:t>
      </w:r>
    </w:p>
    <w:p w14:paraId="17AF385F" w14:textId="43937C08" w:rsidR="009D67DD" w:rsidRPr="009D67DD" w:rsidRDefault="009D67DD" w:rsidP="009D67DD"/>
    <w:p w14:paraId="1184148B" w14:textId="39DCB929" w:rsidR="003F7D91" w:rsidRPr="00D446CC" w:rsidRDefault="00A4210D" w:rsidP="009D67DD">
      <w:pPr>
        <w:pStyle w:val="Heading2"/>
        <w:numPr>
          <w:ilvl w:val="0"/>
          <w:numId w:val="0"/>
        </w:numPr>
        <w:spacing w:after="240"/>
      </w:pPr>
      <w:bookmarkStart w:id="70" w:name="_Toc19281382"/>
      <w:r>
        <w:lastRenderedPageBreak/>
        <w:t>16</w:t>
      </w:r>
      <w:r w:rsidR="00B6057A">
        <w:t>d</w:t>
      </w:r>
      <w:r w:rsidR="003F7D91" w:rsidRPr="003F7D91">
        <w:t xml:space="preserve">. </w:t>
      </w:r>
      <w:r w:rsidR="00052840">
        <w:tab/>
      </w:r>
      <w:r w:rsidR="003F7D91" w:rsidRPr="007D74E1">
        <w:rPr>
          <w:i/>
        </w:rPr>
        <w:t xml:space="preserve">Income Support Payment Suspensions </w:t>
      </w:r>
      <w:r w:rsidR="00C37529">
        <w:rPr>
          <w:i/>
        </w:rPr>
        <w:t>1 April to 30 June 2019</w:t>
      </w:r>
      <w:bookmarkEnd w:id="70"/>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31"/>
        <w:gridCol w:w="992"/>
        <w:gridCol w:w="1128"/>
        <w:gridCol w:w="1424"/>
      </w:tblGrid>
      <w:tr w:rsidR="00DE0653" w:rsidRPr="0092180C" w14:paraId="271A007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314D6D7" w14:textId="77777777" w:rsidR="00DE0653" w:rsidRPr="00AB1A47" w:rsidRDefault="00DE0653" w:rsidP="00AF5603">
            <w:pPr>
              <w:ind w:left="0"/>
              <w:jc w:val="center"/>
            </w:pPr>
            <w:r w:rsidRPr="00AB1A47">
              <w:t>Income Support payment suspensions</w:t>
            </w:r>
          </w:p>
        </w:tc>
        <w:tc>
          <w:tcPr>
            <w:tcW w:w="992" w:type="dxa"/>
            <w:vAlign w:val="center"/>
          </w:tcPr>
          <w:p w14:paraId="2182AE61"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2D68828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1D642CD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B90402" w:rsidRPr="0092180C" w14:paraId="57539631"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2B918BF6" w14:textId="77777777" w:rsidR="00B90402" w:rsidRPr="00AB1A47" w:rsidRDefault="00B90402" w:rsidP="00B90402">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319F6" w14:textId="00A1B386" w:rsidR="00B90402" w:rsidRPr="009A742F" w:rsidRDefault="00B90402" w:rsidP="00B9040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13,579</w:t>
            </w:r>
          </w:p>
        </w:tc>
        <w:tc>
          <w:tcPr>
            <w:tcW w:w="1128" w:type="dxa"/>
            <w:tcBorders>
              <w:top w:val="single" w:sz="4" w:space="0" w:color="auto"/>
              <w:left w:val="nil"/>
              <w:bottom w:val="single" w:sz="4" w:space="0" w:color="auto"/>
              <w:right w:val="single" w:sz="4" w:space="0" w:color="auto"/>
            </w:tcBorders>
            <w:shd w:val="clear" w:color="auto" w:fill="auto"/>
            <w:vAlign w:val="center"/>
          </w:tcPr>
          <w:p w14:paraId="36F7B1AF" w14:textId="406EE737" w:rsidR="00B90402" w:rsidRPr="009A742F" w:rsidRDefault="00B90402" w:rsidP="00B9040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54,065</w:t>
            </w:r>
          </w:p>
        </w:tc>
        <w:tc>
          <w:tcPr>
            <w:tcW w:w="1424" w:type="dxa"/>
            <w:tcBorders>
              <w:top w:val="single" w:sz="4" w:space="0" w:color="auto"/>
              <w:left w:val="nil"/>
              <w:bottom w:val="single" w:sz="4" w:space="0" w:color="auto"/>
              <w:right w:val="single" w:sz="4" w:space="0" w:color="auto"/>
            </w:tcBorders>
            <w:shd w:val="clear" w:color="auto" w:fill="auto"/>
            <w:vAlign w:val="center"/>
          </w:tcPr>
          <w:p w14:paraId="57684CB5" w14:textId="61AA9D4F" w:rsidR="00B90402" w:rsidRPr="009A742F" w:rsidRDefault="00B90402" w:rsidP="00B9040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59.24%</w:t>
            </w:r>
          </w:p>
        </w:tc>
      </w:tr>
      <w:tr w:rsidR="00B90402" w:rsidRPr="0092180C" w14:paraId="201B29FA"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3CB5B8DB" w14:textId="77777777" w:rsidR="00B90402" w:rsidRPr="00AB1A47" w:rsidDel="00D725A7" w:rsidRDefault="00B90402" w:rsidP="00B90402">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22818858" w14:textId="655CB1B3" w:rsidR="00B90402" w:rsidRPr="009A742F" w:rsidRDefault="00B90402" w:rsidP="00B9040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8,120</w:t>
            </w:r>
          </w:p>
        </w:tc>
        <w:tc>
          <w:tcPr>
            <w:tcW w:w="1128" w:type="dxa"/>
            <w:tcBorders>
              <w:top w:val="nil"/>
              <w:left w:val="nil"/>
              <w:bottom w:val="single" w:sz="4" w:space="0" w:color="auto"/>
              <w:right w:val="single" w:sz="4" w:space="0" w:color="auto"/>
            </w:tcBorders>
            <w:shd w:val="clear" w:color="auto" w:fill="auto"/>
            <w:vAlign w:val="center"/>
          </w:tcPr>
          <w:p w14:paraId="5E586931" w14:textId="71EF3029" w:rsidR="00B90402" w:rsidRPr="009A742F" w:rsidRDefault="00B90402" w:rsidP="00B9040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37,205</w:t>
            </w:r>
          </w:p>
        </w:tc>
        <w:tc>
          <w:tcPr>
            <w:tcW w:w="1424" w:type="dxa"/>
            <w:tcBorders>
              <w:top w:val="nil"/>
              <w:left w:val="nil"/>
              <w:bottom w:val="single" w:sz="4" w:space="0" w:color="auto"/>
              <w:right w:val="single" w:sz="4" w:space="0" w:color="auto"/>
            </w:tcBorders>
            <w:shd w:val="clear" w:color="auto" w:fill="auto"/>
            <w:vAlign w:val="center"/>
          </w:tcPr>
          <w:p w14:paraId="00C852BF" w14:textId="20785798" w:rsidR="00B90402" w:rsidRPr="009A742F" w:rsidRDefault="00B90402" w:rsidP="00B9040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40.76%</w:t>
            </w:r>
          </w:p>
        </w:tc>
      </w:tr>
      <w:tr w:rsidR="00B90402" w:rsidRPr="00FB63AD" w14:paraId="3BE49869" w14:textId="77777777" w:rsidTr="00DD1A9F">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4D262553" w14:textId="77777777" w:rsidR="00B90402" w:rsidRPr="00AB1A47" w:rsidRDefault="00B90402" w:rsidP="00B90402">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4B72CDC3" w14:textId="7DF4A968" w:rsidR="00B90402" w:rsidRPr="00E25233" w:rsidRDefault="00B90402" w:rsidP="00B9040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21,699</w:t>
            </w:r>
          </w:p>
        </w:tc>
        <w:tc>
          <w:tcPr>
            <w:tcW w:w="1128" w:type="dxa"/>
            <w:tcBorders>
              <w:top w:val="nil"/>
              <w:left w:val="nil"/>
              <w:bottom w:val="single" w:sz="4" w:space="0" w:color="auto"/>
              <w:right w:val="single" w:sz="4" w:space="0" w:color="auto"/>
            </w:tcBorders>
            <w:shd w:val="clear" w:color="auto" w:fill="auto"/>
            <w:vAlign w:val="center"/>
          </w:tcPr>
          <w:p w14:paraId="0E4C8384" w14:textId="4CB92816" w:rsidR="00B90402" w:rsidRPr="00E25233" w:rsidRDefault="00B90402" w:rsidP="00B9040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91,270</w:t>
            </w:r>
          </w:p>
        </w:tc>
        <w:tc>
          <w:tcPr>
            <w:tcW w:w="1424" w:type="dxa"/>
            <w:tcBorders>
              <w:top w:val="nil"/>
              <w:left w:val="nil"/>
              <w:bottom w:val="single" w:sz="4" w:space="0" w:color="auto"/>
              <w:right w:val="single" w:sz="4" w:space="0" w:color="auto"/>
            </w:tcBorders>
            <w:shd w:val="clear" w:color="auto" w:fill="auto"/>
            <w:vAlign w:val="center"/>
          </w:tcPr>
          <w:p w14:paraId="285E11FB" w14:textId="207B9301" w:rsidR="00B90402" w:rsidRPr="00E25233" w:rsidRDefault="00B90402" w:rsidP="00B9040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0B13E8EA" w14:textId="7CF5AC09" w:rsidR="0017759B" w:rsidRDefault="00AF5603" w:rsidP="0017759B">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77D5C835" w14:textId="2AC25D9E" w:rsidR="009D67DD" w:rsidRDefault="009D67DD" w:rsidP="0017759B">
      <w:pPr>
        <w:ind w:left="142"/>
        <w:rPr>
          <w:noProof/>
        </w:rPr>
      </w:pPr>
    </w:p>
    <w:p w14:paraId="7D8E2E84" w14:textId="72E99C02" w:rsidR="009D67DD" w:rsidRDefault="00A4210D" w:rsidP="009D67DD">
      <w:pPr>
        <w:pStyle w:val="Heading2"/>
        <w:numPr>
          <w:ilvl w:val="0"/>
          <w:numId w:val="0"/>
        </w:numPr>
        <w:spacing w:after="240"/>
      </w:pPr>
      <w:bookmarkStart w:id="71" w:name="_Toc17274383"/>
      <w:bookmarkStart w:id="72" w:name="_Toc19281383"/>
      <w:r>
        <w:t>16</w:t>
      </w:r>
      <w:r w:rsidR="009D67DD">
        <w:t>e</w:t>
      </w:r>
      <w:r w:rsidR="009D67DD" w:rsidRPr="00023622">
        <w:t xml:space="preserve">. </w:t>
      </w:r>
      <w:r w:rsidR="009D67DD">
        <w:tab/>
      </w:r>
      <w:r w:rsidR="009D67DD" w:rsidRPr="00023622">
        <w:t>Finalised Comprehensive Compliance Assessment Outcome</w:t>
      </w:r>
      <w:r w:rsidR="00EB1071">
        <w:t>s</w:t>
      </w:r>
      <w:r w:rsidR="009D67DD" w:rsidRPr="00023622">
        <w:t xml:space="preserve"> </w:t>
      </w:r>
      <w:r w:rsidR="009D67DD">
        <w:t>1 July 2018 to 30 June 2019</w:t>
      </w:r>
      <w:bookmarkEnd w:id="71"/>
      <w:bookmarkEnd w:id="72"/>
    </w:p>
    <w:tbl>
      <w:tblPr>
        <w:tblStyle w:val="LeftAlignTable"/>
        <w:tblW w:w="0" w:type="auto"/>
        <w:tblInd w:w="289" w:type="dxa"/>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26"/>
        <w:gridCol w:w="992"/>
        <w:gridCol w:w="1128"/>
        <w:gridCol w:w="1590"/>
      </w:tblGrid>
      <w:tr w:rsidR="009D67DD" w:rsidRPr="00FB63AD" w14:paraId="077189E5" w14:textId="77777777" w:rsidTr="009D6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26" w:type="dxa"/>
          </w:tcPr>
          <w:p w14:paraId="4B665709" w14:textId="77777777" w:rsidR="009D67DD" w:rsidRPr="00FB63AD" w:rsidRDefault="009D67DD" w:rsidP="009D67DD">
            <w:pPr>
              <w:ind w:left="0"/>
            </w:pPr>
            <w:r w:rsidRPr="00FB63AD">
              <w:t>Finalised C</w:t>
            </w:r>
            <w:r>
              <w:t xml:space="preserve">omprehensive </w:t>
            </w:r>
            <w:r w:rsidRPr="00FB63AD">
              <w:t>C</w:t>
            </w:r>
            <w:r>
              <w:t xml:space="preserve">ompliance </w:t>
            </w:r>
            <w:r w:rsidRPr="00FB63AD">
              <w:t>A</w:t>
            </w:r>
            <w:r>
              <w:t>ssessment</w:t>
            </w:r>
            <w:r w:rsidRPr="00FB63AD">
              <w:t xml:space="preserve"> Outcome</w:t>
            </w:r>
          </w:p>
        </w:tc>
        <w:tc>
          <w:tcPr>
            <w:tcW w:w="992" w:type="dxa"/>
            <w:tcBorders>
              <w:bottom w:val="single" w:sz="4" w:space="0" w:color="auto"/>
            </w:tcBorders>
            <w:vAlign w:val="center"/>
          </w:tcPr>
          <w:p w14:paraId="3025DCCC" w14:textId="77777777" w:rsidR="009D67DD" w:rsidRPr="00FB63AD" w:rsidRDefault="009D67DD" w:rsidP="009D67DD">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28" w:type="dxa"/>
            <w:tcBorders>
              <w:bottom w:val="single" w:sz="4" w:space="0" w:color="auto"/>
            </w:tcBorders>
            <w:vAlign w:val="center"/>
          </w:tcPr>
          <w:p w14:paraId="3794407F" w14:textId="77777777" w:rsidR="009D67DD" w:rsidRPr="00FB63AD" w:rsidRDefault="009D67DD"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90" w:type="dxa"/>
            <w:tcBorders>
              <w:bottom w:val="single" w:sz="4" w:space="0" w:color="auto"/>
            </w:tcBorders>
            <w:vAlign w:val="center"/>
          </w:tcPr>
          <w:p w14:paraId="4D7B1F6D" w14:textId="77777777" w:rsidR="009D67DD" w:rsidRPr="00FB63AD" w:rsidRDefault="009D67DD" w:rsidP="009D67D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9D67DD" w:rsidRPr="00FB63AD" w14:paraId="4E94F468" w14:textId="77777777" w:rsidTr="009D67DD">
        <w:tc>
          <w:tcPr>
            <w:cnfStyle w:val="001000000000" w:firstRow="0" w:lastRow="0" w:firstColumn="1" w:lastColumn="0" w:oddVBand="0" w:evenVBand="0" w:oddHBand="0" w:evenHBand="0" w:firstRowFirstColumn="0" w:firstRowLastColumn="0" w:lastRowFirstColumn="0" w:lastRowLastColumn="0"/>
            <w:tcW w:w="4526" w:type="dxa"/>
          </w:tcPr>
          <w:p w14:paraId="29C3BBE2" w14:textId="77777777" w:rsidR="009D67DD" w:rsidRPr="00FB63AD" w:rsidRDefault="009D67DD" w:rsidP="009D67DD">
            <w:pPr>
              <w:ind w:left="-142" w:firstLine="142"/>
            </w:pPr>
            <w:r w:rsidRPr="00FB63AD">
              <w:t>JSCI updated – referral for ESAt</w:t>
            </w:r>
          </w:p>
        </w:tc>
        <w:tc>
          <w:tcPr>
            <w:tcW w:w="992" w:type="dxa"/>
            <w:tcBorders>
              <w:top w:val="single" w:sz="4" w:space="0" w:color="auto"/>
              <w:left w:val="nil"/>
              <w:bottom w:val="single" w:sz="4" w:space="0" w:color="auto"/>
              <w:right w:val="single" w:sz="4" w:space="0" w:color="auto"/>
            </w:tcBorders>
            <w:shd w:val="clear" w:color="auto" w:fill="auto"/>
            <w:vAlign w:val="bottom"/>
          </w:tcPr>
          <w:p w14:paraId="550B8E97" w14:textId="254570FF"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376A0741" w14:textId="740CA32D"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79A51EA1" w14:textId="23DCEC90"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r>
      <w:tr w:rsidR="009D67DD" w:rsidRPr="00FB63AD" w14:paraId="10B43512" w14:textId="77777777" w:rsidTr="009D67DD">
        <w:tc>
          <w:tcPr>
            <w:cnfStyle w:val="001000000000" w:firstRow="0" w:lastRow="0" w:firstColumn="1" w:lastColumn="0" w:oddVBand="0" w:evenVBand="0" w:oddHBand="0" w:evenHBand="0" w:firstRowFirstColumn="0" w:firstRowLastColumn="0" w:lastRowFirstColumn="0" w:lastRowLastColumn="0"/>
            <w:tcW w:w="4526" w:type="dxa"/>
          </w:tcPr>
          <w:p w14:paraId="4371259A" w14:textId="77777777" w:rsidR="009D67DD" w:rsidRPr="00FB63AD" w:rsidRDefault="009D67DD" w:rsidP="009D67DD">
            <w:pPr>
              <w:ind w:left="-142" w:firstLine="142"/>
            </w:pPr>
            <w:r w:rsidRPr="00FB63AD">
              <w:t>JSCI updated – eligible for higher stream</w:t>
            </w:r>
          </w:p>
        </w:tc>
        <w:tc>
          <w:tcPr>
            <w:tcW w:w="992" w:type="dxa"/>
            <w:tcBorders>
              <w:top w:val="single" w:sz="4" w:space="0" w:color="auto"/>
              <w:left w:val="nil"/>
              <w:bottom w:val="single" w:sz="4" w:space="0" w:color="auto"/>
              <w:right w:val="single" w:sz="4" w:space="0" w:color="auto"/>
            </w:tcBorders>
            <w:shd w:val="clear" w:color="auto" w:fill="auto"/>
            <w:vAlign w:val="bottom"/>
          </w:tcPr>
          <w:p w14:paraId="66BC6D65" w14:textId="6D6C037C"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65BD9D79" w14:textId="63CEAE92"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364F065F" w14:textId="0B0C0111"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0.00%</w:t>
            </w:r>
          </w:p>
        </w:tc>
      </w:tr>
      <w:tr w:rsidR="009D67DD" w:rsidRPr="00FB63AD" w14:paraId="42694D3F" w14:textId="77777777" w:rsidTr="009D67DD">
        <w:trPr>
          <w:trHeight w:val="472"/>
        </w:trPr>
        <w:tc>
          <w:tcPr>
            <w:cnfStyle w:val="001000000000" w:firstRow="0" w:lastRow="0" w:firstColumn="1" w:lastColumn="0" w:oddVBand="0" w:evenVBand="0" w:oddHBand="0" w:evenHBand="0" w:firstRowFirstColumn="0" w:firstRowLastColumn="0" w:lastRowFirstColumn="0" w:lastRowLastColumn="0"/>
            <w:tcW w:w="4526" w:type="dxa"/>
          </w:tcPr>
          <w:p w14:paraId="6C649CBF" w14:textId="77777777" w:rsidR="009D67DD" w:rsidRPr="00FB63AD" w:rsidRDefault="009D67DD" w:rsidP="009D67DD">
            <w:pPr>
              <w:ind w:left="-142" w:firstLine="142"/>
            </w:pPr>
            <w:r w:rsidRPr="00FB63AD">
              <w:t>Persistent non-compliance (Serious Failure)</w:t>
            </w:r>
          </w:p>
        </w:tc>
        <w:tc>
          <w:tcPr>
            <w:tcW w:w="992" w:type="dxa"/>
            <w:tcBorders>
              <w:top w:val="single" w:sz="4" w:space="0" w:color="auto"/>
              <w:left w:val="nil"/>
              <w:bottom w:val="single" w:sz="4" w:space="0" w:color="auto"/>
              <w:right w:val="single" w:sz="4" w:space="0" w:color="auto"/>
            </w:tcBorders>
            <w:shd w:val="clear" w:color="auto" w:fill="auto"/>
            <w:vAlign w:val="bottom"/>
          </w:tcPr>
          <w:p w14:paraId="6ADE47D7" w14:textId="66919D79"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28,157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6C76F811" w14:textId="7B5322EA"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28,157</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2B1792D9" w14:textId="3F6F63CB"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61.29%</w:t>
            </w:r>
          </w:p>
        </w:tc>
      </w:tr>
      <w:tr w:rsidR="009D67DD" w:rsidRPr="00FB63AD" w14:paraId="1084847C" w14:textId="77777777" w:rsidTr="009D67DD">
        <w:tc>
          <w:tcPr>
            <w:cnfStyle w:val="001000000000" w:firstRow="0" w:lastRow="0" w:firstColumn="1" w:lastColumn="0" w:oddVBand="0" w:evenVBand="0" w:oddHBand="0" w:evenHBand="0" w:firstRowFirstColumn="0" w:firstRowLastColumn="0" w:lastRowFirstColumn="0" w:lastRowLastColumn="0"/>
            <w:tcW w:w="4526" w:type="dxa"/>
          </w:tcPr>
          <w:p w14:paraId="5CC54F7D" w14:textId="77777777" w:rsidR="009D67DD" w:rsidRPr="00FB63AD" w:rsidRDefault="009D67DD" w:rsidP="009D67DD">
            <w:pPr>
              <w:ind w:left="-142" w:firstLine="142"/>
            </w:pPr>
            <w:r w:rsidRPr="00FB63AD">
              <w:t xml:space="preserve">Other </w:t>
            </w:r>
            <w:r>
              <w:t xml:space="preserve">or no </w:t>
            </w:r>
            <w:r w:rsidRPr="00FB63AD">
              <w:t>outcomes</w:t>
            </w:r>
          </w:p>
        </w:tc>
        <w:tc>
          <w:tcPr>
            <w:tcW w:w="992" w:type="dxa"/>
            <w:tcBorders>
              <w:top w:val="single" w:sz="4" w:space="0" w:color="auto"/>
              <w:left w:val="nil"/>
              <w:bottom w:val="single" w:sz="4" w:space="0" w:color="auto"/>
              <w:right w:val="single" w:sz="4" w:space="0" w:color="auto"/>
            </w:tcBorders>
            <w:shd w:val="clear" w:color="auto" w:fill="auto"/>
            <w:vAlign w:val="bottom"/>
          </w:tcPr>
          <w:p w14:paraId="188753F1" w14:textId="2F543518"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17,785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1AABFCC0" w14:textId="4C85A519"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17,785</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530C0E11" w14:textId="3E1B7F95" w:rsidR="009D67DD" w:rsidRPr="007A076A" w:rsidRDefault="009D67DD" w:rsidP="009D67D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38.71%</w:t>
            </w:r>
          </w:p>
        </w:tc>
      </w:tr>
      <w:tr w:rsidR="009D67DD" w:rsidRPr="00FB63AD" w14:paraId="36F13D23" w14:textId="77777777" w:rsidTr="009D67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Pr>
          <w:p w14:paraId="46DB4883" w14:textId="77777777" w:rsidR="009D67DD" w:rsidRPr="00FB63AD" w:rsidRDefault="009D67DD" w:rsidP="009D67DD">
            <w:pPr>
              <w:ind w:left="-142" w:firstLine="142"/>
            </w:pPr>
            <w:r w:rsidRPr="00FB63AD">
              <w:t>Total</w:t>
            </w:r>
          </w:p>
        </w:tc>
        <w:tc>
          <w:tcPr>
            <w:tcW w:w="992" w:type="dxa"/>
            <w:tcBorders>
              <w:top w:val="single" w:sz="4" w:space="0" w:color="auto"/>
              <w:left w:val="nil"/>
              <w:bottom w:val="single" w:sz="4" w:space="0" w:color="auto"/>
              <w:right w:val="single" w:sz="4" w:space="0" w:color="auto"/>
            </w:tcBorders>
            <w:shd w:val="clear" w:color="auto" w:fill="auto"/>
            <w:vAlign w:val="bottom"/>
          </w:tcPr>
          <w:p w14:paraId="65799DA8" w14:textId="3FFA4641" w:rsidR="009D67DD" w:rsidRPr="00BA4971" w:rsidRDefault="009D67DD" w:rsidP="009D67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45,942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05A22E98" w14:textId="7F65FE41" w:rsidR="009D67DD" w:rsidRPr="00BA4971" w:rsidRDefault="009D67DD" w:rsidP="009D67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45,942</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39E23AA9" w14:textId="06D8113B" w:rsidR="009D67DD" w:rsidRPr="00BA4971" w:rsidRDefault="009D67DD" w:rsidP="009D67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BA4971">
              <w:rPr>
                <w:rFonts w:cs="Gill Sans MT"/>
                <w:color w:val="000000"/>
              </w:rPr>
              <w:t>100.00%</w:t>
            </w:r>
          </w:p>
        </w:tc>
      </w:tr>
    </w:tbl>
    <w:p w14:paraId="22156778" w14:textId="62F0065C" w:rsidR="001F06CA" w:rsidRDefault="001F06CA" w:rsidP="0017759B">
      <w:pPr>
        <w:ind w:left="142"/>
        <w:rPr>
          <w:noProof/>
        </w:rPr>
      </w:pPr>
    </w:p>
    <w:p w14:paraId="24B240CE" w14:textId="2C6BA481" w:rsidR="001F06CA" w:rsidRDefault="001F06CA">
      <w:pPr>
        <w:spacing w:before="0"/>
        <w:ind w:left="0"/>
        <w:rPr>
          <w:noProof/>
        </w:rPr>
      </w:pPr>
      <w:r>
        <w:rPr>
          <w:noProof/>
        </w:rPr>
        <w:br w:type="page"/>
      </w:r>
    </w:p>
    <w:p w14:paraId="54A80ADA" w14:textId="5005BDB6" w:rsidR="00DE0653" w:rsidRPr="009D67DD" w:rsidRDefault="00DE0653" w:rsidP="009D67DD">
      <w:pPr>
        <w:ind w:left="0"/>
        <w:rPr>
          <w:b/>
        </w:rPr>
      </w:pPr>
      <w:bookmarkStart w:id="73" w:name="_Toc1131928"/>
      <w:r w:rsidRPr="00A4210D">
        <w:rPr>
          <w:rFonts w:ascii="Arial" w:hAnsi="Arial" w:cs="Arial"/>
          <w:b/>
          <w:sz w:val="24"/>
          <w:szCs w:val="24"/>
        </w:rPr>
        <w:lastRenderedPageBreak/>
        <w:t>Glossary</w:t>
      </w:r>
      <w:bookmarkEnd w:id="73"/>
      <w:r w:rsidRPr="009D67DD">
        <w:rPr>
          <w:b/>
        </w:rPr>
        <w:t xml:space="preserve"> </w:t>
      </w:r>
    </w:p>
    <w:p w14:paraId="39FAB231" w14:textId="613857C7" w:rsidR="00DE0653" w:rsidRDefault="00DE0653" w:rsidP="00DE0653">
      <w:pPr>
        <w:ind w:left="0"/>
      </w:pPr>
      <w:r w:rsidRPr="00F4796B">
        <w:rPr>
          <w:b/>
        </w:rPr>
        <w:t>Active job seekers</w:t>
      </w:r>
      <w:r>
        <w:t xml:space="preserve"> </w:t>
      </w:r>
      <w:r w:rsidR="008E21A0">
        <w:t>–</w:t>
      </w:r>
      <w:r>
        <w:t xml:space="preserve"> job seekers on activity-tested income support payments that are currently active in employment services. These job seekers meet their mutual obligation requirements for income support through activities such as: attending provider appointments; undertaking activities to help them become more job ready; and looking for work.</w:t>
      </w:r>
    </w:p>
    <w:p w14:paraId="6192D6C5" w14:textId="29ED0E6E"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 These job seekers do not have to use employment services for the period they are doing a sufficient amount of approved activity or activities.</w:t>
      </w:r>
    </w:p>
    <w:p w14:paraId="59461CA8" w14:textId="4C251200" w:rsidR="00DE0653" w:rsidRDefault="00DE0653" w:rsidP="00DE0653">
      <w:pPr>
        <w:ind w:left="0"/>
      </w:pPr>
      <w:r w:rsidRPr="00F4796B">
        <w:rPr>
          <w:b/>
        </w:rPr>
        <w:t xml:space="preserve">Caring responsibilities </w:t>
      </w:r>
      <w:r w:rsidR="008E21A0">
        <w:t>–</w:t>
      </w:r>
      <w:r>
        <w:t xml:space="preserve"> means that the Department of Human Services determined the job seeker had caring responsibilities preventing them from complying with the requirement (for example, caring for a sick dependant or relative).</w:t>
      </w:r>
    </w:p>
    <w:p w14:paraId="71C631BE" w14:textId="13002CB8"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5B6F489F" w14:textId="77777777" w:rsidR="00DE0653" w:rsidRDefault="00DE0653" w:rsidP="00F423C3">
      <w:pPr>
        <w:pStyle w:val="ListParagraph"/>
        <w:numPr>
          <w:ilvl w:val="0"/>
          <w:numId w:val="7"/>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5741ECAD" w14:textId="77777777" w:rsidR="00DE0653" w:rsidRPr="00FB63AD" w:rsidRDefault="00DE0653" w:rsidP="00F423C3">
      <w:pPr>
        <w:pStyle w:val="ListParagraph"/>
        <w:numPr>
          <w:ilvl w:val="0"/>
          <w:numId w:val="7"/>
        </w:numPr>
        <w:ind w:left="709" w:hanging="709"/>
      </w:pPr>
      <w:r w:rsidRPr="00FB63AD">
        <w:t>three (3) days of applied No Show No Pay penalties, within a six month period.</w:t>
      </w:r>
    </w:p>
    <w:p w14:paraId="17219ECA" w14:textId="77777777" w:rsidR="00DE0653" w:rsidRDefault="00DE0653" w:rsidP="00DE0653">
      <w:pPr>
        <w:ind w:left="0"/>
      </w:pPr>
      <w:r>
        <w:t xml:space="preserve">A </w:t>
      </w:r>
      <w:r w:rsidRPr="00FB63AD">
        <w:t>CCA can also be requested at any time by either an employment services provider or the Department of Human Services if a job seeker is fai</w:t>
      </w:r>
      <w:r>
        <w:t xml:space="preserve">ling to meet their activity test </w:t>
      </w:r>
      <w:r w:rsidRPr="00FB63AD">
        <w:t>requirements to determine why the job seeker is failing to meet their requirements.</w:t>
      </w:r>
    </w:p>
    <w:p w14:paraId="7FD55B1C" w14:textId="190E2BE3"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w:t>
      </w:r>
      <w:r w:rsidR="00740BE8">
        <w:t>ly participation</w:t>
      </w:r>
      <w:r>
        <w:t>.</w:t>
      </w:r>
    </w:p>
    <w:p w14:paraId="37153610"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43C7C513" w14:textId="77777777" w:rsidR="00DE0653" w:rsidRPr="00FB63AD" w:rsidRDefault="00DE0653" w:rsidP="001275A1">
      <w:pPr>
        <w:pStyle w:val="ListParagraph"/>
        <w:numPr>
          <w:ilvl w:val="0"/>
          <w:numId w:val="7"/>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1E04BC2" w14:textId="77777777" w:rsidR="00DE0653" w:rsidRPr="00FB63AD" w:rsidRDefault="00DE0653" w:rsidP="001275A1">
      <w:pPr>
        <w:pStyle w:val="ListParagraph"/>
        <w:numPr>
          <w:ilvl w:val="0"/>
          <w:numId w:val="7"/>
        </w:numPr>
        <w:spacing w:before="0" w:after="0" w:line="240" w:lineRule="auto"/>
        <w:ind w:left="709" w:hanging="709"/>
      </w:pPr>
      <w:r w:rsidRPr="00FB63AD">
        <w:t>refuses to enter into a Job Plan;</w:t>
      </w:r>
    </w:p>
    <w:p w14:paraId="74C733DB" w14:textId="77777777" w:rsidR="00DE0653" w:rsidRPr="00FB63AD" w:rsidRDefault="00DE0653" w:rsidP="001275A1">
      <w:pPr>
        <w:pStyle w:val="ListParagraph"/>
        <w:numPr>
          <w:ilvl w:val="0"/>
          <w:numId w:val="7"/>
        </w:numPr>
        <w:spacing w:before="0" w:after="0" w:line="240" w:lineRule="auto"/>
        <w:ind w:left="709" w:hanging="709"/>
      </w:pPr>
      <w:r w:rsidRPr="00FB63AD">
        <w:t>fails to meet a job search requirement in their Job Plan.</w:t>
      </w:r>
    </w:p>
    <w:p w14:paraId="191D455B" w14:textId="77777777" w:rsidR="00DE0653" w:rsidRPr="00FB63AD" w:rsidRDefault="00DE0653" w:rsidP="00DE0653">
      <w:pPr>
        <w:ind w:left="0"/>
      </w:pPr>
      <w:r w:rsidRPr="00FB63AD">
        <w:t>Job seekers do not incur financial penalties if they have a Connection Failure applied.</w:t>
      </w:r>
    </w:p>
    <w:p w14:paraId="12FA8403" w14:textId="52EB1364" w:rsidR="00DE0653" w:rsidRDefault="00DE0653" w:rsidP="00DE0653">
      <w:pPr>
        <w:ind w:left="0"/>
      </w:pPr>
      <w:r w:rsidRPr="00F4796B">
        <w:rPr>
          <w:b/>
        </w:rPr>
        <w:t>Cultural / language issues</w:t>
      </w:r>
      <w:r>
        <w:t xml:space="preserve"> </w:t>
      </w:r>
      <w:r w:rsidR="001275A1">
        <w:t>–</w:t>
      </w:r>
      <w:r>
        <w:t xml:space="preserve"> means that the Department of Human Services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2FA7134D" w14:textId="1F53C782"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w:t>
      </w:r>
      <w:r w:rsidR="001275A1">
        <w:br/>
      </w:r>
      <w:r>
        <w:t>(e.g. booking a new appointment for the job seeker).</w:t>
      </w:r>
    </w:p>
    <w:p w14:paraId="379C2AE5" w14:textId="6C199A72"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document can be found on the Department of Employment</w:t>
      </w:r>
      <w:r w:rsidR="001275A1">
        <w:t>, Skills, Small and Family Business</w:t>
      </w:r>
      <w:r>
        <w:t xml:space="preserve"> website and provides further information on job seeker compliance penalties.</w:t>
      </w:r>
    </w:p>
    <w:p w14:paraId="7D265653" w14:textId="2D46E78C"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42CAA4C4" w14:textId="142DC180"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731FBB5B" w14:textId="3A650499"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23638F31" w14:textId="506E24CB"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D790B77" w14:textId="2C8656F7" w:rsidR="00DE0653" w:rsidRDefault="00DE0653" w:rsidP="00DE0653">
      <w:pPr>
        <w:ind w:left="0"/>
      </w:pPr>
      <w:r w:rsidRPr="00F4796B">
        <w:rPr>
          <w:b/>
        </w:rPr>
        <w:t xml:space="preserve">Homelessness </w:t>
      </w:r>
      <w:r w:rsidR="001275A1">
        <w:t>–</w:t>
      </w:r>
      <w:r>
        <w:t xml:space="preserve"> means that the Department of Human Services determined a job seeker’s homelessness prevented the job seeker from being able to comply with the requirement.</w:t>
      </w:r>
    </w:p>
    <w:p w14:paraId="67B9A4B4" w14:textId="577F7FDB" w:rsidR="00DE0653" w:rsidRDefault="00DE0653" w:rsidP="00DE0653">
      <w:pPr>
        <w:ind w:left="0"/>
      </w:pPr>
      <w:r w:rsidRPr="00F4796B">
        <w:rPr>
          <w:b/>
        </w:rPr>
        <w:t xml:space="preserve">Income Support Payment suspensions </w:t>
      </w:r>
      <w:r w:rsidR="001275A1">
        <w:t>–</w:t>
      </w:r>
      <w:r>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w:t>
      </w:r>
      <w:r w:rsidR="00566B0C">
        <w:t>-</w:t>
      </w:r>
      <w:r>
        <w:t>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14:paraId="57F06A60" w14:textId="2CBE277A"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w:t>
      </w:r>
      <w:r>
        <w:lastRenderedPageBreak/>
        <w:t>Services. Where the Non-Attendance Report is not successfully submitted to the Department of Human Services, the ‘invalid’ reason result will be automatically updated to a ‘discretion’ result.</w:t>
      </w:r>
    </w:p>
    <w:p w14:paraId="3D2DCEAD" w14:textId="2DD15A3F"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215E889C" w14:textId="537FE725"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42AB8045" w14:textId="6CD3627C"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14:paraId="4864A85D" w14:textId="04762C68"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589BD4B2" w14:textId="449240E9" w:rsidR="00DE0653" w:rsidRDefault="00DE0653" w:rsidP="00DE0653">
      <w:pPr>
        <w:ind w:left="0"/>
      </w:pPr>
      <w:r w:rsidRPr="00F4796B">
        <w:rPr>
          <w:b/>
        </w:rPr>
        <w:t xml:space="preserve">Job seeker had reasonable excuse </w:t>
      </w:r>
      <w:r w:rsidR="001275A1">
        <w:t>–</w:t>
      </w:r>
      <w:r>
        <w:t xml:space="preserve"> means that the Department of Human Services determined the job seeker had a reasonable excuse for failing to comply with the requirement and therefore a Participation Failure should not be applied.</w:t>
      </w:r>
    </w:p>
    <w:p w14:paraId="6D3B937E" w14:textId="39D10E26"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21963905" w14:textId="2418AA0A"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1 October 2011.</w:t>
      </w:r>
    </w:p>
    <w:p w14:paraId="1B162C31" w14:textId="613FFA21"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3CAA1032" w14:textId="6E6B9C2D" w:rsidR="00DE0653" w:rsidRDefault="00DE0653" w:rsidP="00DE0653">
      <w:pPr>
        <w:ind w:left="0"/>
      </w:pPr>
      <w:r w:rsidRPr="00F4796B">
        <w:rPr>
          <w:b/>
        </w:rPr>
        <w:lastRenderedPageBreak/>
        <w:t xml:space="preserve">Medical reason A </w:t>
      </w:r>
      <w:r w:rsidR="00B10106">
        <w:t>–</w:t>
      </w:r>
      <w:r>
        <w:t xml:space="preserve"> means that the Department of Human Services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633C1113" w14:textId="31536289" w:rsidR="00DE0653" w:rsidRDefault="00DE0653" w:rsidP="00DE0653">
      <w:pPr>
        <w:ind w:left="0"/>
      </w:pPr>
      <w:r w:rsidRPr="00F4796B">
        <w:rPr>
          <w:b/>
        </w:rPr>
        <w:t>Medical reason B</w:t>
      </w:r>
      <w:r>
        <w:t xml:space="preserve"> </w:t>
      </w:r>
      <w:r w:rsidR="00B10106">
        <w:t>–</w:t>
      </w:r>
      <w:r>
        <w:t xml:space="preserve"> means that the Department of Human Services determined a medical reason prevented the job seeker from complying with the requirement and the job seeker provided specific evidence relating to the particular incident.</w:t>
      </w:r>
    </w:p>
    <w:p w14:paraId="1267E79D" w14:textId="66F7E2BB" w:rsidR="00DE0653" w:rsidRDefault="00DE0653" w:rsidP="00DE0653">
      <w:pPr>
        <w:ind w:left="0"/>
      </w:pPr>
      <w:r w:rsidRPr="00F4796B">
        <w:rPr>
          <w:b/>
        </w:rPr>
        <w:t>Nature of requirements</w:t>
      </w:r>
      <w:r>
        <w:t xml:space="preserve"> </w:t>
      </w:r>
      <w:r w:rsidR="00B10106">
        <w:t>–</w:t>
      </w:r>
      <w:r>
        <w:t xml:space="preserve">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72D201E" w14:textId="4EC20C48"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5935ED92" w14:textId="055DF2A9"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Non-Attendance Report replaced the Connection Failure Participation Report which was used to report this type of non-attendance from 1 July 2014.</w:t>
      </w:r>
    </w:p>
    <w:p w14:paraId="04E7EF9B" w14:textId="00330255"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50DFC08F" w14:textId="3FED2E8D" w:rsidR="00DE0653" w:rsidRDefault="00DE0653" w:rsidP="00DE0653">
      <w:pPr>
        <w:ind w:left="0"/>
      </w:pPr>
      <w:r w:rsidRPr="00F4796B">
        <w:rPr>
          <w:b/>
        </w:rPr>
        <w:t xml:space="preserve">No Outcomes </w:t>
      </w:r>
      <w:r w:rsidR="00B10106">
        <w:t>–</w:t>
      </w:r>
      <w:r>
        <w:t xml:space="preserve"> 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2EB1115" w14:textId="091FAF7E"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7EFB1204" w14:textId="1F9C3597" w:rsidR="00DE065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by DHS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00EF16EC" w14:textId="46C099E7" w:rsidR="00DE0653" w:rsidRDefault="00DE0653" w:rsidP="00DE0653">
      <w:pPr>
        <w:ind w:left="0"/>
      </w:pPr>
      <w:r w:rsidRPr="00F4796B">
        <w:rPr>
          <w:b/>
        </w:rPr>
        <w:t xml:space="preserve">Notifying requirements </w:t>
      </w:r>
      <w:r w:rsidR="00B10106">
        <w:t>–</w:t>
      </w:r>
      <w:r>
        <w:t xml:space="preserve"> means that the Department of Human Services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F4F0BC3" w14:textId="65DD07A9" w:rsidR="00DE0653" w:rsidRDefault="00DE0653" w:rsidP="00DE0653">
      <w:pPr>
        <w:ind w:left="0"/>
      </w:pPr>
      <w:r w:rsidRPr="00F4796B">
        <w:rPr>
          <w:b/>
        </w:rPr>
        <w:lastRenderedPageBreak/>
        <w:t xml:space="preserve">Number of job seekers with a Vulnerability Indicator </w:t>
      </w:r>
      <w:r w:rsidR="00B10106">
        <w:t>–</w:t>
      </w:r>
      <w:r>
        <w:t xml:space="preserve"> means job seekers who, at the end of the quarter, had one or more Vulnerability Indicators on their record.</w:t>
      </w:r>
    </w:p>
    <w:p w14:paraId="4683223D" w14:textId="6B7BC8F1"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2FC560D8" w14:textId="06D8AAA2" w:rsidR="00DE0653" w:rsidRDefault="00DE0653" w:rsidP="00DE0653">
      <w:pPr>
        <w:ind w:left="0"/>
      </w:pPr>
      <w:r w:rsidRPr="00F4796B">
        <w:rPr>
          <w:b/>
        </w:rPr>
        <w:t xml:space="preserve">Other acceptable activity </w:t>
      </w:r>
      <w:r w:rsidR="00B10106">
        <w:t>–</w:t>
      </w:r>
      <w:r>
        <w:t xml:space="preserve"> means that the Department of Human Services determined the job seeker was participating in an activity that made it acceptable not to meet the requirement (for example, undertaking paid work, attending an interview, etc.).</w:t>
      </w:r>
    </w:p>
    <w:p w14:paraId="4220FA69"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063373FA" w14:textId="4116BDAD"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7EF4EB86" w14:textId="207771DD" w:rsidR="00DE0653" w:rsidRDefault="00DE0653" w:rsidP="00DE0653">
      <w:pPr>
        <w:ind w:left="0"/>
      </w:pPr>
      <w:r w:rsidRPr="00F4796B">
        <w:rPr>
          <w:b/>
        </w:rPr>
        <w:t xml:space="preserve">Personal crisis </w:t>
      </w:r>
      <w:r w:rsidR="00B10106">
        <w:t>–</w:t>
      </w:r>
      <w:r>
        <w:t xml:space="preserve"> means that the Department of Human Services determined a personal crisis prevented the job seeker from complying with the requirement (for example, a bereavement of a family member).</w:t>
      </w:r>
    </w:p>
    <w:p w14:paraId="14FC6C3E" w14:textId="2157E0DC"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the Department of Human Services decision-maker found that they did not do so in these instances.</w:t>
      </w:r>
    </w:p>
    <w:p w14:paraId="32D1440A" w14:textId="435A2CE4"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the Department of Human Services that a financial penalty be applied.  </w:t>
      </w:r>
    </w:p>
    <w:p w14:paraId="212C1258" w14:textId="75EDC2C9"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32C88439" w14:textId="7578FFEA"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518558C5" w14:textId="6EE061E9"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566B0C">
        <w:t>r</w:t>
      </w:r>
      <w:r w:rsidRPr="00B33FF0">
        <w:t>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03AB6426" w14:textId="6F292F3A" w:rsidR="00DE0653" w:rsidRDefault="00DE0653" w:rsidP="00DE0653">
      <w:pPr>
        <w:ind w:left="0"/>
      </w:pPr>
      <w:r w:rsidRPr="00F4796B">
        <w:rPr>
          <w:b/>
        </w:rPr>
        <w:lastRenderedPageBreak/>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the Department of Human Services. </w:t>
      </w:r>
    </w:p>
    <w:p w14:paraId="612DAC77" w14:textId="67FA3DC3"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303E46F2" w14:textId="062049FE" w:rsidR="00DE0653" w:rsidRDefault="00DE0653" w:rsidP="00DE0653">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6034731A" w14:textId="1FC35B2F" w:rsidR="00DE0653" w:rsidRDefault="00DE0653" w:rsidP="00DE0653">
      <w:pPr>
        <w:ind w:left="0"/>
      </w:pPr>
      <w:r w:rsidRPr="006C321A">
        <w:rPr>
          <w:b/>
        </w:rPr>
        <w:t>Temporary exemption</w:t>
      </w:r>
      <w:r w:rsidRPr="006C321A">
        <w:t xml:space="preserve"> </w:t>
      </w:r>
      <w:r>
        <w:t xml:space="preserve">- </w:t>
      </w:r>
      <w:r w:rsidRPr="006C321A">
        <w:t>job seekers can be granted an exemption by the Department of Human Services,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57308755" w14:textId="77777777" w:rsidR="00DE0653" w:rsidRDefault="00DE0653" w:rsidP="00DE0653">
      <w:pPr>
        <w:ind w:left="0"/>
      </w:pPr>
      <w:r w:rsidRPr="00F4796B">
        <w:rPr>
          <w:b/>
        </w:rPr>
        <w:t xml:space="preserve">The Department of Human Services </w:t>
      </w:r>
      <w:r>
        <w:t>– From 1 July 2011, Centrelink became part of the Department of Human Services. Data releases dated prior to 1 July 2011 may refer to Centrelink instead of the Department of Human Services.</w:t>
      </w:r>
    </w:p>
    <w:p w14:paraId="7BC4AE61" w14:textId="248DDF9C"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4362ABA9" w14:textId="71C82CB9" w:rsidR="00DE0653" w:rsidRDefault="00DE0653" w:rsidP="00DE0653">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3B6045F1" w14:textId="2768B93C" w:rsidR="00DE0653" w:rsidRDefault="00DE0653" w:rsidP="00DE0653">
      <w:pPr>
        <w:ind w:left="0"/>
      </w:pPr>
      <w:r w:rsidRPr="00F4796B">
        <w:rPr>
          <w:b/>
        </w:rPr>
        <w:t xml:space="preserve">Valid reason </w:t>
      </w:r>
      <w:r>
        <w:t>- means that the provider considers the job seeker had a reasonable excuse for not attending the appointment.</w:t>
      </w:r>
    </w:p>
    <w:p w14:paraId="7767F654" w14:textId="7796E85E" w:rsidR="00DE0653" w:rsidRDefault="00DE0653" w:rsidP="00DE0653">
      <w:pPr>
        <w:ind w:left="0"/>
      </w:pPr>
      <w:r w:rsidRPr="00F4796B">
        <w:rPr>
          <w:b/>
        </w:rPr>
        <w:t>Vulnerability</w:t>
      </w:r>
      <w:r>
        <w:t xml:space="preserve"> - means that a job seeker has a diagnosed condition or personal circumstance (e.g. homelessness, mental illness) that may currently impact on their capacity to comply with activity test requirements, although it does not exempt a job seeker from these requirements.</w:t>
      </w:r>
    </w:p>
    <w:p w14:paraId="6A61F52A" w14:textId="77777777" w:rsidR="00DE0653" w:rsidRPr="00FB63AD" w:rsidRDefault="00DE0653" w:rsidP="00DE0653">
      <w:pPr>
        <w:spacing w:before="360" w:after="120"/>
        <w:ind w:left="-142" w:firstLine="142"/>
        <w:rPr>
          <w:b/>
        </w:rPr>
      </w:pPr>
      <w:r w:rsidRPr="00FB63AD">
        <w:rPr>
          <w:b/>
        </w:rPr>
        <w:t xml:space="preserve">Notes: </w:t>
      </w:r>
    </w:p>
    <w:p w14:paraId="4B0747D0" w14:textId="1F4B59A6" w:rsidR="00DE0653" w:rsidRPr="00FB63AD" w:rsidRDefault="00DE0653" w:rsidP="00DE0653">
      <w:pPr>
        <w:pStyle w:val="ListParagraph"/>
        <w:numPr>
          <w:ilvl w:val="0"/>
          <w:numId w:val="3"/>
        </w:numPr>
        <w:tabs>
          <w:tab w:val="left" w:pos="284"/>
        </w:tabs>
        <w:ind w:left="-142" w:firstLine="142"/>
      </w:pPr>
      <w:r w:rsidRPr="00FB63AD">
        <w:lastRenderedPageBreak/>
        <w:t xml:space="preserve">The above tables show all compliance actions that were applied or finalised during the </w:t>
      </w:r>
      <w:r>
        <w:t>f</w:t>
      </w:r>
      <w:r w:rsidR="004B5B9F">
        <w:t>ourth</w:t>
      </w:r>
      <w:r w:rsidRPr="00FB63AD">
        <w:t xml:space="preserve"> quarter of the 201</w:t>
      </w:r>
      <w:r>
        <w:t xml:space="preserve">8 - </w:t>
      </w:r>
      <w:r w:rsidRPr="00FB63AD">
        <w:t>1</w:t>
      </w:r>
      <w:r>
        <w:t>9</w:t>
      </w:r>
      <w:r w:rsidRPr="00FB63AD">
        <w:t xml:space="preserve"> financial year (i.e. applied/finalised in the period 1/</w:t>
      </w:r>
      <w:r w:rsidR="008A1BE9">
        <w:t>4</w:t>
      </w:r>
      <w:r w:rsidRPr="00FB63AD">
        <w:t>/201</w:t>
      </w:r>
      <w:r w:rsidR="008A1BE9">
        <w:t>9</w:t>
      </w:r>
      <w:r w:rsidRPr="00FB63AD">
        <w:t xml:space="preserve"> – </w:t>
      </w:r>
      <w:r w:rsidR="008A1BE9">
        <w:t>30/6</w:t>
      </w:r>
      <w:r>
        <w:t>/</w:t>
      </w:r>
      <w:r w:rsidR="002F4C78">
        <w:t>20</w:t>
      </w:r>
      <w:r w:rsidR="008A1BE9">
        <w:t>19</w:t>
      </w:r>
      <w:r w:rsidRPr="00FB63AD">
        <w:t xml:space="preserve"> inclusive) and not under review, revoked or otherwise overturned as at 1</w:t>
      </w:r>
      <w:r w:rsidR="008A1BE9">
        <w:t>4 August 2019</w:t>
      </w:r>
      <w:r w:rsidRPr="00FB63AD">
        <w:t xml:space="preserve">. This lag is to allow for reviews and appeals to be finalised. </w:t>
      </w:r>
    </w:p>
    <w:p w14:paraId="715AE48E" w14:textId="735D597A" w:rsidR="00DE0653" w:rsidRPr="00FB63AD" w:rsidRDefault="00DE0653" w:rsidP="00DE0653">
      <w:pPr>
        <w:pStyle w:val="ListParagraph"/>
        <w:numPr>
          <w:ilvl w:val="0"/>
          <w:numId w:val="3"/>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46FF0E4D" w14:textId="3D946D2C" w:rsidR="00DE0653" w:rsidRPr="00FB63AD" w:rsidRDefault="00DE0653" w:rsidP="00DE0653">
      <w:pPr>
        <w:pStyle w:val="ListParagraph"/>
        <w:numPr>
          <w:ilvl w:val="0"/>
          <w:numId w:val="3"/>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566B0C">
        <w:t>‘np’</w:t>
      </w:r>
      <w:r>
        <w:t xml:space="preserve"> is used where the &lt;20</w:t>
      </w:r>
      <w:r w:rsidRPr="00FB63AD">
        <w:t xml:space="preserve"> can be derived through totals or other values.</w:t>
      </w:r>
      <w:r w:rsidRPr="00FB7040">
        <w:t xml:space="preserve"> </w:t>
      </w:r>
    </w:p>
    <w:p w14:paraId="41D47D69" w14:textId="77777777" w:rsidR="00DE0653" w:rsidRPr="00FB63AD" w:rsidRDefault="00DE0653" w:rsidP="00DE0653">
      <w:pPr>
        <w:pStyle w:val="ListParagraph"/>
        <w:numPr>
          <w:ilvl w:val="0"/>
          <w:numId w:val="3"/>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0FDBEC08" w14:textId="77777777" w:rsidR="005A3646" w:rsidRPr="00FB63AD" w:rsidRDefault="00DE0653" w:rsidP="00935C45">
      <w:pPr>
        <w:pStyle w:val="ListParagraph"/>
        <w:numPr>
          <w:ilvl w:val="0"/>
          <w:numId w:val="3"/>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7E53AF">
      <w:headerReference w:type="default" r:id="rId11"/>
      <w:footerReference w:type="default" r:id="rId12"/>
      <w:footerReference w:type="first" r:id="rId13"/>
      <w:pgSz w:w="16838" w:h="11906" w:orient="landscape"/>
      <w:pgMar w:top="142" w:right="962" w:bottom="720"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DDF68" w14:textId="77777777" w:rsidR="00400FF9" w:rsidRDefault="00400FF9" w:rsidP="00C7637E">
      <w:pPr>
        <w:spacing w:before="0" w:after="0" w:line="240" w:lineRule="auto"/>
      </w:pPr>
      <w:r>
        <w:separator/>
      </w:r>
    </w:p>
  </w:endnote>
  <w:endnote w:type="continuationSeparator" w:id="0">
    <w:p w14:paraId="2F161BDA" w14:textId="77777777" w:rsidR="00400FF9" w:rsidRDefault="00400FF9"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41553"/>
      <w:docPartObj>
        <w:docPartGallery w:val="Page Numbers (Bottom of Page)"/>
        <w:docPartUnique/>
      </w:docPartObj>
    </w:sdtPr>
    <w:sdtEndPr>
      <w:rPr>
        <w:noProof/>
      </w:rPr>
    </w:sdtEndPr>
    <w:sdtContent>
      <w:p w14:paraId="53D0DBD8" w14:textId="22C733F8" w:rsidR="00400FF9" w:rsidRDefault="00400FF9">
        <w:pPr>
          <w:pStyle w:val="Footer"/>
        </w:pPr>
        <w:r>
          <w:fldChar w:fldCharType="begin"/>
        </w:r>
        <w:r>
          <w:instrText xml:space="preserve"> PAGE   \* MERGEFORMAT </w:instrText>
        </w:r>
        <w:r>
          <w:fldChar w:fldCharType="separate"/>
        </w:r>
        <w:r w:rsidR="002347EC">
          <w:rPr>
            <w:noProof/>
          </w:rPr>
          <w:t>14</w:t>
        </w:r>
        <w:r>
          <w:rPr>
            <w:noProof/>
          </w:rPr>
          <w:fldChar w:fldCharType="end"/>
        </w:r>
      </w:p>
    </w:sdtContent>
  </w:sdt>
  <w:p w14:paraId="3C1164CE" w14:textId="77777777" w:rsidR="00400FF9" w:rsidRDefault="00400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95601"/>
      <w:docPartObj>
        <w:docPartGallery w:val="Page Numbers (Bottom of Page)"/>
        <w:docPartUnique/>
      </w:docPartObj>
    </w:sdtPr>
    <w:sdtEndPr>
      <w:rPr>
        <w:noProof/>
      </w:rPr>
    </w:sdtEndPr>
    <w:sdtContent>
      <w:p w14:paraId="2FC75C23" w14:textId="4E7B306A" w:rsidR="00400FF9" w:rsidRDefault="00400FF9">
        <w:pPr>
          <w:pStyle w:val="Footer"/>
        </w:pPr>
        <w:r>
          <w:fldChar w:fldCharType="begin"/>
        </w:r>
        <w:r>
          <w:instrText xml:space="preserve"> PAGE   \* MERGEFORMAT </w:instrText>
        </w:r>
        <w:r>
          <w:fldChar w:fldCharType="separate"/>
        </w:r>
        <w:r w:rsidR="002347EC">
          <w:rPr>
            <w:noProof/>
          </w:rPr>
          <w:t>1</w:t>
        </w:r>
        <w:r>
          <w:rPr>
            <w:noProof/>
          </w:rPr>
          <w:fldChar w:fldCharType="end"/>
        </w:r>
      </w:p>
    </w:sdtContent>
  </w:sdt>
  <w:p w14:paraId="480CC4FD" w14:textId="77777777" w:rsidR="00400FF9" w:rsidRDefault="00400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0B42" w14:textId="77777777" w:rsidR="00400FF9" w:rsidRDefault="00400FF9" w:rsidP="00C7637E">
      <w:pPr>
        <w:spacing w:before="0" w:after="0" w:line="240" w:lineRule="auto"/>
      </w:pPr>
      <w:r>
        <w:separator/>
      </w:r>
    </w:p>
  </w:footnote>
  <w:footnote w:type="continuationSeparator" w:id="0">
    <w:p w14:paraId="609EFC87" w14:textId="77777777" w:rsidR="00400FF9" w:rsidRDefault="00400FF9"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E7BDD" w14:textId="5F9704EB" w:rsidR="00400FF9" w:rsidRDefault="00400FF9" w:rsidP="007E53AF">
    <w:pPr>
      <w:pStyle w:val="TOCHeading"/>
      <w:jc w:val="center"/>
    </w:pPr>
    <w:r w:rsidRPr="007E53AF">
      <w:rPr>
        <w:rFonts w:eastAsiaTheme="minorHAnsi" w:cs="Arial"/>
        <w:b w:val="0"/>
        <w:bCs w:val="0"/>
        <w:sz w:val="22"/>
        <w:szCs w:val="22"/>
        <w:lang w:val="en-AU" w:eastAsia="en-US"/>
      </w:rPr>
      <w:t>Community Development Program (CDP) June 2019 Quarterly Compliance Data</w:t>
    </w:r>
  </w:p>
  <w:p w14:paraId="66E8B42E" w14:textId="77777777" w:rsidR="00400FF9" w:rsidRPr="00B10E31" w:rsidRDefault="00400FF9"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7"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7"/>
  </w:num>
  <w:num w:numId="2">
    <w:abstractNumId w:val="0"/>
  </w:num>
  <w:num w:numId="3">
    <w:abstractNumId w:val="2"/>
  </w:num>
  <w:num w:numId="4">
    <w:abstractNumId w:val="4"/>
  </w:num>
  <w:num w:numId="5">
    <w:abstractNumId w:val="6"/>
  </w:num>
  <w:num w:numId="6">
    <w:abstractNumId w:val="3"/>
  </w:num>
  <w:num w:numId="7">
    <w:abstractNumId w:val="5"/>
  </w:num>
  <w:num w:numId="8">
    <w:abstractNumId w:val="1"/>
  </w:num>
  <w:num w:numId="9">
    <w:abstractNumId w:val="7"/>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0F87"/>
    <w:rsid w:val="00001540"/>
    <w:rsid w:val="00001967"/>
    <w:rsid w:val="00003259"/>
    <w:rsid w:val="00007277"/>
    <w:rsid w:val="00010AB5"/>
    <w:rsid w:val="00011CF1"/>
    <w:rsid w:val="0001211D"/>
    <w:rsid w:val="00012C2F"/>
    <w:rsid w:val="0001314D"/>
    <w:rsid w:val="000158E3"/>
    <w:rsid w:val="000178B1"/>
    <w:rsid w:val="00023D5D"/>
    <w:rsid w:val="000242A2"/>
    <w:rsid w:val="00026E56"/>
    <w:rsid w:val="00032F1D"/>
    <w:rsid w:val="00033348"/>
    <w:rsid w:val="00033DF5"/>
    <w:rsid w:val="0003431F"/>
    <w:rsid w:val="00034DCA"/>
    <w:rsid w:val="00034EF4"/>
    <w:rsid w:val="00035CBE"/>
    <w:rsid w:val="00036B4A"/>
    <w:rsid w:val="00041A58"/>
    <w:rsid w:val="00041C6E"/>
    <w:rsid w:val="00043B1A"/>
    <w:rsid w:val="00044D26"/>
    <w:rsid w:val="00045A2C"/>
    <w:rsid w:val="000474CB"/>
    <w:rsid w:val="00052513"/>
    <w:rsid w:val="00052840"/>
    <w:rsid w:val="00054BD6"/>
    <w:rsid w:val="0005523D"/>
    <w:rsid w:val="000564D1"/>
    <w:rsid w:val="000570A8"/>
    <w:rsid w:val="00057214"/>
    <w:rsid w:val="00060615"/>
    <w:rsid w:val="00063A1B"/>
    <w:rsid w:val="00064180"/>
    <w:rsid w:val="00065847"/>
    <w:rsid w:val="00070530"/>
    <w:rsid w:val="0007155C"/>
    <w:rsid w:val="000736AD"/>
    <w:rsid w:val="00074775"/>
    <w:rsid w:val="00076432"/>
    <w:rsid w:val="000770FC"/>
    <w:rsid w:val="00077329"/>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012C"/>
    <w:rsid w:val="000B257F"/>
    <w:rsid w:val="000B28B7"/>
    <w:rsid w:val="000B2D21"/>
    <w:rsid w:val="000B310D"/>
    <w:rsid w:val="000B31CC"/>
    <w:rsid w:val="000B4AEF"/>
    <w:rsid w:val="000B68D8"/>
    <w:rsid w:val="000C02DB"/>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10D51"/>
    <w:rsid w:val="00111B9F"/>
    <w:rsid w:val="00111DBF"/>
    <w:rsid w:val="00112355"/>
    <w:rsid w:val="001124F7"/>
    <w:rsid w:val="00113864"/>
    <w:rsid w:val="00113D2C"/>
    <w:rsid w:val="00113E2B"/>
    <w:rsid w:val="00115666"/>
    <w:rsid w:val="00116D06"/>
    <w:rsid w:val="00117DA8"/>
    <w:rsid w:val="00122730"/>
    <w:rsid w:val="001243B0"/>
    <w:rsid w:val="00124ED6"/>
    <w:rsid w:val="00125577"/>
    <w:rsid w:val="0012559F"/>
    <w:rsid w:val="00126458"/>
    <w:rsid w:val="00126999"/>
    <w:rsid w:val="001275A1"/>
    <w:rsid w:val="00127D89"/>
    <w:rsid w:val="00131442"/>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7759B"/>
    <w:rsid w:val="00182485"/>
    <w:rsid w:val="001833F0"/>
    <w:rsid w:val="001840B1"/>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69A5"/>
    <w:rsid w:val="001E7284"/>
    <w:rsid w:val="001F06CA"/>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47EC"/>
    <w:rsid w:val="00235A1F"/>
    <w:rsid w:val="00240E58"/>
    <w:rsid w:val="00242294"/>
    <w:rsid w:val="00242549"/>
    <w:rsid w:val="00243417"/>
    <w:rsid w:val="00244333"/>
    <w:rsid w:val="00244E0F"/>
    <w:rsid w:val="002459B5"/>
    <w:rsid w:val="00246764"/>
    <w:rsid w:val="0024712C"/>
    <w:rsid w:val="0025083F"/>
    <w:rsid w:val="00253794"/>
    <w:rsid w:val="00254271"/>
    <w:rsid w:val="00254CE7"/>
    <w:rsid w:val="0025563A"/>
    <w:rsid w:val="002567EB"/>
    <w:rsid w:val="0026117D"/>
    <w:rsid w:val="0026140B"/>
    <w:rsid w:val="00263D6A"/>
    <w:rsid w:val="0026402F"/>
    <w:rsid w:val="00266AE0"/>
    <w:rsid w:val="00266FAE"/>
    <w:rsid w:val="00270749"/>
    <w:rsid w:val="00272E0B"/>
    <w:rsid w:val="0027383C"/>
    <w:rsid w:val="0027474B"/>
    <w:rsid w:val="0027575B"/>
    <w:rsid w:val="002765BE"/>
    <w:rsid w:val="0027748E"/>
    <w:rsid w:val="002820FC"/>
    <w:rsid w:val="0028220B"/>
    <w:rsid w:val="0028399B"/>
    <w:rsid w:val="00287925"/>
    <w:rsid w:val="002902B4"/>
    <w:rsid w:val="00291FC6"/>
    <w:rsid w:val="0029492C"/>
    <w:rsid w:val="002969C6"/>
    <w:rsid w:val="00297F88"/>
    <w:rsid w:val="002A109F"/>
    <w:rsid w:val="002A1655"/>
    <w:rsid w:val="002A3EE3"/>
    <w:rsid w:val="002A4EB2"/>
    <w:rsid w:val="002A5F00"/>
    <w:rsid w:val="002A75B4"/>
    <w:rsid w:val="002B1FF6"/>
    <w:rsid w:val="002B27CE"/>
    <w:rsid w:val="002B2F3F"/>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4C78"/>
    <w:rsid w:val="002F6B27"/>
    <w:rsid w:val="00302318"/>
    <w:rsid w:val="003029B9"/>
    <w:rsid w:val="00305AF1"/>
    <w:rsid w:val="00305FB2"/>
    <w:rsid w:val="003101E2"/>
    <w:rsid w:val="00310C16"/>
    <w:rsid w:val="00311BE9"/>
    <w:rsid w:val="00314902"/>
    <w:rsid w:val="00317188"/>
    <w:rsid w:val="00321D8D"/>
    <w:rsid w:val="003237CB"/>
    <w:rsid w:val="0032395B"/>
    <w:rsid w:val="003249E4"/>
    <w:rsid w:val="00325EF7"/>
    <w:rsid w:val="00326474"/>
    <w:rsid w:val="00334A3E"/>
    <w:rsid w:val="00335E93"/>
    <w:rsid w:val="00335F1D"/>
    <w:rsid w:val="00336883"/>
    <w:rsid w:val="003374A4"/>
    <w:rsid w:val="00340E29"/>
    <w:rsid w:val="0034586C"/>
    <w:rsid w:val="00346BDF"/>
    <w:rsid w:val="0034796D"/>
    <w:rsid w:val="00350066"/>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5388"/>
    <w:rsid w:val="003A658D"/>
    <w:rsid w:val="003B185A"/>
    <w:rsid w:val="003B283F"/>
    <w:rsid w:val="003B36AF"/>
    <w:rsid w:val="003B5871"/>
    <w:rsid w:val="003C125B"/>
    <w:rsid w:val="003C2076"/>
    <w:rsid w:val="003C265B"/>
    <w:rsid w:val="003C3A3A"/>
    <w:rsid w:val="003C7CB4"/>
    <w:rsid w:val="003C7D21"/>
    <w:rsid w:val="003C7EE2"/>
    <w:rsid w:val="003D167A"/>
    <w:rsid w:val="003D2941"/>
    <w:rsid w:val="003D35A6"/>
    <w:rsid w:val="003D5513"/>
    <w:rsid w:val="003D5728"/>
    <w:rsid w:val="003D6101"/>
    <w:rsid w:val="003D6984"/>
    <w:rsid w:val="003D7C42"/>
    <w:rsid w:val="003E314C"/>
    <w:rsid w:val="003E49E7"/>
    <w:rsid w:val="003E4F54"/>
    <w:rsid w:val="003E5111"/>
    <w:rsid w:val="003E51C3"/>
    <w:rsid w:val="003E597C"/>
    <w:rsid w:val="003E5F26"/>
    <w:rsid w:val="003F2404"/>
    <w:rsid w:val="003F7D91"/>
    <w:rsid w:val="00400BFB"/>
    <w:rsid w:val="00400FF9"/>
    <w:rsid w:val="004033F6"/>
    <w:rsid w:val="0040538D"/>
    <w:rsid w:val="0040555E"/>
    <w:rsid w:val="0040603C"/>
    <w:rsid w:val="004119F6"/>
    <w:rsid w:val="00411D73"/>
    <w:rsid w:val="00416AB1"/>
    <w:rsid w:val="00416E50"/>
    <w:rsid w:val="00422B7B"/>
    <w:rsid w:val="004242CA"/>
    <w:rsid w:val="004266B2"/>
    <w:rsid w:val="00426999"/>
    <w:rsid w:val="004305BD"/>
    <w:rsid w:val="00430BF7"/>
    <w:rsid w:val="00431CE2"/>
    <w:rsid w:val="0043434F"/>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5432"/>
    <w:rsid w:val="004741B6"/>
    <w:rsid w:val="00475B1D"/>
    <w:rsid w:val="00481EB2"/>
    <w:rsid w:val="00483C63"/>
    <w:rsid w:val="004851D0"/>
    <w:rsid w:val="00485A92"/>
    <w:rsid w:val="00486107"/>
    <w:rsid w:val="00486F42"/>
    <w:rsid w:val="004903EE"/>
    <w:rsid w:val="0049118E"/>
    <w:rsid w:val="00492B5E"/>
    <w:rsid w:val="00495540"/>
    <w:rsid w:val="004A1E08"/>
    <w:rsid w:val="004A24DC"/>
    <w:rsid w:val="004A318C"/>
    <w:rsid w:val="004A4AED"/>
    <w:rsid w:val="004A5444"/>
    <w:rsid w:val="004B01E9"/>
    <w:rsid w:val="004B0A32"/>
    <w:rsid w:val="004B0B70"/>
    <w:rsid w:val="004B1201"/>
    <w:rsid w:val="004B2EE6"/>
    <w:rsid w:val="004B5B9F"/>
    <w:rsid w:val="004B7E89"/>
    <w:rsid w:val="004C223C"/>
    <w:rsid w:val="004C702D"/>
    <w:rsid w:val="004C7194"/>
    <w:rsid w:val="004C75AB"/>
    <w:rsid w:val="004C767C"/>
    <w:rsid w:val="004D1AD0"/>
    <w:rsid w:val="004D4278"/>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1084"/>
    <w:rsid w:val="00501217"/>
    <w:rsid w:val="005015E4"/>
    <w:rsid w:val="00501B1B"/>
    <w:rsid w:val="00502AD5"/>
    <w:rsid w:val="00503360"/>
    <w:rsid w:val="00504CF1"/>
    <w:rsid w:val="005063E7"/>
    <w:rsid w:val="005102B2"/>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2736F"/>
    <w:rsid w:val="00530268"/>
    <w:rsid w:val="00530897"/>
    <w:rsid w:val="00530DEC"/>
    <w:rsid w:val="00531D2D"/>
    <w:rsid w:val="00532644"/>
    <w:rsid w:val="005339AE"/>
    <w:rsid w:val="00534A5F"/>
    <w:rsid w:val="00535A4C"/>
    <w:rsid w:val="00535D22"/>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60EE2"/>
    <w:rsid w:val="005611A6"/>
    <w:rsid w:val="00561868"/>
    <w:rsid w:val="005666CE"/>
    <w:rsid w:val="00566B0C"/>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514"/>
    <w:rsid w:val="005A0371"/>
    <w:rsid w:val="005A03C3"/>
    <w:rsid w:val="005A0DF6"/>
    <w:rsid w:val="005A1C01"/>
    <w:rsid w:val="005A3646"/>
    <w:rsid w:val="005A4511"/>
    <w:rsid w:val="005A509C"/>
    <w:rsid w:val="005A633C"/>
    <w:rsid w:val="005A6355"/>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781"/>
    <w:rsid w:val="005E6BA6"/>
    <w:rsid w:val="005E6C16"/>
    <w:rsid w:val="005F668D"/>
    <w:rsid w:val="00600156"/>
    <w:rsid w:val="006041A6"/>
    <w:rsid w:val="00604413"/>
    <w:rsid w:val="00604FD9"/>
    <w:rsid w:val="0060590F"/>
    <w:rsid w:val="00606436"/>
    <w:rsid w:val="00606C35"/>
    <w:rsid w:val="00607E1B"/>
    <w:rsid w:val="006122F5"/>
    <w:rsid w:val="00612859"/>
    <w:rsid w:val="00614498"/>
    <w:rsid w:val="00616303"/>
    <w:rsid w:val="00620122"/>
    <w:rsid w:val="006201CF"/>
    <w:rsid w:val="00620921"/>
    <w:rsid w:val="00620D84"/>
    <w:rsid w:val="006211BD"/>
    <w:rsid w:val="00621B96"/>
    <w:rsid w:val="006236F8"/>
    <w:rsid w:val="00623E36"/>
    <w:rsid w:val="00630335"/>
    <w:rsid w:val="00630511"/>
    <w:rsid w:val="00631491"/>
    <w:rsid w:val="006318C4"/>
    <w:rsid w:val="006361C5"/>
    <w:rsid w:val="006366A0"/>
    <w:rsid w:val="00640C62"/>
    <w:rsid w:val="00645B38"/>
    <w:rsid w:val="00646112"/>
    <w:rsid w:val="00646F44"/>
    <w:rsid w:val="00647682"/>
    <w:rsid w:val="00647A4D"/>
    <w:rsid w:val="00647EFF"/>
    <w:rsid w:val="006515D6"/>
    <w:rsid w:val="00656FF9"/>
    <w:rsid w:val="006600F3"/>
    <w:rsid w:val="00665787"/>
    <w:rsid w:val="00665D6A"/>
    <w:rsid w:val="00665F53"/>
    <w:rsid w:val="006677DF"/>
    <w:rsid w:val="00667846"/>
    <w:rsid w:val="006707C0"/>
    <w:rsid w:val="00670AAD"/>
    <w:rsid w:val="0067110A"/>
    <w:rsid w:val="0067210B"/>
    <w:rsid w:val="00673181"/>
    <w:rsid w:val="00673FCC"/>
    <w:rsid w:val="006769FC"/>
    <w:rsid w:val="00680281"/>
    <w:rsid w:val="00680E1B"/>
    <w:rsid w:val="0068194F"/>
    <w:rsid w:val="00681CAF"/>
    <w:rsid w:val="006824D5"/>
    <w:rsid w:val="00682D74"/>
    <w:rsid w:val="0068365D"/>
    <w:rsid w:val="00686939"/>
    <w:rsid w:val="0069139E"/>
    <w:rsid w:val="00695C36"/>
    <w:rsid w:val="00696382"/>
    <w:rsid w:val="00696DD0"/>
    <w:rsid w:val="006A0375"/>
    <w:rsid w:val="006A1A97"/>
    <w:rsid w:val="006A26D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5051"/>
    <w:rsid w:val="006E682C"/>
    <w:rsid w:val="006E689D"/>
    <w:rsid w:val="006E69FC"/>
    <w:rsid w:val="006E7163"/>
    <w:rsid w:val="006E7294"/>
    <w:rsid w:val="006F0BDC"/>
    <w:rsid w:val="006F17C2"/>
    <w:rsid w:val="006F4639"/>
    <w:rsid w:val="006F495A"/>
    <w:rsid w:val="006F5FD2"/>
    <w:rsid w:val="006F639A"/>
    <w:rsid w:val="006F7CD0"/>
    <w:rsid w:val="00701E19"/>
    <w:rsid w:val="0070239B"/>
    <w:rsid w:val="0070381D"/>
    <w:rsid w:val="00703FB9"/>
    <w:rsid w:val="00704537"/>
    <w:rsid w:val="00705337"/>
    <w:rsid w:val="00710C54"/>
    <w:rsid w:val="00710EC0"/>
    <w:rsid w:val="00716550"/>
    <w:rsid w:val="0071706D"/>
    <w:rsid w:val="00722947"/>
    <w:rsid w:val="00722FEB"/>
    <w:rsid w:val="00723F71"/>
    <w:rsid w:val="00725B7E"/>
    <w:rsid w:val="00727A5A"/>
    <w:rsid w:val="007304D5"/>
    <w:rsid w:val="00732052"/>
    <w:rsid w:val="0073241E"/>
    <w:rsid w:val="00733E11"/>
    <w:rsid w:val="00734F71"/>
    <w:rsid w:val="00736722"/>
    <w:rsid w:val="00737E6B"/>
    <w:rsid w:val="00740BE8"/>
    <w:rsid w:val="007418F1"/>
    <w:rsid w:val="007448C7"/>
    <w:rsid w:val="007501F1"/>
    <w:rsid w:val="00751810"/>
    <w:rsid w:val="00754216"/>
    <w:rsid w:val="00755C9B"/>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5A25"/>
    <w:rsid w:val="0077749D"/>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2951"/>
    <w:rsid w:val="007A3728"/>
    <w:rsid w:val="007A3CAF"/>
    <w:rsid w:val="007A4375"/>
    <w:rsid w:val="007A77DF"/>
    <w:rsid w:val="007B06D7"/>
    <w:rsid w:val="007B0A24"/>
    <w:rsid w:val="007B2A07"/>
    <w:rsid w:val="007B35C6"/>
    <w:rsid w:val="007B48C3"/>
    <w:rsid w:val="007B4B82"/>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3AF"/>
    <w:rsid w:val="007F1F83"/>
    <w:rsid w:val="007F2484"/>
    <w:rsid w:val="007F26AC"/>
    <w:rsid w:val="007F6179"/>
    <w:rsid w:val="007F62EE"/>
    <w:rsid w:val="007F6BDA"/>
    <w:rsid w:val="008017EB"/>
    <w:rsid w:val="008026C2"/>
    <w:rsid w:val="00802E20"/>
    <w:rsid w:val="00804A77"/>
    <w:rsid w:val="008050B3"/>
    <w:rsid w:val="0080668D"/>
    <w:rsid w:val="008070C4"/>
    <w:rsid w:val="00807610"/>
    <w:rsid w:val="00812DF1"/>
    <w:rsid w:val="00813411"/>
    <w:rsid w:val="00813CCD"/>
    <w:rsid w:val="008163B7"/>
    <w:rsid w:val="008164F9"/>
    <w:rsid w:val="008209FB"/>
    <w:rsid w:val="008215BF"/>
    <w:rsid w:val="00824B79"/>
    <w:rsid w:val="00825046"/>
    <w:rsid w:val="00826D39"/>
    <w:rsid w:val="008271AD"/>
    <w:rsid w:val="00834022"/>
    <w:rsid w:val="0083597C"/>
    <w:rsid w:val="00835C55"/>
    <w:rsid w:val="00836144"/>
    <w:rsid w:val="00837816"/>
    <w:rsid w:val="00840678"/>
    <w:rsid w:val="00847D4A"/>
    <w:rsid w:val="00850260"/>
    <w:rsid w:val="00852B96"/>
    <w:rsid w:val="008540F9"/>
    <w:rsid w:val="008543BA"/>
    <w:rsid w:val="0085691F"/>
    <w:rsid w:val="008576DC"/>
    <w:rsid w:val="00857A59"/>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604D"/>
    <w:rsid w:val="0088722A"/>
    <w:rsid w:val="00887E4E"/>
    <w:rsid w:val="00891CB6"/>
    <w:rsid w:val="008958DB"/>
    <w:rsid w:val="008971E5"/>
    <w:rsid w:val="00897682"/>
    <w:rsid w:val="008A1BE9"/>
    <w:rsid w:val="008A2CB4"/>
    <w:rsid w:val="008A2F4A"/>
    <w:rsid w:val="008A658B"/>
    <w:rsid w:val="008A66A9"/>
    <w:rsid w:val="008A670E"/>
    <w:rsid w:val="008B1AAC"/>
    <w:rsid w:val="008B6CA0"/>
    <w:rsid w:val="008B7E4C"/>
    <w:rsid w:val="008C4226"/>
    <w:rsid w:val="008C45BC"/>
    <w:rsid w:val="008C47DE"/>
    <w:rsid w:val="008C625E"/>
    <w:rsid w:val="008C69DF"/>
    <w:rsid w:val="008C72AF"/>
    <w:rsid w:val="008C7592"/>
    <w:rsid w:val="008C7DA5"/>
    <w:rsid w:val="008D1ECC"/>
    <w:rsid w:val="008D2391"/>
    <w:rsid w:val="008D4FEF"/>
    <w:rsid w:val="008D57AD"/>
    <w:rsid w:val="008D59C5"/>
    <w:rsid w:val="008E11E6"/>
    <w:rsid w:val="008E1866"/>
    <w:rsid w:val="008E21A0"/>
    <w:rsid w:val="008E2CC8"/>
    <w:rsid w:val="008E57FF"/>
    <w:rsid w:val="008E695C"/>
    <w:rsid w:val="008F021E"/>
    <w:rsid w:val="008F1667"/>
    <w:rsid w:val="008F3C01"/>
    <w:rsid w:val="008F3D9B"/>
    <w:rsid w:val="008F47CE"/>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5A9D"/>
    <w:rsid w:val="00916163"/>
    <w:rsid w:val="00916FAC"/>
    <w:rsid w:val="00917759"/>
    <w:rsid w:val="00917D0E"/>
    <w:rsid w:val="0092180C"/>
    <w:rsid w:val="00921A3D"/>
    <w:rsid w:val="00921EC8"/>
    <w:rsid w:val="00922FB4"/>
    <w:rsid w:val="009235C4"/>
    <w:rsid w:val="00923758"/>
    <w:rsid w:val="00925F0D"/>
    <w:rsid w:val="00932271"/>
    <w:rsid w:val="0093248A"/>
    <w:rsid w:val="0093528A"/>
    <w:rsid w:val="00935C45"/>
    <w:rsid w:val="009361D3"/>
    <w:rsid w:val="009419A1"/>
    <w:rsid w:val="009419A5"/>
    <w:rsid w:val="00941F49"/>
    <w:rsid w:val="00943C20"/>
    <w:rsid w:val="009445AB"/>
    <w:rsid w:val="00945DC1"/>
    <w:rsid w:val="009462C1"/>
    <w:rsid w:val="00946EA7"/>
    <w:rsid w:val="00950219"/>
    <w:rsid w:val="00950A67"/>
    <w:rsid w:val="00952B4A"/>
    <w:rsid w:val="00954B8A"/>
    <w:rsid w:val="00956B90"/>
    <w:rsid w:val="009577EA"/>
    <w:rsid w:val="00965377"/>
    <w:rsid w:val="009669B7"/>
    <w:rsid w:val="0097017E"/>
    <w:rsid w:val="00970C39"/>
    <w:rsid w:val="00971C86"/>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87D97"/>
    <w:rsid w:val="00990436"/>
    <w:rsid w:val="009912DB"/>
    <w:rsid w:val="009936A8"/>
    <w:rsid w:val="00994208"/>
    <w:rsid w:val="0099429B"/>
    <w:rsid w:val="00994973"/>
    <w:rsid w:val="009963BE"/>
    <w:rsid w:val="00996E3F"/>
    <w:rsid w:val="00996F2F"/>
    <w:rsid w:val="009A015C"/>
    <w:rsid w:val="009A2489"/>
    <w:rsid w:val="009A3511"/>
    <w:rsid w:val="009A4B7D"/>
    <w:rsid w:val="009A4DB3"/>
    <w:rsid w:val="009A69DA"/>
    <w:rsid w:val="009B57A1"/>
    <w:rsid w:val="009B7A75"/>
    <w:rsid w:val="009B7E06"/>
    <w:rsid w:val="009C0637"/>
    <w:rsid w:val="009C2A40"/>
    <w:rsid w:val="009C4772"/>
    <w:rsid w:val="009C5A53"/>
    <w:rsid w:val="009D0A1B"/>
    <w:rsid w:val="009D3E40"/>
    <w:rsid w:val="009D509B"/>
    <w:rsid w:val="009D5107"/>
    <w:rsid w:val="009D52B3"/>
    <w:rsid w:val="009D67DD"/>
    <w:rsid w:val="009D70B3"/>
    <w:rsid w:val="009E0535"/>
    <w:rsid w:val="009E0A86"/>
    <w:rsid w:val="009E18CB"/>
    <w:rsid w:val="009E1F98"/>
    <w:rsid w:val="009E3A04"/>
    <w:rsid w:val="009E3A46"/>
    <w:rsid w:val="009E3B17"/>
    <w:rsid w:val="009E3D99"/>
    <w:rsid w:val="009E4C23"/>
    <w:rsid w:val="009E52F7"/>
    <w:rsid w:val="009E5416"/>
    <w:rsid w:val="009E69C8"/>
    <w:rsid w:val="009F17F6"/>
    <w:rsid w:val="009F3166"/>
    <w:rsid w:val="009F4243"/>
    <w:rsid w:val="009F5454"/>
    <w:rsid w:val="009F5798"/>
    <w:rsid w:val="009F5DFC"/>
    <w:rsid w:val="009F64A0"/>
    <w:rsid w:val="009F652C"/>
    <w:rsid w:val="009F7A77"/>
    <w:rsid w:val="00A00239"/>
    <w:rsid w:val="00A0175D"/>
    <w:rsid w:val="00A01E30"/>
    <w:rsid w:val="00A03100"/>
    <w:rsid w:val="00A05108"/>
    <w:rsid w:val="00A062D3"/>
    <w:rsid w:val="00A10167"/>
    <w:rsid w:val="00A108C1"/>
    <w:rsid w:val="00A128C4"/>
    <w:rsid w:val="00A13041"/>
    <w:rsid w:val="00A14D7D"/>
    <w:rsid w:val="00A150FC"/>
    <w:rsid w:val="00A153E5"/>
    <w:rsid w:val="00A15F27"/>
    <w:rsid w:val="00A17A0C"/>
    <w:rsid w:val="00A20394"/>
    <w:rsid w:val="00A20397"/>
    <w:rsid w:val="00A2137C"/>
    <w:rsid w:val="00A318FB"/>
    <w:rsid w:val="00A31E86"/>
    <w:rsid w:val="00A3230B"/>
    <w:rsid w:val="00A334DD"/>
    <w:rsid w:val="00A33517"/>
    <w:rsid w:val="00A34084"/>
    <w:rsid w:val="00A355D4"/>
    <w:rsid w:val="00A3671C"/>
    <w:rsid w:val="00A36BCB"/>
    <w:rsid w:val="00A370FE"/>
    <w:rsid w:val="00A3722C"/>
    <w:rsid w:val="00A4210D"/>
    <w:rsid w:val="00A44BCE"/>
    <w:rsid w:val="00A44E16"/>
    <w:rsid w:val="00A45637"/>
    <w:rsid w:val="00A50927"/>
    <w:rsid w:val="00A51925"/>
    <w:rsid w:val="00A55182"/>
    <w:rsid w:val="00A55A60"/>
    <w:rsid w:val="00A60479"/>
    <w:rsid w:val="00A64073"/>
    <w:rsid w:val="00A651BF"/>
    <w:rsid w:val="00A65C6E"/>
    <w:rsid w:val="00A66688"/>
    <w:rsid w:val="00A717C5"/>
    <w:rsid w:val="00A71B17"/>
    <w:rsid w:val="00A72AC3"/>
    <w:rsid w:val="00A73CA0"/>
    <w:rsid w:val="00A75AD8"/>
    <w:rsid w:val="00A75C1F"/>
    <w:rsid w:val="00A81619"/>
    <w:rsid w:val="00A8161C"/>
    <w:rsid w:val="00A9033B"/>
    <w:rsid w:val="00A90FD8"/>
    <w:rsid w:val="00A95E85"/>
    <w:rsid w:val="00A96A0F"/>
    <w:rsid w:val="00AA2846"/>
    <w:rsid w:val="00AA326A"/>
    <w:rsid w:val="00AA35D3"/>
    <w:rsid w:val="00AA7BFD"/>
    <w:rsid w:val="00AB1A47"/>
    <w:rsid w:val="00AB2B8C"/>
    <w:rsid w:val="00AB5A1E"/>
    <w:rsid w:val="00AB7339"/>
    <w:rsid w:val="00AB7504"/>
    <w:rsid w:val="00AB7AAD"/>
    <w:rsid w:val="00AC09BA"/>
    <w:rsid w:val="00AC2859"/>
    <w:rsid w:val="00AC2DE5"/>
    <w:rsid w:val="00AC31B4"/>
    <w:rsid w:val="00AC3830"/>
    <w:rsid w:val="00AC3D45"/>
    <w:rsid w:val="00AC5A53"/>
    <w:rsid w:val="00AC5D38"/>
    <w:rsid w:val="00AC7387"/>
    <w:rsid w:val="00AC7E94"/>
    <w:rsid w:val="00AD51D7"/>
    <w:rsid w:val="00AD526D"/>
    <w:rsid w:val="00AD593C"/>
    <w:rsid w:val="00AE04E2"/>
    <w:rsid w:val="00AE07B8"/>
    <w:rsid w:val="00AE23DB"/>
    <w:rsid w:val="00AE329F"/>
    <w:rsid w:val="00AE4943"/>
    <w:rsid w:val="00AE63F6"/>
    <w:rsid w:val="00AE6408"/>
    <w:rsid w:val="00AF220F"/>
    <w:rsid w:val="00AF2AAA"/>
    <w:rsid w:val="00AF49CE"/>
    <w:rsid w:val="00AF52D6"/>
    <w:rsid w:val="00AF5603"/>
    <w:rsid w:val="00AF56C8"/>
    <w:rsid w:val="00B00185"/>
    <w:rsid w:val="00B006DC"/>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7343"/>
    <w:rsid w:val="00B4141D"/>
    <w:rsid w:val="00B41C44"/>
    <w:rsid w:val="00B455D6"/>
    <w:rsid w:val="00B4646C"/>
    <w:rsid w:val="00B46AEA"/>
    <w:rsid w:val="00B517DB"/>
    <w:rsid w:val="00B51AA6"/>
    <w:rsid w:val="00B55244"/>
    <w:rsid w:val="00B5524F"/>
    <w:rsid w:val="00B6057A"/>
    <w:rsid w:val="00B62712"/>
    <w:rsid w:val="00B63CA1"/>
    <w:rsid w:val="00B67353"/>
    <w:rsid w:val="00B6759D"/>
    <w:rsid w:val="00B67D65"/>
    <w:rsid w:val="00B711D3"/>
    <w:rsid w:val="00B74B00"/>
    <w:rsid w:val="00B75640"/>
    <w:rsid w:val="00B759C3"/>
    <w:rsid w:val="00B75CE0"/>
    <w:rsid w:val="00B76E5F"/>
    <w:rsid w:val="00B76F42"/>
    <w:rsid w:val="00B775FC"/>
    <w:rsid w:val="00B80A8B"/>
    <w:rsid w:val="00B834C7"/>
    <w:rsid w:val="00B836C1"/>
    <w:rsid w:val="00B84669"/>
    <w:rsid w:val="00B84812"/>
    <w:rsid w:val="00B85A0E"/>
    <w:rsid w:val="00B85F85"/>
    <w:rsid w:val="00B876C9"/>
    <w:rsid w:val="00B87917"/>
    <w:rsid w:val="00B87E7C"/>
    <w:rsid w:val="00B90402"/>
    <w:rsid w:val="00B95E39"/>
    <w:rsid w:val="00B97BC2"/>
    <w:rsid w:val="00B97EC9"/>
    <w:rsid w:val="00BA0E0D"/>
    <w:rsid w:val="00BA391A"/>
    <w:rsid w:val="00BA40FA"/>
    <w:rsid w:val="00BA4971"/>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3A4"/>
    <w:rsid w:val="00BF3C5F"/>
    <w:rsid w:val="00BF3FDA"/>
    <w:rsid w:val="00BF46E9"/>
    <w:rsid w:val="00BF54B3"/>
    <w:rsid w:val="00BF5515"/>
    <w:rsid w:val="00BF5AA1"/>
    <w:rsid w:val="00BF5D66"/>
    <w:rsid w:val="00BF67CC"/>
    <w:rsid w:val="00C000AA"/>
    <w:rsid w:val="00C019BC"/>
    <w:rsid w:val="00C031E4"/>
    <w:rsid w:val="00C03D63"/>
    <w:rsid w:val="00C05AC3"/>
    <w:rsid w:val="00C068B6"/>
    <w:rsid w:val="00C0731A"/>
    <w:rsid w:val="00C12471"/>
    <w:rsid w:val="00C15010"/>
    <w:rsid w:val="00C15684"/>
    <w:rsid w:val="00C158A7"/>
    <w:rsid w:val="00C164BC"/>
    <w:rsid w:val="00C16F68"/>
    <w:rsid w:val="00C216CF"/>
    <w:rsid w:val="00C22547"/>
    <w:rsid w:val="00C22905"/>
    <w:rsid w:val="00C24E8B"/>
    <w:rsid w:val="00C2542A"/>
    <w:rsid w:val="00C25CA7"/>
    <w:rsid w:val="00C26B13"/>
    <w:rsid w:val="00C27FAE"/>
    <w:rsid w:val="00C316F5"/>
    <w:rsid w:val="00C3179C"/>
    <w:rsid w:val="00C349C3"/>
    <w:rsid w:val="00C354F6"/>
    <w:rsid w:val="00C36BF8"/>
    <w:rsid w:val="00C36E60"/>
    <w:rsid w:val="00C37529"/>
    <w:rsid w:val="00C40972"/>
    <w:rsid w:val="00C40B41"/>
    <w:rsid w:val="00C40D19"/>
    <w:rsid w:val="00C41921"/>
    <w:rsid w:val="00C41A0D"/>
    <w:rsid w:val="00C427EC"/>
    <w:rsid w:val="00C444B3"/>
    <w:rsid w:val="00C46E59"/>
    <w:rsid w:val="00C50462"/>
    <w:rsid w:val="00C50725"/>
    <w:rsid w:val="00C5298C"/>
    <w:rsid w:val="00C53FD7"/>
    <w:rsid w:val="00C552F5"/>
    <w:rsid w:val="00C55517"/>
    <w:rsid w:val="00C56BEC"/>
    <w:rsid w:val="00C57733"/>
    <w:rsid w:val="00C5797A"/>
    <w:rsid w:val="00C60AF7"/>
    <w:rsid w:val="00C635FD"/>
    <w:rsid w:val="00C647B9"/>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670"/>
    <w:rsid w:val="00CB114E"/>
    <w:rsid w:val="00CB2A3D"/>
    <w:rsid w:val="00CB2E2A"/>
    <w:rsid w:val="00CB3231"/>
    <w:rsid w:val="00CB5650"/>
    <w:rsid w:val="00CB70FC"/>
    <w:rsid w:val="00CB7885"/>
    <w:rsid w:val="00CC1C7F"/>
    <w:rsid w:val="00CC3CBA"/>
    <w:rsid w:val="00CC3FE3"/>
    <w:rsid w:val="00CC403B"/>
    <w:rsid w:val="00CC6282"/>
    <w:rsid w:val="00CC6C2E"/>
    <w:rsid w:val="00CD1B09"/>
    <w:rsid w:val="00CD29C4"/>
    <w:rsid w:val="00CD2A69"/>
    <w:rsid w:val="00CD2BA7"/>
    <w:rsid w:val="00CD2DC0"/>
    <w:rsid w:val="00CD3262"/>
    <w:rsid w:val="00CD75DC"/>
    <w:rsid w:val="00CE167C"/>
    <w:rsid w:val="00CE2492"/>
    <w:rsid w:val="00CE4F1F"/>
    <w:rsid w:val="00CE52F5"/>
    <w:rsid w:val="00CE7C3F"/>
    <w:rsid w:val="00CF1329"/>
    <w:rsid w:val="00CF167F"/>
    <w:rsid w:val="00CF4FED"/>
    <w:rsid w:val="00D01779"/>
    <w:rsid w:val="00D01C2C"/>
    <w:rsid w:val="00D03FA1"/>
    <w:rsid w:val="00D05226"/>
    <w:rsid w:val="00D1085F"/>
    <w:rsid w:val="00D117FB"/>
    <w:rsid w:val="00D12748"/>
    <w:rsid w:val="00D12987"/>
    <w:rsid w:val="00D14D6E"/>
    <w:rsid w:val="00D17AB5"/>
    <w:rsid w:val="00D21B26"/>
    <w:rsid w:val="00D22C5D"/>
    <w:rsid w:val="00D25292"/>
    <w:rsid w:val="00D258E8"/>
    <w:rsid w:val="00D25F71"/>
    <w:rsid w:val="00D311F0"/>
    <w:rsid w:val="00D326F0"/>
    <w:rsid w:val="00D353E4"/>
    <w:rsid w:val="00D36DE9"/>
    <w:rsid w:val="00D370FD"/>
    <w:rsid w:val="00D446CC"/>
    <w:rsid w:val="00D458D7"/>
    <w:rsid w:val="00D46F66"/>
    <w:rsid w:val="00D475CE"/>
    <w:rsid w:val="00D50092"/>
    <w:rsid w:val="00D50598"/>
    <w:rsid w:val="00D50BBB"/>
    <w:rsid w:val="00D50E30"/>
    <w:rsid w:val="00D5353C"/>
    <w:rsid w:val="00D536F6"/>
    <w:rsid w:val="00D53922"/>
    <w:rsid w:val="00D5470E"/>
    <w:rsid w:val="00D556D7"/>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3365"/>
    <w:rsid w:val="00D938FC"/>
    <w:rsid w:val="00D93BC9"/>
    <w:rsid w:val="00D94862"/>
    <w:rsid w:val="00D9585E"/>
    <w:rsid w:val="00D96B46"/>
    <w:rsid w:val="00D97FDB"/>
    <w:rsid w:val="00DA0DC7"/>
    <w:rsid w:val="00DA2345"/>
    <w:rsid w:val="00DA25D1"/>
    <w:rsid w:val="00DA2B91"/>
    <w:rsid w:val="00DA40F4"/>
    <w:rsid w:val="00DA4C65"/>
    <w:rsid w:val="00DA4FE9"/>
    <w:rsid w:val="00DA6AC9"/>
    <w:rsid w:val="00DB01A3"/>
    <w:rsid w:val="00DB087A"/>
    <w:rsid w:val="00DB1BBC"/>
    <w:rsid w:val="00DB21EF"/>
    <w:rsid w:val="00DB6F9A"/>
    <w:rsid w:val="00DB7C6A"/>
    <w:rsid w:val="00DC1390"/>
    <w:rsid w:val="00DC3787"/>
    <w:rsid w:val="00DC413B"/>
    <w:rsid w:val="00DC6429"/>
    <w:rsid w:val="00DC6D8B"/>
    <w:rsid w:val="00DC7357"/>
    <w:rsid w:val="00DD02D4"/>
    <w:rsid w:val="00DD0B6B"/>
    <w:rsid w:val="00DD1A9F"/>
    <w:rsid w:val="00DE0653"/>
    <w:rsid w:val="00DE3169"/>
    <w:rsid w:val="00DE4746"/>
    <w:rsid w:val="00DE60A3"/>
    <w:rsid w:val="00DE65F3"/>
    <w:rsid w:val="00DE75E1"/>
    <w:rsid w:val="00DE7EDC"/>
    <w:rsid w:val="00DF1A17"/>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5233"/>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44EE"/>
    <w:rsid w:val="00E748AA"/>
    <w:rsid w:val="00E751F6"/>
    <w:rsid w:val="00E752C4"/>
    <w:rsid w:val="00E758D1"/>
    <w:rsid w:val="00E75953"/>
    <w:rsid w:val="00E75990"/>
    <w:rsid w:val="00E80F68"/>
    <w:rsid w:val="00E81F91"/>
    <w:rsid w:val="00E837BA"/>
    <w:rsid w:val="00E8387B"/>
    <w:rsid w:val="00E84EAF"/>
    <w:rsid w:val="00E909D6"/>
    <w:rsid w:val="00E909FA"/>
    <w:rsid w:val="00E916C6"/>
    <w:rsid w:val="00E92544"/>
    <w:rsid w:val="00EA1B30"/>
    <w:rsid w:val="00EA1F85"/>
    <w:rsid w:val="00EA336A"/>
    <w:rsid w:val="00EA79C2"/>
    <w:rsid w:val="00EB002E"/>
    <w:rsid w:val="00EB0CA3"/>
    <w:rsid w:val="00EB0EBB"/>
    <w:rsid w:val="00EB1071"/>
    <w:rsid w:val="00EB19E3"/>
    <w:rsid w:val="00EB293B"/>
    <w:rsid w:val="00EB3941"/>
    <w:rsid w:val="00EB70CC"/>
    <w:rsid w:val="00EB71CD"/>
    <w:rsid w:val="00EC133A"/>
    <w:rsid w:val="00EC1684"/>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4D13"/>
    <w:rsid w:val="00F052FE"/>
    <w:rsid w:val="00F06D81"/>
    <w:rsid w:val="00F109DC"/>
    <w:rsid w:val="00F11BEB"/>
    <w:rsid w:val="00F11CBE"/>
    <w:rsid w:val="00F124B8"/>
    <w:rsid w:val="00F1697F"/>
    <w:rsid w:val="00F16984"/>
    <w:rsid w:val="00F16E7C"/>
    <w:rsid w:val="00F17233"/>
    <w:rsid w:val="00F21188"/>
    <w:rsid w:val="00F21E29"/>
    <w:rsid w:val="00F2349F"/>
    <w:rsid w:val="00F2384C"/>
    <w:rsid w:val="00F23C93"/>
    <w:rsid w:val="00F2557B"/>
    <w:rsid w:val="00F25681"/>
    <w:rsid w:val="00F26022"/>
    <w:rsid w:val="00F26EF5"/>
    <w:rsid w:val="00F2775E"/>
    <w:rsid w:val="00F306D0"/>
    <w:rsid w:val="00F30D86"/>
    <w:rsid w:val="00F338D6"/>
    <w:rsid w:val="00F341B9"/>
    <w:rsid w:val="00F346DB"/>
    <w:rsid w:val="00F35193"/>
    <w:rsid w:val="00F406F6"/>
    <w:rsid w:val="00F4190C"/>
    <w:rsid w:val="00F41E83"/>
    <w:rsid w:val="00F423C3"/>
    <w:rsid w:val="00F44645"/>
    <w:rsid w:val="00F45356"/>
    <w:rsid w:val="00F45AB0"/>
    <w:rsid w:val="00F4796B"/>
    <w:rsid w:val="00F518C6"/>
    <w:rsid w:val="00F53205"/>
    <w:rsid w:val="00F5548B"/>
    <w:rsid w:val="00F55EAA"/>
    <w:rsid w:val="00F56AE0"/>
    <w:rsid w:val="00F579D8"/>
    <w:rsid w:val="00F61D34"/>
    <w:rsid w:val="00F65A2D"/>
    <w:rsid w:val="00F664ED"/>
    <w:rsid w:val="00F6745B"/>
    <w:rsid w:val="00F723D7"/>
    <w:rsid w:val="00F73D01"/>
    <w:rsid w:val="00F74E10"/>
    <w:rsid w:val="00F74FB1"/>
    <w:rsid w:val="00F7644E"/>
    <w:rsid w:val="00F81CA4"/>
    <w:rsid w:val="00F83C2F"/>
    <w:rsid w:val="00F87647"/>
    <w:rsid w:val="00F87B7C"/>
    <w:rsid w:val="00F909C0"/>
    <w:rsid w:val="00F90DED"/>
    <w:rsid w:val="00F90F08"/>
    <w:rsid w:val="00F91F00"/>
    <w:rsid w:val="00F92A49"/>
    <w:rsid w:val="00F9303A"/>
    <w:rsid w:val="00F962E1"/>
    <w:rsid w:val="00FA1252"/>
    <w:rsid w:val="00FA1DE7"/>
    <w:rsid w:val="00FA3806"/>
    <w:rsid w:val="00FA594A"/>
    <w:rsid w:val="00FA62F2"/>
    <w:rsid w:val="00FB01B1"/>
    <w:rsid w:val="00FB0553"/>
    <w:rsid w:val="00FB1A50"/>
    <w:rsid w:val="00FB4763"/>
    <w:rsid w:val="00FB54E7"/>
    <w:rsid w:val="00FB5732"/>
    <w:rsid w:val="00FB63AD"/>
    <w:rsid w:val="00FB7040"/>
    <w:rsid w:val="00FC024F"/>
    <w:rsid w:val="00FC1519"/>
    <w:rsid w:val="00FC1CB9"/>
    <w:rsid w:val="00FC33A2"/>
    <w:rsid w:val="00FC3B89"/>
    <w:rsid w:val="00FC5EE6"/>
    <w:rsid w:val="00FC6DE9"/>
    <w:rsid w:val="00FD0B70"/>
    <w:rsid w:val="00FD13FA"/>
    <w:rsid w:val="00FD143D"/>
    <w:rsid w:val="00FD5BFD"/>
    <w:rsid w:val="00FD6734"/>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95B2ACE"/>
  <w15:docId w15:val="{CA1996AA-BF8D-4E35-ACF6-FDB35258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8"/>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DOC19-371890</ShareHubID>
    <PMCNotes xmlns="166541c0-0594-4e6a-9105-c24d4b6de6f7" xsi:nil="true"/>
    <TaxCatchAll xmlns="166541c0-0594-4e6a-9105-c24d4b6de6f7">
      <Value>29</Value>
      <Value>57</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8B85-4078-4BF8-9542-46C0867C73B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d34e732f-0d3d-4714-a913-a3bac240b7af"/>
    <ds:schemaRef ds:uri="http://www.w3.org/XML/1998/namespace"/>
    <ds:schemaRef ds:uri="http://purl.org/dc/dcmitype/"/>
  </ds:schemaRefs>
</ds:datastoreItem>
</file>

<file path=customXml/itemProps2.xml><?xml version="1.0" encoding="utf-8"?>
<ds:datastoreItem xmlns:ds="http://schemas.openxmlformats.org/officeDocument/2006/customXml" ds:itemID="{FCDBFBBD-19A9-4995-9E06-A452D884998F}">
  <ds:schemaRefs>
    <ds:schemaRef ds:uri="http://schemas.microsoft.com/sharepoint/v3/contenttype/forms"/>
  </ds:schemaRefs>
</ds:datastoreItem>
</file>

<file path=customXml/itemProps3.xml><?xml version="1.0" encoding="utf-8"?>
<ds:datastoreItem xmlns:ds="http://schemas.openxmlformats.org/officeDocument/2006/customXml" ds:itemID="{6D436B8E-11B8-40C0-B1E9-D366057C7EEB}"/>
</file>

<file path=customXml/itemProps4.xml><?xml version="1.0" encoding="utf-8"?>
<ds:datastoreItem xmlns:ds="http://schemas.openxmlformats.org/officeDocument/2006/customXml" ds:itemID="{212F4C55-ADCD-40FA-8A0C-81D85F2C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E2DE7E6D.dotm</Template>
  <TotalTime>64</TotalTime>
  <Pages>33</Pages>
  <Words>9547</Words>
  <Characters>54419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Community Development Program Quarterly Compliance Data</dc:title>
  <dc:creator>National Indigenous Australians Agency</dc:creator>
  <cp:lastModifiedBy>Caddy, Joanne</cp:lastModifiedBy>
  <cp:revision>4</cp:revision>
  <cp:lastPrinted>2019-09-09T08:05:00Z</cp:lastPrinted>
  <dcterms:created xsi:type="dcterms:W3CDTF">2019-10-02T22:54:00Z</dcterms:created>
  <dcterms:modified xsi:type="dcterms:W3CDTF">2019-10-03T02:42:00Z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29;#Training|2f396fb6-baad-479d-8254-1550153bbe31</vt:lpwstr>
  </property>
  <property fmtid="{D5CDD505-2E9C-101B-9397-08002B2CF9AE}" pid="5" name="HPRMSecurityLevel">
    <vt:lpwstr>57;#OFFICIAL|11463c70-78df-4e3b-b0ff-f66cd3cb26ec</vt:lpwstr>
  </property>
  <property fmtid="{D5CDD505-2E9C-101B-9397-08002B2CF9AE}" pid="6" name="PMC.ESearch.TagGeneratedTime">
    <vt:lpwstr>2019-10-03T14:14:31</vt:lpwstr>
  </property>
</Properties>
</file>