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1B82" w14:textId="2BD83A97" w:rsidR="000A7531" w:rsidRPr="00E36891" w:rsidRDefault="000A7531" w:rsidP="000A7531">
      <w:pPr>
        <w:pStyle w:val="Covertitle"/>
        <w:rPr>
          <w:rFonts w:cs="Segoe UI"/>
          <w:b/>
          <w:color w:val="FFFFFF" w:themeColor="background1"/>
          <w:sz w:val="64"/>
          <w:szCs w:val="64"/>
        </w:rPr>
      </w:pPr>
      <w:bookmarkStart w:id="0" w:name="_Hlk37147267"/>
      <w:bookmarkEnd w:id="0"/>
      <w:r>
        <w:rPr>
          <w:noProof/>
        </w:rPr>
        <w:drawing>
          <wp:anchor distT="0" distB="0" distL="114300" distR="114300" simplePos="0" relativeHeight="251658240" behindDoc="1" locked="0" layoutInCell="1" allowOverlap="1" wp14:anchorId="21BF928D" wp14:editId="6B4563C3">
            <wp:simplePos x="0" y="0"/>
            <wp:positionH relativeFrom="column">
              <wp:posOffset>-986922</wp:posOffset>
            </wp:positionH>
            <wp:positionV relativeFrom="paragraph">
              <wp:posOffset>-3060700</wp:posOffset>
            </wp:positionV>
            <wp:extent cx="7546602" cy="106747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png"/>
                    <pic:cNvPicPr/>
                  </pic:nvPicPr>
                  <pic:blipFill>
                    <a:blip r:embed="rId12">
                      <a:extLst>
                        <a:ext uri="{28A0092B-C50C-407E-A947-70E740481C1C}">
                          <a14:useLocalDpi xmlns:a14="http://schemas.microsoft.com/office/drawing/2010/main" val="0"/>
                        </a:ext>
                      </a:extLst>
                    </a:blip>
                    <a:stretch>
                      <a:fillRect/>
                    </a:stretch>
                  </pic:blipFill>
                  <pic:spPr>
                    <a:xfrm>
                      <a:off x="0" y="0"/>
                      <a:ext cx="7546602" cy="10674792"/>
                    </a:xfrm>
                    <a:prstGeom prst="rect">
                      <a:avLst/>
                    </a:prstGeom>
                  </pic:spPr>
                </pic:pic>
              </a:graphicData>
            </a:graphic>
            <wp14:sizeRelH relativeFrom="page">
              <wp14:pctWidth>0</wp14:pctWidth>
            </wp14:sizeRelH>
            <wp14:sizeRelV relativeFrom="page">
              <wp14:pctHeight>0</wp14:pctHeight>
            </wp14:sizeRelV>
          </wp:anchor>
        </w:drawing>
      </w:r>
      <w:bookmarkStart w:id="1" w:name="_Ref502845333"/>
      <w:bookmarkEnd w:id="1"/>
      <w:sdt>
        <w:sdtPr>
          <w:rPr>
            <w:rFonts w:cs="Segoe UI"/>
            <w:b/>
            <w:color w:val="FFFFFF" w:themeColor="background1"/>
            <w:sz w:val="64"/>
            <w:szCs w:val="64"/>
          </w:rPr>
          <w:id w:val="-4032980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42583531"/>
              <w:dataBinding w:prefixMappings="xmlns:ns0='http://purl.org/dc/elements/1.1/' xmlns:ns1='http://schemas.openxmlformats.org/package/2006/metadata/core-properties' " w:xpath="/ns1:coreProperties[1]/ns0:title[1]" w:storeItemID="{6C3C8BC8-F283-45AE-878A-BAB7291924A1}"/>
              <w:text/>
            </w:sdtPr>
            <w:sdtEndPr/>
            <w:sdtContent>
              <w:r w:rsidR="003800E8">
                <w:rPr>
                  <w:rFonts w:cs="Segoe UI"/>
                  <w:b/>
                  <w:color w:val="FFFFFF" w:themeColor="background1"/>
                  <w:sz w:val="64"/>
                  <w:szCs w:val="64"/>
                </w:rPr>
                <w:t xml:space="preserve">Review of Performance as a Native Title Representative Body: </w:t>
              </w:r>
              <w:r w:rsidR="00796323">
                <w:rPr>
                  <w:rFonts w:cs="Segoe UI"/>
                  <w:b/>
                  <w:color w:val="FFFFFF" w:themeColor="background1"/>
                  <w:sz w:val="64"/>
                  <w:szCs w:val="64"/>
                </w:rPr>
                <w:t>North Queensland Land Council</w:t>
              </w:r>
            </w:sdtContent>
          </w:sdt>
        </w:sdtContent>
      </w:sdt>
    </w:p>
    <w:p w14:paraId="6215FE9A" w14:textId="67A3D1D3" w:rsidR="000A7531" w:rsidRPr="00F75386" w:rsidRDefault="00D9055E" w:rsidP="000A7531">
      <w:pPr>
        <w:pStyle w:val="CoverPage-Client"/>
        <w:spacing w:before="360"/>
        <w:rPr>
          <w:rFonts w:cs="Segoe UI"/>
          <w:color w:val="F8981D" w:themeColor="accent3"/>
        </w:rPr>
      </w:pPr>
      <w:sdt>
        <w:sdtPr>
          <w:rPr>
            <w:rStyle w:val="CoverPage-ClientChar"/>
            <w:rFonts w:cs="Segoe UI"/>
            <w:color w:val="F8981D" w:themeColor="accent3"/>
          </w:rPr>
          <w:alias w:val="Subject"/>
          <w:tag w:val=""/>
          <w:id w:val="1921753657"/>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6F6C4A">
            <w:rPr>
              <w:rStyle w:val="CoverPage-ClientChar"/>
              <w:rFonts w:cs="Segoe UI"/>
              <w:color w:val="F8981D" w:themeColor="accent3"/>
            </w:rPr>
            <w:t>Summary Report</w:t>
          </w:r>
        </w:sdtContent>
      </w:sdt>
    </w:p>
    <w:p w14:paraId="00D53284" w14:textId="780177C7" w:rsidR="000A7531" w:rsidRPr="00E36891" w:rsidRDefault="0023420B" w:rsidP="000A7531">
      <w:pPr>
        <w:pStyle w:val="CoverPage-Date"/>
        <w:spacing w:before="240"/>
        <w:rPr>
          <w:color w:val="FFFFFF" w:themeColor="background1"/>
        </w:rPr>
      </w:pPr>
      <w:r>
        <w:rPr>
          <w:color w:val="FFFFFF" w:themeColor="background1"/>
        </w:rPr>
        <w:t>March 2021</w:t>
      </w:r>
    </w:p>
    <w:p w14:paraId="0DFF99E5" w14:textId="77777777" w:rsidR="000A7531" w:rsidRDefault="000A7531" w:rsidP="000A7531">
      <w:pPr>
        <w:suppressAutoHyphens/>
        <w:spacing w:after="0" w:line="680" w:lineRule="exact"/>
        <w:sectPr w:rsidR="000A7531" w:rsidSect="000A753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sdt>
      <w:sdtPr>
        <w:id w:val="-422653185"/>
        <w:docPartObj>
          <w:docPartGallery w:val="Table of Contents"/>
          <w:docPartUnique/>
        </w:docPartObj>
      </w:sdtPr>
      <w:sdtEndPr>
        <w:rPr>
          <w:b/>
          <w:bCs/>
          <w:noProof/>
        </w:rPr>
      </w:sdtEndPr>
      <w:sdtContent>
        <w:p w14:paraId="1B882AF0" w14:textId="13C0F62C" w:rsidR="00AA5FFB" w:rsidRDefault="00AA5FFB" w:rsidP="00AA5FFB"/>
        <w:p w14:paraId="51E3E758" w14:textId="77777777" w:rsidR="00AA5FFB" w:rsidRDefault="00AA5FFB" w:rsidP="00AA5FFB"/>
        <w:p w14:paraId="2F2EF09D" w14:textId="77777777" w:rsidR="00AA5FFB" w:rsidRDefault="00AA5FFB" w:rsidP="00AA5FFB"/>
        <w:p w14:paraId="36D1821D" w14:textId="77777777" w:rsidR="00AA5FFB" w:rsidRDefault="00AA5FFB" w:rsidP="00AA5FFB"/>
        <w:p w14:paraId="1E796C87" w14:textId="77777777" w:rsidR="00AA5FFB" w:rsidRDefault="00AA5FFB" w:rsidP="00AA5FFB"/>
        <w:p w14:paraId="3345304A" w14:textId="77777777" w:rsidR="00AA5FFB" w:rsidRDefault="00AA5FFB" w:rsidP="00AA5FFB"/>
        <w:p w14:paraId="005A5809" w14:textId="77777777" w:rsidR="00AA5FFB" w:rsidRDefault="00AA5FFB" w:rsidP="00AA5FFB"/>
        <w:p w14:paraId="24EFF9E2" w14:textId="77777777" w:rsidR="00AA5FFB" w:rsidRDefault="00AA5FFB" w:rsidP="00AA5FFB"/>
        <w:p w14:paraId="255217D0" w14:textId="77777777" w:rsidR="00AA5FFB" w:rsidRDefault="00AA5FFB" w:rsidP="00AA5FFB"/>
        <w:p w14:paraId="59685E14" w14:textId="77777777" w:rsidR="00AA5FFB" w:rsidRDefault="00AA5FFB" w:rsidP="00AA5FFB"/>
        <w:p w14:paraId="13EE051A" w14:textId="77777777" w:rsidR="00AA5FFB" w:rsidRDefault="00AA5FFB" w:rsidP="00AA5FFB">
          <w:pPr>
            <w:rPr>
              <w:i/>
            </w:rPr>
          </w:pPr>
        </w:p>
        <w:p w14:paraId="2D467623" w14:textId="77777777" w:rsidR="00AA5FFB" w:rsidRDefault="00AA5FFB" w:rsidP="00AA5FFB">
          <w:pPr>
            <w:rPr>
              <w:i/>
            </w:rPr>
          </w:pPr>
        </w:p>
        <w:p w14:paraId="032EDF55" w14:textId="77777777" w:rsidR="00AA5FFB" w:rsidRDefault="00AA5FFB" w:rsidP="00AA5FFB">
          <w:pPr>
            <w:rPr>
              <w:i/>
            </w:rPr>
          </w:pPr>
        </w:p>
        <w:p w14:paraId="383A5F59" w14:textId="77777777" w:rsidR="00AA5FFB" w:rsidRDefault="00AA5FFB" w:rsidP="00AA5FFB">
          <w:pPr>
            <w:rPr>
              <w:i/>
            </w:rPr>
          </w:pPr>
        </w:p>
        <w:p w14:paraId="3268BE44" w14:textId="77777777" w:rsidR="00AA5FFB" w:rsidRDefault="00AA5FFB" w:rsidP="00AA5FFB">
          <w:pPr>
            <w:rPr>
              <w:i/>
            </w:rPr>
          </w:pPr>
        </w:p>
        <w:p w14:paraId="7757F484" w14:textId="77777777" w:rsidR="00AA5FFB" w:rsidRDefault="00AA5FFB" w:rsidP="00AA5FFB">
          <w:pPr>
            <w:rPr>
              <w:i/>
            </w:rPr>
          </w:pPr>
        </w:p>
        <w:p w14:paraId="044C668A" w14:textId="77777777" w:rsidR="00AA5FFB" w:rsidRDefault="00AA5FFB" w:rsidP="00AA5FFB">
          <w:pPr>
            <w:rPr>
              <w:i/>
            </w:rPr>
          </w:pPr>
        </w:p>
        <w:p w14:paraId="020675E8" w14:textId="77777777" w:rsidR="00AA5FFB" w:rsidRDefault="00AA5FFB" w:rsidP="00AA5FFB">
          <w:pPr>
            <w:rPr>
              <w:i/>
            </w:rPr>
          </w:pPr>
        </w:p>
        <w:p w14:paraId="4CE5FA7B" w14:textId="77777777" w:rsidR="00AA5FFB" w:rsidRDefault="00AA5FFB" w:rsidP="00AA5FFB">
          <w:pPr>
            <w:rPr>
              <w:i/>
            </w:rPr>
          </w:pPr>
        </w:p>
        <w:p w14:paraId="2DC7192D" w14:textId="77777777" w:rsidR="00AA5FFB" w:rsidRDefault="00AA5FFB" w:rsidP="00AA5FFB">
          <w:pPr>
            <w:rPr>
              <w:i/>
            </w:rPr>
          </w:pPr>
        </w:p>
        <w:p w14:paraId="4A1DB1AF" w14:textId="77777777" w:rsidR="00AA5FFB" w:rsidRDefault="00AA5FFB" w:rsidP="00AA5FFB">
          <w:pPr>
            <w:rPr>
              <w:i/>
            </w:rPr>
          </w:pPr>
        </w:p>
        <w:p w14:paraId="70365459" w14:textId="77777777" w:rsidR="00AA5FFB" w:rsidRDefault="00AA5FFB" w:rsidP="00AA5FFB">
          <w:pPr>
            <w:rPr>
              <w:i/>
            </w:rPr>
          </w:pPr>
        </w:p>
        <w:p w14:paraId="6F4EC900" w14:textId="77777777" w:rsidR="00AA5FFB" w:rsidRDefault="00AA5FFB" w:rsidP="00AA5FFB">
          <w:pPr>
            <w:rPr>
              <w:i/>
            </w:rPr>
          </w:pPr>
        </w:p>
        <w:p w14:paraId="3C81E9C7" w14:textId="77777777" w:rsidR="00AA5FFB" w:rsidRDefault="00AA5FFB" w:rsidP="00AA5FFB">
          <w:pPr>
            <w:rPr>
              <w:i/>
            </w:rPr>
          </w:pPr>
        </w:p>
        <w:p w14:paraId="006AE14E" w14:textId="77777777" w:rsidR="00AA5FFB" w:rsidRPr="00D55E77" w:rsidRDefault="00AA5FFB" w:rsidP="00AA5FFB">
          <w:pPr>
            <w:rPr>
              <w:i/>
            </w:rPr>
          </w:pPr>
        </w:p>
        <w:p w14:paraId="0D4EBA73" w14:textId="77777777" w:rsidR="00F64BB4" w:rsidRPr="00D55E77" w:rsidRDefault="00F64BB4" w:rsidP="00F64BB4">
          <w:pPr>
            <w:rPr>
              <w:b/>
              <w:i/>
            </w:rPr>
          </w:pPr>
          <w:r w:rsidRPr="00D55E77">
            <w:rPr>
              <w:b/>
              <w:i/>
            </w:rPr>
            <w:t xml:space="preserve">Disclaimer: </w:t>
          </w:r>
        </w:p>
        <w:p w14:paraId="512E1981" w14:textId="77777777" w:rsidR="006F6C4A" w:rsidRDefault="006F6C4A" w:rsidP="006F6C4A">
          <w:pPr>
            <w:rPr>
              <w:i/>
            </w:rPr>
          </w:pPr>
          <w:r w:rsidRPr="00D55E77">
            <w:rPr>
              <w:i/>
            </w:rPr>
            <w:t>Nous Group (</w:t>
          </w:r>
          <w:r w:rsidRPr="008461BE">
            <w:rPr>
              <w:b/>
              <w:i/>
            </w:rPr>
            <w:t>Nous</w:t>
          </w:r>
          <w:r w:rsidRPr="00D55E77">
            <w:rPr>
              <w:i/>
            </w:rPr>
            <w:t>) has prepared this report for the benefit of</w:t>
          </w:r>
          <w:r>
            <w:rPr>
              <w:i/>
            </w:rPr>
            <w:t xml:space="preserve"> the</w:t>
          </w:r>
          <w:r w:rsidRPr="008B1C39">
            <w:rPr>
              <w:i/>
            </w:rPr>
            <w:t xml:space="preserv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70954353" w14:textId="77777777" w:rsidR="006F6C4A" w:rsidRDefault="006F6C4A" w:rsidP="006F6C4A">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2944C2B6" w14:textId="77777777" w:rsidR="006F6C4A" w:rsidRDefault="006F6C4A" w:rsidP="006F6C4A">
          <w:pPr>
            <w:rPr>
              <w:i/>
            </w:rPr>
          </w:pPr>
          <w:r>
            <w:rPr>
              <w:i/>
            </w:rPr>
            <w:t xml:space="preserve">This Review covered the </w:t>
          </w:r>
          <w:r w:rsidRPr="006F6C4A">
            <w:rPr>
              <w:i/>
            </w:rPr>
            <w:t>period from July 2015 to June 2018. Findings relate to this time period unless otherwise stated. Nous conducted the Review between September 2018 and April 2019. This summary document was prepared in 2020 and includes responses to recommendations by the NTRB</w:t>
          </w:r>
          <w:r>
            <w:rPr>
              <w:i/>
            </w:rPr>
            <w:t>-SP in 2020.</w:t>
          </w:r>
        </w:p>
        <w:p w14:paraId="2B7211A7" w14:textId="2E7C6C8E" w:rsidR="000A7531" w:rsidRPr="000A7531" w:rsidRDefault="000A7531" w:rsidP="00AA5FFB">
          <w:pPr>
            <w:rPr>
              <w:rFonts w:ascii="Segoe UI Semibold" w:hAnsi="Segoe UI Semibold"/>
              <w:color w:val="00264D" w:themeColor="background2"/>
              <w:sz w:val="36"/>
              <w:szCs w:val="36"/>
            </w:rPr>
          </w:pPr>
          <w:r w:rsidRPr="00C846A6">
            <w:rPr>
              <w:rFonts w:ascii="Segoe UI Semibold" w:hAnsi="Segoe UI Semibold"/>
              <w:color w:val="00264D" w:themeColor="background2"/>
              <w:sz w:val="36"/>
              <w:szCs w:val="36"/>
            </w:rPr>
            <w:lastRenderedPageBreak/>
            <w:t>Contents</w:t>
          </w:r>
        </w:p>
        <w:p w14:paraId="18A1C7EA" w14:textId="01E8C415" w:rsidR="00F65C29" w:rsidRDefault="000A7531">
          <w:pPr>
            <w:pStyle w:val="TOC1"/>
            <w:tabs>
              <w:tab w:val="left" w:pos="380"/>
              <w:tab w:val="right" w:leader="dot" w:pos="8920"/>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68071808" w:history="1">
            <w:r w:rsidR="00F65C29" w:rsidRPr="00273F23">
              <w:rPr>
                <w:rStyle w:val="Hyperlink"/>
                <w:noProof/>
              </w:rPr>
              <w:t>1</w:t>
            </w:r>
            <w:r w:rsidR="00F65C29">
              <w:rPr>
                <w:rFonts w:asciiTheme="minorHAnsi" w:eastAsiaTheme="minorEastAsia" w:hAnsiTheme="minorHAnsi"/>
                <w:noProof/>
                <w:sz w:val="22"/>
                <w:lang w:eastAsia="en-AU"/>
              </w:rPr>
              <w:tab/>
            </w:r>
            <w:r w:rsidR="00F65C29" w:rsidRPr="00273F23">
              <w:rPr>
                <w:rStyle w:val="Hyperlink"/>
                <w:noProof/>
              </w:rPr>
              <w:t>About the Review</w:t>
            </w:r>
            <w:r w:rsidR="00F65C29">
              <w:rPr>
                <w:noProof/>
                <w:webHidden/>
              </w:rPr>
              <w:tab/>
            </w:r>
            <w:r w:rsidR="00F65C29">
              <w:rPr>
                <w:noProof/>
                <w:webHidden/>
              </w:rPr>
              <w:fldChar w:fldCharType="begin"/>
            </w:r>
            <w:r w:rsidR="00F65C29">
              <w:rPr>
                <w:noProof/>
                <w:webHidden/>
              </w:rPr>
              <w:instrText xml:space="preserve"> PAGEREF _Toc68071808 \h </w:instrText>
            </w:r>
            <w:r w:rsidR="00F65C29">
              <w:rPr>
                <w:noProof/>
                <w:webHidden/>
              </w:rPr>
            </w:r>
            <w:r w:rsidR="00F65C29">
              <w:rPr>
                <w:noProof/>
                <w:webHidden/>
              </w:rPr>
              <w:fldChar w:fldCharType="separate"/>
            </w:r>
            <w:r w:rsidR="00F65C29">
              <w:rPr>
                <w:noProof/>
                <w:webHidden/>
              </w:rPr>
              <w:t>3</w:t>
            </w:r>
            <w:r w:rsidR="00F65C29">
              <w:rPr>
                <w:noProof/>
                <w:webHidden/>
              </w:rPr>
              <w:fldChar w:fldCharType="end"/>
            </w:r>
          </w:hyperlink>
        </w:p>
        <w:p w14:paraId="117F2D29" w14:textId="74DA6D00" w:rsidR="00F65C29" w:rsidRDefault="00D9055E">
          <w:pPr>
            <w:pStyle w:val="TOC1"/>
            <w:tabs>
              <w:tab w:val="left" w:pos="380"/>
              <w:tab w:val="right" w:leader="dot" w:pos="8920"/>
            </w:tabs>
            <w:rPr>
              <w:rFonts w:asciiTheme="minorHAnsi" w:eastAsiaTheme="minorEastAsia" w:hAnsiTheme="minorHAnsi"/>
              <w:noProof/>
              <w:sz w:val="22"/>
              <w:lang w:eastAsia="en-AU"/>
            </w:rPr>
          </w:pPr>
          <w:hyperlink w:anchor="_Toc68071809" w:history="1">
            <w:r w:rsidR="00F65C29" w:rsidRPr="00273F23">
              <w:rPr>
                <w:rStyle w:val="Hyperlink"/>
                <w:noProof/>
              </w:rPr>
              <w:t>2</w:t>
            </w:r>
            <w:r w:rsidR="00F65C29">
              <w:rPr>
                <w:rFonts w:asciiTheme="minorHAnsi" w:eastAsiaTheme="minorEastAsia" w:hAnsiTheme="minorHAnsi"/>
                <w:noProof/>
                <w:sz w:val="22"/>
                <w:lang w:eastAsia="en-AU"/>
              </w:rPr>
              <w:tab/>
            </w:r>
            <w:r w:rsidR="00F65C29" w:rsidRPr="00273F23">
              <w:rPr>
                <w:rStyle w:val="Hyperlink"/>
                <w:noProof/>
              </w:rPr>
              <w:t>Profile of the NQLC at a glance</w:t>
            </w:r>
            <w:r w:rsidR="00F65C29">
              <w:rPr>
                <w:noProof/>
                <w:webHidden/>
              </w:rPr>
              <w:tab/>
            </w:r>
            <w:r w:rsidR="00F65C29">
              <w:rPr>
                <w:noProof/>
                <w:webHidden/>
              </w:rPr>
              <w:fldChar w:fldCharType="begin"/>
            </w:r>
            <w:r w:rsidR="00F65C29">
              <w:rPr>
                <w:noProof/>
                <w:webHidden/>
              </w:rPr>
              <w:instrText xml:space="preserve"> PAGEREF _Toc68071809 \h </w:instrText>
            </w:r>
            <w:r w:rsidR="00F65C29">
              <w:rPr>
                <w:noProof/>
                <w:webHidden/>
              </w:rPr>
            </w:r>
            <w:r w:rsidR="00F65C29">
              <w:rPr>
                <w:noProof/>
                <w:webHidden/>
              </w:rPr>
              <w:fldChar w:fldCharType="separate"/>
            </w:r>
            <w:r w:rsidR="00F65C29">
              <w:rPr>
                <w:noProof/>
                <w:webHidden/>
              </w:rPr>
              <w:t>4</w:t>
            </w:r>
            <w:r w:rsidR="00F65C29">
              <w:rPr>
                <w:noProof/>
                <w:webHidden/>
              </w:rPr>
              <w:fldChar w:fldCharType="end"/>
            </w:r>
          </w:hyperlink>
        </w:p>
        <w:p w14:paraId="56F42681" w14:textId="224F1886" w:rsidR="00F65C29" w:rsidRDefault="00D9055E">
          <w:pPr>
            <w:pStyle w:val="TOC1"/>
            <w:tabs>
              <w:tab w:val="left" w:pos="380"/>
              <w:tab w:val="right" w:leader="dot" w:pos="8920"/>
            </w:tabs>
            <w:rPr>
              <w:rFonts w:asciiTheme="minorHAnsi" w:eastAsiaTheme="minorEastAsia" w:hAnsiTheme="minorHAnsi"/>
              <w:noProof/>
              <w:sz w:val="22"/>
              <w:lang w:eastAsia="en-AU"/>
            </w:rPr>
          </w:pPr>
          <w:hyperlink w:anchor="_Toc68071810" w:history="1">
            <w:r w:rsidR="00F65C29" w:rsidRPr="00273F23">
              <w:rPr>
                <w:rStyle w:val="Hyperlink"/>
                <w:noProof/>
              </w:rPr>
              <w:t>3</w:t>
            </w:r>
            <w:r w:rsidR="00F65C29">
              <w:rPr>
                <w:rFonts w:asciiTheme="minorHAnsi" w:eastAsiaTheme="minorEastAsia" w:hAnsiTheme="minorHAnsi"/>
                <w:noProof/>
                <w:sz w:val="22"/>
                <w:lang w:eastAsia="en-AU"/>
              </w:rPr>
              <w:tab/>
            </w:r>
            <w:r w:rsidR="00F65C29" w:rsidRPr="00273F23">
              <w:rPr>
                <w:rStyle w:val="Hyperlink"/>
                <w:noProof/>
              </w:rPr>
              <w:t>Findings and recommendations by Terms of Reference</w:t>
            </w:r>
            <w:r w:rsidR="00F65C29">
              <w:rPr>
                <w:noProof/>
                <w:webHidden/>
              </w:rPr>
              <w:tab/>
            </w:r>
            <w:r w:rsidR="00F65C29">
              <w:rPr>
                <w:noProof/>
                <w:webHidden/>
              </w:rPr>
              <w:fldChar w:fldCharType="begin"/>
            </w:r>
            <w:r w:rsidR="00F65C29">
              <w:rPr>
                <w:noProof/>
                <w:webHidden/>
              </w:rPr>
              <w:instrText xml:space="preserve"> PAGEREF _Toc68071810 \h </w:instrText>
            </w:r>
            <w:r w:rsidR="00F65C29">
              <w:rPr>
                <w:noProof/>
                <w:webHidden/>
              </w:rPr>
            </w:r>
            <w:r w:rsidR="00F65C29">
              <w:rPr>
                <w:noProof/>
                <w:webHidden/>
              </w:rPr>
              <w:fldChar w:fldCharType="separate"/>
            </w:r>
            <w:r w:rsidR="00F65C29">
              <w:rPr>
                <w:noProof/>
                <w:webHidden/>
              </w:rPr>
              <w:t>5</w:t>
            </w:r>
            <w:r w:rsidR="00F65C29">
              <w:rPr>
                <w:noProof/>
                <w:webHidden/>
              </w:rPr>
              <w:fldChar w:fldCharType="end"/>
            </w:r>
          </w:hyperlink>
        </w:p>
        <w:p w14:paraId="6F760DEF" w14:textId="38B16D0E" w:rsidR="00F65C29" w:rsidRDefault="00D9055E">
          <w:pPr>
            <w:pStyle w:val="TOC1"/>
            <w:tabs>
              <w:tab w:val="left" w:pos="1320"/>
              <w:tab w:val="right" w:leader="dot" w:pos="8920"/>
            </w:tabs>
            <w:rPr>
              <w:rFonts w:asciiTheme="minorHAnsi" w:eastAsiaTheme="minorEastAsia" w:hAnsiTheme="minorHAnsi"/>
              <w:noProof/>
              <w:sz w:val="22"/>
              <w:lang w:eastAsia="en-AU"/>
            </w:rPr>
          </w:pPr>
          <w:hyperlink w:anchor="_Toc68071811" w:history="1">
            <w:r w:rsidR="00F65C29" w:rsidRPr="00273F23">
              <w:rPr>
                <w:rStyle w:val="Hyperlink"/>
                <w:noProof/>
              </w:rPr>
              <w:t>Appendix A</w:t>
            </w:r>
            <w:r w:rsidR="00F65C29">
              <w:rPr>
                <w:rFonts w:asciiTheme="minorHAnsi" w:eastAsiaTheme="minorEastAsia" w:hAnsiTheme="minorHAnsi"/>
                <w:noProof/>
                <w:sz w:val="22"/>
                <w:lang w:eastAsia="en-AU"/>
              </w:rPr>
              <w:tab/>
            </w:r>
            <w:r w:rsidR="00F65C29" w:rsidRPr="00273F23">
              <w:rPr>
                <w:rStyle w:val="Hyperlink"/>
                <w:noProof/>
              </w:rPr>
              <w:t>Terms of Reference</w:t>
            </w:r>
            <w:r w:rsidR="00F65C29">
              <w:rPr>
                <w:noProof/>
                <w:webHidden/>
              </w:rPr>
              <w:tab/>
            </w:r>
            <w:r w:rsidR="00F65C29">
              <w:rPr>
                <w:noProof/>
                <w:webHidden/>
              </w:rPr>
              <w:fldChar w:fldCharType="begin"/>
            </w:r>
            <w:r w:rsidR="00F65C29">
              <w:rPr>
                <w:noProof/>
                <w:webHidden/>
              </w:rPr>
              <w:instrText xml:space="preserve"> PAGEREF _Toc68071811 \h </w:instrText>
            </w:r>
            <w:r w:rsidR="00F65C29">
              <w:rPr>
                <w:noProof/>
                <w:webHidden/>
              </w:rPr>
            </w:r>
            <w:r w:rsidR="00F65C29">
              <w:rPr>
                <w:noProof/>
                <w:webHidden/>
              </w:rPr>
              <w:fldChar w:fldCharType="separate"/>
            </w:r>
            <w:r w:rsidR="00F65C29">
              <w:rPr>
                <w:noProof/>
                <w:webHidden/>
              </w:rPr>
              <w:t>17</w:t>
            </w:r>
            <w:r w:rsidR="00F65C29">
              <w:rPr>
                <w:noProof/>
                <w:webHidden/>
              </w:rPr>
              <w:fldChar w:fldCharType="end"/>
            </w:r>
          </w:hyperlink>
        </w:p>
        <w:p w14:paraId="1F017952" w14:textId="79D1B1DD" w:rsidR="00F65C29" w:rsidRDefault="00D9055E">
          <w:pPr>
            <w:pStyle w:val="TOC1"/>
            <w:tabs>
              <w:tab w:val="left" w:pos="1320"/>
              <w:tab w:val="right" w:leader="dot" w:pos="8920"/>
            </w:tabs>
            <w:rPr>
              <w:rFonts w:asciiTheme="minorHAnsi" w:eastAsiaTheme="minorEastAsia" w:hAnsiTheme="minorHAnsi"/>
              <w:noProof/>
              <w:sz w:val="22"/>
              <w:lang w:eastAsia="en-AU"/>
            </w:rPr>
          </w:pPr>
          <w:hyperlink w:anchor="_Toc68071812" w:history="1">
            <w:r w:rsidR="00F65C29" w:rsidRPr="00273F23">
              <w:rPr>
                <w:rStyle w:val="Hyperlink"/>
                <w:noProof/>
              </w:rPr>
              <w:t>Appendix B</w:t>
            </w:r>
            <w:r w:rsidR="00F65C29">
              <w:rPr>
                <w:rFonts w:asciiTheme="minorHAnsi" w:eastAsiaTheme="minorEastAsia" w:hAnsiTheme="minorHAnsi"/>
                <w:noProof/>
                <w:sz w:val="22"/>
                <w:lang w:eastAsia="en-AU"/>
              </w:rPr>
              <w:tab/>
            </w:r>
            <w:r w:rsidR="00F65C29" w:rsidRPr="00273F23">
              <w:rPr>
                <w:rStyle w:val="Hyperlink"/>
                <w:noProof/>
              </w:rPr>
              <w:t>NTRB-SPs under review</w:t>
            </w:r>
            <w:r w:rsidR="00F65C29">
              <w:rPr>
                <w:noProof/>
                <w:webHidden/>
              </w:rPr>
              <w:tab/>
            </w:r>
            <w:r w:rsidR="00F65C29">
              <w:rPr>
                <w:noProof/>
                <w:webHidden/>
              </w:rPr>
              <w:fldChar w:fldCharType="begin"/>
            </w:r>
            <w:r w:rsidR="00F65C29">
              <w:rPr>
                <w:noProof/>
                <w:webHidden/>
              </w:rPr>
              <w:instrText xml:space="preserve"> PAGEREF _Toc68071812 \h </w:instrText>
            </w:r>
            <w:r w:rsidR="00F65C29">
              <w:rPr>
                <w:noProof/>
                <w:webHidden/>
              </w:rPr>
            </w:r>
            <w:r w:rsidR="00F65C29">
              <w:rPr>
                <w:noProof/>
                <w:webHidden/>
              </w:rPr>
              <w:fldChar w:fldCharType="separate"/>
            </w:r>
            <w:r w:rsidR="00F65C29">
              <w:rPr>
                <w:noProof/>
                <w:webHidden/>
              </w:rPr>
              <w:t>18</w:t>
            </w:r>
            <w:r w:rsidR="00F65C29">
              <w:rPr>
                <w:noProof/>
                <w:webHidden/>
              </w:rPr>
              <w:fldChar w:fldCharType="end"/>
            </w:r>
          </w:hyperlink>
        </w:p>
        <w:p w14:paraId="1697FD0F" w14:textId="76F468DB" w:rsidR="00F65C29" w:rsidRDefault="00D9055E">
          <w:pPr>
            <w:pStyle w:val="TOC1"/>
            <w:tabs>
              <w:tab w:val="left" w:pos="1320"/>
              <w:tab w:val="right" w:leader="dot" w:pos="8920"/>
            </w:tabs>
            <w:rPr>
              <w:rFonts w:asciiTheme="minorHAnsi" w:eastAsiaTheme="minorEastAsia" w:hAnsiTheme="minorHAnsi"/>
              <w:noProof/>
              <w:sz w:val="22"/>
              <w:lang w:eastAsia="en-AU"/>
            </w:rPr>
          </w:pPr>
          <w:hyperlink w:anchor="_Toc68071813" w:history="1">
            <w:r w:rsidR="00F65C29" w:rsidRPr="00273F23">
              <w:rPr>
                <w:rStyle w:val="Hyperlink"/>
                <w:noProof/>
              </w:rPr>
              <w:t>Appendix C</w:t>
            </w:r>
            <w:r w:rsidR="00F65C29">
              <w:rPr>
                <w:rFonts w:asciiTheme="minorHAnsi" w:eastAsiaTheme="minorEastAsia" w:hAnsiTheme="minorHAnsi"/>
                <w:noProof/>
                <w:sz w:val="22"/>
                <w:lang w:eastAsia="en-AU"/>
              </w:rPr>
              <w:tab/>
            </w:r>
            <w:r w:rsidR="00F65C29" w:rsidRPr="00273F23">
              <w:rPr>
                <w:rStyle w:val="Hyperlink"/>
                <w:noProof/>
              </w:rPr>
              <w:t>Stakeholders consulted</w:t>
            </w:r>
            <w:r w:rsidR="00F65C29">
              <w:rPr>
                <w:noProof/>
                <w:webHidden/>
              </w:rPr>
              <w:tab/>
            </w:r>
            <w:r w:rsidR="00F65C29">
              <w:rPr>
                <w:noProof/>
                <w:webHidden/>
              </w:rPr>
              <w:fldChar w:fldCharType="begin"/>
            </w:r>
            <w:r w:rsidR="00F65C29">
              <w:rPr>
                <w:noProof/>
                <w:webHidden/>
              </w:rPr>
              <w:instrText xml:space="preserve"> PAGEREF _Toc68071813 \h </w:instrText>
            </w:r>
            <w:r w:rsidR="00F65C29">
              <w:rPr>
                <w:noProof/>
                <w:webHidden/>
              </w:rPr>
            </w:r>
            <w:r w:rsidR="00F65C29">
              <w:rPr>
                <w:noProof/>
                <w:webHidden/>
              </w:rPr>
              <w:fldChar w:fldCharType="separate"/>
            </w:r>
            <w:r w:rsidR="00F65C29">
              <w:rPr>
                <w:noProof/>
                <w:webHidden/>
              </w:rPr>
              <w:t>19</w:t>
            </w:r>
            <w:r w:rsidR="00F65C29">
              <w:rPr>
                <w:noProof/>
                <w:webHidden/>
              </w:rPr>
              <w:fldChar w:fldCharType="end"/>
            </w:r>
          </w:hyperlink>
        </w:p>
        <w:p w14:paraId="5FD3D9C0" w14:textId="4EBE6344" w:rsidR="00F65C29" w:rsidRDefault="00D9055E">
          <w:pPr>
            <w:pStyle w:val="TOC1"/>
            <w:tabs>
              <w:tab w:val="left" w:pos="1320"/>
              <w:tab w:val="right" w:leader="dot" w:pos="8920"/>
            </w:tabs>
            <w:rPr>
              <w:rFonts w:asciiTheme="minorHAnsi" w:eastAsiaTheme="minorEastAsia" w:hAnsiTheme="minorHAnsi"/>
              <w:noProof/>
              <w:sz w:val="22"/>
              <w:lang w:eastAsia="en-AU"/>
            </w:rPr>
          </w:pPr>
          <w:hyperlink w:anchor="_Toc68071814" w:history="1">
            <w:r w:rsidR="00F65C29" w:rsidRPr="00273F23">
              <w:rPr>
                <w:rStyle w:val="Hyperlink"/>
                <w:noProof/>
              </w:rPr>
              <w:t>Appendix D</w:t>
            </w:r>
            <w:r w:rsidR="00F65C29">
              <w:rPr>
                <w:rFonts w:asciiTheme="minorHAnsi" w:eastAsiaTheme="minorEastAsia" w:hAnsiTheme="minorHAnsi"/>
                <w:noProof/>
                <w:sz w:val="22"/>
                <w:lang w:eastAsia="en-AU"/>
              </w:rPr>
              <w:tab/>
            </w:r>
            <w:r w:rsidR="00F65C29" w:rsidRPr="00273F23">
              <w:rPr>
                <w:rStyle w:val="Hyperlink"/>
                <w:noProof/>
              </w:rPr>
              <w:t>Methodology</w:t>
            </w:r>
            <w:r w:rsidR="00F65C29">
              <w:rPr>
                <w:noProof/>
                <w:webHidden/>
              </w:rPr>
              <w:tab/>
            </w:r>
            <w:r w:rsidR="00F65C29">
              <w:rPr>
                <w:noProof/>
                <w:webHidden/>
              </w:rPr>
              <w:fldChar w:fldCharType="begin"/>
            </w:r>
            <w:r w:rsidR="00F65C29">
              <w:rPr>
                <w:noProof/>
                <w:webHidden/>
              </w:rPr>
              <w:instrText xml:space="preserve"> PAGEREF _Toc68071814 \h </w:instrText>
            </w:r>
            <w:r w:rsidR="00F65C29">
              <w:rPr>
                <w:noProof/>
                <w:webHidden/>
              </w:rPr>
            </w:r>
            <w:r w:rsidR="00F65C29">
              <w:rPr>
                <w:noProof/>
                <w:webHidden/>
              </w:rPr>
              <w:fldChar w:fldCharType="separate"/>
            </w:r>
            <w:r w:rsidR="00F65C29">
              <w:rPr>
                <w:noProof/>
                <w:webHidden/>
              </w:rPr>
              <w:t>20</w:t>
            </w:r>
            <w:r w:rsidR="00F65C29">
              <w:rPr>
                <w:noProof/>
                <w:webHidden/>
              </w:rPr>
              <w:fldChar w:fldCharType="end"/>
            </w:r>
          </w:hyperlink>
        </w:p>
        <w:p w14:paraId="5D558885" w14:textId="00034559" w:rsidR="00F65C29" w:rsidRDefault="00D9055E">
          <w:pPr>
            <w:pStyle w:val="TOC1"/>
            <w:tabs>
              <w:tab w:val="left" w:pos="1320"/>
              <w:tab w:val="right" w:leader="dot" w:pos="8920"/>
            </w:tabs>
            <w:rPr>
              <w:rFonts w:asciiTheme="minorHAnsi" w:eastAsiaTheme="minorEastAsia" w:hAnsiTheme="minorHAnsi"/>
              <w:noProof/>
              <w:sz w:val="22"/>
              <w:lang w:eastAsia="en-AU"/>
            </w:rPr>
          </w:pPr>
          <w:hyperlink w:anchor="_Toc68071815" w:history="1">
            <w:r w:rsidR="00F65C29" w:rsidRPr="00273F23">
              <w:rPr>
                <w:rStyle w:val="Hyperlink"/>
                <w:noProof/>
              </w:rPr>
              <w:t>Appendix E</w:t>
            </w:r>
            <w:r w:rsidR="00F65C29">
              <w:rPr>
                <w:rFonts w:asciiTheme="minorHAnsi" w:eastAsiaTheme="minorEastAsia" w:hAnsiTheme="minorHAnsi"/>
                <w:noProof/>
                <w:sz w:val="22"/>
                <w:lang w:eastAsia="en-AU"/>
              </w:rPr>
              <w:tab/>
            </w:r>
            <w:r w:rsidR="00F65C29" w:rsidRPr="00273F23">
              <w:rPr>
                <w:rStyle w:val="Hyperlink"/>
                <w:noProof/>
              </w:rPr>
              <w:t>Glossary</w:t>
            </w:r>
            <w:r w:rsidR="00F65C29">
              <w:rPr>
                <w:noProof/>
                <w:webHidden/>
              </w:rPr>
              <w:tab/>
            </w:r>
            <w:r w:rsidR="00F65C29">
              <w:rPr>
                <w:noProof/>
                <w:webHidden/>
              </w:rPr>
              <w:fldChar w:fldCharType="begin"/>
            </w:r>
            <w:r w:rsidR="00F65C29">
              <w:rPr>
                <w:noProof/>
                <w:webHidden/>
              </w:rPr>
              <w:instrText xml:space="preserve"> PAGEREF _Toc68071815 \h </w:instrText>
            </w:r>
            <w:r w:rsidR="00F65C29">
              <w:rPr>
                <w:noProof/>
                <w:webHidden/>
              </w:rPr>
            </w:r>
            <w:r w:rsidR="00F65C29">
              <w:rPr>
                <w:noProof/>
                <w:webHidden/>
              </w:rPr>
              <w:fldChar w:fldCharType="separate"/>
            </w:r>
            <w:r w:rsidR="00F65C29">
              <w:rPr>
                <w:noProof/>
                <w:webHidden/>
              </w:rPr>
              <w:t>21</w:t>
            </w:r>
            <w:r w:rsidR="00F65C29">
              <w:rPr>
                <w:noProof/>
                <w:webHidden/>
              </w:rPr>
              <w:fldChar w:fldCharType="end"/>
            </w:r>
          </w:hyperlink>
        </w:p>
        <w:p w14:paraId="521BFFDF" w14:textId="35633421" w:rsidR="000A7531" w:rsidRDefault="000A7531">
          <w:r>
            <w:rPr>
              <w:b/>
              <w:bCs/>
              <w:noProof/>
            </w:rPr>
            <w:fldChar w:fldCharType="end"/>
          </w:r>
        </w:p>
      </w:sdtContent>
    </w:sdt>
    <w:p w14:paraId="12FB0C8D" w14:textId="77777777" w:rsidR="000A7531" w:rsidRDefault="000A7531" w:rsidP="000A7531">
      <w:pPr>
        <w:rPr>
          <w:rFonts w:eastAsia="Times New Roman" w:cs="Times New Roman"/>
          <w:b/>
          <w:color w:val="00264D"/>
          <w:sz w:val="36"/>
          <w:szCs w:val="19"/>
          <w:lang w:eastAsia="en-AU"/>
        </w:rPr>
      </w:pPr>
      <w:r>
        <w:br w:type="page"/>
      </w:r>
    </w:p>
    <w:p w14:paraId="0381B7F5" w14:textId="7B3F4F7B" w:rsidR="00525012" w:rsidRDefault="00E5318B" w:rsidP="003800E8">
      <w:pPr>
        <w:pStyle w:val="Heading1"/>
        <w:numPr>
          <w:ilvl w:val="0"/>
          <w:numId w:val="7"/>
        </w:numPr>
      </w:pPr>
      <w:bookmarkStart w:id="2" w:name="_Toc68071808"/>
      <w:r>
        <w:lastRenderedPageBreak/>
        <w:t>About the Review</w:t>
      </w:r>
      <w:bookmarkEnd w:id="2"/>
    </w:p>
    <w:p w14:paraId="6D48C0BE" w14:textId="3DA5EE30" w:rsidR="003800E8" w:rsidRDefault="003800E8" w:rsidP="003800E8">
      <w:pPr>
        <w:rPr>
          <w:lang w:eastAsia="en-AU"/>
        </w:rPr>
      </w:pPr>
      <w:bookmarkStart w:id="3" w:name="_Hlk41335110"/>
      <w:bookmarkStart w:id="4" w:name="_Toc502668013"/>
      <w:bookmarkStart w:id="5" w:name="_Toc502839775"/>
      <w:bookmarkStart w:id="6" w:name="_Toc502843251"/>
      <w:bookmarkStart w:id="7" w:name="_Toc502847614"/>
      <w:bookmarkStart w:id="8" w:name="_Toc502850758"/>
      <w:bookmarkStart w:id="9" w:name="_Toc502855190"/>
      <w:bookmarkStart w:id="10" w:name="_Toc503117089"/>
      <w:bookmarkStart w:id="11" w:name="_Toc505259166"/>
      <w:bookmarkStart w:id="12" w:name="_Toc505256233"/>
      <w:bookmarkStart w:id="13" w:name="_Toc505618276"/>
      <w:r>
        <w:rPr>
          <w:lang w:eastAsia="en-AU"/>
        </w:rPr>
        <w:t>The Department of the Prime Minister and Cabinet</w:t>
      </w:r>
      <w:r>
        <w:rPr>
          <w:rStyle w:val="FootnoteReference"/>
          <w:lang w:eastAsia="en-AU"/>
        </w:rPr>
        <w:footnoteReference w:id="2"/>
      </w:r>
      <w:r>
        <w:rPr>
          <w:lang w:eastAsia="en-AU"/>
        </w:rPr>
        <w:t xml:space="preserve"> commissioned this Review as part of a series of reviews to assess the efficiency and effectiveness of </w:t>
      </w:r>
      <w:r w:rsidR="00F96932">
        <w:rPr>
          <w:lang w:eastAsia="en-AU"/>
        </w:rPr>
        <w:t>14</w:t>
      </w:r>
      <w:r>
        <w:rPr>
          <w:lang w:eastAsia="en-AU"/>
        </w:rPr>
        <w:t xml:space="preserve"> Native Title Representative Bodies and Service Providers (NTRB-SPs) in carrying out their functions under the </w:t>
      </w:r>
      <w:r w:rsidRPr="00EA47FA">
        <w:rPr>
          <w:i/>
          <w:iCs/>
          <w:lang w:eastAsia="en-AU"/>
        </w:rPr>
        <w:t>Native Title Act 1993</w:t>
      </w:r>
      <w:r>
        <w:rPr>
          <w:i/>
          <w:iCs/>
          <w:lang w:eastAsia="en-AU"/>
        </w:rPr>
        <w:t xml:space="preserve"> (Cth) </w:t>
      </w:r>
      <w:r w:rsidRPr="00BB7B00">
        <w:t>(</w:t>
      </w:r>
      <w:r w:rsidRPr="005124CF">
        <w:t>her</w:t>
      </w:r>
      <w:r>
        <w:t>e</w:t>
      </w:r>
      <w:r w:rsidRPr="005124CF">
        <w:t>in</w:t>
      </w:r>
      <w:r>
        <w:rPr>
          <w:i/>
        </w:rPr>
        <w:t xml:space="preserve"> </w:t>
      </w:r>
      <w:r w:rsidRPr="00B05524">
        <w:rPr>
          <w:iCs/>
        </w:rPr>
        <w:t>NTA</w:t>
      </w:r>
      <w:r w:rsidRPr="00BB7B00">
        <w:t>)</w:t>
      </w:r>
      <w:r>
        <w:rPr>
          <w:lang w:eastAsia="en-AU"/>
        </w:rPr>
        <w:t xml:space="preserve">. </w:t>
      </w:r>
      <w:r w:rsidRPr="00AC1574">
        <w:rPr>
          <w:lang w:eastAsia="en-AU"/>
        </w:rPr>
        <w:t xml:space="preserve">The </w:t>
      </w:r>
      <w:r>
        <w:rPr>
          <w:lang w:eastAsia="en-AU"/>
        </w:rPr>
        <w:t xml:space="preserve">complete </w:t>
      </w:r>
      <w:r w:rsidRPr="00AC1574">
        <w:rPr>
          <w:lang w:eastAsia="en-AU"/>
        </w:rPr>
        <w:t>Terms of Reference</w:t>
      </w:r>
      <w:r>
        <w:rPr>
          <w:lang w:eastAsia="en-AU"/>
        </w:rPr>
        <w:t xml:space="preserve"> (TOR)</w:t>
      </w:r>
      <w:r w:rsidRPr="00AC1574">
        <w:rPr>
          <w:lang w:eastAsia="en-AU"/>
        </w:rPr>
        <w:t xml:space="preserve"> provided </w:t>
      </w:r>
      <w:r>
        <w:rPr>
          <w:lang w:eastAsia="en-AU"/>
        </w:rPr>
        <w:t>f</w:t>
      </w:r>
      <w:r w:rsidRPr="00AC1574">
        <w:rPr>
          <w:lang w:eastAsia="en-AU"/>
        </w:rPr>
        <w:t>or the Review are</w:t>
      </w:r>
      <w:r>
        <w:rPr>
          <w:lang w:eastAsia="en-AU"/>
        </w:rPr>
        <w:t xml:space="preserve"> included in </w:t>
      </w:r>
      <w:r>
        <w:rPr>
          <w:lang w:eastAsia="en-AU"/>
        </w:rPr>
        <w:fldChar w:fldCharType="begin"/>
      </w:r>
      <w:r>
        <w:rPr>
          <w:lang w:eastAsia="en-AU"/>
        </w:rPr>
        <w:instrText xml:space="preserve"> REF _Ref500494833 \r \h </w:instrText>
      </w:r>
      <w:r>
        <w:rPr>
          <w:lang w:eastAsia="en-AU"/>
        </w:rPr>
      </w:r>
      <w:r>
        <w:rPr>
          <w:lang w:eastAsia="en-AU"/>
        </w:rPr>
        <w:fldChar w:fldCharType="separate"/>
      </w:r>
      <w:r w:rsidR="00F65C29">
        <w:rPr>
          <w:lang w:eastAsia="en-AU"/>
        </w:rPr>
        <w:t>Appendix A</w:t>
      </w:r>
      <w:r>
        <w:rPr>
          <w:lang w:eastAsia="en-AU"/>
        </w:rPr>
        <w:fldChar w:fldCharType="end"/>
      </w:r>
      <w:r>
        <w:rPr>
          <w:lang w:eastAsia="en-AU"/>
        </w:rPr>
        <w:t xml:space="preserve">. The </w:t>
      </w:r>
      <w:r w:rsidR="004662A4">
        <w:rPr>
          <w:lang w:eastAsia="en-AU"/>
        </w:rPr>
        <w:t>14</w:t>
      </w:r>
      <w:r>
        <w:rPr>
          <w:lang w:eastAsia="en-AU"/>
        </w:rPr>
        <w:t xml:space="preserve"> organisations reviewed are listed in </w:t>
      </w:r>
      <w:r w:rsidR="004662A4">
        <w:rPr>
          <w:lang w:eastAsia="en-AU"/>
        </w:rPr>
        <w:fldChar w:fldCharType="begin"/>
      </w:r>
      <w:r w:rsidR="004662A4">
        <w:rPr>
          <w:lang w:eastAsia="en-AU"/>
        </w:rPr>
        <w:instrText xml:space="preserve"> REF _Ref37158564 \n \h </w:instrText>
      </w:r>
      <w:r w:rsidR="004662A4">
        <w:rPr>
          <w:lang w:eastAsia="en-AU"/>
        </w:rPr>
      </w:r>
      <w:r w:rsidR="004662A4">
        <w:rPr>
          <w:lang w:eastAsia="en-AU"/>
        </w:rPr>
        <w:fldChar w:fldCharType="separate"/>
      </w:r>
      <w:r w:rsidR="00F65C29">
        <w:rPr>
          <w:lang w:eastAsia="en-AU"/>
        </w:rPr>
        <w:t>Appendix B</w:t>
      </w:r>
      <w:r w:rsidR="004662A4">
        <w:rPr>
          <w:lang w:eastAsia="en-AU"/>
        </w:rPr>
        <w:fldChar w:fldCharType="end"/>
      </w:r>
      <w:r>
        <w:rPr>
          <w:lang w:eastAsia="en-AU"/>
        </w:rPr>
        <w:t xml:space="preserve">. </w:t>
      </w:r>
    </w:p>
    <w:bookmarkEnd w:id="3"/>
    <w:p w14:paraId="429F569D" w14:textId="06D89764" w:rsidR="00C0422E" w:rsidRDefault="00796323" w:rsidP="00B5372C">
      <w:pPr>
        <w:rPr>
          <w:b/>
          <w:lang w:eastAsia="en-AU"/>
        </w:rPr>
      </w:pPr>
      <w:r>
        <w:rPr>
          <w:b/>
          <w:lang w:eastAsia="en-AU"/>
        </w:rPr>
        <w:t>North Queensland Land Council (NQLC</w:t>
      </w:r>
      <w:r w:rsidR="00FA4902" w:rsidRPr="006A40AF">
        <w:rPr>
          <w:b/>
          <w:lang w:eastAsia="en-AU"/>
        </w:rPr>
        <w:t>)</w:t>
      </w:r>
      <w:r w:rsidR="00FA4902">
        <w:rPr>
          <w:lang w:eastAsia="en-AU"/>
        </w:rPr>
        <w:t xml:space="preserve"> </w:t>
      </w:r>
      <w:r w:rsidR="0070030A">
        <w:rPr>
          <w:lang w:eastAsia="en-AU"/>
        </w:rPr>
        <w:t xml:space="preserve">was </w:t>
      </w:r>
      <w:r w:rsidR="000F6ED7">
        <w:rPr>
          <w:lang w:eastAsia="en-AU"/>
        </w:rPr>
        <w:t xml:space="preserve">reviewed </w:t>
      </w:r>
      <w:r w:rsidR="006F6C4A">
        <w:rPr>
          <w:lang w:eastAsia="en-AU"/>
        </w:rPr>
        <w:t xml:space="preserve">from </w:t>
      </w:r>
      <w:r w:rsidRPr="00AF14C6">
        <w:rPr>
          <w:bCs/>
          <w:lang w:eastAsia="en-AU"/>
        </w:rPr>
        <w:t>September 2018</w:t>
      </w:r>
      <w:r w:rsidR="006A40AF" w:rsidRPr="00AF14C6">
        <w:rPr>
          <w:bCs/>
          <w:lang w:eastAsia="en-AU"/>
        </w:rPr>
        <w:t xml:space="preserve"> to </w:t>
      </w:r>
      <w:r w:rsidRPr="00AF14C6">
        <w:rPr>
          <w:bCs/>
          <w:lang w:eastAsia="en-AU"/>
        </w:rPr>
        <w:t>April</w:t>
      </w:r>
      <w:r w:rsidR="006A40AF" w:rsidRPr="00AF14C6">
        <w:rPr>
          <w:bCs/>
          <w:lang w:eastAsia="en-AU"/>
        </w:rPr>
        <w:t xml:space="preserve"> 201</w:t>
      </w:r>
      <w:r w:rsidRPr="00AF14C6">
        <w:rPr>
          <w:bCs/>
          <w:lang w:eastAsia="en-AU"/>
        </w:rPr>
        <w:t>9</w:t>
      </w:r>
      <w:r w:rsidR="006A40AF" w:rsidRPr="00AF14C6">
        <w:rPr>
          <w:bCs/>
          <w:lang w:eastAsia="en-AU"/>
        </w:rPr>
        <w:t xml:space="preserve"> </w:t>
      </w:r>
      <w:r w:rsidR="00AF14C6" w:rsidRPr="00AF14C6">
        <w:rPr>
          <w:bCs/>
          <w:lang w:eastAsia="en-AU"/>
        </w:rPr>
        <w:t>considering the previous three</w:t>
      </w:r>
      <w:r w:rsidR="00AF14C6">
        <w:rPr>
          <w:bCs/>
          <w:lang w:eastAsia="en-AU"/>
        </w:rPr>
        <w:t>-</w:t>
      </w:r>
      <w:r w:rsidR="00AF14C6" w:rsidRPr="00AF14C6">
        <w:rPr>
          <w:bCs/>
          <w:lang w:eastAsia="en-AU"/>
        </w:rPr>
        <w:t>year period (</w:t>
      </w:r>
      <w:r w:rsidR="00C0422E" w:rsidRPr="00AF14C6">
        <w:rPr>
          <w:bCs/>
          <w:lang w:eastAsia="en-AU"/>
        </w:rPr>
        <w:t>July 201</w:t>
      </w:r>
      <w:r w:rsidRPr="00AF14C6">
        <w:rPr>
          <w:bCs/>
          <w:lang w:eastAsia="en-AU"/>
        </w:rPr>
        <w:t>5</w:t>
      </w:r>
      <w:r w:rsidR="00C0422E" w:rsidRPr="00AF14C6">
        <w:rPr>
          <w:bCs/>
          <w:lang w:eastAsia="en-AU"/>
        </w:rPr>
        <w:t xml:space="preserve"> to June 201</w:t>
      </w:r>
      <w:r w:rsidRPr="00AF14C6">
        <w:rPr>
          <w:bCs/>
          <w:lang w:eastAsia="en-AU"/>
        </w:rPr>
        <w:t>8</w:t>
      </w:r>
      <w:r w:rsidR="00AF14C6" w:rsidRPr="00AF14C6">
        <w:rPr>
          <w:bCs/>
          <w:lang w:eastAsia="en-AU"/>
        </w:rPr>
        <w:t>)</w:t>
      </w:r>
      <w:r w:rsidR="00C0422E" w:rsidRPr="00AF14C6">
        <w:rPr>
          <w:bCs/>
          <w:lang w:eastAsia="en-AU"/>
        </w:rPr>
        <w:t>.</w:t>
      </w:r>
      <w:r w:rsidR="00AF14C6">
        <w:rPr>
          <w:bCs/>
          <w:lang w:eastAsia="en-AU"/>
        </w:rPr>
        <w:t xml:space="preserve"> </w:t>
      </w:r>
      <w:r w:rsidR="00AF14C6">
        <w:rPr>
          <w:b/>
          <w:lang w:eastAsia="en-AU"/>
        </w:rPr>
        <w:t>This document contains a summary of the Review’s overarching findings and recommendations for NQLC. It also includes NQLC’s responses to the recommendations made by the Review.</w:t>
      </w:r>
    </w:p>
    <w:p w14:paraId="7D65433D" w14:textId="5E8FCDF3" w:rsidR="00432BD6" w:rsidRPr="00AF14C6" w:rsidRDefault="00432BD6" w:rsidP="00B5372C">
      <w:pPr>
        <w:rPr>
          <w:lang w:eastAsia="en-AU"/>
        </w:rPr>
      </w:pPr>
      <w:r w:rsidRPr="00432BD6">
        <w:rPr>
          <w:b/>
          <w:lang w:eastAsia="en-AU"/>
        </w:rPr>
        <w:t xml:space="preserve">Findings and recommendations represent an assessment of performance at the time of the </w:t>
      </w:r>
      <w:r>
        <w:rPr>
          <w:b/>
          <w:lang w:eastAsia="en-AU"/>
        </w:rPr>
        <w:t>R</w:t>
      </w:r>
      <w:r w:rsidRPr="00432BD6">
        <w:rPr>
          <w:b/>
          <w:lang w:eastAsia="en-AU"/>
        </w:rPr>
        <w:t>eview and have not been subsequently amended or updated.</w:t>
      </w:r>
    </w:p>
    <w:p w14:paraId="5A9F9666" w14:textId="1B74F333" w:rsidR="00F64BB4" w:rsidRDefault="00FA1EB1" w:rsidP="00BB5C42">
      <w:pPr>
        <w:rPr>
          <w:lang w:eastAsia="en-AU"/>
        </w:rPr>
      </w:pPr>
      <w:r w:rsidRPr="00FA1EB1">
        <w:rPr>
          <w:lang w:eastAsia="en-AU"/>
        </w:rPr>
        <w:t xml:space="preserve">In addition to the individual reports, Nous </w:t>
      </w:r>
      <w:r w:rsidR="003D1FA7">
        <w:rPr>
          <w:lang w:eastAsia="en-AU"/>
        </w:rPr>
        <w:t xml:space="preserve">Group (Nous) </w:t>
      </w:r>
      <w:r w:rsidRPr="00FA1EB1">
        <w:rPr>
          <w:lang w:eastAsia="en-AU"/>
        </w:rPr>
        <w:t xml:space="preserve">has developed a de-identified comparative report which considers the performance of </w:t>
      </w:r>
      <w:r w:rsidR="00432BD6">
        <w:rPr>
          <w:lang w:eastAsia="en-AU"/>
        </w:rPr>
        <w:t xml:space="preserve">all </w:t>
      </w:r>
      <w:r w:rsidRPr="00FA1EB1">
        <w:rPr>
          <w:lang w:eastAsia="en-AU"/>
        </w:rPr>
        <w:t>the organisations across the TORs</w:t>
      </w:r>
      <w:r w:rsidR="00CD3774">
        <w:rPr>
          <w:lang w:eastAsia="en-AU"/>
        </w:rPr>
        <w:t xml:space="preserve">. The report presents </w:t>
      </w:r>
      <w:r w:rsidR="002D067D" w:rsidRPr="00C4471D">
        <w:t xml:space="preserve">a discussion of </w:t>
      </w:r>
      <w:r w:rsidR="002D067D">
        <w:t xml:space="preserve">systemic issues within each TOR </w:t>
      </w:r>
      <w:r w:rsidR="002D067D" w:rsidRPr="00C4471D">
        <w:t xml:space="preserve">that </w:t>
      </w:r>
      <w:r w:rsidR="002D067D">
        <w:t xml:space="preserve">arose in all or most of the organisations across </w:t>
      </w:r>
      <w:r w:rsidR="00351DEB">
        <w:t>all</w:t>
      </w:r>
      <w:r w:rsidR="002D067D">
        <w:t xml:space="preserve"> tranches of the Review and that are pertinent to the broader native title system.</w:t>
      </w:r>
    </w:p>
    <w:p w14:paraId="7812424F" w14:textId="66BFBE4A" w:rsidR="006F6C4A" w:rsidRDefault="00F64BB4" w:rsidP="00F64BB4">
      <w:pPr>
        <w:rPr>
          <w:lang w:eastAsia="en-AU"/>
        </w:rPr>
      </w:pPr>
      <w:r>
        <w:rPr>
          <w:lang w:eastAsia="en-AU"/>
        </w:rPr>
        <w:t xml:space="preserve">Nous has used a consistent </w:t>
      </w:r>
      <w:r w:rsidRPr="00537AF0">
        <w:rPr>
          <w:lang w:eastAsia="en-AU"/>
        </w:rPr>
        <w:t>methodology</w:t>
      </w:r>
      <w:r w:rsidRPr="00D47620">
        <w:rPr>
          <w:lang w:eastAsia="en-AU"/>
        </w:rPr>
        <w:t xml:space="preserve"> </w:t>
      </w:r>
      <w:r w:rsidR="00432BD6">
        <w:rPr>
          <w:lang w:eastAsia="en-AU"/>
        </w:rPr>
        <w:t xml:space="preserve">for all the Reviews </w:t>
      </w:r>
      <w:r w:rsidRPr="00D47620">
        <w:rPr>
          <w:lang w:eastAsia="en-AU"/>
        </w:rPr>
        <w:t xml:space="preserve">to support a comparative and transparent assessment of </w:t>
      </w:r>
      <w:r w:rsidR="00796323">
        <w:rPr>
          <w:lang w:eastAsia="en-AU"/>
        </w:rPr>
        <w:t>NQLC</w:t>
      </w:r>
      <w:r>
        <w:rPr>
          <w:lang w:eastAsia="en-AU"/>
        </w:rPr>
        <w:t xml:space="preserve"> and </w:t>
      </w:r>
      <w:r w:rsidRPr="00D47620">
        <w:rPr>
          <w:lang w:eastAsia="en-AU"/>
        </w:rPr>
        <w:t xml:space="preserve">the </w:t>
      </w:r>
      <w:r>
        <w:rPr>
          <w:lang w:eastAsia="en-AU"/>
        </w:rPr>
        <w:t>other NTRB-SPs</w:t>
      </w:r>
      <w:r w:rsidRPr="00D47620">
        <w:rPr>
          <w:lang w:eastAsia="en-AU"/>
        </w:rPr>
        <w:t xml:space="preserve">. </w:t>
      </w:r>
      <w:r w:rsidR="00432BD6">
        <w:rPr>
          <w:lang w:eastAsia="en-AU"/>
        </w:rPr>
        <w:t>The methodology</w:t>
      </w:r>
      <w:r>
        <w:rPr>
          <w:lang w:eastAsia="en-AU"/>
        </w:rPr>
        <w:t xml:space="preserve"> 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w:t>
      </w:r>
      <w:r w:rsidR="00574DE1">
        <w:rPr>
          <w:lang w:eastAsia="en-AU"/>
        </w:rPr>
        <w:t>interviews with clients, potential clients, staff, the NQLC’s Board of Directors, the Federal Court, the National Native Title Tribunal (NNTT) and the QLD Government.</w:t>
      </w:r>
      <w:r>
        <w:rPr>
          <w:lang w:eastAsia="en-AU"/>
        </w:rPr>
        <w:t xml:space="preserve"> </w:t>
      </w:r>
      <w:r w:rsidR="0034079F">
        <w:rPr>
          <w:lang w:eastAsia="en-AU"/>
        </w:rPr>
        <w:t xml:space="preserve">A list of stakeholders consulted is included in </w:t>
      </w:r>
      <w:r w:rsidR="0034079F">
        <w:rPr>
          <w:lang w:eastAsia="en-AU"/>
        </w:rPr>
        <w:fldChar w:fldCharType="begin"/>
      </w:r>
      <w:r w:rsidR="0034079F">
        <w:rPr>
          <w:lang w:eastAsia="en-AU"/>
        </w:rPr>
        <w:instrText xml:space="preserve"> REF _Ref37158591 \r \h </w:instrText>
      </w:r>
      <w:r w:rsidR="0034079F">
        <w:rPr>
          <w:lang w:eastAsia="en-AU"/>
        </w:rPr>
      </w:r>
      <w:r w:rsidR="0034079F">
        <w:rPr>
          <w:lang w:eastAsia="en-AU"/>
        </w:rPr>
        <w:fldChar w:fldCharType="separate"/>
      </w:r>
      <w:r w:rsidR="00F65C29">
        <w:rPr>
          <w:lang w:eastAsia="en-AU"/>
        </w:rPr>
        <w:t>Appendix C</w:t>
      </w:r>
      <w:r w:rsidR="0034079F">
        <w:rPr>
          <w:lang w:eastAsia="en-AU"/>
        </w:rPr>
        <w:fldChar w:fldCharType="end"/>
      </w:r>
      <w:r w:rsidR="0034079F">
        <w:rPr>
          <w:lang w:eastAsia="en-AU"/>
        </w:rPr>
        <w:t xml:space="preserve">. </w:t>
      </w:r>
    </w:p>
    <w:p w14:paraId="0621EFFC" w14:textId="7FA0199D" w:rsidR="00F64BB4" w:rsidRDefault="006F6C4A" w:rsidP="00F64BB4">
      <w:r w:rsidRPr="006F6C4A">
        <w:t>NQLC</w:t>
      </w:r>
      <w:r w:rsidRPr="00432BD6">
        <w:t xml:space="preserve"> </w:t>
      </w:r>
      <w:r>
        <w:t xml:space="preserve">was given the opportunity to review the full report in 2019 and has also provided written responses on actions they are taking in response to recommendations made by the Review, which </w:t>
      </w:r>
      <w:r w:rsidR="003800E8">
        <w:t>are</w:t>
      </w:r>
      <w:r>
        <w:t xml:space="preserve"> included in this summary document. </w:t>
      </w:r>
      <w:r w:rsidR="002770F2">
        <w:t xml:space="preserve">A </w:t>
      </w:r>
      <w:r w:rsidR="00432BD6">
        <w:t xml:space="preserve">complete </w:t>
      </w:r>
      <w:r w:rsidR="002770F2">
        <w:t xml:space="preserve">description of the methodology is included in </w:t>
      </w:r>
      <w:r w:rsidR="0034079F">
        <w:fldChar w:fldCharType="begin"/>
      </w:r>
      <w:r w:rsidR="0034079F">
        <w:instrText xml:space="preserve"> REF _Ref37158604 \r \h </w:instrText>
      </w:r>
      <w:r w:rsidR="0034079F">
        <w:fldChar w:fldCharType="separate"/>
      </w:r>
      <w:r w:rsidR="00F65C29">
        <w:t>Appendix D</w:t>
      </w:r>
      <w:r w:rsidR="0034079F">
        <w:fldChar w:fldCharType="end"/>
      </w:r>
      <w:r w:rsidR="002770F2">
        <w:t>.</w:t>
      </w:r>
    </w:p>
    <w:p w14:paraId="43226D18" w14:textId="77777777" w:rsidR="004B3B1F" w:rsidRDefault="004B3B1F" w:rsidP="00F64BB4"/>
    <w:p w14:paraId="72D4E2BC" w14:textId="77777777" w:rsidR="004B3B1F" w:rsidRDefault="004B3B1F" w:rsidP="00F64BB4"/>
    <w:p w14:paraId="1DFFDBEF" w14:textId="77777777" w:rsidR="004B3B1F" w:rsidRDefault="004B3B1F" w:rsidP="00F64BB4"/>
    <w:p w14:paraId="72FA661D" w14:textId="77777777" w:rsidR="004B3B1F" w:rsidRDefault="004B3B1F" w:rsidP="00F64BB4"/>
    <w:p w14:paraId="28A8FC90" w14:textId="77777777" w:rsidR="004B3B1F" w:rsidRDefault="004B3B1F" w:rsidP="00F64BB4"/>
    <w:p w14:paraId="50FEAED1" w14:textId="77777777" w:rsidR="004B3B1F" w:rsidRDefault="004B3B1F" w:rsidP="00F64BB4"/>
    <w:p w14:paraId="089AC51C" w14:textId="77777777" w:rsidR="004B3B1F" w:rsidRDefault="004B3B1F" w:rsidP="00F64BB4"/>
    <w:p w14:paraId="5F199A9A" w14:textId="77777777" w:rsidR="004B3B1F" w:rsidRDefault="004B3B1F" w:rsidP="00F64BB4"/>
    <w:p w14:paraId="35CC9552" w14:textId="77777777" w:rsidR="004B3B1F" w:rsidRDefault="004B3B1F" w:rsidP="00F64BB4"/>
    <w:p w14:paraId="509239A6" w14:textId="77777777" w:rsidR="004B3B1F" w:rsidRDefault="004B3B1F" w:rsidP="00F64BB4">
      <w:pPr>
        <w:rPr>
          <w:lang w:eastAsia="en-AU"/>
        </w:rPr>
      </w:pPr>
    </w:p>
    <w:p w14:paraId="6034A7EF" w14:textId="44C14C56" w:rsidR="00525012" w:rsidRDefault="00525012" w:rsidP="00525012">
      <w:pPr>
        <w:pStyle w:val="Heading1"/>
      </w:pPr>
      <w:bookmarkStart w:id="14" w:name="_Toc68071809"/>
      <w:r>
        <w:lastRenderedPageBreak/>
        <w:t xml:space="preserve">Profile of </w:t>
      </w:r>
      <w:r w:rsidR="00D53C4D">
        <w:t>the NQLC</w:t>
      </w:r>
      <w:r>
        <w:t xml:space="preserve"> at a glance</w:t>
      </w:r>
      <w:bookmarkEnd w:id="4"/>
      <w:bookmarkEnd w:id="5"/>
      <w:bookmarkEnd w:id="6"/>
      <w:bookmarkEnd w:id="7"/>
      <w:bookmarkEnd w:id="8"/>
      <w:bookmarkEnd w:id="9"/>
      <w:bookmarkEnd w:id="10"/>
      <w:bookmarkEnd w:id="11"/>
      <w:bookmarkEnd w:id="12"/>
      <w:bookmarkEnd w:id="13"/>
      <w:bookmarkEnd w:id="14"/>
    </w:p>
    <w:p w14:paraId="6FECCFF3" w14:textId="77777777" w:rsidR="001E4BDA" w:rsidRPr="004B3B1F" w:rsidRDefault="001E4BDA" w:rsidP="004B3B1F">
      <w:pPr>
        <w:rPr>
          <w:b/>
          <w:bCs/>
          <w:i/>
          <w:iCs/>
          <w:color w:val="00264D" w:themeColor="background2"/>
        </w:rPr>
      </w:pPr>
      <w:bookmarkStart w:id="15" w:name="_Toc502668014"/>
      <w:bookmarkStart w:id="16" w:name="_Toc502839776"/>
      <w:bookmarkStart w:id="17" w:name="_Toc502843252"/>
      <w:bookmarkStart w:id="18" w:name="_Toc502847615"/>
      <w:bookmarkStart w:id="19" w:name="_Toc502850759"/>
      <w:bookmarkStart w:id="20" w:name="_Toc502855191"/>
      <w:bookmarkStart w:id="21" w:name="_Toc503117090"/>
      <w:bookmarkStart w:id="22" w:name="_Toc505259167"/>
      <w:bookmarkStart w:id="23" w:name="_Toc505256234"/>
      <w:bookmarkStart w:id="24" w:name="_Toc505618277"/>
      <w:r w:rsidRPr="004B3B1F">
        <w:rPr>
          <w:b/>
          <w:bCs/>
          <w:i/>
          <w:iCs/>
          <w:color w:val="00264D" w:themeColor="background2"/>
        </w:rPr>
        <w:t>The North Queensland Land Council is based in Cairns and Townsville and provides services to the North Queensland region, from the Daintree in the north down to Sarina and inland to Croydon</w:t>
      </w:r>
    </w:p>
    <w:p w14:paraId="6AF29503" w14:textId="77777777" w:rsidR="001E4BDA" w:rsidRDefault="001E4BDA" w:rsidP="001E4BDA">
      <w:pPr>
        <w:rPr>
          <w:lang w:eastAsia="en-AU"/>
        </w:rPr>
      </w:pPr>
      <w:r>
        <w:rPr>
          <w:i/>
          <w:noProof/>
          <w:lang w:eastAsia="en-AU"/>
        </w:rPr>
        <w:drawing>
          <wp:anchor distT="0" distB="0" distL="114300" distR="114300" simplePos="0" relativeHeight="251658241" behindDoc="0" locked="0" layoutInCell="1" allowOverlap="1" wp14:anchorId="297424F1" wp14:editId="56B1C653">
            <wp:simplePos x="0" y="0"/>
            <wp:positionH relativeFrom="margin">
              <wp:posOffset>3460750</wp:posOffset>
            </wp:positionH>
            <wp:positionV relativeFrom="paragraph">
              <wp:posOffset>64439</wp:posOffset>
            </wp:positionV>
            <wp:extent cx="2207260" cy="2847340"/>
            <wp:effectExtent l="0" t="0" r="2540" b="0"/>
            <wp:wrapSquare wrapText="bothSides"/>
            <wp:docPr id="5" name="Picture 5" descr="Map&#10;&#10;The NQLC’s RATSIB area covers approximately 943,300 square kilometres of land and sea. Of this, approximately 411,164 square kilometres of the RATSIB area is land – as shown on the right. This accounts for around 44% of the state of Queens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The NQLC’s RATSIB area covers approximately 943,300 square kilometres of land and sea. Of this, approximately 411,164 square kilometres of the RATSIB area is land – as shown on the right. This accounts for around 44% of the state of Queensland.&#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7260" cy="2847340"/>
                    </a:xfrm>
                    <a:prstGeom prst="rect">
                      <a:avLst/>
                    </a:prstGeom>
                    <a:noFill/>
                  </pic:spPr>
                </pic:pic>
              </a:graphicData>
            </a:graphic>
          </wp:anchor>
        </w:drawing>
      </w:r>
      <w:r>
        <w:rPr>
          <w:lang w:eastAsia="en-AU"/>
        </w:rPr>
        <w:t xml:space="preserve">The North Queensland Land Council (NQLC) is the recognised NTRB </w:t>
      </w:r>
      <w:r>
        <w:t xml:space="preserve">for the Northern Queensland representative region. The NQLC was incorporated on 28 March 1994 under the then </w:t>
      </w:r>
      <w:r w:rsidRPr="00A77E9A">
        <w:rPr>
          <w:i/>
        </w:rPr>
        <w:t>Aboriginal Councils and Associations Act 1976</w:t>
      </w:r>
      <w:r>
        <w:t xml:space="preserve"> and is now registered under the </w:t>
      </w:r>
      <w:r w:rsidRPr="00A77E9A">
        <w:rPr>
          <w:i/>
        </w:rPr>
        <w:t>Corporations (Aboriginal and Torres Strait Islander) Act 2006 (CATSI Act).</w:t>
      </w:r>
    </w:p>
    <w:p w14:paraId="774B781E" w14:textId="167AED7B" w:rsidR="001E4BDA" w:rsidRDefault="001E4BDA" w:rsidP="001E4BDA">
      <w:pPr>
        <w:rPr>
          <w:lang w:eastAsia="en-AU"/>
        </w:rPr>
      </w:pPr>
      <w:r>
        <w:rPr>
          <w:lang w:eastAsia="en-AU"/>
        </w:rPr>
        <w:t xml:space="preserve">The NQLC’s RATSIB area </w:t>
      </w:r>
      <w:r w:rsidR="006F6C4A">
        <w:rPr>
          <w:lang w:eastAsia="en-AU"/>
        </w:rPr>
        <w:t>covers</w:t>
      </w:r>
      <w:r>
        <w:rPr>
          <w:lang w:eastAsia="en-AU"/>
        </w:rPr>
        <w:t xml:space="preserve"> approximately 943,300 square kilometres of land and sea. Of this, approximately 411,164 square kilometres of the RATSIB area is land – as shown on the right. This accounts for around 44</w:t>
      </w:r>
      <w:r w:rsidR="00C130BF">
        <w:rPr>
          <w:lang w:eastAsia="en-AU"/>
        </w:rPr>
        <w:t>%</w:t>
      </w:r>
      <w:r>
        <w:rPr>
          <w:lang w:eastAsia="en-AU"/>
        </w:rPr>
        <w:t xml:space="preserve"> of the state of Queensland.</w:t>
      </w:r>
    </w:p>
    <w:p w14:paraId="254C039F" w14:textId="4F5DDC5A" w:rsidR="001E4BDA" w:rsidRDefault="006F6C4A" w:rsidP="001E4BDA">
      <w:r>
        <w:t xml:space="preserve">At the time of the </w:t>
      </w:r>
      <w:r w:rsidR="00432BD6">
        <w:t>R</w:t>
      </w:r>
      <w:r>
        <w:t>eview,</w:t>
      </w:r>
      <w:r w:rsidR="00183942">
        <w:t xml:space="preserve"> t</w:t>
      </w:r>
      <w:r w:rsidR="001E4BDA">
        <w:t>here ha</w:t>
      </w:r>
      <w:r w:rsidR="00183942">
        <w:t>d</w:t>
      </w:r>
      <w:r w:rsidR="001E4BDA">
        <w:t xml:space="preserve"> been 59 determinations of native title within the North Queensland Region RATSIB area since the passage of the </w:t>
      </w:r>
      <w:r w:rsidR="001E4BDA" w:rsidRPr="7E6A3691">
        <w:rPr>
          <w:i/>
          <w:iCs/>
        </w:rPr>
        <w:t>Native Title Act</w:t>
      </w:r>
      <w:r w:rsidR="001E4BDA">
        <w:t xml:space="preserve"> </w:t>
      </w:r>
      <w:r w:rsidR="001E4BDA" w:rsidRPr="7E6A3691">
        <w:rPr>
          <w:i/>
          <w:iCs/>
        </w:rPr>
        <w:t>1993</w:t>
      </w:r>
      <w:r w:rsidR="001E4BDA">
        <w:rPr>
          <w:i/>
          <w:iCs/>
        </w:rPr>
        <w:t xml:space="preserve"> (NTA)</w:t>
      </w:r>
      <w:r w:rsidR="001E4BDA">
        <w:t>, 15 of which occurred between 2015/16 and 2017/18. The NQLC was the solicitor on record for client groups in 13 of the determinations from 2015/16 to 2017/18.</w:t>
      </w:r>
    </w:p>
    <w:p w14:paraId="7033B3D0" w14:textId="04FCE33C" w:rsidR="001E4BDA" w:rsidRDefault="001E4BDA" w:rsidP="001E4BDA">
      <w:pPr>
        <w:rPr>
          <w:lang w:eastAsia="en-AU"/>
        </w:rPr>
      </w:pPr>
      <w:r>
        <w:rPr>
          <w:lang w:eastAsia="en-AU"/>
        </w:rPr>
        <w:t xml:space="preserve">There </w:t>
      </w:r>
      <w:r w:rsidR="00183942">
        <w:rPr>
          <w:lang w:eastAsia="en-AU"/>
        </w:rPr>
        <w:t>we</w:t>
      </w:r>
      <w:r>
        <w:rPr>
          <w:lang w:eastAsia="en-AU"/>
        </w:rPr>
        <w:t>re 20 active claims in the NQLC RATSIB area awaiting a determination as of 30 June 2018 and the NQLC act</w:t>
      </w:r>
      <w:r w:rsidR="00183942">
        <w:rPr>
          <w:lang w:eastAsia="en-AU"/>
        </w:rPr>
        <w:t>ed</w:t>
      </w:r>
      <w:r>
        <w:rPr>
          <w:lang w:eastAsia="en-AU"/>
        </w:rPr>
        <w:t xml:space="preserve"> for 13 of these claims. The RATSIB area </w:t>
      </w:r>
      <w:r w:rsidR="00183942">
        <w:rPr>
          <w:lang w:eastAsia="en-AU"/>
        </w:rPr>
        <w:t>saw</w:t>
      </w:r>
      <w:r>
        <w:rPr>
          <w:lang w:eastAsia="en-AU"/>
        </w:rPr>
        <w:t xml:space="preserve"> a significant increase in the </w:t>
      </w:r>
      <w:r w:rsidRPr="002B7C89">
        <w:rPr>
          <w:lang w:eastAsia="en-AU"/>
        </w:rPr>
        <w:t>number of non-cl</w:t>
      </w:r>
      <w:r>
        <w:rPr>
          <w:lang w:eastAsia="en-AU"/>
        </w:rPr>
        <w:t>aimant</w:t>
      </w:r>
      <w:r w:rsidRPr="002B7C89">
        <w:rPr>
          <w:lang w:eastAsia="en-AU"/>
        </w:rPr>
        <w:t xml:space="preserve"> applications during the review period; 13 </w:t>
      </w:r>
      <w:r>
        <w:rPr>
          <w:lang w:eastAsia="en-AU"/>
        </w:rPr>
        <w:t xml:space="preserve">in </w:t>
      </w:r>
      <w:r w:rsidRPr="002B7C89">
        <w:rPr>
          <w:lang w:eastAsia="en-AU"/>
        </w:rPr>
        <w:t xml:space="preserve">total with 11 of these lodged within the review period. </w:t>
      </w:r>
      <w:r>
        <w:rPr>
          <w:lang w:eastAsia="en-AU"/>
        </w:rPr>
        <w:t xml:space="preserve">The </w:t>
      </w:r>
      <w:r w:rsidRPr="002B7C89">
        <w:rPr>
          <w:lang w:eastAsia="en-AU"/>
        </w:rPr>
        <w:t>NQLC d</w:t>
      </w:r>
      <w:r w:rsidR="00183942">
        <w:rPr>
          <w:lang w:eastAsia="en-AU"/>
        </w:rPr>
        <w:t>id</w:t>
      </w:r>
      <w:r w:rsidRPr="002B7C89">
        <w:rPr>
          <w:lang w:eastAsia="en-AU"/>
        </w:rPr>
        <w:t xml:space="preserve"> not represent any of these matters.</w:t>
      </w:r>
    </w:p>
    <w:p w14:paraId="0A863697" w14:textId="1CA2B2CC" w:rsidR="001E4BDA" w:rsidRDefault="006F6C4A" w:rsidP="001E4BDA">
      <w:pPr>
        <w:rPr>
          <w:lang w:eastAsia="en-AU"/>
        </w:rPr>
      </w:pPr>
      <w:r>
        <w:rPr>
          <w:lang w:eastAsia="en-AU"/>
        </w:rPr>
        <w:t xml:space="preserve">At the time of the </w:t>
      </w:r>
      <w:r w:rsidR="00432BD6">
        <w:rPr>
          <w:lang w:eastAsia="en-AU"/>
        </w:rPr>
        <w:t>R</w:t>
      </w:r>
      <w:r>
        <w:rPr>
          <w:lang w:eastAsia="en-AU"/>
        </w:rPr>
        <w:t>eview,</w:t>
      </w:r>
      <w:r w:rsidR="00183942">
        <w:rPr>
          <w:lang w:eastAsia="en-AU"/>
        </w:rPr>
        <w:t xml:space="preserve"> t</w:t>
      </w:r>
      <w:r w:rsidR="001E4BDA">
        <w:rPr>
          <w:lang w:eastAsia="en-AU"/>
        </w:rPr>
        <w:t xml:space="preserve">here </w:t>
      </w:r>
      <w:r w:rsidR="00183942">
        <w:rPr>
          <w:lang w:eastAsia="en-AU"/>
        </w:rPr>
        <w:t>we</w:t>
      </w:r>
      <w:r w:rsidR="001E4BDA">
        <w:rPr>
          <w:lang w:eastAsia="en-AU"/>
        </w:rPr>
        <w:t xml:space="preserve">re 27 </w:t>
      </w:r>
      <w:r w:rsidR="00C362FD">
        <w:rPr>
          <w:lang w:eastAsia="en-AU"/>
        </w:rPr>
        <w:t>Prescribed Bodies Corporate (</w:t>
      </w:r>
      <w:r w:rsidR="001E4BDA">
        <w:rPr>
          <w:lang w:eastAsia="en-AU"/>
        </w:rPr>
        <w:t>PBCs</w:t>
      </w:r>
      <w:r w:rsidR="00C362FD">
        <w:rPr>
          <w:lang w:eastAsia="en-AU"/>
        </w:rPr>
        <w:t>)</w:t>
      </w:r>
      <w:r w:rsidR="001E4BDA">
        <w:rPr>
          <w:lang w:eastAsia="en-AU"/>
        </w:rPr>
        <w:t xml:space="preserve"> within the RATSIB area, and the NQLC supported 20 of these in 2017/18.</w:t>
      </w:r>
      <w:r w:rsidR="001E4BDA" w:rsidRPr="007540E0">
        <w:rPr>
          <w:lang w:eastAsia="en-AU"/>
        </w:rPr>
        <w:t xml:space="preserve"> </w:t>
      </w:r>
      <w:r w:rsidR="001E4BDA">
        <w:rPr>
          <w:lang w:eastAsia="en-AU"/>
        </w:rPr>
        <w:t xml:space="preserve">The NQLC provides post-determination assistance such as governance support and representation in ILUA and future act matters to supported PBCs, but not to other Aboriginal Corporations in the RATSIB area. </w:t>
      </w:r>
      <w:r w:rsidR="001E4BDA">
        <w:t>It does not own or operate any subsidiary entities.</w:t>
      </w:r>
    </w:p>
    <w:p w14:paraId="59E8F46E" w14:textId="77777777" w:rsidR="001E4BDA" w:rsidRDefault="001E4BDA" w:rsidP="001E4BDA">
      <w:pPr>
        <w:rPr>
          <w:lang w:eastAsia="en-AU"/>
        </w:rPr>
      </w:pPr>
      <w:r>
        <w:rPr>
          <w:lang w:eastAsia="en-AU"/>
        </w:rPr>
        <w:t xml:space="preserve">The </w:t>
      </w:r>
      <w:r w:rsidRPr="00223A36">
        <w:rPr>
          <w:lang w:eastAsia="en-AU"/>
        </w:rPr>
        <w:t xml:space="preserve">NQLC has received relatively consistent levels of funding over the review period </w:t>
      </w:r>
      <w:r>
        <w:rPr>
          <w:lang w:eastAsia="en-AU"/>
        </w:rPr>
        <w:t>($8,406,090 in 2015/16, $8,953,748 in 2016/17 and $8,536,800 in 2017/18). They have also received supplementary revenue from fee income ($80,338 in 2015/16, $139,890 in 2016/17 and $93,091 in 2017/18) and interest income ($24,627 in 2015/16, $29,391 in 2016/17 and $37,677 in 2017/18).</w:t>
      </w:r>
    </w:p>
    <w:p w14:paraId="58F5F4EE" w14:textId="77777777" w:rsidR="001E4BDA" w:rsidRDefault="001E4BDA" w:rsidP="001E4BDA">
      <w:pPr>
        <w:rPr>
          <w:lang w:eastAsia="en-AU"/>
        </w:rPr>
      </w:pPr>
      <w:r>
        <w:rPr>
          <w:lang w:eastAsia="en-AU"/>
        </w:rPr>
        <w:t>The Board for the organisation is member-based and elected on a ‘ward’ system – which is designed to ensure that there is representation across the RATSIB area covered by the NQLC. The Board had 12 members as of 30 June 2018, with each member serving a two-year term. Board elections occur at each year’s annual general meeting.</w:t>
      </w:r>
    </w:p>
    <w:p w14:paraId="6EC2278C" w14:textId="62EEF36B" w:rsidR="001E4BDA" w:rsidRDefault="00183942" w:rsidP="001E4BDA">
      <w:pPr>
        <w:rPr>
          <w:lang w:eastAsia="en-AU"/>
        </w:rPr>
      </w:pPr>
      <w:r>
        <w:rPr>
          <w:lang w:eastAsia="en-AU"/>
        </w:rPr>
        <w:t xml:space="preserve">At </w:t>
      </w:r>
      <w:r w:rsidR="006F6C4A">
        <w:rPr>
          <w:lang w:eastAsia="en-AU"/>
        </w:rPr>
        <w:t xml:space="preserve">the time of the </w:t>
      </w:r>
      <w:r w:rsidR="00432BD6">
        <w:rPr>
          <w:lang w:eastAsia="en-AU"/>
        </w:rPr>
        <w:t>R</w:t>
      </w:r>
      <w:r w:rsidR="006F6C4A">
        <w:rPr>
          <w:lang w:eastAsia="en-AU"/>
        </w:rPr>
        <w:t xml:space="preserve">eview, </w:t>
      </w:r>
      <w:r>
        <w:rPr>
          <w:lang w:eastAsia="en-AU"/>
        </w:rPr>
        <w:t>t</w:t>
      </w:r>
      <w:r w:rsidR="001E4BDA">
        <w:rPr>
          <w:lang w:eastAsia="en-AU"/>
        </w:rPr>
        <w:t>he NQLC ha</w:t>
      </w:r>
      <w:r>
        <w:rPr>
          <w:lang w:eastAsia="en-AU"/>
        </w:rPr>
        <w:t>d</w:t>
      </w:r>
      <w:r w:rsidR="001E4BDA">
        <w:rPr>
          <w:lang w:eastAsia="en-AU"/>
        </w:rPr>
        <w:t xml:space="preserve"> four senior management positions: one CEO and </w:t>
      </w:r>
      <w:r w:rsidR="00D9055E">
        <w:rPr>
          <w:lang w:eastAsia="en-AU"/>
        </w:rPr>
        <w:t>three</w:t>
      </w:r>
      <w:bookmarkStart w:id="25" w:name="_GoBack"/>
      <w:bookmarkEnd w:id="25"/>
      <w:r w:rsidR="001E4BDA">
        <w:rPr>
          <w:lang w:eastAsia="en-AU"/>
        </w:rPr>
        <w:t xml:space="preserve"> divisional heads. This include</w:t>
      </w:r>
      <w:r>
        <w:rPr>
          <w:lang w:eastAsia="en-AU"/>
        </w:rPr>
        <w:t>d</w:t>
      </w:r>
      <w:r w:rsidR="001E4BDA">
        <w:rPr>
          <w:lang w:eastAsia="en-AU"/>
        </w:rPr>
        <w:t xml:space="preserve"> a head for each of Corporate Services, Legal (PLO), and Engagement and Development. Thirty-seven</w:t>
      </w:r>
      <w:r w:rsidR="00C130BF">
        <w:rPr>
          <w:lang w:eastAsia="en-AU"/>
        </w:rPr>
        <w:t xml:space="preserve">% </w:t>
      </w:r>
      <w:r w:rsidR="001E4BDA">
        <w:rPr>
          <w:lang w:eastAsia="en-AU"/>
        </w:rPr>
        <w:t>of employees identif</w:t>
      </w:r>
      <w:r>
        <w:rPr>
          <w:lang w:eastAsia="en-AU"/>
        </w:rPr>
        <w:t>ied</w:t>
      </w:r>
      <w:r w:rsidR="001E4BDA">
        <w:rPr>
          <w:lang w:eastAsia="en-AU"/>
        </w:rPr>
        <w:t xml:space="preserve"> as Aboriginal and/or Torres Strait Islander. The NQLC ha</w:t>
      </w:r>
      <w:r>
        <w:rPr>
          <w:lang w:eastAsia="en-AU"/>
        </w:rPr>
        <w:t>d</w:t>
      </w:r>
      <w:r w:rsidR="001E4BDA">
        <w:rPr>
          <w:lang w:eastAsia="en-AU"/>
        </w:rPr>
        <w:t xml:space="preserve"> a head office in Cairns and another office in Townsville with one employee working remotely from Mackay.</w:t>
      </w:r>
    </w:p>
    <w:p w14:paraId="6CAB3515" w14:textId="581DB6DA" w:rsidR="00183942" w:rsidRDefault="00183942" w:rsidP="001E4BDA">
      <w:pPr>
        <w:rPr>
          <w:lang w:eastAsia="en-AU"/>
        </w:rPr>
      </w:pPr>
      <w:r>
        <w:rPr>
          <w:lang w:eastAsia="en-AU"/>
        </w:rPr>
        <w:br w:type="page"/>
      </w:r>
    </w:p>
    <w:p w14:paraId="5FE8A568" w14:textId="432BEBB2" w:rsidR="00525012" w:rsidRPr="009958DC" w:rsidRDefault="00E5318B" w:rsidP="00525012">
      <w:pPr>
        <w:pStyle w:val="Heading1"/>
      </w:pPr>
      <w:bookmarkStart w:id="26" w:name="_Toc68071810"/>
      <w:bookmarkEnd w:id="15"/>
      <w:bookmarkEnd w:id="16"/>
      <w:bookmarkEnd w:id="17"/>
      <w:bookmarkEnd w:id="18"/>
      <w:bookmarkEnd w:id="19"/>
      <w:bookmarkEnd w:id="20"/>
      <w:bookmarkEnd w:id="21"/>
      <w:bookmarkEnd w:id="22"/>
      <w:bookmarkEnd w:id="23"/>
      <w:bookmarkEnd w:id="24"/>
      <w:r>
        <w:lastRenderedPageBreak/>
        <w:t>Findings and recommendations by Terms of Reference</w:t>
      </w:r>
      <w:bookmarkEnd w:id="26"/>
    </w:p>
    <w:p w14:paraId="734BDD14" w14:textId="0E3F34EA" w:rsidR="00E7728A" w:rsidRPr="009958DC" w:rsidRDefault="00E7728A" w:rsidP="00E7728A">
      <w:r w:rsidRPr="009958DC">
        <w:rPr>
          <w:lang w:eastAsia="en-AU"/>
        </w:rPr>
        <w:t xml:space="preserve">The following sections of the report provide a </w:t>
      </w:r>
      <w:r w:rsidR="009958DC" w:rsidRPr="009958DC">
        <w:rPr>
          <w:lang w:eastAsia="en-AU"/>
        </w:rPr>
        <w:t>summary</w:t>
      </w:r>
      <w:r w:rsidRPr="009958DC">
        <w:rPr>
          <w:lang w:eastAsia="en-AU"/>
        </w:rPr>
        <w:t xml:space="preserve"> of </w:t>
      </w:r>
      <w:r w:rsidR="00081336">
        <w:rPr>
          <w:lang w:eastAsia="en-AU"/>
        </w:rPr>
        <w:t>the QNLC</w:t>
      </w:r>
      <w:r w:rsidR="0039690F" w:rsidRPr="009958DC">
        <w:rPr>
          <w:lang w:eastAsia="en-AU"/>
        </w:rPr>
        <w:t>’</w:t>
      </w:r>
      <w:r w:rsidR="00081336">
        <w:rPr>
          <w:lang w:eastAsia="en-AU"/>
        </w:rPr>
        <w:t>s</w:t>
      </w:r>
      <w:r w:rsidR="0039690F" w:rsidRPr="009958DC">
        <w:rPr>
          <w:lang w:eastAsia="en-AU"/>
        </w:rPr>
        <w:t xml:space="preserve"> performance against the T</w:t>
      </w:r>
      <w:r w:rsidRPr="009958DC">
        <w:rPr>
          <w:lang w:eastAsia="en-AU"/>
        </w:rPr>
        <w:t xml:space="preserve">erms of </w:t>
      </w:r>
      <w:r w:rsidR="0039690F" w:rsidRPr="009958DC">
        <w:rPr>
          <w:lang w:eastAsia="en-AU"/>
        </w:rPr>
        <w:t>R</w:t>
      </w:r>
      <w:r w:rsidRPr="009958DC">
        <w:rPr>
          <w:lang w:eastAsia="en-AU"/>
        </w:rPr>
        <w:t>eference for the Review</w:t>
      </w:r>
      <w:r w:rsidR="008F436A">
        <w:rPr>
          <w:lang w:eastAsia="en-AU"/>
        </w:rPr>
        <w:t>.</w:t>
      </w:r>
    </w:p>
    <w:p w14:paraId="1F9E353F" w14:textId="0EB703F9" w:rsidR="00416856" w:rsidRPr="0084761C" w:rsidRDefault="00DA55FF" w:rsidP="004B3B1F">
      <w:pPr>
        <w:pStyle w:val="Heading2"/>
      </w:pPr>
      <w:bookmarkStart w:id="27" w:name="_Ref501893080"/>
      <w:bookmarkStart w:id="28" w:name="_Toc502839777"/>
      <w:bookmarkStart w:id="29" w:name="_Toc502843253"/>
      <w:bookmarkStart w:id="30" w:name="_Toc502847616"/>
      <w:bookmarkStart w:id="31" w:name="_Toc502850760"/>
      <w:bookmarkStart w:id="32" w:name="_Toc502855192"/>
      <w:bookmarkStart w:id="33" w:name="_Toc503117091"/>
      <w:bookmarkStart w:id="34" w:name="_Toc505259168"/>
      <w:bookmarkStart w:id="35" w:name="_Toc505256235"/>
      <w:bookmarkStart w:id="36" w:name="_Toc505618278"/>
      <w:r w:rsidRPr="0084761C">
        <w:t>T</w:t>
      </w:r>
      <w:r w:rsidR="00F64BB4" w:rsidRPr="0084761C">
        <w:t>OR</w:t>
      </w:r>
      <w:r w:rsidRPr="0084761C">
        <w:t xml:space="preserve"> 1.1 </w:t>
      </w:r>
      <w:r w:rsidR="00E87CBE" w:rsidRPr="0084761C">
        <w:t xml:space="preserve">| </w:t>
      </w:r>
      <w:r w:rsidR="00EB1298" w:rsidRPr="0084761C">
        <w:t xml:space="preserve">Review and assess each organisation’s efficiency and effectiveness in performing the functions of a native title representative body over the past 3 years (with the main focus on recent performance) including: native title claim outcomes achieved for clients. </w:t>
      </w:r>
      <w:bookmarkEnd w:id="27"/>
      <w:bookmarkEnd w:id="28"/>
      <w:bookmarkEnd w:id="29"/>
      <w:bookmarkEnd w:id="30"/>
      <w:bookmarkEnd w:id="31"/>
      <w:bookmarkEnd w:id="32"/>
      <w:bookmarkEnd w:id="33"/>
      <w:bookmarkEnd w:id="34"/>
      <w:bookmarkEnd w:id="35"/>
      <w:bookmarkEnd w:id="36"/>
    </w:p>
    <w:p w14:paraId="1E202A25" w14:textId="77777777" w:rsidR="00F64BB4" w:rsidRPr="00F64BB4" w:rsidRDefault="00F64BB4" w:rsidP="00F64BB4">
      <w:pPr>
        <w:rPr>
          <w:lang w:eastAsia="en-AU"/>
        </w:rPr>
      </w:pPr>
    </w:p>
    <w:p w14:paraId="67C688F0" w14:textId="77777777" w:rsidR="004B3B1F" w:rsidRPr="00DE0EE6" w:rsidRDefault="004B3B1F" w:rsidP="00DE0EE6">
      <w:pPr>
        <w:shd w:val="clear" w:color="auto" w:fill="E6E6E1" w:themeFill="accent5"/>
        <w:spacing w:after="165" w:line="259" w:lineRule="auto"/>
        <w:rPr>
          <w:rFonts w:eastAsia="Times New Roman"/>
          <w:b/>
          <w:bCs/>
          <w:color w:val="00264D" w:themeColor="background2"/>
          <w:lang w:eastAsia="en-AU"/>
        </w:rPr>
      </w:pPr>
      <w:r w:rsidRPr="00DE0EE6">
        <w:rPr>
          <w:rFonts w:eastAsia="Times New Roman"/>
          <w:b/>
          <w:color w:val="00264D" w:themeColor="background2"/>
          <w:lang w:eastAsia="en-AU"/>
        </w:rPr>
        <w:t>The NQLC has a history of achieving native title outcomes for its clients. Since incorporation, the NQLC has achieved 51 native title determinations for various claim groups.</w:t>
      </w:r>
      <w:r w:rsidRPr="00DE0EE6">
        <w:rPr>
          <w:rFonts w:eastAsia="Times New Roman"/>
          <w:bCs/>
          <w:color w:val="00264D" w:themeColor="background2"/>
          <w:lang w:eastAsia="en-AU"/>
        </w:rPr>
        <w:t xml:space="preserve"> Within the three-year review period, the NQLC has performed strongly, supporting the achievement of 13 determinations of native title within its RATSIB area. This strong performance can be attributed to effective management of claims and experienced legal staff. The NQLC has a large ongoing claim load, with 13 claims currently active. These claims have progressed at different rates, with the NQLC’s current claim profile having an average length of just under four years.</w:t>
      </w:r>
    </w:p>
    <w:p w14:paraId="4680446A" w14:textId="77777777" w:rsidR="004B3B1F" w:rsidRPr="00DE0EE6" w:rsidRDefault="004B3B1F" w:rsidP="00DE0EE6">
      <w:pPr>
        <w:shd w:val="clear" w:color="auto" w:fill="E6E6E1" w:themeFill="accent5"/>
        <w:spacing w:after="165" w:line="259" w:lineRule="auto"/>
        <w:rPr>
          <w:rFonts w:eastAsia="Times New Roman"/>
          <w:b/>
          <w:bCs/>
          <w:color w:val="00264D" w:themeColor="background2"/>
          <w:lang w:eastAsia="en-AU"/>
        </w:rPr>
      </w:pPr>
      <w:r w:rsidRPr="00DE0EE6">
        <w:rPr>
          <w:rFonts w:eastAsia="Times New Roman"/>
          <w:bCs/>
          <w:color w:val="00264D" w:themeColor="background2"/>
          <w:lang w:eastAsia="en-AU"/>
        </w:rPr>
        <w:t xml:space="preserve">Anthropological research has supported positive native title outcomes for clients, despite some concerns raised with the Review about the internal anthropological capability and the quality of anthropological research more recently – particularly with regards to efficiency of research. </w:t>
      </w:r>
    </w:p>
    <w:p w14:paraId="08CB3F05" w14:textId="35855A67" w:rsidR="00240113" w:rsidRPr="00844B90" w:rsidRDefault="004B3B1F" w:rsidP="00844B90">
      <w:pPr>
        <w:shd w:val="clear" w:color="auto" w:fill="E6E6E1" w:themeFill="accent5"/>
        <w:spacing w:after="0" w:line="259" w:lineRule="auto"/>
        <w:rPr>
          <w:b/>
          <w:color w:val="00264D" w:themeColor="background2"/>
        </w:rPr>
      </w:pPr>
      <w:r w:rsidRPr="00DE0EE6">
        <w:rPr>
          <w:rFonts w:eastAsia="Times New Roman"/>
          <w:bCs/>
          <w:color w:val="00264D" w:themeColor="background2"/>
          <w:lang w:eastAsia="en-AU"/>
        </w:rPr>
        <w:t>Feedback from clients that have achieved native title determinations has been positive. There are, however, opportunities to more consistently collect client feedback and improve the transparency of the complaints and internal review processes. Attribution factors have not significantly inhibited the NQLC’s ability to achieve native title outcomes for clients.</w:t>
      </w:r>
    </w:p>
    <w:p w14:paraId="5CB2979B" w14:textId="77777777" w:rsidR="00C67A81" w:rsidRPr="004872F3" w:rsidRDefault="00C67A81" w:rsidP="003137B5">
      <w:pPr>
        <w:outlineLvl w:val="2"/>
        <w:rPr>
          <w:b/>
          <w:bCs/>
          <w:i/>
          <w:iCs/>
          <w:color w:val="00264D" w:themeColor="background2"/>
        </w:rPr>
      </w:pPr>
      <w:r w:rsidRPr="004872F3">
        <w:rPr>
          <w:b/>
          <w:bCs/>
          <w:i/>
          <w:iCs/>
          <w:color w:val="00264D" w:themeColor="background2"/>
        </w:rPr>
        <w:t>The NQLC has been successful in delivering a very large number of native title outcomes for clients</w:t>
      </w:r>
    </w:p>
    <w:p w14:paraId="4A6F057A" w14:textId="77777777" w:rsidR="00C67A81" w:rsidRDefault="00C67A81" w:rsidP="00C67A81">
      <w:pPr>
        <w:rPr>
          <w:lang w:eastAsia="en-AU"/>
        </w:rPr>
      </w:pPr>
      <w:r>
        <w:rPr>
          <w:lang w:eastAsia="en-AU"/>
        </w:rPr>
        <w:t xml:space="preserve">The </w:t>
      </w:r>
      <w:r w:rsidRPr="0016779F">
        <w:rPr>
          <w:lang w:eastAsia="en-AU"/>
        </w:rPr>
        <w:t xml:space="preserve">NQLC has performed well in achieving native title outcomes for clients since its establishment in 1994 </w:t>
      </w:r>
      <w:r>
        <w:rPr>
          <w:lang w:eastAsia="en-AU"/>
        </w:rPr>
        <w:t>achieving 51</w:t>
      </w:r>
      <w:r w:rsidRPr="000756C2">
        <w:rPr>
          <w:lang w:eastAsia="en-AU"/>
        </w:rPr>
        <w:t xml:space="preserve"> </w:t>
      </w:r>
      <w:r>
        <w:rPr>
          <w:lang w:eastAsia="en-AU"/>
        </w:rPr>
        <w:t xml:space="preserve">positive determinations of native title for various </w:t>
      </w:r>
      <w:r w:rsidRPr="000756C2">
        <w:rPr>
          <w:lang w:eastAsia="en-AU"/>
        </w:rPr>
        <w:t>native title claim groups</w:t>
      </w:r>
      <w:r>
        <w:rPr>
          <w:lang w:eastAsia="en-AU"/>
        </w:rPr>
        <w:t>.</w:t>
      </w:r>
      <w:r>
        <w:rPr>
          <w:rStyle w:val="FootnoteReference"/>
          <w:lang w:eastAsia="en-AU"/>
        </w:rPr>
        <w:footnoteReference w:id="3"/>
      </w:r>
      <w:r>
        <w:rPr>
          <w:lang w:eastAsia="en-AU"/>
        </w:rPr>
        <w:t xml:space="preserve"> Within the three-year period which is the focus of the Review (</w:t>
      </w:r>
      <w:r w:rsidRPr="00F13134">
        <w:rPr>
          <w:lang w:eastAsia="en-AU"/>
        </w:rPr>
        <w:t xml:space="preserve">from 1 July </w:t>
      </w:r>
      <w:r>
        <w:rPr>
          <w:lang w:eastAsia="en-AU"/>
        </w:rPr>
        <w:t>2015</w:t>
      </w:r>
      <w:r w:rsidRPr="00F13134">
        <w:rPr>
          <w:lang w:eastAsia="en-AU"/>
        </w:rPr>
        <w:t xml:space="preserve"> to </w:t>
      </w:r>
      <w:r>
        <w:rPr>
          <w:lang w:eastAsia="en-AU"/>
        </w:rPr>
        <w:t>present)</w:t>
      </w:r>
      <w:r w:rsidRPr="00F13134">
        <w:rPr>
          <w:lang w:eastAsia="en-AU"/>
        </w:rPr>
        <w:t>,</w:t>
      </w:r>
      <w:r>
        <w:rPr>
          <w:lang w:eastAsia="en-AU"/>
        </w:rPr>
        <w:t xml:space="preserve"> the NQLC has:</w:t>
      </w:r>
    </w:p>
    <w:p w14:paraId="2031EFF1" w14:textId="77777777" w:rsidR="00C67A81" w:rsidRPr="00FD3075" w:rsidRDefault="00C67A81" w:rsidP="00C67A81">
      <w:pPr>
        <w:pStyle w:val="Bullet"/>
        <w:numPr>
          <w:ilvl w:val="0"/>
          <w:numId w:val="6"/>
        </w:numPr>
      </w:pPr>
      <w:r w:rsidRPr="00FD3075">
        <w:t>filed 14 native title applications</w:t>
      </w:r>
    </w:p>
    <w:p w14:paraId="36CEA321" w14:textId="77777777" w:rsidR="00C67A81" w:rsidRPr="00FD3075" w:rsidRDefault="00C67A81" w:rsidP="00C67A81">
      <w:pPr>
        <w:pStyle w:val="Bullet"/>
        <w:numPr>
          <w:ilvl w:val="0"/>
          <w:numId w:val="6"/>
        </w:numPr>
      </w:pPr>
      <w:r w:rsidRPr="00FD3075">
        <w:t>supported achievement of 13 determinations of native title for clients, all of which have been achieved through a consent determination</w:t>
      </w:r>
      <w:r>
        <w:rPr>
          <w:rStyle w:val="FootnoteReference"/>
        </w:rPr>
        <w:footnoteReference w:id="4"/>
      </w:r>
      <w:r w:rsidRPr="00FD3075">
        <w:t xml:space="preserve"> </w:t>
      </w:r>
    </w:p>
    <w:p w14:paraId="3054F3C5" w14:textId="77777777" w:rsidR="00C67A81" w:rsidRPr="00FD3075" w:rsidRDefault="00C67A81" w:rsidP="00C67A81">
      <w:pPr>
        <w:pStyle w:val="Bullet"/>
        <w:numPr>
          <w:ilvl w:val="0"/>
          <w:numId w:val="6"/>
        </w:numPr>
      </w:pPr>
      <w:r w:rsidRPr="00FD3075">
        <w:t xml:space="preserve">has not acted for any native title claims that resulted in settlement ILUAs, which provided for extinguishment of native title in exchange for non-native title benefits. </w:t>
      </w:r>
    </w:p>
    <w:p w14:paraId="08FAD669" w14:textId="3933F868" w:rsidR="00C92542" w:rsidRDefault="00C67A81" w:rsidP="00C67A81">
      <w:r w:rsidRPr="0016779F">
        <w:rPr>
          <w:lang w:eastAsia="en-AU"/>
        </w:rPr>
        <w:t xml:space="preserve">During this three-year period, </w:t>
      </w:r>
      <w:r>
        <w:rPr>
          <w:lang w:eastAsia="en-AU"/>
        </w:rPr>
        <w:t xml:space="preserve">the </w:t>
      </w:r>
      <w:r w:rsidRPr="0016779F">
        <w:rPr>
          <w:lang w:eastAsia="en-AU"/>
        </w:rPr>
        <w:t xml:space="preserve">NQLC has not </w:t>
      </w:r>
      <w:r w:rsidRPr="0016779F">
        <w:rPr>
          <w:rFonts w:cs="Segoe UI"/>
          <w:color w:val="000000" w:themeColor="text1"/>
        </w:rPr>
        <w:t>assisted with the authorisation and filing of</w:t>
      </w:r>
      <w:r w:rsidRPr="0016779F">
        <w:rPr>
          <w:lang w:eastAsia="en-AU"/>
        </w:rPr>
        <w:t xml:space="preserve"> any claims that failed the registration test.</w:t>
      </w:r>
      <w:r>
        <w:rPr>
          <w:lang w:eastAsia="en-AU"/>
        </w:rPr>
        <w:t xml:space="preserve"> No client of the NQLC has been subject to a determination that ‘native title does not exist’ over the organisation’s history within the RATSIB area</w:t>
      </w:r>
      <w:r w:rsidRPr="000756C2">
        <w:rPr>
          <w:lang w:eastAsia="en-AU"/>
        </w:rPr>
        <w:t>.</w:t>
      </w:r>
      <w:r>
        <w:rPr>
          <w:lang w:eastAsia="en-AU"/>
        </w:rPr>
        <w:t xml:space="preserve"> One claim, which the NQLC represented, was discontinued during the review period due to insufficient anthropological evidence. </w:t>
      </w:r>
      <w:r>
        <w:lastRenderedPageBreak/>
        <w:t xml:space="preserve">Based on these figures the NQLC has had strong performance in achieving native title outcomes.  </w:t>
      </w:r>
      <w:r w:rsidR="00CD0CB8">
        <w:t>F</w:t>
      </w:r>
      <w:r>
        <w:t xml:space="preserve">igure </w:t>
      </w:r>
      <w:r w:rsidR="00CD0CB8">
        <w:t>1</w:t>
      </w:r>
      <w:r>
        <w:t xml:space="preserve"> illustrates the areas of the region where native title exists.</w:t>
      </w:r>
    </w:p>
    <w:p w14:paraId="7DCFE54F" w14:textId="77777777" w:rsidR="00CD0CB8" w:rsidRDefault="00CD0CB8" w:rsidP="00CD0CB8">
      <w:pPr>
        <w:rPr>
          <w:lang w:eastAsia="en-AU"/>
        </w:rPr>
      </w:pPr>
      <w:r w:rsidRPr="00C16CFD">
        <w:rPr>
          <w:lang w:eastAsia="en-AU"/>
        </w:rPr>
        <w:t>The North Queensland RATSIB area covers approximately 943,300 square kilometres, of which 411,164 square kilometres are land. Of this land region</w:t>
      </w:r>
      <w:r>
        <w:rPr>
          <w:lang w:eastAsia="en-AU"/>
        </w:rPr>
        <w:t xml:space="preserve"> approximately</w:t>
      </w:r>
      <w:r w:rsidRPr="00C16CFD">
        <w:rPr>
          <w:lang w:eastAsia="en-AU"/>
        </w:rPr>
        <w:t>:</w:t>
      </w:r>
    </w:p>
    <w:p w14:paraId="2B9CFE50" w14:textId="7AAB11B2" w:rsidR="00CD0CB8" w:rsidRPr="009342EE" w:rsidRDefault="00CD0CB8" w:rsidP="00CD0CB8">
      <w:pPr>
        <w:pStyle w:val="Bullet"/>
        <w:numPr>
          <w:ilvl w:val="0"/>
          <w:numId w:val="6"/>
        </w:numPr>
      </w:pPr>
      <w:r>
        <w:t>40</w:t>
      </w:r>
      <w:r w:rsidR="00C130BF">
        <w:t>%</w:t>
      </w:r>
      <w:r w:rsidRPr="009342EE">
        <w:t xml:space="preserve"> of the region has been subject to a positive native title determination</w:t>
      </w:r>
    </w:p>
    <w:p w14:paraId="40D50B38" w14:textId="478F8916" w:rsidR="00CD0CB8" w:rsidRPr="00C16CFD" w:rsidRDefault="00CD0CB8" w:rsidP="00CD0CB8">
      <w:pPr>
        <w:pStyle w:val="Bullet"/>
        <w:numPr>
          <w:ilvl w:val="0"/>
          <w:numId w:val="6"/>
        </w:numPr>
      </w:pPr>
      <w:r>
        <w:t>1.5</w:t>
      </w:r>
      <w:r w:rsidR="00C130BF">
        <w:t>%</w:t>
      </w:r>
      <w:r w:rsidRPr="009342EE">
        <w:t xml:space="preserve"> of the</w:t>
      </w:r>
      <w:r>
        <w:t xml:space="preserve"> region has been subject to a determination that native title does not exist (or native title extinguished)</w:t>
      </w:r>
    </w:p>
    <w:p w14:paraId="481C3A1C" w14:textId="5C69FFCF" w:rsidR="00CD0CB8" w:rsidRPr="00C16CFD" w:rsidRDefault="00CD0CB8" w:rsidP="00CD0CB8">
      <w:pPr>
        <w:pStyle w:val="Bullet"/>
        <w:numPr>
          <w:ilvl w:val="0"/>
          <w:numId w:val="6"/>
        </w:numPr>
      </w:pPr>
      <w:r>
        <w:t>14.5</w:t>
      </w:r>
      <w:r w:rsidR="00C130BF">
        <w:t>%</w:t>
      </w:r>
      <w:r>
        <w:t xml:space="preserve"> </w:t>
      </w:r>
      <w:r w:rsidRPr="00C16CFD">
        <w:t>of the region are areas subject to a</w:t>
      </w:r>
      <w:r>
        <w:t>n active</w:t>
      </w:r>
      <w:r w:rsidRPr="00C16CFD">
        <w:t xml:space="preserve"> claim</w:t>
      </w:r>
      <w:r>
        <w:t>.</w:t>
      </w:r>
    </w:p>
    <w:p w14:paraId="7DEE2B0C" w14:textId="45FF5B67" w:rsidR="00CD0CB8" w:rsidRPr="00C11903" w:rsidRDefault="00CD0CB8" w:rsidP="00CD0CB8">
      <w:pPr>
        <w:pStyle w:val="Bullet"/>
        <w:numPr>
          <w:ilvl w:val="0"/>
          <w:numId w:val="0"/>
        </w:numPr>
      </w:pPr>
      <w:r>
        <w:t xml:space="preserve">There is therefore around </w:t>
      </w:r>
      <w:r w:rsidRPr="000E6679">
        <w:t>44</w:t>
      </w:r>
      <w:r w:rsidR="00C130BF">
        <w:t>%</w:t>
      </w:r>
      <w:r>
        <w:t xml:space="preserve"> of the RATSIB area that has not been determined and is not subject to a claim. Approximately 20</w:t>
      </w:r>
      <w:r w:rsidR="00C130BF">
        <w:t>%</w:t>
      </w:r>
      <w:r>
        <w:t xml:space="preserve"> of this area (excluding sea country) is currently subject to research under 203 (BJ) of the </w:t>
      </w:r>
      <w:r w:rsidRPr="00B05524">
        <w:rPr>
          <w:iCs/>
        </w:rPr>
        <w:t>NTA</w:t>
      </w:r>
      <w:r>
        <w:t xml:space="preserve">. This section of the </w:t>
      </w:r>
      <w:r w:rsidRPr="00B05524">
        <w:rPr>
          <w:iCs/>
        </w:rPr>
        <w:t>NTA</w:t>
      </w:r>
      <w:r>
        <w:rPr>
          <w:i/>
        </w:rPr>
        <w:t xml:space="preserve"> </w:t>
      </w:r>
      <w:r>
        <w:t xml:space="preserve">outlines that NTRB-SPs have a role in ‘identifying persons who may hold native title in the area for which the body is the representative body’. </w:t>
      </w:r>
    </w:p>
    <w:p w14:paraId="19CD8E11" w14:textId="470C9071" w:rsidR="00CD0CB8" w:rsidRDefault="00CD0CB8" w:rsidP="00C67A81">
      <w:r>
        <w:rPr>
          <w:lang w:eastAsia="en-AU"/>
        </w:rPr>
        <w:t>The NQLC has 13 claims that are currently active which are at various stages and progressing at different rates.</w:t>
      </w:r>
      <w:r>
        <w:rPr>
          <w:rStyle w:val="FootnoteReference"/>
        </w:rPr>
        <w:footnoteReference w:id="5"/>
      </w:r>
      <w:r>
        <w:rPr>
          <w:lang w:eastAsia="en-AU"/>
        </w:rPr>
        <w:t xml:space="preserve"> </w:t>
      </w:r>
      <w:r w:rsidR="008C11DC" w:rsidRPr="00641C73">
        <w:rPr>
          <w:lang w:eastAsia="en-AU"/>
        </w:rPr>
        <w:t>The average length of claims is 3.</w:t>
      </w:r>
      <w:r w:rsidR="008C11DC">
        <w:rPr>
          <w:lang w:eastAsia="en-AU"/>
        </w:rPr>
        <w:t>2</w:t>
      </w:r>
      <w:r w:rsidR="008C11DC" w:rsidRPr="00641C73">
        <w:rPr>
          <w:lang w:eastAsia="en-AU"/>
        </w:rPr>
        <w:t xml:space="preserve"> years with most claims being progressed</w:t>
      </w:r>
      <w:r w:rsidR="008C11DC">
        <w:rPr>
          <w:lang w:eastAsia="en-AU"/>
        </w:rPr>
        <w:t xml:space="preserve"> in</w:t>
      </w:r>
      <w:r w:rsidR="008C11DC" w:rsidRPr="00641C73">
        <w:rPr>
          <w:lang w:eastAsia="en-AU"/>
        </w:rPr>
        <w:t xml:space="preserve"> under </w:t>
      </w:r>
      <w:r w:rsidR="008C11DC">
        <w:rPr>
          <w:lang w:eastAsia="en-AU"/>
        </w:rPr>
        <w:t>four</w:t>
      </w:r>
      <w:r w:rsidR="008C11DC" w:rsidRPr="00641C73">
        <w:rPr>
          <w:lang w:eastAsia="en-AU"/>
        </w:rPr>
        <w:t xml:space="preserve"> years. </w:t>
      </w:r>
      <w:r w:rsidR="008C11DC">
        <w:rPr>
          <w:lang w:eastAsia="en-AU"/>
        </w:rPr>
        <w:t>One</w:t>
      </w:r>
      <w:r w:rsidR="008C11DC" w:rsidRPr="00641C73">
        <w:rPr>
          <w:lang w:eastAsia="en-AU"/>
        </w:rPr>
        <w:t xml:space="preserve"> claim has been active for more than 12 years which has skewed the average</w:t>
      </w:r>
      <w:r w:rsidR="008C11DC">
        <w:rPr>
          <w:lang w:eastAsia="en-AU"/>
        </w:rPr>
        <w:t xml:space="preserve"> claim length</w:t>
      </w:r>
      <w:r w:rsidR="008C11DC" w:rsidRPr="00641C73">
        <w:rPr>
          <w:lang w:eastAsia="en-AU"/>
        </w:rPr>
        <w:t xml:space="preserve"> somewhat. </w:t>
      </w:r>
      <w:r w:rsidR="008C11DC">
        <w:t>Stakeholders have reported that p</w:t>
      </w:r>
      <w:r w:rsidR="008C11DC" w:rsidRPr="00005F74">
        <w:t>rior to 2013, the Federal Court estimated the median time for claim res</w:t>
      </w:r>
      <w:r w:rsidR="008C11DC">
        <w:t>olution was 12 years and 11 months.</w:t>
      </w:r>
      <w:r w:rsidR="008C11DC" w:rsidRPr="00005F74">
        <w:t xml:space="preserve"> Since 2013, the Federal Court expressed </w:t>
      </w:r>
      <w:r w:rsidR="008C11DC">
        <w:t>a</w:t>
      </w:r>
      <w:r w:rsidR="008C11DC" w:rsidRPr="00005F74">
        <w:t xml:space="preserve"> claim resolution target of </w:t>
      </w:r>
      <w:r w:rsidR="008C11DC">
        <w:t>five</w:t>
      </w:r>
      <w:r w:rsidR="008C11DC" w:rsidRPr="00005F74">
        <w:t xml:space="preserve"> years</w:t>
      </w:r>
      <w:r w:rsidR="008C11DC">
        <w:t xml:space="preserve">. </w:t>
      </w:r>
    </w:p>
    <w:p w14:paraId="7D4E4ECD" w14:textId="4EB3E279" w:rsidR="00C92542" w:rsidRDefault="00C92542" w:rsidP="00C92542">
      <w:pPr>
        <w:pStyle w:val="Caption"/>
      </w:pPr>
      <w:r w:rsidRPr="00B742D4">
        <w:rPr>
          <w:lang w:eastAsia="en-AU"/>
        </w:rPr>
        <w:t xml:space="preserve">Figure 1 | </w:t>
      </w:r>
      <w:r>
        <w:rPr>
          <w:lang w:eastAsia="en-AU"/>
        </w:rPr>
        <w:t>North Queensland</w:t>
      </w:r>
      <w:r w:rsidRPr="00B742D4">
        <w:rPr>
          <w:lang w:eastAsia="en-AU"/>
        </w:rPr>
        <w:t xml:space="preserve"> native title determinations</w:t>
      </w:r>
      <w:r w:rsidR="00CD0CB8">
        <w:rPr>
          <w:rStyle w:val="FootnoteReference"/>
        </w:rPr>
        <w:footnoteReference w:id="6"/>
      </w:r>
    </w:p>
    <w:p w14:paraId="16B695B2" w14:textId="5340082A" w:rsidR="00A45673" w:rsidRPr="00844B90" w:rsidRDefault="008B3CED" w:rsidP="00844B90">
      <w:r>
        <w:rPr>
          <w:noProof/>
          <w:lang w:eastAsia="en-AU"/>
        </w:rPr>
        <w:drawing>
          <wp:inline distT="0" distB="0" distL="0" distR="0" wp14:anchorId="3974723C" wp14:editId="7F3B5B16">
            <wp:extent cx="5628344" cy="3933825"/>
            <wp:effectExtent l="0" t="0" r="0" b="0"/>
            <wp:docPr id="6" name="Picture 6" descr="Map&#10;&#10;North Queensland native title de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North Queensland native title determina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1889" cy="3936303"/>
                    </a:xfrm>
                    <a:prstGeom prst="rect">
                      <a:avLst/>
                    </a:prstGeom>
                    <a:noFill/>
                    <a:ln>
                      <a:noFill/>
                    </a:ln>
                  </pic:spPr>
                </pic:pic>
              </a:graphicData>
            </a:graphic>
          </wp:inline>
        </w:drawing>
      </w:r>
    </w:p>
    <w:p w14:paraId="7A093DEE" w14:textId="7ED04366" w:rsidR="0060147F" w:rsidRPr="00915059" w:rsidRDefault="0073695E" w:rsidP="003137B5">
      <w:pPr>
        <w:outlineLvl w:val="2"/>
        <w:rPr>
          <w:b/>
          <w:bCs/>
          <w:i/>
          <w:iCs/>
          <w:color w:val="00264D" w:themeColor="background2"/>
        </w:rPr>
      </w:pPr>
      <w:r w:rsidRPr="00915059">
        <w:rPr>
          <w:b/>
          <w:bCs/>
          <w:i/>
          <w:iCs/>
          <w:color w:val="00264D" w:themeColor="background2"/>
        </w:rPr>
        <w:lastRenderedPageBreak/>
        <w:t>Recommendations for TOR 1.1</w:t>
      </w:r>
    </w:p>
    <w:p w14:paraId="4E42B341" w14:textId="00ECF266" w:rsidR="00F64BB4" w:rsidRDefault="00F64BB4" w:rsidP="0073695E">
      <w:pPr>
        <w:rPr>
          <w:lang w:eastAsia="en-AU"/>
        </w:rPr>
      </w:pPr>
      <w:r>
        <w:rPr>
          <w:lang w:eastAsia="en-AU"/>
        </w:rPr>
        <w:t xml:space="preserve">The Review made three recommendations for TOR 1.1 on native title outcomes achieved by clients. These are outlined below, as well as </w:t>
      </w:r>
      <w:r w:rsidR="0036336C">
        <w:rPr>
          <w:lang w:eastAsia="en-AU"/>
        </w:rPr>
        <w:t>the NQLC</w:t>
      </w:r>
      <w:r>
        <w:rPr>
          <w:lang w:eastAsia="en-AU"/>
        </w:rPr>
        <w:t>’</w:t>
      </w:r>
      <w:r w:rsidR="0036336C">
        <w:rPr>
          <w:lang w:eastAsia="en-AU"/>
        </w:rPr>
        <w:t>s</w:t>
      </w:r>
      <w:r>
        <w:rPr>
          <w:lang w:eastAsia="en-AU"/>
        </w:rPr>
        <w:t xml:space="preserve"> response to these recommendations. </w:t>
      </w:r>
    </w:p>
    <w:p w14:paraId="55D0C3FA" w14:textId="77777777" w:rsidR="00844B90" w:rsidRPr="00844B90" w:rsidRDefault="00844B90" w:rsidP="003137B5">
      <w:pPr>
        <w:shd w:val="clear" w:color="auto" w:fill="E6E6E1" w:themeFill="accent5"/>
        <w:outlineLvl w:val="3"/>
        <w:rPr>
          <w:b/>
          <w:bCs/>
          <w:color w:val="00264D" w:themeColor="background2"/>
        </w:rPr>
      </w:pPr>
      <w:r w:rsidRPr="00844B90">
        <w:rPr>
          <w:b/>
          <w:bCs/>
          <w:color w:val="00264D" w:themeColor="background2"/>
        </w:rPr>
        <w:t>Recommendation 1</w:t>
      </w:r>
    </w:p>
    <w:p w14:paraId="44FB42C9" w14:textId="77777777" w:rsidR="00844B90" w:rsidRPr="00844B90" w:rsidRDefault="00844B90" w:rsidP="00844B90">
      <w:pPr>
        <w:shd w:val="clear" w:color="auto" w:fill="E6E6E1" w:themeFill="accent5"/>
        <w:rPr>
          <w:b/>
          <w:color w:val="00264D" w:themeColor="background2"/>
        </w:rPr>
      </w:pPr>
      <w:r w:rsidRPr="00844B90">
        <w:rPr>
          <w:color w:val="00264D" w:themeColor="background2"/>
        </w:rPr>
        <w:t>The NQLC should consider implementing a formal mechanism to collect client feedback on native title outcomes and processes.</w:t>
      </w:r>
    </w:p>
    <w:p w14:paraId="763DE13F" w14:textId="77777777" w:rsidR="00844B90" w:rsidRPr="00844B90" w:rsidRDefault="00844B90" w:rsidP="003137B5">
      <w:pPr>
        <w:outlineLvl w:val="4"/>
        <w:rPr>
          <w:b/>
          <w:bCs/>
          <w:color w:val="00264D" w:themeColor="background2"/>
        </w:rPr>
      </w:pPr>
      <w:r w:rsidRPr="00844B90">
        <w:rPr>
          <w:b/>
          <w:bCs/>
          <w:color w:val="00264D" w:themeColor="background2"/>
        </w:rPr>
        <w:t xml:space="preserve">NQLC response. </w:t>
      </w:r>
    </w:p>
    <w:p w14:paraId="70373BA1" w14:textId="10AB123F" w:rsidR="003C17B7" w:rsidRDefault="00844B90" w:rsidP="0073695E">
      <w:r w:rsidRPr="00AD7557">
        <w:t>Clients are regularly engaged during the claim/agreement process and numerous opportunities to provide feedback are available. The NQLC has also opened a Facebook page which is open to stakeholder comments and feedback. These are monitored and replied to as necessary. Clients can also phone or email with their concerns. The NQLC does not see the utility of a more ‘formal’ mechanism.</w:t>
      </w:r>
    </w:p>
    <w:p w14:paraId="19F607E8" w14:textId="77777777" w:rsidR="00AF7D53" w:rsidRPr="00AF7D53" w:rsidRDefault="00AF7D53" w:rsidP="003137B5">
      <w:pPr>
        <w:shd w:val="clear" w:color="auto" w:fill="E6E6E1" w:themeFill="accent5"/>
        <w:outlineLvl w:val="3"/>
        <w:rPr>
          <w:b/>
          <w:bCs/>
          <w:color w:val="00264D" w:themeColor="background2"/>
        </w:rPr>
      </w:pPr>
      <w:r w:rsidRPr="00AF7D53">
        <w:rPr>
          <w:b/>
          <w:bCs/>
          <w:color w:val="00264D" w:themeColor="background2"/>
        </w:rPr>
        <w:t>Recommendation 2</w:t>
      </w:r>
    </w:p>
    <w:p w14:paraId="0E9A06BB" w14:textId="77777777" w:rsidR="00AF7D53" w:rsidRPr="00AF7D53" w:rsidRDefault="00AF7D53" w:rsidP="00AF7D53">
      <w:pPr>
        <w:shd w:val="clear" w:color="auto" w:fill="E6E6E1" w:themeFill="accent5"/>
        <w:rPr>
          <w:b/>
          <w:color w:val="00264D" w:themeColor="background2"/>
        </w:rPr>
      </w:pPr>
      <w:r w:rsidRPr="00AF7D53">
        <w:rPr>
          <w:color w:val="00264D" w:themeColor="background2"/>
        </w:rPr>
        <w:t>The NQLC should clarify the roles and responsibilities for internal and external anthropologists, including the process for engaging and managing external anthropologists to ensure high quality research outputs and reduced costs.</w:t>
      </w:r>
    </w:p>
    <w:p w14:paraId="4600F74B" w14:textId="77777777" w:rsidR="00AF7D53" w:rsidRPr="00AF7D53" w:rsidRDefault="00AF7D53" w:rsidP="003137B5">
      <w:pPr>
        <w:outlineLvl w:val="4"/>
        <w:rPr>
          <w:b/>
          <w:bCs/>
        </w:rPr>
      </w:pPr>
      <w:r w:rsidRPr="00AF7D53">
        <w:rPr>
          <w:b/>
          <w:bCs/>
          <w:color w:val="00264D" w:themeColor="background2"/>
        </w:rPr>
        <w:t xml:space="preserve">NQLC response. </w:t>
      </w:r>
    </w:p>
    <w:p w14:paraId="2E1BDD67" w14:textId="77777777" w:rsidR="00AF7D53" w:rsidRDefault="00AF7D53" w:rsidP="00AF7D53">
      <w:r w:rsidRPr="00B5419C">
        <w:t>NQLC has, in the past, predominantly contracted external anthropologists for all facets of connection and general anthropological reports. The Native Title Claims Unit is now implementing a system whereby internal senior anthropologists will conduct as much as the preliminary and on-country work as possible, under the guidance of external experts if required. On-country fieldwork, including claimant interviews, will be digitally recorded so as to provide a reference for the experts when they compile their reports.</w:t>
      </w:r>
    </w:p>
    <w:p w14:paraId="7E097422" w14:textId="77777777" w:rsidR="00AF7D53" w:rsidRDefault="00AF7D53" w:rsidP="00AF7D53">
      <w:r w:rsidRPr="00B5419C">
        <w:t>Internal anthropologists will be provided with the necessary upskilling to undertake their enhanced roles</w:t>
      </w:r>
      <w:r>
        <w:t>.</w:t>
      </w:r>
    </w:p>
    <w:p w14:paraId="4BB933A3" w14:textId="77777777" w:rsidR="00AF7D53" w:rsidRDefault="00AF7D53" w:rsidP="00AF7D53">
      <w:r w:rsidRPr="00B5419C">
        <w:t>This new approach will provide increased capacity and knowledge within the organisation as well as personal development for the internal anthropologists. The net costs effect is anticipated to be a significant saving for the organisation.</w:t>
      </w:r>
    </w:p>
    <w:p w14:paraId="4A98C6F7" w14:textId="77777777" w:rsidR="00AF7D53" w:rsidRDefault="00AF7D53" w:rsidP="00AF7D53"/>
    <w:p w14:paraId="2422DC88" w14:textId="77777777" w:rsidR="00AF7D53" w:rsidRPr="00AF7D53" w:rsidRDefault="00AF7D53" w:rsidP="003137B5">
      <w:pPr>
        <w:shd w:val="clear" w:color="auto" w:fill="E6E6E1" w:themeFill="accent5"/>
        <w:outlineLvl w:val="3"/>
        <w:rPr>
          <w:b/>
          <w:color w:val="00264D" w:themeColor="background2"/>
        </w:rPr>
      </w:pPr>
      <w:r w:rsidRPr="00AF7D53">
        <w:rPr>
          <w:b/>
          <w:color w:val="00264D" w:themeColor="background2"/>
        </w:rPr>
        <w:t>Recommendation 3</w:t>
      </w:r>
    </w:p>
    <w:p w14:paraId="687314A9" w14:textId="77777777" w:rsidR="00AF7D53" w:rsidRPr="00AF7D53" w:rsidRDefault="00AF7D53" w:rsidP="00AF7D53">
      <w:pPr>
        <w:shd w:val="clear" w:color="auto" w:fill="E6E6E1" w:themeFill="accent5"/>
        <w:rPr>
          <w:b/>
          <w:bCs/>
          <w:color w:val="00264D" w:themeColor="background2"/>
        </w:rPr>
      </w:pPr>
      <w:r w:rsidRPr="00AF7D53">
        <w:rPr>
          <w:bCs/>
          <w:color w:val="00264D" w:themeColor="background2"/>
        </w:rPr>
        <w:t>The NQLC should review its internal review policy and processes to ensure they are appropriate, fair and well communicated, including clarification of the use of an independent reviewer. This should include providing clear information on the website outlining the steps a client or person refused assistance must take to trigger an internal review process.</w:t>
      </w:r>
    </w:p>
    <w:p w14:paraId="21EC8DA2" w14:textId="77777777" w:rsidR="00AF7D53" w:rsidRPr="00AF7D53" w:rsidRDefault="00AF7D53" w:rsidP="003137B5">
      <w:pPr>
        <w:outlineLvl w:val="4"/>
        <w:rPr>
          <w:b/>
          <w:bCs/>
          <w:color w:val="00264D" w:themeColor="background2"/>
        </w:rPr>
      </w:pPr>
      <w:r w:rsidRPr="00AF7D53">
        <w:rPr>
          <w:b/>
          <w:bCs/>
          <w:color w:val="00264D" w:themeColor="background2"/>
        </w:rPr>
        <w:t xml:space="preserve">NQLC response. </w:t>
      </w:r>
    </w:p>
    <w:p w14:paraId="0B024B75" w14:textId="77777777" w:rsidR="00AF7D53" w:rsidRDefault="00AF7D53" w:rsidP="00AF7D53">
      <w:r w:rsidRPr="00CC70BC">
        <w:t>The NQLC has a formal Internal Review Procedure which is considered appropriate and fair. That Procedure is in the process of being added to the NQLC’s website.</w:t>
      </w:r>
    </w:p>
    <w:p w14:paraId="3C168B5C" w14:textId="17442F2E" w:rsidR="003C17B7" w:rsidRDefault="003C17B7">
      <w:pPr>
        <w:spacing w:after="160" w:line="259" w:lineRule="auto"/>
        <w:rPr>
          <w:rFonts w:ascii="Segoe UI Semibold" w:eastAsia="Times New Roman" w:hAnsi="Segoe UI Semibold" w:cs="Times New Roman"/>
          <w:color w:val="00264D" w:themeColor="background2"/>
          <w:szCs w:val="19"/>
          <w:lang w:eastAsia="en-AU"/>
        </w:rPr>
      </w:pPr>
    </w:p>
    <w:p w14:paraId="2DD2AC63" w14:textId="5E5D16C8" w:rsidR="003C17B7" w:rsidRDefault="003C17B7">
      <w:pPr>
        <w:spacing w:after="160" w:line="259" w:lineRule="auto"/>
        <w:rPr>
          <w:rFonts w:ascii="Segoe UI Semibold" w:eastAsia="Times New Roman" w:hAnsi="Segoe UI Semibold" w:cs="Times New Roman"/>
          <w:color w:val="00264D" w:themeColor="background2"/>
          <w:szCs w:val="19"/>
          <w:lang w:eastAsia="en-AU"/>
        </w:rPr>
      </w:pPr>
      <w:r>
        <w:rPr>
          <w:rFonts w:ascii="Segoe UI Semibold" w:eastAsia="Times New Roman" w:hAnsi="Segoe UI Semibold" w:cs="Times New Roman"/>
          <w:color w:val="00264D" w:themeColor="background2"/>
          <w:szCs w:val="19"/>
          <w:lang w:eastAsia="en-AU"/>
        </w:rPr>
        <w:br w:type="page"/>
      </w:r>
    </w:p>
    <w:p w14:paraId="2B7EEA2A" w14:textId="4AB32EF1" w:rsidR="001C35F2" w:rsidRPr="0084761C" w:rsidRDefault="002E4BA7" w:rsidP="00AF7D53">
      <w:pPr>
        <w:pStyle w:val="Heading2"/>
      </w:pPr>
      <w:bookmarkStart w:id="37" w:name="_Ref500337912"/>
      <w:bookmarkStart w:id="38" w:name="_Toc502839778"/>
      <w:bookmarkStart w:id="39" w:name="_Toc502843254"/>
      <w:bookmarkStart w:id="40" w:name="_Toc502847617"/>
      <w:bookmarkStart w:id="41" w:name="_Toc502850761"/>
      <w:bookmarkStart w:id="42" w:name="_Toc502855193"/>
      <w:bookmarkStart w:id="43" w:name="_Ref502867954"/>
      <w:bookmarkStart w:id="44" w:name="_Ref502868502"/>
      <w:bookmarkStart w:id="45" w:name="_Toc503117092"/>
      <w:bookmarkStart w:id="46" w:name="_Toc505259169"/>
      <w:bookmarkStart w:id="47" w:name="_Toc505256236"/>
      <w:bookmarkStart w:id="48" w:name="_Toc505618279"/>
      <w:r w:rsidRPr="0084761C">
        <w:lastRenderedPageBreak/>
        <w:t xml:space="preserve">TOR 1.2 | </w:t>
      </w:r>
      <w:r w:rsidR="00EB1298" w:rsidRPr="0084761C">
        <w:t>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bookmarkEnd w:id="37"/>
      <w:bookmarkEnd w:id="38"/>
      <w:bookmarkEnd w:id="39"/>
      <w:bookmarkEnd w:id="40"/>
      <w:bookmarkEnd w:id="41"/>
      <w:bookmarkEnd w:id="42"/>
      <w:bookmarkEnd w:id="43"/>
      <w:bookmarkEnd w:id="44"/>
      <w:bookmarkEnd w:id="45"/>
      <w:bookmarkEnd w:id="46"/>
      <w:bookmarkEnd w:id="47"/>
      <w:bookmarkEnd w:id="48"/>
    </w:p>
    <w:p w14:paraId="571CB76E" w14:textId="77777777" w:rsidR="00CD6900" w:rsidRPr="00CD6900" w:rsidRDefault="00CD6900" w:rsidP="00CD6900">
      <w:pPr>
        <w:rPr>
          <w:lang w:eastAsia="en-AU"/>
        </w:rPr>
      </w:pPr>
    </w:p>
    <w:p w14:paraId="3B89BC10" w14:textId="26AB395D" w:rsidR="00AF7D53" w:rsidRPr="00AF7D53" w:rsidRDefault="00AF7D53" w:rsidP="00AF7D53">
      <w:pPr>
        <w:shd w:val="clear" w:color="auto" w:fill="E6E6E1" w:themeFill="accent5"/>
        <w:spacing w:line="259" w:lineRule="auto"/>
        <w:rPr>
          <w:rFonts w:eastAsia="Times New Roman"/>
          <w:b/>
          <w:bCs/>
          <w:color w:val="00264D" w:themeColor="background2"/>
          <w:lang w:eastAsia="en-AU"/>
        </w:rPr>
      </w:pPr>
      <w:r w:rsidRPr="00AF7D53">
        <w:rPr>
          <w:rFonts w:eastAsia="Times New Roman"/>
          <w:b/>
          <w:color w:val="00264D" w:themeColor="background2"/>
          <w:lang w:eastAsia="en-AU"/>
        </w:rPr>
        <w:t>The NQLC has an informal internal process for assessing and prioritising different potential claims – with consideration of a range of factors – primarily the strength of the claim, existing court dates and available funding.</w:t>
      </w:r>
      <w:r w:rsidRPr="00AF7D53">
        <w:rPr>
          <w:rFonts w:eastAsia="Times New Roman"/>
          <w:bCs/>
          <w:color w:val="00264D" w:themeColor="background2"/>
          <w:lang w:eastAsia="en-AU"/>
        </w:rPr>
        <w:t xml:space="preserve"> The Policy Manual provides guidance on factors used to assess an application for assistance, </w:t>
      </w:r>
      <w:r w:rsidR="00D2701B" w:rsidRPr="00AF7D53">
        <w:rPr>
          <w:rFonts w:eastAsia="Times New Roman"/>
          <w:bCs/>
          <w:color w:val="00264D" w:themeColor="background2"/>
          <w:lang w:eastAsia="en-AU"/>
        </w:rPr>
        <w:t>however,</w:t>
      </w:r>
      <w:r w:rsidRPr="00AF7D53">
        <w:rPr>
          <w:rFonts w:eastAsia="Times New Roman"/>
          <w:bCs/>
          <w:color w:val="00264D" w:themeColor="background2"/>
          <w:lang w:eastAsia="en-AU"/>
        </w:rPr>
        <w:t xml:space="preserve"> there appears to be some conflation of whether to provide assistance and the relative priority of that assistance. Many staff are unaware of the prioritisation process that is used and how that interacts with the operational planning and budget process. There is an opportunity to review the current prioritisation approach to ensure it remains fit for purpose.</w:t>
      </w:r>
    </w:p>
    <w:p w14:paraId="36F386E0" w14:textId="02413DCE" w:rsidR="001C35F2" w:rsidRPr="00D2701B" w:rsidRDefault="00AF7D53" w:rsidP="00D2701B">
      <w:pPr>
        <w:shd w:val="clear" w:color="auto" w:fill="E6E6E1" w:themeFill="accent5"/>
        <w:spacing w:line="259" w:lineRule="auto"/>
        <w:rPr>
          <w:b/>
          <w:color w:val="00264D" w:themeColor="background2"/>
        </w:rPr>
      </w:pPr>
      <w:r w:rsidRPr="00AF7D53">
        <w:rPr>
          <w:rFonts w:eastAsia="Times New Roman"/>
          <w:bCs/>
          <w:color w:val="00264D" w:themeColor="background2"/>
          <w:lang w:eastAsia="en-AU"/>
        </w:rPr>
        <w:t>Decisions made about the prioritisation of claims do not appear to be formally recorded and information on the factors that inform this do not appear to be readily available to clients (and potential clients) online through the website or through other documentation. Staff report that these factors are likely to be communicated directly to clients following a request for assistance. Client awareness of the factors for prioritisation was generally low.</w:t>
      </w:r>
    </w:p>
    <w:p w14:paraId="1608CB9A" w14:textId="0FDC3647" w:rsidR="00F64BB4" w:rsidRPr="00915059" w:rsidRDefault="00F64BB4" w:rsidP="003137B5">
      <w:pPr>
        <w:outlineLvl w:val="2"/>
        <w:rPr>
          <w:b/>
          <w:bCs/>
          <w:i/>
          <w:iCs/>
          <w:color w:val="00264D" w:themeColor="background2"/>
        </w:rPr>
      </w:pPr>
      <w:r w:rsidRPr="00915059">
        <w:rPr>
          <w:b/>
          <w:bCs/>
          <w:i/>
          <w:iCs/>
          <w:color w:val="00264D" w:themeColor="background2"/>
        </w:rPr>
        <w:t>Recommendations for TOR 1.</w:t>
      </w:r>
      <w:r w:rsidR="00B66147" w:rsidRPr="00915059">
        <w:rPr>
          <w:b/>
          <w:bCs/>
          <w:i/>
          <w:iCs/>
          <w:color w:val="00264D" w:themeColor="background2"/>
        </w:rPr>
        <w:t>2</w:t>
      </w:r>
    </w:p>
    <w:p w14:paraId="6A6D1ED8" w14:textId="450E605E" w:rsidR="000B029D" w:rsidRPr="00184755" w:rsidRDefault="000B029D" w:rsidP="000B029D">
      <w:pPr>
        <w:rPr>
          <w:lang w:eastAsia="en-AU"/>
        </w:rPr>
      </w:pPr>
      <w:r>
        <w:rPr>
          <w:lang w:eastAsia="en-AU"/>
        </w:rPr>
        <w:t xml:space="preserve">The Review made </w:t>
      </w:r>
      <w:r w:rsidR="00622AA4">
        <w:rPr>
          <w:lang w:eastAsia="en-AU"/>
        </w:rPr>
        <w:t>two</w:t>
      </w:r>
      <w:r>
        <w:rPr>
          <w:lang w:eastAsia="en-AU"/>
        </w:rPr>
        <w:t xml:space="preserve"> recommendation</w:t>
      </w:r>
      <w:r w:rsidR="00622AA4">
        <w:rPr>
          <w:lang w:eastAsia="en-AU"/>
        </w:rPr>
        <w:t>s</w:t>
      </w:r>
      <w:r>
        <w:rPr>
          <w:lang w:eastAsia="en-AU"/>
        </w:rPr>
        <w:t xml:space="preserve"> for TOR 1.2 on the organisation’s assessment process. T</w:t>
      </w:r>
      <w:r w:rsidR="00622AA4">
        <w:rPr>
          <w:lang w:eastAsia="en-AU"/>
        </w:rPr>
        <w:t xml:space="preserve">hese are </w:t>
      </w:r>
      <w:r>
        <w:rPr>
          <w:lang w:eastAsia="en-AU"/>
        </w:rPr>
        <w:t xml:space="preserve">outlined below, as well as </w:t>
      </w:r>
      <w:r w:rsidR="00CE59B1">
        <w:rPr>
          <w:lang w:eastAsia="en-AU"/>
        </w:rPr>
        <w:t>NQLC</w:t>
      </w:r>
      <w:r>
        <w:rPr>
          <w:lang w:eastAsia="en-AU"/>
        </w:rPr>
        <w:t>’s response to th</w:t>
      </w:r>
      <w:r w:rsidR="00622AA4">
        <w:rPr>
          <w:lang w:eastAsia="en-AU"/>
        </w:rPr>
        <w:t>e</w:t>
      </w:r>
      <w:r>
        <w:rPr>
          <w:lang w:eastAsia="en-AU"/>
        </w:rPr>
        <w:t>s</w:t>
      </w:r>
      <w:r w:rsidR="00622AA4">
        <w:rPr>
          <w:lang w:eastAsia="en-AU"/>
        </w:rPr>
        <w:t>e</w:t>
      </w:r>
      <w:r>
        <w:rPr>
          <w:lang w:eastAsia="en-AU"/>
        </w:rPr>
        <w:t xml:space="preserve"> recommendation</w:t>
      </w:r>
      <w:r w:rsidR="00622AA4">
        <w:rPr>
          <w:lang w:eastAsia="en-AU"/>
        </w:rPr>
        <w:t>s</w:t>
      </w:r>
      <w:r>
        <w:rPr>
          <w:lang w:eastAsia="en-AU"/>
        </w:rPr>
        <w:t xml:space="preserve">. </w:t>
      </w:r>
    </w:p>
    <w:p w14:paraId="7919A20E" w14:textId="77777777" w:rsidR="00D2701B" w:rsidRPr="00D2701B" w:rsidRDefault="00D2701B" w:rsidP="003137B5">
      <w:pPr>
        <w:shd w:val="clear" w:color="auto" w:fill="E6E6E1" w:themeFill="accent5"/>
        <w:outlineLvl w:val="3"/>
        <w:rPr>
          <w:b/>
          <w:bCs/>
          <w:color w:val="00264D" w:themeColor="background2"/>
        </w:rPr>
      </w:pPr>
      <w:r w:rsidRPr="00D2701B">
        <w:rPr>
          <w:b/>
          <w:bCs/>
          <w:color w:val="00264D" w:themeColor="background2"/>
        </w:rPr>
        <w:t>Recommendation 4</w:t>
      </w:r>
    </w:p>
    <w:p w14:paraId="676AF1B6" w14:textId="77777777" w:rsidR="00D2701B" w:rsidRPr="00D2701B" w:rsidRDefault="00D2701B" w:rsidP="00D2701B">
      <w:pPr>
        <w:shd w:val="clear" w:color="auto" w:fill="E6E6E1" w:themeFill="accent5"/>
        <w:rPr>
          <w:b/>
          <w:color w:val="00264D" w:themeColor="background2"/>
        </w:rPr>
      </w:pPr>
      <w:r w:rsidRPr="00D2701B">
        <w:rPr>
          <w:color w:val="00264D" w:themeColor="background2"/>
        </w:rPr>
        <w:t>The NQLC should review its assessment, prioritisation and resourcing decision-making process to ensure it is clear, easy to understand, and facilitates consistent high-quality decisions. This should include the factors considered in the initial decision to provide assistance (or not), considerations related to prioritisation of different claims/matters and the interaction of these factors with resourcing decisions. The organisation should also document key decisions to improve the transparency in the decision-making process.</w:t>
      </w:r>
    </w:p>
    <w:p w14:paraId="0CC7D26C" w14:textId="77777777" w:rsidR="00D2701B" w:rsidRPr="00D2701B" w:rsidRDefault="00D2701B" w:rsidP="003137B5">
      <w:pPr>
        <w:outlineLvl w:val="4"/>
        <w:rPr>
          <w:b/>
          <w:bCs/>
          <w:color w:val="00264D" w:themeColor="background2"/>
        </w:rPr>
      </w:pPr>
      <w:r w:rsidRPr="00D2701B">
        <w:rPr>
          <w:b/>
          <w:bCs/>
          <w:color w:val="00264D" w:themeColor="background2"/>
        </w:rPr>
        <w:t xml:space="preserve">NQLC response. </w:t>
      </w:r>
    </w:p>
    <w:p w14:paraId="7042DD36" w14:textId="4EF9E722" w:rsidR="00F64BB4" w:rsidRDefault="00D2701B" w:rsidP="00F64BB4">
      <w:r w:rsidRPr="00CC70BC">
        <w:t>Under development in light of budget constraints.</w:t>
      </w:r>
    </w:p>
    <w:p w14:paraId="14153604" w14:textId="77777777" w:rsidR="00D2701B" w:rsidRPr="00EB773F" w:rsidRDefault="00D2701B" w:rsidP="003137B5">
      <w:pPr>
        <w:shd w:val="clear" w:color="auto" w:fill="E6E6E1" w:themeFill="accent5"/>
        <w:outlineLvl w:val="3"/>
        <w:rPr>
          <w:b/>
          <w:bCs/>
          <w:color w:val="00264D" w:themeColor="background2"/>
        </w:rPr>
      </w:pPr>
      <w:r w:rsidRPr="00EB773F">
        <w:rPr>
          <w:b/>
          <w:bCs/>
          <w:color w:val="00264D" w:themeColor="background2"/>
        </w:rPr>
        <w:t>Recommendation 5</w:t>
      </w:r>
    </w:p>
    <w:p w14:paraId="0CC5FE1D" w14:textId="77777777" w:rsidR="00D2701B" w:rsidRPr="00D2701B" w:rsidRDefault="00D2701B" w:rsidP="00D2701B">
      <w:pPr>
        <w:shd w:val="clear" w:color="auto" w:fill="E6E6E1" w:themeFill="accent5"/>
        <w:rPr>
          <w:b/>
          <w:color w:val="00264D" w:themeColor="background2"/>
        </w:rPr>
      </w:pPr>
      <w:r w:rsidRPr="00D2701B">
        <w:rPr>
          <w:color w:val="00264D" w:themeColor="background2"/>
        </w:rPr>
        <w:t>The NQLC needs to more clearly communicate its prioritisation process and factors internally and externally to ensure stakeholders have a clear understanding of why claims are being progressed (and prioritised). For staff, this should make the interaction between the prioritisation process and the budget process clear. For clients, this should outline, at a high-level, the key decision-making factors.</w:t>
      </w:r>
    </w:p>
    <w:p w14:paraId="22B25D07" w14:textId="77777777" w:rsidR="00D2701B" w:rsidRPr="00EB773F" w:rsidRDefault="00D2701B" w:rsidP="003137B5">
      <w:pPr>
        <w:outlineLvl w:val="4"/>
        <w:rPr>
          <w:b/>
          <w:bCs/>
          <w:color w:val="00264D" w:themeColor="background2"/>
        </w:rPr>
      </w:pPr>
      <w:r w:rsidRPr="00EB773F">
        <w:rPr>
          <w:b/>
          <w:bCs/>
          <w:color w:val="00264D" w:themeColor="background2"/>
        </w:rPr>
        <w:t xml:space="preserve">NQLC response. </w:t>
      </w:r>
    </w:p>
    <w:p w14:paraId="2FA79BC1" w14:textId="77777777" w:rsidR="00D2701B" w:rsidRDefault="00D2701B" w:rsidP="00D2701B">
      <w:r w:rsidRPr="00CC70BC">
        <w:t>Ongoing.</w:t>
      </w:r>
    </w:p>
    <w:p w14:paraId="3D7EEFCF" w14:textId="4255B072" w:rsidR="00AE2761" w:rsidRDefault="00AE2761" w:rsidP="00F64BB4">
      <w:pPr>
        <w:rPr>
          <w:lang w:eastAsia="en-AU"/>
        </w:rPr>
      </w:pPr>
    </w:p>
    <w:p w14:paraId="6C5ED31D" w14:textId="0CD5E73D" w:rsidR="006E33C6" w:rsidRDefault="006E33C6">
      <w:pPr>
        <w:spacing w:after="160" w:line="259" w:lineRule="auto"/>
        <w:rPr>
          <w:lang w:eastAsia="en-AU"/>
        </w:rPr>
      </w:pPr>
      <w:r>
        <w:rPr>
          <w:lang w:eastAsia="en-AU"/>
        </w:rPr>
        <w:br w:type="page"/>
      </w:r>
    </w:p>
    <w:p w14:paraId="4D30DDA5" w14:textId="7AC4150F" w:rsidR="00EB1298" w:rsidRPr="0084761C" w:rsidRDefault="002E4BA7" w:rsidP="00EB773F">
      <w:pPr>
        <w:pStyle w:val="Heading2"/>
      </w:pPr>
      <w:bookmarkStart w:id="49" w:name="_Ref502726666"/>
      <w:bookmarkStart w:id="50" w:name="_Toc502839779"/>
      <w:bookmarkStart w:id="51" w:name="_Toc502843255"/>
      <w:bookmarkStart w:id="52" w:name="_Toc502847618"/>
      <w:bookmarkStart w:id="53" w:name="_Toc502850762"/>
      <w:bookmarkStart w:id="54" w:name="_Toc502855194"/>
      <w:bookmarkStart w:id="55" w:name="_Toc503117093"/>
      <w:bookmarkStart w:id="56" w:name="_Toc505259170"/>
      <w:bookmarkStart w:id="57" w:name="_Toc505256237"/>
      <w:bookmarkStart w:id="58" w:name="_Toc505618280"/>
      <w:r w:rsidRPr="0084761C">
        <w:lastRenderedPageBreak/>
        <w:t xml:space="preserve">TOR 1.3 | </w:t>
      </w:r>
      <w:r w:rsidR="00EB1298" w:rsidRPr="0084761C">
        <w:t>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bookmarkEnd w:id="49"/>
      <w:bookmarkEnd w:id="50"/>
      <w:bookmarkEnd w:id="51"/>
      <w:bookmarkEnd w:id="52"/>
      <w:bookmarkEnd w:id="53"/>
      <w:bookmarkEnd w:id="54"/>
      <w:bookmarkEnd w:id="55"/>
      <w:bookmarkEnd w:id="56"/>
      <w:bookmarkEnd w:id="57"/>
      <w:bookmarkEnd w:id="58"/>
    </w:p>
    <w:p w14:paraId="4F68E0A7" w14:textId="77777777" w:rsidR="000B7985" w:rsidRPr="000B7985" w:rsidRDefault="000B7985" w:rsidP="000B7985">
      <w:pPr>
        <w:rPr>
          <w:lang w:eastAsia="en-AU"/>
        </w:rPr>
      </w:pPr>
    </w:p>
    <w:p w14:paraId="77904555" w14:textId="77777777" w:rsidR="00EB773F" w:rsidRPr="00EB773F" w:rsidRDefault="00EB773F" w:rsidP="00EB773F">
      <w:pPr>
        <w:shd w:val="clear" w:color="auto" w:fill="E6E6E1" w:themeFill="accent5"/>
        <w:spacing w:line="259" w:lineRule="auto"/>
        <w:rPr>
          <w:rFonts w:eastAsia="Times New Roman"/>
          <w:b/>
          <w:bCs/>
          <w:color w:val="00264D" w:themeColor="background2"/>
          <w:lang w:eastAsia="en-AU"/>
        </w:rPr>
      </w:pPr>
      <w:r w:rsidRPr="00EB773F">
        <w:rPr>
          <w:rFonts w:eastAsia="Times New Roman"/>
          <w:b/>
          <w:color w:val="00264D" w:themeColor="background2"/>
          <w:lang w:eastAsia="en-AU"/>
        </w:rPr>
        <w:t>Stakeholders report that the NQLC generally engages respectfully and professionally with clients, however there were instances reported by clients and staff where this was not the case.</w:t>
      </w:r>
      <w:r w:rsidRPr="00EB773F">
        <w:rPr>
          <w:rFonts w:eastAsia="Times New Roman"/>
          <w:bCs/>
          <w:color w:val="00264D" w:themeColor="background2"/>
          <w:lang w:eastAsia="en-AU"/>
        </w:rPr>
        <w:t xml:space="preserve"> This included stakeholder concerns that their views were not being appropriately acknowledged. There were also reported instances where meetings were not conducted in an appropriate manner, however the NQLC appears to have strong processes in place, including providing access for clients of audio recordings of meetings. </w:t>
      </w:r>
    </w:p>
    <w:p w14:paraId="04336A15" w14:textId="65823DA7" w:rsidR="00D56755" w:rsidRPr="008275E1" w:rsidRDefault="00EB773F" w:rsidP="008275E1">
      <w:pPr>
        <w:shd w:val="clear" w:color="auto" w:fill="E6E6E1" w:themeFill="accent5"/>
        <w:spacing w:line="259" w:lineRule="auto"/>
        <w:rPr>
          <w:b/>
          <w:color w:val="00264D" w:themeColor="background2"/>
        </w:rPr>
      </w:pPr>
      <w:r w:rsidRPr="00EB773F">
        <w:rPr>
          <w:rFonts w:eastAsia="Times New Roman"/>
          <w:bCs/>
          <w:color w:val="00264D" w:themeColor="background2"/>
          <w:lang w:eastAsia="en-AU"/>
        </w:rPr>
        <w:t>There are mixed views from staff and clients on the broader cultural competence of staff within the organisation. There is an opportunity to consider how cultural competency considerations can be embedded across the entire employee lifecycle – including through tailored formal training. Aboriginal Project Officers play a particularly important role in supporting culturally appropriate engagement, however previous internal policies appear to have hindered their ability to play this role.</w:t>
      </w:r>
    </w:p>
    <w:p w14:paraId="4379612D" w14:textId="1320DE0A" w:rsidR="00D56755" w:rsidRPr="00915059" w:rsidRDefault="00D56755" w:rsidP="003137B5">
      <w:pPr>
        <w:outlineLvl w:val="2"/>
        <w:rPr>
          <w:b/>
          <w:bCs/>
          <w:i/>
          <w:iCs/>
          <w:color w:val="00264D" w:themeColor="background2"/>
        </w:rPr>
      </w:pPr>
      <w:r w:rsidRPr="00915059">
        <w:rPr>
          <w:b/>
          <w:bCs/>
          <w:i/>
          <w:iCs/>
          <w:color w:val="00264D" w:themeColor="background2"/>
        </w:rPr>
        <w:t>Recommendations</w:t>
      </w:r>
      <w:r w:rsidR="00274A34" w:rsidRPr="00915059">
        <w:rPr>
          <w:b/>
          <w:bCs/>
          <w:i/>
          <w:iCs/>
          <w:color w:val="00264D" w:themeColor="background2"/>
        </w:rPr>
        <w:t xml:space="preserve"> for TOR 1.3</w:t>
      </w:r>
    </w:p>
    <w:p w14:paraId="1B717D58" w14:textId="6D5D540A" w:rsidR="00EB773F" w:rsidRPr="00FB0740" w:rsidRDefault="00FB0740" w:rsidP="00FB0740">
      <w:pPr>
        <w:rPr>
          <w:lang w:eastAsia="en-AU"/>
        </w:rPr>
      </w:pPr>
      <w:r>
        <w:rPr>
          <w:lang w:eastAsia="en-AU"/>
        </w:rPr>
        <w:t>The Review made two recommendations for TOR 1.3 on the organisation’s approach to clients. These are outlined below, as well as N</w:t>
      </w:r>
      <w:r w:rsidR="00CE59B1">
        <w:rPr>
          <w:lang w:eastAsia="en-AU"/>
        </w:rPr>
        <w:t>QLC</w:t>
      </w:r>
      <w:r>
        <w:rPr>
          <w:lang w:eastAsia="en-AU"/>
        </w:rPr>
        <w:t xml:space="preserve">’s response to these recommendations. </w:t>
      </w:r>
    </w:p>
    <w:p w14:paraId="7263A923" w14:textId="77777777" w:rsidR="00EB773F" w:rsidRPr="00EB773F" w:rsidRDefault="00EB773F" w:rsidP="003137B5">
      <w:pPr>
        <w:shd w:val="clear" w:color="auto" w:fill="E6E6E1" w:themeFill="accent5"/>
        <w:outlineLvl w:val="3"/>
        <w:rPr>
          <w:b/>
          <w:bCs/>
          <w:color w:val="00264D" w:themeColor="background2"/>
        </w:rPr>
      </w:pPr>
      <w:r w:rsidRPr="00EB773F">
        <w:rPr>
          <w:b/>
          <w:bCs/>
          <w:color w:val="00264D" w:themeColor="background2"/>
        </w:rPr>
        <w:t>Recommendation 6</w:t>
      </w:r>
    </w:p>
    <w:p w14:paraId="745C98C0" w14:textId="77777777" w:rsidR="00EB773F" w:rsidRPr="00EB773F" w:rsidRDefault="00EB773F" w:rsidP="00EB773F">
      <w:pPr>
        <w:shd w:val="clear" w:color="auto" w:fill="E6E6E1" w:themeFill="accent5"/>
        <w:rPr>
          <w:b/>
          <w:color w:val="00264D" w:themeColor="background2"/>
        </w:rPr>
      </w:pPr>
      <w:r w:rsidRPr="00EB773F">
        <w:rPr>
          <w:color w:val="00264D" w:themeColor="background2"/>
        </w:rPr>
        <w:t>The NQLC should introduce measures across the employee lifecycle to ensure high levels of organisational cultural competence. This should include:</w:t>
      </w:r>
    </w:p>
    <w:p w14:paraId="1F5CF377" w14:textId="77777777" w:rsidR="00EB773F" w:rsidRPr="00EB773F" w:rsidRDefault="00EB773F" w:rsidP="00EB773F">
      <w:pPr>
        <w:shd w:val="clear" w:color="auto" w:fill="E6E6E1" w:themeFill="accent5"/>
        <w:rPr>
          <w:b/>
          <w:color w:val="00264D" w:themeColor="background2"/>
        </w:rPr>
      </w:pPr>
      <w:r w:rsidRPr="00EB773F">
        <w:rPr>
          <w:color w:val="00264D" w:themeColor="background2"/>
        </w:rPr>
        <w:t xml:space="preserve">    - consideration of cultural competence in recruitment decisions</w:t>
      </w:r>
    </w:p>
    <w:p w14:paraId="4BF4DD7E" w14:textId="77777777" w:rsidR="00EB773F" w:rsidRPr="00EB773F" w:rsidRDefault="00EB773F" w:rsidP="00EB773F">
      <w:pPr>
        <w:shd w:val="clear" w:color="auto" w:fill="E6E6E1" w:themeFill="accent5"/>
        <w:rPr>
          <w:b/>
          <w:color w:val="00264D" w:themeColor="background2"/>
        </w:rPr>
      </w:pPr>
      <w:r w:rsidRPr="00EB773F">
        <w:rPr>
          <w:color w:val="00264D" w:themeColor="background2"/>
        </w:rPr>
        <w:t xml:space="preserve">    - formal tailored cultural competence training for new starters</w:t>
      </w:r>
    </w:p>
    <w:p w14:paraId="0BE20CA2" w14:textId="77777777" w:rsidR="00EB773F" w:rsidRPr="00EB773F" w:rsidRDefault="00EB773F" w:rsidP="00EB773F">
      <w:pPr>
        <w:shd w:val="clear" w:color="auto" w:fill="E6E6E1" w:themeFill="accent5"/>
        <w:rPr>
          <w:b/>
          <w:color w:val="00264D" w:themeColor="background2"/>
        </w:rPr>
      </w:pPr>
      <w:r w:rsidRPr="00EB773F">
        <w:rPr>
          <w:color w:val="00264D" w:themeColor="background2"/>
        </w:rPr>
        <w:t xml:space="preserve">    - process for reflection and continuous development of current staff members</w:t>
      </w:r>
    </w:p>
    <w:p w14:paraId="7A0B5EDE" w14:textId="77777777" w:rsidR="00EB773F" w:rsidRPr="00EB773F" w:rsidRDefault="00EB773F" w:rsidP="00EB773F">
      <w:pPr>
        <w:shd w:val="clear" w:color="auto" w:fill="E6E6E1" w:themeFill="accent5"/>
        <w:rPr>
          <w:b/>
          <w:color w:val="00264D" w:themeColor="background2"/>
        </w:rPr>
      </w:pPr>
      <w:r w:rsidRPr="00EB773F">
        <w:rPr>
          <w:color w:val="00264D" w:themeColor="background2"/>
        </w:rPr>
        <w:t xml:space="preserve">    - active consideration of succession planning for Indigenous staff members.</w:t>
      </w:r>
    </w:p>
    <w:p w14:paraId="21435772" w14:textId="77777777" w:rsidR="00EB773F" w:rsidRPr="00EB773F" w:rsidRDefault="00EB773F" w:rsidP="003137B5">
      <w:pPr>
        <w:outlineLvl w:val="4"/>
        <w:rPr>
          <w:b/>
          <w:bCs/>
          <w:color w:val="00264D" w:themeColor="background2"/>
        </w:rPr>
      </w:pPr>
      <w:r w:rsidRPr="00EB773F">
        <w:rPr>
          <w:b/>
          <w:bCs/>
          <w:color w:val="00264D" w:themeColor="background2"/>
        </w:rPr>
        <w:t xml:space="preserve">NQLC response. </w:t>
      </w:r>
    </w:p>
    <w:p w14:paraId="6A79A87F" w14:textId="1881A8E0" w:rsidR="0084761C" w:rsidRDefault="00EB773F" w:rsidP="0084761C">
      <w:r w:rsidRPr="00D370B7">
        <w:t>Ongoing.</w:t>
      </w:r>
    </w:p>
    <w:p w14:paraId="2667574E" w14:textId="77777777" w:rsidR="008275E1" w:rsidRPr="008275E1" w:rsidRDefault="008275E1" w:rsidP="003137B5">
      <w:pPr>
        <w:shd w:val="clear" w:color="auto" w:fill="E6E6E1" w:themeFill="accent5"/>
        <w:outlineLvl w:val="3"/>
        <w:rPr>
          <w:b/>
          <w:bCs/>
          <w:color w:val="00264D" w:themeColor="background2"/>
        </w:rPr>
      </w:pPr>
      <w:r w:rsidRPr="008275E1">
        <w:rPr>
          <w:b/>
          <w:bCs/>
          <w:color w:val="00264D" w:themeColor="background2"/>
        </w:rPr>
        <w:t>Recommendation 7</w:t>
      </w:r>
    </w:p>
    <w:p w14:paraId="658D149D" w14:textId="77777777" w:rsidR="008275E1" w:rsidRPr="008275E1" w:rsidRDefault="008275E1" w:rsidP="008275E1">
      <w:pPr>
        <w:shd w:val="clear" w:color="auto" w:fill="E6E6E1" w:themeFill="accent5"/>
        <w:rPr>
          <w:b/>
          <w:color w:val="00264D" w:themeColor="background2"/>
        </w:rPr>
      </w:pPr>
      <w:r w:rsidRPr="008275E1">
        <w:rPr>
          <w:color w:val="00264D" w:themeColor="background2"/>
        </w:rPr>
        <w:t>Re-consider most appropriate and efficient role for Project Officers in supporting culturally appropriate engagement through ongoing direct connection with the communities they work with.</w:t>
      </w:r>
    </w:p>
    <w:p w14:paraId="705CBD99" w14:textId="77777777" w:rsidR="008275E1" w:rsidRPr="008275E1" w:rsidRDefault="008275E1" w:rsidP="003137B5">
      <w:pPr>
        <w:outlineLvl w:val="4"/>
        <w:rPr>
          <w:b/>
          <w:bCs/>
          <w:color w:val="00264D" w:themeColor="background2"/>
        </w:rPr>
      </w:pPr>
      <w:r w:rsidRPr="008275E1">
        <w:rPr>
          <w:b/>
          <w:bCs/>
          <w:color w:val="00264D" w:themeColor="background2"/>
        </w:rPr>
        <w:t xml:space="preserve">NQLC response. </w:t>
      </w:r>
    </w:p>
    <w:p w14:paraId="30E28C5F" w14:textId="77777777" w:rsidR="008275E1" w:rsidRDefault="008275E1" w:rsidP="008275E1">
      <w:r w:rsidRPr="00D370B7">
        <w:t>Due to budget constraints the number of Project Officers has been reduced and staff duties reprioritised.  NQLC staff are at all times encouraged and supported to engage with clients</w:t>
      </w:r>
      <w:r>
        <w:t xml:space="preserve"> </w:t>
      </w:r>
      <w:r w:rsidRPr="00D370B7">
        <w:t>in a culturally appropriate manner.</w:t>
      </w:r>
    </w:p>
    <w:p w14:paraId="3900D423" w14:textId="57C6A663" w:rsidR="00011469" w:rsidRDefault="00011469" w:rsidP="0084761C">
      <w:pPr>
        <w:rPr>
          <w:lang w:eastAsia="en-AU"/>
        </w:rPr>
      </w:pPr>
    </w:p>
    <w:p w14:paraId="7AEA0585" w14:textId="7EE2AC2F" w:rsidR="00622AA4" w:rsidRDefault="00622AA4">
      <w:pPr>
        <w:spacing w:after="160" w:line="259" w:lineRule="auto"/>
        <w:rPr>
          <w:lang w:eastAsia="en-AU"/>
        </w:rPr>
      </w:pPr>
      <w:r>
        <w:rPr>
          <w:lang w:eastAsia="en-AU"/>
        </w:rPr>
        <w:br w:type="page"/>
      </w:r>
    </w:p>
    <w:p w14:paraId="1BDE963C" w14:textId="3FA86629" w:rsidR="00EB1298" w:rsidRPr="00DD070F" w:rsidRDefault="002E4BA7" w:rsidP="00DD070F">
      <w:pPr>
        <w:pStyle w:val="Heading2"/>
        <w:rPr>
          <w:b/>
          <w:bCs/>
        </w:rPr>
      </w:pPr>
      <w:bookmarkStart w:id="59" w:name="_Toc501895344"/>
      <w:bookmarkStart w:id="60" w:name="_Toc502839780"/>
      <w:bookmarkStart w:id="61" w:name="_Toc502843256"/>
      <w:bookmarkStart w:id="62" w:name="_Toc502847619"/>
      <w:bookmarkStart w:id="63" w:name="_Toc502850763"/>
      <w:bookmarkStart w:id="64" w:name="_Toc502855195"/>
      <w:bookmarkStart w:id="65" w:name="_Ref502870069"/>
      <w:bookmarkStart w:id="66" w:name="_Toc503117094"/>
      <w:bookmarkStart w:id="67" w:name="_Toc505259171"/>
      <w:bookmarkStart w:id="68" w:name="_Toc505256238"/>
      <w:bookmarkStart w:id="69" w:name="_Toc505618281"/>
      <w:r w:rsidRPr="0084761C">
        <w:lastRenderedPageBreak/>
        <w:t xml:space="preserve">TOR 2 | </w:t>
      </w:r>
      <w:r w:rsidR="00EB1298" w:rsidRPr="0084761C">
        <w:t xml:space="preserve">Review and assess each organisation’s cost effectiveness in performing the functions of a native title representative body, including the key cost drivers for each </w:t>
      </w:r>
      <w:r w:rsidR="00EB1298" w:rsidRPr="00DD070F">
        <w:rPr>
          <w:b/>
          <w:bCs/>
        </w:rPr>
        <w:t>organisation.</w:t>
      </w:r>
      <w:bookmarkEnd w:id="59"/>
      <w:bookmarkEnd w:id="60"/>
      <w:bookmarkEnd w:id="61"/>
      <w:bookmarkEnd w:id="62"/>
      <w:bookmarkEnd w:id="63"/>
      <w:bookmarkEnd w:id="64"/>
      <w:bookmarkEnd w:id="65"/>
      <w:bookmarkEnd w:id="66"/>
      <w:bookmarkEnd w:id="67"/>
      <w:bookmarkEnd w:id="68"/>
      <w:bookmarkEnd w:id="69"/>
    </w:p>
    <w:p w14:paraId="5D91097B" w14:textId="77777777" w:rsidR="00DD070F" w:rsidRPr="00DD070F" w:rsidRDefault="00DD070F" w:rsidP="00DD070F">
      <w:pPr>
        <w:shd w:val="clear" w:color="auto" w:fill="E6E6E1" w:themeFill="accent5"/>
        <w:spacing w:line="259" w:lineRule="auto"/>
        <w:rPr>
          <w:rFonts w:eastAsia="Times New Roman"/>
          <w:b/>
          <w:bCs/>
          <w:color w:val="00264D" w:themeColor="background2"/>
          <w:lang w:eastAsia="en-AU"/>
        </w:rPr>
      </w:pPr>
      <w:r w:rsidRPr="00DD070F">
        <w:rPr>
          <w:rFonts w:eastAsia="Times New Roman"/>
          <w:b/>
          <w:bCs/>
          <w:color w:val="00264D" w:themeColor="background2"/>
          <w:lang w:eastAsia="en-AU"/>
        </w:rPr>
        <w:t>The NQLC has explored opportunities to reduce its costs</w:t>
      </w:r>
      <w:r w:rsidRPr="00DD070F">
        <w:rPr>
          <w:rFonts w:eastAsia="Times New Roman"/>
          <w:bCs/>
          <w:color w:val="00264D" w:themeColor="background2"/>
          <w:lang w:eastAsia="en-AU"/>
        </w:rPr>
        <w:t xml:space="preserve">. This includes through changes to office facilities by renovating and upgrading its office space in Cairns instead of leasing additional office space and closing its Mackay office. Additionally, other policies are in place to try to reduce operational expenditure. </w:t>
      </w:r>
    </w:p>
    <w:p w14:paraId="20258C2D" w14:textId="77777777" w:rsidR="00DD070F" w:rsidRPr="00DD070F" w:rsidRDefault="00DD070F" w:rsidP="00DD070F">
      <w:pPr>
        <w:shd w:val="clear" w:color="auto" w:fill="E6E6E1" w:themeFill="accent5"/>
        <w:spacing w:line="259" w:lineRule="auto"/>
        <w:rPr>
          <w:rFonts w:eastAsia="Times New Roman"/>
          <w:b/>
          <w:bCs/>
          <w:color w:val="00264D" w:themeColor="background2"/>
          <w:lang w:eastAsia="en-AU"/>
        </w:rPr>
      </w:pPr>
      <w:r w:rsidRPr="00DD070F">
        <w:rPr>
          <w:rFonts w:eastAsia="Times New Roman"/>
          <w:bCs/>
          <w:color w:val="00264D" w:themeColor="background2"/>
          <w:lang w:eastAsia="en-AU"/>
        </w:rPr>
        <w:t xml:space="preserve">The organisation’s policy on providing travel assistance balances considerations of cost-effectiveness with the importance of supporting equitable participation in important meetings such as authorisation and native title determination meetings. Native title meetings are generally productive and support effective use of time and resources. </w:t>
      </w:r>
    </w:p>
    <w:p w14:paraId="5B7F61AE" w14:textId="77777777" w:rsidR="00DD070F" w:rsidRPr="00DD070F" w:rsidRDefault="00DD070F" w:rsidP="00DD070F">
      <w:pPr>
        <w:shd w:val="clear" w:color="auto" w:fill="E6E6E1" w:themeFill="accent5"/>
        <w:spacing w:line="259" w:lineRule="auto"/>
        <w:rPr>
          <w:rFonts w:eastAsia="Times New Roman"/>
          <w:b/>
          <w:bCs/>
          <w:color w:val="00264D" w:themeColor="background2"/>
          <w:lang w:eastAsia="en-AU"/>
        </w:rPr>
      </w:pPr>
      <w:r w:rsidRPr="00DD070F">
        <w:rPr>
          <w:rFonts w:eastAsia="Times New Roman"/>
          <w:bCs/>
          <w:color w:val="00264D" w:themeColor="background2"/>
          <w:lang w:eastAsia="en-AU"/>
        </w:rPr>
        <w:t xml:space="preserve">Consultant costs (anthropology and legal) are a key cost driver for the organisation. Despite representing a significant cost, the relative balance between internal and external resources appears effective and appropriate. While policies for engaging consultants do consider the cost-effectiveness, delays resulting from poor quality anthropological research have resulted in additional costs for the organisation. </w:t>
      </w:r>
    </w:p>
    <w:p w14:paraId="40D3270E" w14:textId="77777777" w:rsidR="00DD070F" w:rsidRPr="00DD070F" w:rsidRDefault="00DD070F" w:rsidP="00DD070F">
      <w:pPr>
        <w:shd w:val="clear" w:color="auto" w:fill="E6E6E1" w:themeFill="accent5"/>
        <w:spacing w:line="259" w:lineRule="auto"/>
        <w:rPr>
          <w:b/>
          <w:color w:val="00264D" w:themeColor="background2"/>
        </w:rPr>
      </w:pPr>
      <w:r w:rsidRPr="00DD070F">
        <w:rPr>
          <w:rFonts w:eastAsia="Times New Roman"/>
          <w:bCs/>
          <w:color w:val="00264D" w:themeColor="background2"/>
          <w:lang w:eastAsia="en-AU"/>
        </w:rPr>
        <w:t>Some attribution factors have had an impact on the NQLC’s ability to achieve native title outcomes in a cost-effective way – including the remoteness of the area, cohesion of Indigenous groups, state-based legislation and levels of non-claimant applications.</w:t>
      </w:r>
    </w:p>
    <w:p w14:paraId="68D2AB37" w14:textId="77777777" w:rsidR="00622AA4" w:rsidRDefault="00622AA4" w:rsidP="00DD070F"/>
    <w:p w14:paraId="19C81F18" w14:textId="0BCA3EAA" w:rsidR="0084761C" w:rsidRPr="00915059" w:rsidRDefault="0084761C" w:rsidP="00915059">
      <w:pPr>
        <w:rPr>
          <w:b/>
          <w:bCs/>
          <w:i/>
          <w:iCs/>
          <w:color w:val="00264D" w:themeColor="background2"/>
        </w:rPr>
      </w:pPr>
      <w:r w:rsidRPr="00915059">
        <w:rPr>
          <w:b/>
          <w:bCs/>
          <w:i/>
          <w:iCs/>
          <w:color w:val="00264D" w:themeColor="background2"/>
        </w:rPr>
        <w:t>No recommendations were made for TOR</w:t>
      </w:r>
      <w:r w:rsidR="00B66147" w:rsidRPr="00915059">
        <w:rPr>
          <w:b/>
          <w:bCs/>
          <w:i/>
          <w:iCs/>
          <w:color w:val="00264D" w:themeColor="background2"/>
        </w:rPr>
        <w:t xml:space="preserve"> </w:t>
      </w:r>
      <w:r w:rsidRPr="00915059">
        <w:rPr>
          <w:b/>
          <w:bCs/>
          <w:i/>
          <w:iCs/>
          <w:color w:val="00264D" w:themeColor="background2"/>
        </w:rPr>
        <w:t xml:space="preserve">2. </w:t>
      </w:r>
    </w:p>
    <w:p w14:paraId="3107DEB3" w14:textId="11224C0C" w:rsidR="00E5318B" w:rsidRDefault="00E5318B" w:rsidP="00E5318B">
      <w:pPr>
        <w:rPr>
          <w:lang w:eastAsia="en-AU"/>
        </w:rPr>
      </w:pPr>
    </w:p>
    <w:p w14:paraId="6BCC1E3B" w14:textId="10B0AE47" w:rsidR="00094431" w:rsidRDefault="00094431">
      <w:pPr>
        <w:spacing w:after="160" w:line="259" w:lineRule="auto"/>
        <w:rPr>
          <w:lang w:eastAsia="en-AU"/>
        </w:rPr>
      </w:pPr>
      <w:r>
        <w:rPr>
          <w:lang w:eastAsia="en-AU"/>
        </w:rPr>
        <w:br w:type="page"/>
      </w:r>
    </w:p>
    <w:p w14:paraId="0D40D0DA" w14:textId="7312282D" w:rsidR="00810B33" w:rsidRDefault="002E4BA7" w:rsidP="000B47D2">
      <w:pPr>
        <w:pStyle w:val="Heading2"/>
      </w:pPr>
      <w:bookmarkStart w:id="70" w:name="_Toc501895345"/>
      <w:bookmarkStart w:id="71" w:name="_Toc502839781"/>
      <w:bookmarkStart w:id="72" w:name="_Toc502843257"/>
      <w:bookmarkStart w:id="73" w:name="_Toc502847620"/>
      <w:bookmarkStart w:id="74" w:name="_Toc502850764"/>
      <w:bookmarkStart w:id="75" w:name="_Toc502855196"/>
      <w:bookmarkStart w:id="76" w:name="_Toc503117095"/>
      <w:bookmarkStart w:id="77" w:name="_Toc505259172"/>
      <w:bookmarkStart w:id="78" w:name="_Toc505256239"/>
      <w:bookmarkStart w:id="79" w:name="_Toc505618282"/>
      <w:r w:rsidRPr="0084761C">
        <w:lastRenderedPageBreak/>
        <w:t xml:space="preserve">TOR 3 | </w:t>
      </w:r>
      <w:r w:rsidR="00EB1298" w:rsidRPr="0084761C">
        <w:t xml:space="preserve">Review and assess each organisation’s strategies for driving and tracking its achievement against key performance indicators in its funding agreement with </w:t>
      </w:r>
      <w:bookmarkEnd w:id="70"/>
      <w:bookmarkEnd w:id="71"/>
      <w:bookmarkEnd w:id="72"/>
      <w:bookmarkEnd w:id="73"/>
      <w:bookmarkEnd w:id="74"/>
      <w:bookmarkEnd w:id="75"/>
      <w:bookmarkEnd w:id="76"/>
      <w:bookmarkEnd w:id="77"/>
      <w:bookmarkEnd w:id="78"/>
      <w:bookmarkEnd w:id="79"/>
      <w:r w:rsidR="002C3710" w:rsidRPr="0084761C">
        <w:t>the NIAA</w:t>
      </w:r>
      <w:r w:rsidRPr="0084761C">
        <w:t>.</w:t>
      </w:r>
    </w:p>
    <w:p w14:paraId="1A9C2B21" w14:textId="77777777" w:rsidR="0084761C" w:rsidRPr="0084761C" w:rsidRDefault="0084761C" w:rsidP="0084761C">
      <w:pPr>
        <w:rPr>
          <w:lang w:eastAsia="en-AU"/>
        </w:rPr>
      </w:pPr>
    </w:p>
    <w:p w14:paraId="69EDFB88" w14:textId="77777777" w:rsidR="000B47D2" w:rsidRPr="000B47D2" w:rsidRDefault="000B47D2" w:rsidP="000B47D2">
      <w:pPr>
        <w:shd w:val="clear" w:color="auto" w:fill="E6E6E1" w:themeFill="accent5"/>
        <w:spacing w:line="259" w:lineRule="auto"/>
        <w:rPr>
          <w:rFonts w:eastAsia="Times New Roman"/>
          <w:b/>
          <w:bCs/>
          <w:color w:val="00264D" w:themeColor="background2"/>
          <w:lang w:eastAsia="en-AU"/>
        </w:rPr>
      </w:pPr>
      <w:r w:rsidRPr="000B47D2">
        <w:rPr>
          <w:rFonts w:eastAsia="Times New Roman"/>
          <w:b/>
          <w:color w:val="00264D" w:themeColor="background2"/>
          <w:lang w:eastAsia="en-AU"/>
        </w:rPr>
        <w:t>In line with NIAA requirements, the NQLC reports on progress against agreed milestones and milestone reports are delivered on time to the NIAA.</w:t>
      </w:r>
      <w:r w:rsidRPr="000B47D2">
        <w:rPr>
          <w:rFonts w:eastAsia="Times New Roman"/>
          <w:bCs/>
          <w:color w:val="00264D" w:themeColor="background2"/>
          <w:lang w:eastAsia="en-AU"/>
        </w:rPr>
        <w:t xml:space="preserve"> The milestones do not inform internal prioritisation processes or other processes related to native title as the NQLC does not find the milestones valuable in tracking internal performance. </w:t>
      </w:r>
    </w:p>
    <w:p w14:paraId="69D78BF6" w14:textId="77777777" w:rsidR="000B47D2" w:rsidRPr="000B47D2" w:rsidRDefault="000B47D2" w:rsidP="000B47D2">
      <w:pPr>
        <w:shd w:val="clear" w:color="auto" w:fill="E6E6E1" w:themeFill="accent5"/>
        <w:spacing w:line="259" w:lineRule="auto"/>
        <w:rPr>
          <w:b/>
          <w:color w:val="00264D" w:themeColor="background2"/>
        </w:rPr>
      </w:pPr>
      <w:r w:rsidRPr="000B47D2">
        <w:rPr>
          <w:rFonts w:eastAsia="Times New Roman"/>
          <w:bCs/>
          <w:color w:val="00264D" w:themeColor="background2"/>
          <w:lang w:eastAsia="en-AU"/>
        </w:rPr>
        <w:t>The NQLC uses a range of more informal approaches to monitoring organisational performance. This includes monitoring progress on claims towards a determination, client feedback and satisfaction of clients (although neither of these latter two are measured formally). There is room for NQLC to consider alternate approaches to assessing organisational performance.</w:t>
      </w:r>
    </w:p>
    <w:p w14:paraId="1F11C9C4" w14:textId="77777777" w:rsidR="007532E7" w:rsidRDefault="007532E7" w:rsidP="007532E7">
      <w:pPr>
        <w:rPr>
          <w:lang w:eastAsia="en-AU"/>
        </w:rPr>
      </w:pPr>
    </w:p>
    <w:p w14:paraId="08762578" w14:textId="7B38E63B" w:rsidR="007532E7" w:rsidRPr="00915059" w:rsidRDefault="0081266D" w:rsidP="00915059">
      <w:pPr>
        <w:rPr>
          <w:b/>
          <w:bCs/>
          <w:i/>
          <w:iCs/>
          <w:color w:val="00264D" w:themeColor="background2"/>
        </w:rPr>
      </w:pPr>
      <w:r w:rsidRPr="00915059">
        <w:rPr>
          <w:b/>
          <w:bCs/>
          <w:i/>
          <w:iCs/>
          <w:color w:val="00264D" w:themeColor="background2"/>
        </w:rPr>
        <w:t>No r</w:t>
      </w:r>
      <w:r w:rsidR="007532E7" w:rsidRPr="00915059">
        <w:rPr>
          <w:b/>
          <w:bCs/>
          <w:i/>
          <w:iCs/>
          <w:color w:val="00264D" w:themeColor="background2"/>
        </w:rPr>
        <w:t>ecommendations</w:t>
      </w:r>
      <w:r w:rsidR="00274A34" w:rsidRPr="00915059">
        <w:rPr>
          <w:b/>
          <w:bCs/>
          <w:i/>
          <w:iCs/>
          <w:color w:val="00264D" w:themeColor="background2"/>
        </w:rPr>
        <w:t xml:space="preserve"> </w:t>
      </w:r>
      <w:r w:rsidRPr="00915059">
        <w:rPr>
          <w:b/>
          <w:bCs/>
          <w:i/>
          <w:iCs/>
          <w:color w:val="00264D" w:themeColor="background2"/>
        </w:rPr>
        <w:t xml:space="preserve">were made </w:t>
      </w:r>
      <w:r w:rsidR="00274A34" w:rsidRPr="00915059">
        <w:rPr>
          <w:b/>
          <w:bCs/>
          <w:i/>
          <w:iCs/>
          <w:color w:val="00264D" w:themeColor="background2"/>
        </w:rPr>
        <w:t>for TOR 3</w:t>
      </w:r>
      <w:r w:rsidRPr="00915059">
        <w:rPr>
          <w:b/>
          <w:bCs/>
          <w:i/>
          <w:iCs/>
          <w:color w:val="00264D" w:themeColor="background2"/>
        </w:rPr>
        <w:t>.</w:t>
      </w:r>
    </w:p>
    <w:p w14:paraId="614C5AA1" w14:textId="5207A350" w:rsidR="00276B8E" w:rsidRDefault="00276B8E" w:rsidP="00D809AE"/>
    <w:p w14:paraId="0A111001" w14:textId="011CBECB" w:rsidR="00094431" w:rsidRDefault="00094431">
      <w:pPr>
        <w:spacing w:after="160" w:line="259" w:lineRule="auto"/>
      </w:pPr>
      <w:r>
        <w:br w:type="page"/>
      </w:r>
    </w:p>
    <w:p w14:paraId="455FF01D" w14:textId="3E3037E9" w:rsidR="00EB1298" w:rsidRPr="0084761C" w:rsidRDefault="002E4BA7" w:rsidP="000B47D2">
      <w:pPr>
        <w:pStyle w:val="Heading2"/>
      </w:pPr>
      <w:bookmarkStart w:id="80" w:name="_Toc501895346"/>
      <w:bookmarkStart w:id="81" w:name="_Toc502839782"/>
      <w:bookmarkStart w:id="82" w:name="_Toc502843258"/>
      <w:bookmarkStart w:id="83" w:name="_Toc502847621"/>
      <w:bookmarkStart w:id="84" w:name="_Toc502850765"/>
      <w:bookmarkStart w:id="85" w:name="_Toc502855197"/>
      <w:bookmarkStart w:id="86" w:name="_Ref502870747"/>
      <w:bookmarkStart w:id="87" w:name="_Ref502909938"/>
      <w:bookmarkStart w:id="88" w:name="_Toc503117096"/>
      <w:bookmarkStart w:id="89" w:name="_Toc505259173"/>
      <w:bookmarkStart w:id="90" w:name="_Toc505256240"/>
      <w:bookmarkStart w:id="91" w:name="_Ref505607381"/>
      <w:bookmarkStart w:id="92" w:name="_Toc505618283"/>
      <w:r w:rsidRPr="0084761C">
        <w:lastRenderedPageBreak/>
        <w:t xml:space="preserve">TOR 4 | </w:t>
      </w:r>
      <w:r w:rsidR="00EB1298" w:rsidRPr="0084761C">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80"/>
      <w:bookmarkEnd w:id="81"/>
      <w:bookmarkEnd w:id="82"/>
      <w:bookmarkEnd w:id="83"/>
      <w:bookmarkEnd w:id="84"/>
      <w:bookmarkEnd w:id="85"/>
      <w:bookmarkEnd w:id="86"/>
      <w:bookmarkEnd w:id="87"/>
      <w:bookmarkEnd w:id="88"/>
      <w:bookmarkEnd w:id="89"/>
      <w:bookmarkEnd w:id="90"/>
      <w:bookmarkEnd w:id="91"/>
      <w:bookmarkEnd w:id="92"/>
    </w:p>
    <w:p w14:paraId="125F7B22" w14:textId="7F755E3E" w:rsidR="00771CAE" w:rsidRDefault="00771CAE" w:rsidP="00771CAE">
      <w:pPr>
        <w:rPr>
          <w:lang w:eastAsia="en-AU"/>
        </w:rPr>
      </w:pPr>
    </w:p>
    <w:p w14:paraId="6F61EFCF" w14:textId="77777777" w:rsidR="000B47D2" w:rsidRPr="000B47D2" w:rsidRDefault="000B47D2" w:rsidP="000B47D2">
      <w:pPr>
        <w:shd w:val="clear" w:color="auto" w:fill="E6E6E1" w:themeFill="accent5"/>
        <w:spacing w:line="259" w:lineRule="auto"/>
        <w:rPr>
          <w:rFonts w:eastAsia="Times New Roman"/>
          <w:b/>
          <w:bCs/>
          <w:color w:val="00264D" w:themeColor="background2"/>
          <w:lang w:eastAsia="en-AU"/>
        </w:rPr>
      </w:pPr>
      <w:r w:rsidRPr="000B47D2">
        <w:rPr>
          <w:rFonts w:eastAsia="Times New Roman"/>
          <w:b/>
          <w:color w:val="00264D" w:themeColor="background2"/>
          <w:lang w:eastAsia="en-AU"/>
        </w:rPr>
        <w:t>The breakdown of responsibilities is clearly defined and feedback to the Review generally demonstrated that the Board Directors has a broad understanding of ‘separation of powers’ protocols.</w:t>
      </w:r>
      <w:r w:rsidRPr="000B47D2">
        <w:rPr>
          <w:rFonts w:eastAsia="Times New Roman"/>
          <w:bCs/>
          <w:color w:val="00264D" w:themeColor="background2"/>
          <w:lang w:eastAsia="en-AU"/>
        </w:rPr>
        <w:t xml:space="preserve"> The NQLC has a representative Board in place, with Directors elected through a ward voting system. The Review considers that there may be benefits in adopting elements of a professional Board structure. </w:t>
      </w:r>
    </w:p>
    <w:p w14:paraId="1B39BA0F" w14:textId="77777777" w:rsidR="000B47D2" w:rsidRPr="000B47D2" w:rsidRDefault="000B47D2" w:rsidP="000B47D2">
      <w:pPr>
        <w:shd w:val="clear" w:color="auto" w:fill="E6E6E1" w:themeFill="accent5"/>
        <w:spacing w:line="259" w:lineRule="auto"/>
        <w:rPr>
          <w:rFonts w:eastAsia="Times New Roman"/>
          <w:b/>
          <w:bCs/>
          <w:color w:val="00264D" w:themeColor="background2"/>
          <w:lang w:eastAsia="en-AU"/>
        </w:rPr>
      </w:pPr>
      <w:r w:rsidRPr="000B47D2">
        <w:rPr>
          <w:rFonts w:eastAsia="Times New Roman"/>
          <w:bCs/>
          <w:color w:val="00264D" w:themeColor="background2"/>
          <w:lang w:eastAsia="en-AU"/>
        </w:rPr>
        <w:t xml:space="preserve">The existing organisational structure provides clarity of roles and responsibilities and a recent restructure has streamlined engagement with clients in the post determination environment. There continue to be organisational challenges with communication across the offices, turnover of existing staff and issues concerning cultural safety of Aboriginal staff. Previous poor culture in the NQLC appears to have been largely addressed in recent years with the commencement of a new CEO, although some challenges remain. </w:t>
      </w:r>
    </w:p>
    <w:p w14:paraId="10A38D9F" w14:textId="77777777" w:rsidR="000B47D2" w:rsidRPr="000B47D2" w:rsidRDefault="000B47D2" w:rsidP="000B47D2">
      <w:pPr>
        <w:shd w:val="clear" w:color="auto" w:fill="E6E6E1" w:themeFill="accent5"/>
        <w:spacing w:line="259" w:lineRule="auto"/>
        <w:rPr>
          <w:b/>
          <w:color w:val="00264D" w:themeColor="background2"/>
        </w:rPr>
      </w:pPr>
      <w:r w:rsidRPr="000B47D2">
        <w:rPr>
          <w:rFonts w:eastAsia="Times New Roman"/>
          <w:bCs/>
          <w:color w:val="00264D" w:themeColor="background2"/>
          <w:lang w:eastAsia="en-AU"/>
        </w:rPr>
        <w:t>Financial management appears sound, with unqualified audit reports every year. Better mechanisms to track resource use would be beneficial into the future. The consistent underspends against budget suggest the need for more regular and proactive review of activity against budget. There are opportunities for improvement in the publication of complaints processes and in the delivery of training. NQLC’s administration would benefit from a more formal set of policies being in place across a range of organisational matters.</w:t>
      </w:r>
    </w:p>
    <w:p w14:paraId="5A376BE4" w14:textId="77777777" w:rsidR="00F00DA4" w:rsidRDefault="00F00DA4" w:rsidP="00F00DA4">
      <w:pPr>
        <w:rPr>
          <w:lang w:eastAsia="en-AU"/>
        </w:rPr>
      </w:pPr>
    </w:p>
    <w:p w14:paraId="1B32EB0D" w14:textId="5F109E55" w:rsidR="00F00DA4" w:rsidRPr="00915059" w:rsidRDefault="00F00DA4" w:rsidP="003137B5">
      <w:pPr>
        <w:outlineLvl w:val="2"/>
        <w:rPr>
          <w:b/>
          <w:bCs/>
          <w:i/>
          <w:iCs/>
          <w:color w:val="00264D" w:themeColor="background2"/>
        </w:rPr>
      </w:pPr>
      <w:r w:rsidRPr="00915059">
        <w:rPr>
          <w:b/>
          <w:bCs/>
          <w:i/>
          <w:iCs/>
          <w:color w:val="00264D" w:themeColor="background2"/>
        </w:rPr>
        <w:t>Recommendations</w:t>
      </w:r>
      <w:r w:rsidR="00274A34" w:rsidRPr="00915059">
        <w:rPr>
          <w:b/>
          <w:bCs/>
          <w:i/>
          <w:iCs/>
          <w:color w:val="00264D" w:themeColor="background2"/>
        </w:rPr>
        <w:t xml:space="preserve"> for TOR</w:t>
      </w:r>
      <w:r w:rsidR="00335367" w:rsidRPr="00915059">
        <w:rPr>
          <w:b/>
          <w:bCs/>
          <w:i/>
          <w:iCs/>
          <w:color w:val="00264D" w:themeColor="background2"/>
        </w:rPr>
        <w:t xml:space="preserve"> 4</w:t>
      </w:r>
    </w:p>
    <w:p w14:paraId="1B96FC32" w14:textId="3DD8CDBA" w:rsidR="00850FEB" w:rsidRPr="00850FEB" w:rsidRDefault="00850FEB" w:rsidP="00850FEB">
      <w:pPr>
        <w:rPr>
          <w:lang w:eastAsia="en-AU"/>
        </w:rPr>
      </w:pPr>
      <w:r>
        <w:rPr>
          <w:lang w:eastAsia="en-AU"/>
        </w:rPr>
        <w:t xml:space="preserve">The Review made seven recommendations for TOR 4 on support provided by organisational governance structures, policies and practices. These are outlined below, as well as </w:t>
      </w:r>
      <w:r w:rsidR="00CE59B1">
        <w:rPr>
          <w:lang w:eastAsia="en-AU"/>
        </w:rPr>
        <w:t>NQLC</w:t>
      </w:r>
      <w:r>
        <w:rPr>
          <w:lang w:eastAsia="en-AU"/>
        </w:rPr>
        <w:t xml:space="preserve">’s response to these recommendations. </w:t>
      </w:r>
    </w:p>
    <w:p w14:paraId="782D7819" w14:textId="77777777" w:rsidR="000B47D2" w:rsidRPr="000B47D2" w:rsidRDefault="000B47D2" w:rsidP="003137B5">
      <w:pPr>
        <w:shd w:val="clear" w:color="auto" w:fill="E6E6E1" w:themeFill="accent5"/>
        <w:outlineLvl w:val="3"/>
        <w:rPr>
          <w:b/>
          <w:bCs/>
          <w:color w:val="00264D" w:themeColor="background2"/>
        </w:rPr>
      </w:pPr>
      <w:r w:rsidRPr="000B47D2">
        <w:rPr>
          <w:b/>
          <w:bCs/>
          <w:color w:val="00264D" w:themeColor="background2"/>
        </w:rPr>
        <w:t>Recommendation 8</w:t>
      </w:r>
    </w:p>
    <w:p w14:paraId="03655018" w14:textId="77777777" w:rsidR="000B47D2" w:rsidRPr="000B47D2" w:rsidRDefault="000B47D2" w:rsidP="000B47D2">
      <w:pPr>
        <w:shd w:val="clear" w:color="auto" w:fill="E6E6E1" w:themeFill="accent5"/>
        <w:rPr>
          <w:b/>
          <w:color w:val="00264D" w:themeColor="background2"/>
        </w:rPr>
      </w:pPr>
      <w:r w:rsidRPr="000B47D2">
        <w:rPr>
          <w:color w:val="00264D" w:themeColor="background2"/>
        </w:rPr>
        <w:t xml:space="preserve">The NQLC should consider opportunities to strengthen its governance model through increasing the skills set of the Board. This could include further training for current Board Directors, implementing minimum skill requirements for all new Directors and potentially utilising independent professional Board Directors.  </w:t>
      </w:r>
    </w:p>
    <w:p w14:paraId="60BE69AE" w14:textId="77777777" w:rsidR="000B47D2" w:rsidRPr="000B47D2" w:rsidRDefault="000B47D2" w:rsidP="003137B5">
      <w:pPr>
        <w:outlineLvl w:val="4"/>
        <w:rPr>
          <w:b/>
          <w:bCs/>
          <w:color w:val="00264D" w:themeColor="background2"/>
        </w:rPr>
      </w:pPr>
      <w:r w:rsidRPr="000B47D2">
        <w:rPr>
          <w:b/>
          <w:bCs/>
          <w:color w:val="00264D" w:themeColor="background2"/>
        </w:rPr>
        <w:t xml:space="preserve">NQLC response. </w:t>
      </w:r>
    </w:p>
    <w:p w14:paraId="03E92490" w14:textId="77777777" w:rsidR="000B47D2" w:rsidRDefault="000B47D2" w:rsidP="000B47D2">
      <w:r w:rsidRPr="00CE35E3">
        <w:t>Each year the Board participates in governance training conducted by Shane Carroll and Associates.</w:t>
      </w:r>
    </w:p>
    <w:p w14:paraId="222C4E74" w14:textId="77777777" w:rsidR="000B47D2" w:rsidRDefault="000B47D2" w:rsidP="000B47D2">
      <w:r w:rsidRPr="00CE35E3">
        <w:t>In March 2019, the Board attended a two-day restructure and governance workshop conducted by Wayne Bergman of KRED Enterprises.</w:t>
      </w:r>
    </w:p>
    <w:p w14:paraId="430944AC" w14:textId="2E557B9B" w:rsidR="00335367" w:rsidRDefault="000B47D2" w:rsidP="00335367">
      <w:r w:rsidRPr="00CE35E3">
        <w:lastRenderedPageBreak/>
        <w:t>In November 2019, the Board attended a two-day board structure workshop conducted by Shane Carroll and Associates.</w:t>
      </w:r>
    </w:p>
    <w:p w14:paraId="28E91A50" w14:textId="77777777" w:rsidR="000B47D2" w:rsidRPr="00E06FB9" w:rsidRDefault="000B47D2" w:rsidP="003137B5">
      <w:pPr>
        <w:shd w:val="clear" w:color="auto" w:fill="E6E6E1" w:themeFill="accent5"/>
        <w:outlineLvl w:val="3"/>
        <w:rPr>
          <w:b/>
          <w:bCs/>
          <w:color w:val="00264D" w:themeColor="background2"/>
        </w:rPr>
      </w:pPr>
      <w:r w:rsidRPr="00E06FB9">
        <w:rPr>
          <w:b/>
          <w:bCs/>
          <w:color w:val="00264D" w:themeColor="background2"/>
        </w:rPr>
        <w:t>Recommendation 9</w:t>
      </w:r>
    </w:p>
    <w:p w14:paraId="11A32743" w14:textId="77777777" w:rsidR="000B47D2" w:rsidRPr="000B47D2" w:rsidRDefault="000B47D2" w:rsidP="000B47D2">
      <w:pPr>
        <w:shd w:val="clear" w:color="auto" w:fill="E6E6E1" w:themeFill="accent5"/>
        <w:rPr>
          <w:b/>
          <w:color w:val="00264D" w:themeColor="background2"/>
        </w:rPr>
      </w:pPr>
      <w:r w:rsidRPr="000B47D2">
        <w:rPr>
          <w:color w:val="00264D" w:themeColor="background2"/>
        </w:rPr>
        <w:t>The NQLC should take active steps to improve its organisational communication practices – particularly across the Cairns and Townsville offices. This may include the re-instatement of whole of organisation staff meetings and more regular communication of organisational performance.</w:t>
      </w:r>
    </w:p>
    <w:p w14:paraId="3B25F1A8" w14:textId="77777777" w:rsidR="000B47D2" w:rsidRPr="00E06FB9" w:rsidRDefault="000B47D2" w:rsidP="003137B5">
      <w:pPr>
        <w:outlineLvl w:val="4"/>
        <w:rPr>
          <w:b/>
          <w:bCs/>
          <w:color w:val="00264D" w:themeColor="background2"/>
        </w:rPr>
      </w:pPr>
      <w:r w:rsidRPr="00E06FB9">
        <w:rPr>
          <w:b/>
          <w:bCs/>
          <w:color w:val="00264D" w:themeColor="background2"/>
        </w:rPr>
        <w:t xml:space="preserve">NQLC response. </w:t>
      </w:r>
    </w:p>
    <w:p w14:paraId="39B49C56" w14:textId="77777777" w:rsidR="000B47D2" w:rsidRDefault="000B47D2" w:rsidP="000B47D2">
      <w:r w:rsidRPr="00BB30DF">
        <w:t>The NQLC holds regular monthly all-staff meetings.</w:t>
      </w:r>
    </w:p>
    <w:p w14:paraId="60DE7511" w14:textId="77777777" w:rsidR="000B47D2" w:rsidRDefault="000B47D2" w:rsidP="000B47D2">
      <w:r w:rsidRPr="00BB30DF">
        <w:t>The NQLC holds regular monthly planning meetings involving senior management and operational staff.</w:t>
      </w:r>
    </w:p>
    <w:p w14:paraId="513E079C" w14:textId="77777777" w:rsidR="000B47D2" w:rsidRDefault="000B47D2" w:rsidP="000B47D2">
      <w:r w:rsidRPr="00BB30DF">
        <w:t>In addition, the various NQLC organisational units hold regular team meetings.</w:t>
      </w:r>
    </w:p>
    <w:p w14:paraId="62A27A05" w14:textId="15F49514" w:rsidR="00571B00" w:rsidRDefault="00571B00" w:rsidP="00E06FB9">
      <w:pPr>
        <w:rPr>
          <w:highlight w:val="yellow"/>
        </w:rPr>
      </w:pPr>
    </w:p>
    <w:p w14:paraId="40FF288B" w14:textId="77777777" w:rsidR="00E06FB9" w:rsidRPr="00E06FB9" w:rsidRDefault="00E06FB9" w:rsidP="003137B5">
      <w:pPr>
        <w:shd w:val="clear" w:color="auto" w:fill="E6E6E1" w:themeFill="accent5"/>
        <w:outlineLvl w:val="3"/>
        <w:rPr>
          <w:b/>
          <w:bCs/>
          <w:color w:val="00264D" w:themeColor="background2"/>
        </w:rPr>
      </w:pPr>
      <w:r w:rsidRPr="00E06FB9">
        <w:rPr>
          <w:b/>
          <w:bCs/>
          <w:color w:val="00264D" w:themeColor="background2"/>
        </w:rPr>
        <w:t>Recommendation 10</w:t>
      </w:r>
    </w:p>
    <w:p w14:paraId="17C322EE" w14:textId="77777777" w:rsidR="00E06FB9" w:rsidRPr="00E06FB9" w:rsidRDefault="00E06FB9" w:rsidP="00E06FB9">
      <w:pPr>
        <w:shd w:val="clear" w:color="auto" w:fill="E6E6E1" w:themeFill="accent5"/>
        <w:rPr>
          <w:b/>
          <w:color w:val="00264D" w:themeColor="background2"/>
        </w:rPr>
      </w:pPr>
      <w:r w:rsidRPr="00E06FB9">
        <w:rPr>
          <w:color w:val="00264D" w:themeColor="background2"/>
        </w:rPr>
        <w:t>The NQLC should explore alternate ways or a more appropriate mechanism to track resource use on claims, to more accurately determine performance and efficiency of individual claims.</w:t>
      </w:r>
    </w:p>
    <w:p w14:paraId="341FD469" w14:textId="77777777" w:rsidR="00E06FB9" w:rsidRPr="00E06FB9" w:rsidRDefault="00E06FB9" w:rsidP="003137B5">
      <w:pPr>
        <w:outlineLvl w:val="4"/>
        <w:rPr>
          <w:b/>
          <w:bCs/>
          <w:color w:val="00264D" w:themeColor="background2"/>
        </w:rPr>
      </w:pPr>
      <w:r w:rsidRPr="00E06FB9">
        <w:rPr>
          <w:b/>
          <w:bCs/>
          <w:color w:val="00264D" w:themeColor="background2"/>
        </w:rPr>
        <w:t xml:space="preserve">NQLC response. </w:t>
      </w:r>
    </w:p>
    <w:p w14:paraId="6307DFCE" w14:textId="4EE1BC58" w:rsidR="00B73362" w:rsidRDefault="00E06FB9" w:rsidP="00B73362">
      <w:r w:rsidRPr="00BB30DF">
        <w:t>The NQLC produces monthly management reports tracking expenditure of activities against approved budget, and financial expenditure to budget acquittal reports with variance analyses.</w:t>
      </w:r>
    </w:p>
    <w:p w14:paraId="2C8F7168" w14:textId="77777777" w:rsidR="00F619C2" w:rsidRPr="00F619C2" w:rsidRDefault="00F619C2" w:rsidP="00B73362"/>
    <w:p w14:paraId="5DE550C1" w14:textId="77777777" w:rsidR="00F619C2" w:rsidRPr="00F619C2" w:rsidRDefault="00F619C2" w:rsidP="003137B5">
      <w:pPr>
        <w:shd w:val="clear" w:color="auto" w:fill="E6E6E1" w:themeFill="accent5"/>
        <w:outlineLvl w:val="3"/>
        <w:rPr>
          <w:b/>
          <w:bCs/>
          <w:color w:val="00264D" w:themeColor="background2"/>
        </w:rPr>
      </w:pPr>
      <w:r w:rsidRPr="00F619C2">
        <w:rPr>
          <w:b/>
          <w:bCs/>
          <w:color w:val="00264D" w:themeColor="background2"/>
        </w:rPr>
        <w:t>Recommendation 11</w:t>
      </w:r>
    </w:p>
    <w:p w14:paraId="4157EE4E" w14:textId="77777777" w:rsidR="00F619C2" w:rsidRPr="00F619C2" w:rsidRDefault="00F619C2" w:rsidP="00F619C2">
      <w:pPr>
        <w:shd w:val="clear" w:color="auto" w:fill="E6E6E1" w:themeFill="accent5"/>
        <w:rPr>
          <w:b/>
          <w:color w:val="00264D" w:themeColor="background2"/>
        </w:rPr>
      </w:pPr>
      <w:r w:rsidRPr="00F619C2">
        <w:rPr>
          <w:color w:val="00264D" w:themeColor="background2"/>
        </w:rPr>
        <w:t>The NQLC should include its complaints policy on its website in a location and format that is accessible. This should include internal review mechanisms and the process for external review.</w:t>
      </w:r>
    </w:p>
    <w:p w14:paraId="655DF948" w14:textId="77777777" w:rsidR="00F619C2" w:rsidRPr="00F619C2" w:rsidRDefault="00F619C2" w:rsidP="003137B5">
      <w:pPr>
        <w:outlineLvl w:val="4"/>
        <w:rPr>
          <w:b/>
          <w:bCs/>
          <w:color w:val="00264D" w:themeColor="background2"/>
        </w:rPr>
      </w:pPr>
      <w:r w:rsidRPr="00F619C2">
        <w:rPr>
          <w:b/>
          <w:bCs/>
          <w:color w:val="00264D" w:themeColor="background2"/>
        </w:rPr>
        <w:t xml:space="preserve">NQLC response. </w:t>
      </w:r>
    </w:p>
    <w:p w14:paraId="61311BEA" w14:textId="77777777" w:rsidR="00F619C2" w:rsidRDefault="00F619C2" w:rsidP="00F619C2">
      <w:r w:rsidRPr="00B2195A">
        <w:t>The NQLC’s Complaints Policy is in the process of being added to the NQLC’s website.</w:t>
      </w:r>
    </w:p>
    <w:p w14:paraId="55176C58" w14:textId="1359C8D2" w:rsidR="00643D0A" w:rsidRDefault="00643D0A" w:rsidP="00B73362">
      <w:pPr>
        <w:rPr>
          <w:highlight w:val="yellow"/>
          <w:lang w:eastAsia="en-AU"/>
        </w:rPr>
      </w:pPr>
    </w:p>
    <w:p w14:paraId="4D789307" w14:textId="77777777" w:rsidR="00F619C2" w:rsidRPr="00F619C2" w:rsidRDefault="00F619C2" w:rsidP="003137B5">
      <w:pPr>
        <w:shd w:val="clear" w:color="auto" w:fill="E6E6E1" w:themeFill="accent5"/>
        <w:outlineLvl w:val="3"/>
        <w:rPr>
          <w:b/>
          <w:bCs/>
          <w:color w:val="00264D" w:themeColor="background2"/>
        </w:rPr>
      </w:pPr>
      <w:r w:rsidRPr="00F619C2">
        <w:rPr>
          <w:b/>
          <w:bCs/>
          <w:color w:val="00264D" w:themeColor="background2"/>
        </w:rPr>
        <w:t>Recommendation 12</w:t>
      </w:r>
    </w:p>
    <w:p w14:paraId="25AD533A" w14:textId="77777777" w:rsidR="00F619C2" w:rsidRPr="00F619C2" w:rsidRDefault="00F619C2" w:rsidP="00F619C2">
      <w:pPr>
        <w:shd w:val="clear" w:color="auto" w:fill="E6E6E1" w:themeFill="accent5"/>
        <w:rPr>
          <w:b/>
          <w:color w:val="00264D" w:themeColor="background2"/>
        </w:rPr>
      </w:pPr>
      <w:r w:rsidRPr="00F619C2">
        <w:rPr>
          <w:color w:val="00264D" w:themeColor="background2"/>
        </w:rPr>
        <w:t>The NQLC should review its existing policies and procedures across key elements of the organisation to ensure that appropriate formal policies are in place, and that they are clearly understood by staff (and clients as appropriate) and are consistently implemented across the organisation.</w:t>
      </w:r>
    </w:p>
    <w:p w14:paraId="055EB031" w14:textId="77777777" w:rsidR="00F619C2" w:rsidRPr="00F619C2" w:rsidRDefault="00F619C2" w:rsidP="003137B5">
      <w:pPr>
        <w:outlineLvl w:val="4"/>
        <w:rPr>
          <w:b/>
          <w:bCs/>
          <w:color w:val="00264D" w:themeColor="background2"/>
        </w:rPr>
      </w:pPr>
      <w:r w:rsidRPr="00F619C2">
        <w:rPr>
          <w:b/>
          <w:bCs/>
          <w:color w:val="00264D" w:themeColor="background2"/>
        </w:rPr>
        <w:t xml:space="preserve">NQLC response. </w:t>
      </w:r>
    </w:p>
    <w:p w14:paraId="1C99EC4B" w14:textId="77777777" w:rsidR="00F619C2" w:rsidRDefault="00F619C2" w:rsidP="00F619C2">
      <w:r w:rsidRPr="00B2195A">
        <w:t>The NQLC’s Policies and Procedures were comprehensively reviewed by the Board and management in 2016. It’s proposed that they will be reviewed again in 2021 (5 years). The Policies &amp; Procedures are included in Induction Packages for new staff and are readily available to all staff on the NQLC’s data management system.</w:t>
      </w:r>
    </w:p>
    <w:p w14:paraId="7679CA8C" w14:textId="166C9FBE" w:rsidR="00F9389B" w:rsidRDefault="00F9389B" w:rsidP="00B73362">
      <w:pPr>
        <w:rPr>
          <w:highlight w:val="yellow"/>
          <w:lang w:eastAsia="en-AU"/>
        </w:rPr>
      </w:pPr>
    </w:p>
    <w:p w14:paraId="4186B23C" w14:textId="77777777" w:rsidR="00A67028" w:rsidRDefault="00A67028" w:rsidP="00B73362">
      <w:pPr>
        <w:rPr>
          <w:highlight w:val="yellow"/>
          <w:lang w:eastAsia="en-AU"/>
        </w:rPr>
      </w:pPr>
    </w:p>
    <w:p w14:paraId="12AB09E8" w14:textId="77777777" w:rsidR="00A67028" w:rsidRDefault="00A67028" w:rsidP="00B73362">
      <w:pPr>
        <w:rPr>
          <w:highlight w:val="yellow"/>
          <w:lang w:eastAsia="en-AU"/>
        </w:rPr>
      </w:pPr>
    </w:p>
    <w:p w14:paraId="2D3D61ED" w14:textId="77777777" w:rsidR="00A67028" w:rsidRDefault="00A67028" w:rsidP="00B73362">
      <w:pPr>
        <w:rPr>
          <w:highlight w:val="yellow"/>
          <w:lang w:eastAsia="en-AU"/>
        </w:rPr>
      </w:pPr>
    </w:p>
    <w:p w14:paraId="599BF1B1" w14:textId="77777777" w:rsidR="00A67028" w:rsidRDefault="00A67028" w:rsidP="00B73362">
      <w:pPr>
        <w:rPr>
          <w:highlight w:val="yellow"/>
          <w:lang w:eastAsia="en-AU"/>
        </w:rPr>
      </w:pPr>
    </w:p>
    <w:p w14:paraId="1F10EC51" w14:textId="77777777" w:rsidR="00A67028" w:rsidRDefault="00A67028" w:rsidP="00B73362">
      <w:pPr>
        <w:rPr>
          <w:highlight w:val="yellow"/>
          <w:lang w:eastAsia="en-AU"/>
        </w:rPr>
      </w:pPr>
    </w:p>
    <w:p w14:paraId="1CAED4DD" w14:textId="77777777" w:rsidR="00A67028" w:rsidRDefault="00A67028" w:rsidP="00B73362">
      <w:pPr>
        <w:rPr>
          <w:highlight w:val="yellow"/>
          <w:lang w:eastAsia="en-AU"/>
        </w:rPr>
      </w:pPr>
    </w:p>
    <w:p w14:paraId="5366F4B1" w14:textId="77777777" w:rsidR="00A67028" w:rsidRPr="00A67028" w:rsidRDefault="00A67028" w:rsidP="003137B5">
      <w:pPr>
        <w:shd w:val="clear" w:color="auto" w:fill="E6E6E1" w:themeFill="accent5"/>
        <w:outlineLvl w:val="3"/>
        <w:rPr>
          <w:b/>
          <w:bCs/>
          <w:color w:val="00264D" w:themeColor="background2"/>
        </w:rPr>
      </w:pPr>
      <w:r w:rsidRPr="00A67028">
        <w:rPr>
          <w:b/>
          <w:bCs/>
          <w:color w:val="00264D" w:themeColor="background2"/>
        </w:rPr>
        <w:lastRenderedPageBreak/>
        <w:t>Recommendation 13</w:t>
      </w:r>
    </w:p>
    <w:p w14:paraId="2FC60557" w14:textId="77777777" w:rsidR="00A67028" w:rsidRPr="00A67028" w:rsidRDefault="00A67028" w:rsidP="00A67028">
      <w:pPr>
        <w:shd w:val="clear" w:color="auto" w:fill="E6E6E1" w:themeFill="accent5"/>
        <w:rPr>
          <w:b/>
          <w:color w:val="00264D" w:themeColor="background2"/>
        </w:rPr>
      </w:pPr>
      <w:r w:rsidRPr="00A67028">
        <w:rPr>
          <w:color w:val="00264D" w:themeColor="background2"/>
        </w:rPr>
        <w:t>The NQLC should review its current approach to the performance assessment and development process to ensure consistent implementation for all staff and meaningful reflection on development opportunities for all staff members.</w:t>
      </w:r>
    </w:p>
    <w:p w14:paraId="5AC7A8AE" w14:textId="77777777" w:rsidR="00A67028" w:rsidRPr="00A67028" w:rsidRDefault="00A67028" w:rsidP="003137B5">
      <w:pPr>
        <w:outlineLvl w:val="4"/>
        <w:rPr>
          <w:b/>
          <w:bCs/>
          <w:color w:val="00264D" w:themeColor="background2"/>
        </w:rPr>
      </w:pPr>
      <w:r w:rsidRPr="00A67028">
        <w:rPr>
          <w:b/>
          <w:bCs/>
          <w:color w:val="00264D" w:themeColor="background2"/>
        </w:rPr>
        <w:t xml:space="preserve">NQLC response. </w:t>
      </w:r>
    </w:p>
    <w:p w14:paraId="389EFF64" w14:textId="77777777" w:rsidR="00A67028" w:rsidRDefault="00A67028" w:rsidP="00A67028">
      <w:r w:rsidRPr="007C4AFD">
        <w:t xml:space="preserve">In addition to Probationary Reviews, formal performance reviews are conducted on an annual basis (along with an informal mid-year review). These, which include performance improvement plans and/or performance development plans are sent to the CEO for review and sign-off. Performance reviews for the preceding financial year must be completed and signed off no later than 31 August each year. </w:t>
      </w:r>
    </w:p>
    <w:p w14:paraId="46B8738C" w14:textId="77777777" w:rsidR="00A67028" w:rsidRDefault="00A67028" w:rsidP="00A67028">
      <w:r w:rsidRPr="007C4AFD">
        <w:t>It is considered the responsibility of the individual staff member to proactively search for training opportunities and seek approval for training and development, over and above professional CPD requirements.</w:t>
      </w:r>
      <w:r>
        <w:t xml:space="preserve"> </w:t>
      </w:r>
    </w:p>
    <w:p w14:paraId="2D35A1FE" w14:textId="77777777" w:rsidR="00A67028" w:rsidRDefault="00A67028" w:rsidP="00A67028">
      <w:r w:rsidRPr="007C4AFD">
        <w:t>A training register is maintained.</w:t>
      </w:r>
    </w:p>
    <w:p w14:paraId="6038F9EA" w14:textId="26F0FC4C" w:rsidR="00F9389B" w:rsidRPr="00A67028" w:rsidRDefault="00F9389B" w:rsidP="00B73362">
      <w:pPr>
        <w:rPr>
          <w:b/>
          <w:bCs/>
          <w:highlight w:val="yellow"/>
          <w:lang w:eastAsia="en-AU"/>
        </w:rPr>
      </w:pPr>
    </w:p>
    <w:p w14:paraId="6B30B8BC" w14:textId="77777777" w:rsidR="00A67028" w:rsidRPr="00A67028" w:rsidRDefault="00A67028" w:rsidP="003137B5">
      <w:pPr>
        <w:shd w:val="clear" w:color="auto" w:fill="E6E6E1" w:themeFill="accent5"/>
        <w:outlineLvl w:val="3"/>
        <w:rPr>
          <w:b/>
          <w:bCs/>
          <w:color w:val="00264D" w:themeColor="background2"/>
        </w:rPr>
      </w:pPr>
      <w:r w:rsidRPr="00A67028">
        <w:rPr>
          <w:b/>
          <w:bCs/>
          <w:color w:val="00264D" w:themeColor="background2"/>
        </w:rPr>
        <w:t>Recommendation 14</w:t>
      </w:r>
    </w:p>
    <w:p w14:paraId="472BE3E8" w14:textId="77777777" w:rsidR="00A67028" w:rsidRPr="00A67028" w:rsidRDefault="00A67028" w:rsidP="00A67028">
      <w:pPr>
        <w:shd w:val="clear" w:color="auto" w:fill="E6E6E1" w:themeFill="accent5"/>
        <w:rPr>
          <w:b/>
          <w:color w:val="00264D" w:themeColor="background2"/>
        </w:rPr>
      </w:pPr>
      <w:r w:rsidRPr="00A67028">
        <w:rPr>
          <w:color w:val="00264D" w:themeColor="background2"/>
        </w:rPr>
        <w:t>The NQLC should more clearly define training pathways and opportunities available for staff to undertake industry relevant training programs.</w:t>
      </w:r>
    </w:p>
    <w:p w14:paraId="79D30C6D" w14:textId="77777777" w:rsidR="00A67028" w:rsidRPr="00A67028" w:rsidRDefault="00A67028" w:rsidP="003137B5">
      <w:pPr>
        <w:outlineLvl w:val="4"/>
        <w:rPr>
          <w:b/>
          <w:bCs/>
          <w:color w:val="00264D" w:themeColor="background2"/>
        </w:rPr>
      </w:pPr>
      <w:r w:rsidRPr="00A67028">
        <w:rPr>
          <w:b/>
          <w:bCs/>
          <w:color w:val="00264D" w:themeColor="background2"/>
        </w:rPr>
        <w:t xml:space="preserve">NQLC response. </w:t>
      </w:r>
    </w:p>
    <w:p w14:paraId="3090A6F0" w14:textId="77777777" w:rsidR="00A67028" w:rsidRDefault="00A67028" w:rsidP="00A67028">
      <w:r w:rsidRPr="00A726E5">
        <w:t>As per above response, it is considered the responsibility of the individual staff member to proactively search for training opportunities and seek approval for training and development, over and above professional CPD requirements. Team supervisors also monitor staff training requirements and propose/request individual and/or group training sessions for their team members.</w:t>
      </w:r>
    </w:p>
    <w:p w14:paraId="060BA4E3" w14:textId="75D13585" w:rsidR="008C5F29" w:rsidRDefault="008C5F29" w:rsidP="00B73362">
      <w:pPr>
        <w:rPr>
          <w:highlight w:val="yellow"/>
          <w:lang w:eastAsia="en-AU"/>
        </w:rPr>
      </w:pPr>
    </w:p>
    <w:p w14:paraId="75FF142B" w14:textId="55B5A257" w:rsidR="00850FEB" w:rsidRDefault="00850FEB">
      <w:pPr>
        <w:spacing w:after="160" w:line="259" w:lineRule="auto"/>
        <w:rPr>
          <w:highlight w:val="yellow"/>
          <w:lang w:eastAsia="en-AU"/>
        </w:rPr>
      </w:pPr>
      <w:r>
        <w:rPr>
          <w:highlight w:val="yellow"/>
          <w:lang w:eastAsia="en-AU"/>
        </w:rPr>
        <w:br w:type="page"/>
      </w:r>
    </w:p>
    <w:p w14:paraId="0C41E2FD" w14:textId="42BD0D35" w:rsidR="00EB1298" w:rsidRDefault="002E4BA7" w:rsidP="00A67028">
      <w:pPr>
        <w:pStyle w:val="Heading2"/>
      </w:pPr>
      <w:bookmarkStart w:id="93" w:name="_Toc501895347"/>
      <w:bookmarkStart w:id="94" w:name="_Ref502695754"/>
      <w:bookmarkStart w:id="95" w:name="_Toc502839783"/>
      <w:bookmarkStart w:id="96" w:name="_Toc502843259"/>
      <w:bookmarkStart w:id="97" w:name="_Toc502847622"/>
      <w:bookmarkStart w:id="98" w:name="_Toc502850766"/>
      <w:bookmarkStart w:id="99" w:name="_Toc502855198"/>
      <w:bookmarkStart w:id="100" w:name="_Ref502900609"/>
      <w:bookmarkStart w:id="101" w:name="_Toc503117097"/>
      <w:bookmarkStart w:id="102" w:name="_Toc505259174"/>
      <w:bookmarkStart w:id="103" w:name="_Toc505256241"/>
      <w:bookmarkStart w:id="104" w:name="_Toc505618284"/>
      <w:r w:rsidRPr="0084761C">
        <w:lastRenderedPageBreak/>
        <w:t xml:space="preserve">TOR 5 | </w:t>
      </w:r>
      <w:r w:rsidR="00EB1298" w:rsidRPr="0084761C">
        <w:t xml:space="preserve">Review and assess each organisation’s strategies for and progress in developing self-sufficient </w:t>
      </w:r>
      <w:r w:rsidR="00EB3786" w:rsidRPr="0084761C">
        <w:t>PBCs</w:t>
      </w:r>
      <w:r w:rsidR="00EB1298" w:rsidRPr="0084761C">
        <w:t>, so PBCs have appropriate capacity and capability to manage their own responsibilities and aspirations.</w:t>
      </w:r>
      <w:bookmarkEnd w:id="93"/>
      <w:bookmarkEnd w:id="94"/>
      <w:bookmarkEnd w:id="95"/>
      <w:bookmarkEnd w:id="96"/>
      <w:bookmarkEnd w:id="97"/>
      <w:bookmarkEnd w:id="98"/>
      <w:bookmarkEnd w:id="99"/>
      <w:bookmarkEnd w:id="100"/>
      <w:bookmarkEnd w:id="101"/>
      <w:bookmarkEnd w:id="102"/>
      <w:bookmarkEnd w:id="103"/>
      <w:bookmarkEnd w:id="104"/>
    </w:p>
    <w:p w14:paraId="69B08B95" w14:textId="77777777" w:rsidR="0084761C" w:rsidRPr="0084761C" w:rsidRDefault="0084761C" w:rsidP="0084761C">
      <w:pPr>
        <w:rPr>
          <w:lang w:eastAsia="en-AU"/>
        </w:rPr>
      </w:pPr>
    </w:p>
    <w:p w14:paraId="3CB8F368" w14:textId="77777777" w:rsidR="00A67028" w:rsidRPr="00A67028" w:rsidRDefault="00A67028" w:rsidP="00A67028">
      <w:pPr>
        <w:shd w:val="clear" w:color="auto" w:fill="E6E6E1" w:themeFill="accent5"/>
        <w:spacing w:line="259" w:lineRule="auto"/>
        <w:rPr>
          <w:rFonts w:eastAsia="Times New Roman"/>
          <w:b/>
          <w:bCs/>
          <w:color w:val="00264D" w:themeColor="background2"/>
          <w:lang w:eastAsia="en-AU"/>
        </w:rPr>
      </w:pPr>
      <w:r w:rsidRPr="00A67028">
        <w:rPr>
          <w:rFonts w:eastAsia="Times New Roman"/>
          <w:b/>
          <w:color w:val="00264D" w:themeColor="background2"/>
          <w:lang w:eastAsia="en-AU"/>
        </w:rPr>
        <w:t>The NQLC provides varying levels of support to a comparatively high number of PBCs in the RATSIB area.</w:t>
      </w:r>
      <w:r w:rsidRPr="00A67028">
        <w:rPr>
          <w:rFonts w:eastAsia="Times New Roman"/>
          <w:bCs/>
          <w:color w:val="00264D" w:themeColor="background2"/>
          <w:lang w:eastAsia="en-AU"/>
        </w:rPr>
        <w:t xml:space="preserve"> Based on increasing service demand, the NQLC has directed more resources to supporting PBCs and has also altered its structure with the integration of two units to support improved capacity and capability development of PBC services. </w:t>
      </w:r>
    </w:p>
    <w:p w14:paraId="1E5EBBB8" w14:textId="77777777" w:rsidR="00A67028" w:rsidRPr="00A67028" w:rsidRDefault="00A67028" w:rsidP="00A67028">
      <w:pPr>
        <w:shd w:val="clear" w:color="auto" w:fill="E6E6E1" w:themeFill="accent5"/>
        <w:spacing w:line="259" w:lineRule="auto"/>
        <w:rPr>
          <w:rFonts w:eastAsia="Times New Roman"/>
          <w:b/>
          <w:bCs/>
          <w:color w:val="00264D" w:themeColor="background2"/>
          <w:lang w:eastAsia="en-AU"/>
        </w:rPr>
      </w:pPr>
      <w:r w:rsidRPr="00A67028">
        <w:rPr>
          <w:rFonts w:eastAsia="Times New Roman"/>
          <w:bCs/>
          <w:color w:val="00264D" w:themeColor="background2"/>
          <w:lang w:eastAsia="en-AU"/>
        </w:rPr>
        <w:t xml:space="preserve">Maturity and stability differ significantly across PBCs. For this reason, the NQLC recognises different levels of autonomy for some PBCs in relation to PBC support funding. </w:t>
      </w:r>
    </w:p>
    <w:p w14:paraId="33543AA4" w14:textId="77777777" w:rsidR="00A67028" w:rsidRPr="00A67028" w:rsidRDefault="00A67028" w:rsidP="00A67028">
      <w:pPr>
        <w:shd w:val="clear" w:color="auto" w:fill="E6E6E1" w:themeFill="accent5"/>
        <w:spacing w:line="259" w:lineRule="auto"/>
        <w:rPr>
          <w:rFonts w:eastAsia="Times New Roman"/>
          <w:b/>
          <w:bCs/>
          <w:color w:val="00264D" w:themeColor="background2"/>
          <w:lang w:eastAsia="en-AU"/>
        </w:rPr>
      </w:pPr>
      <w:r w:rsidRPr="00A67028">
        <w:rPr>
          <w:rFonts w:eastAsia="Times New Roman"/>
          <w:bCs/>
          <w:color w:val="00264D" w:themeColor="background2"/>
          <w:lang w:eastAsia="en-AU"/>
        </w:rPr>
        <w:t xml:space="preserve">Feedback from PBCs who engaged with the Review suggested that NQLC support is not appropriately tailored to the diverse requirements of PBCs and that many PBCs are not satisfied with the support they have received through the NQLC. </w:t>
      </w:r>
    </w:p>
    <w:p w14:paraId="415A7347" w14:textId="77777777" w:rsidR="00A67028" w:rsidRPr="00A67028" w:rsidRDefault="00A67028" w:rsidP="00A67028">
      <w:pPr>
        <w:shd w:val="clear" w:color="auto" w:fill="E6E6E1" w:themeFill="accent5"/>
        <w:spacing w:line="259" w:lineRule="auto"/>
        <w:rPr>
          <w:b/>
          <w:color w:val="00264D" w:themeColor="background2"/>
        </w:rPr>
      </w:pPr>
      <w:r w:rsidRPr="00A67028">
        <w:rPr>
          <w:rFonts w:eastAsia="Times New Roman"/>
          <w:bCs/>
          <w:color w:val="00264D" w:themeColor="background2"/>
          <w:lang w:eastAsia="en-AU"/>
        </w:rPr>
        <w:t>While self-sufficiency of PBCs has been a strong focus for the NQLC, including through the development of specific tools, self-sufficiency is not seen as viable for many PBCs in the region.</w:t>
      </w:r>
    </w:p>
    <w:p w14:paraId="286D3649" w14:textId="77777777" w:rsidR="00F00DA4" w:rsidRDefault="00F00DA4" w:rsidP="00F00DA4">
      <w:pPr>
        <w:rPr>
          <w:lang w:eastAsia="en-AU"/>
        </w:rPr>
      </w:pPr>
    </w:p>
    <w:p w14:paraId="606E52ED" w14:textId="19D5245E" w:rsidR="00F00DA4" w:rsidRPr="00915059" w:rsidRDefault="00765156" w:rsidP="003137B5">
      <w:pPr>
        <w:outlineLvl w:val="2"/>
        <w:rPr>
          <w:b/>
          <w:bCs/>
          <w:i/>
          <w:iCs/>
          <w:color w:val="00264D" w:themeColor="background2"/>
        </w:rPr>
      </w:pPr>
      <w:r w:rsidRPr="00915059">
        <w:rPr>
          <w:b/>
          <w:bCs/>
          <w:i/>
          <w:iCs/>
          <w:color w:val="00264D" w:themeColor="background2"/>
        </w:rPr>
        <w:t>R</w:t>
      </w:r>
      <w:r w:rsidR="00F00DA4" w:rsidRPr="00915059">
        <w:rPr>
          <w:b/>
          <w:bCs/>
          <w:i/>
          <w:iCs/>
          <w:color w:val="00264D" w:themeColor="background2"/>
        </w:rPr>
        <w:t>ecommendations</w:t>
      </w:r>
      <w:r w:rsidR="0084761C" w:rsidRPr="00915059">
        <w:rPr>
          <w:b/>
          <w:bCs/>
          <w:i/>
          <w:iCs/>
          <w:color w:val="00264D" w:themeColor="background2"/>
        </w:rPr>
        <w:t xml:space="preserve"> </w:t>
      </w:r>
      <w:r w:rsidR="00321398" w:rsidRPr="00915059">
        <w:rPr>
          <w:b/>
          <w:bCs/>
          <w:i/>
          <w:iCs/>
          <w:color w:val="00264D" w:themeColor="background2"/>
        </w:rPr>
        <w:t>for TOR 5</w:t>
      </w:r>
    </w:p>
    <w:p w14:paraId="20E0DE73" w14:textId="7440410D" w:rsidR="002E2B73" w:rsidRPr="002E2B73" w:rsidRDefault="000914E7" w:rsidP="002E2B73">
      <w:pPr>
        <w:rPr>
          <w:lang w:eastAsia="en-AU"/>
        </w:rPr>
      </w:pPr>
      <w:r>
        <w:rPr>
          <w:lang w:eastAsia="en-AU"/>
        </w:rPr>
        <w:t>The Review made one recommendation for TOR 5 on PBC development strategies. This is outlined below, as well as N</w:t>
      </w:r>
      <w:r w:rsidR="00CE59B1">
        <w:rPr>
          <w:lang w:eastAsia="en-AU"/>
        </w:rPr>
        <w:t>QLC</w:t>
      </w:r>
      <w:r>
        <w:rPr>
          <w:lang w:eastAsia="en-AU"/>
        </w:rPr>
        <w:t xml:space="preserve">’s response to this recommendation. </w:t>
      </w:r>
    </w:p>
    <w:p w14:paraId="713B5899" w14:textId="77777777" w:rsidR="00A67028" w:rsidRPr="00A67028" w:rsidRDefault="00A67028" w:rsidP="003137B5">
      <w:pPr>
        <w:shd w:val="clear" w:color="auto" w:fill="E6E6E1" w:themeFill="accent5"/>
        <w:outlineLvl w:val="3"/>
        <w:rPr>
          <w:b/>
          <w:bCs/>
          <w:color w:val="00264D" w:themeColor="background2"/>
        </w:rPr>
      </w:pPr>
      <w:r w:rsidRPr="00A67028">
        <w:rPr>
          <w:b/>
          <w:bCs/>
          <w:color w:val="00264D" w:themeColor="background2"/>
        </w:rPr>
        <w:t>Recommendation 15</w:t>
      </w:r>
    </w:p>
    <w:p w14:paraId="0CC2E62A" w14:textId="77777777" w:rsidR="00A67028" w:rsidRPr="00A67028" w:rsidRDefault="00A67028" w:rsidP="00A67028">
      <w:pPr>
        <w:shd w:val="clear" w:color="auto" w:fill="E6E6E1" w:themeFill="accent5"/>
        <w:rPr>
          <w:b/>
          <w:color w:val="00264D" w:themeColor="background2"/>
        </w:rPr>
      </w:pPr>
      <w:r w:rsidRPr="00A67028">
        <w:rPr>
          <w:color w:val="00264D" w:themeColor="background2"/>
        </w:rPr>
        <w:t>The NQLC should consider opportunities to better support clients’ transition from a claim matter to the establishment of a PBC.</w:t>
      </w:r>
    </w:p>
    <w:p w14:paraId="2C04810C" w14:textId="77777777" w:rsidR="00A67028" w:rsidRPr="00A67028" w:rsidRDefault="00A67028" w:rsidP="003137B5">
      <w:pPr>
        <w:outlineLvl w:val="4"/>
        <w:rPr>
          <w:b/>
          <w:bCs/>
          <w:color w:val="00264D" w:themeColor="background2"/>
        </w:rPr>
      </w:pPr>
      <w:r w:rsidRPr="00A67028">
        <w:rPr>
          <w:b/>
          <w:bCs/>
          <w:color w:val="00264D" w:themeColor="background2"/>
        </w:rPr>
        <w:t xml:space="preserve">NQLC response. </w:t>
      </w:r>
    </w:p>
    <w:p w14:paraId="43D76E25" w14:textId="77777777" w:rsidR="00A67028" w:rsidRDefault="00A67028" w:rsidP="00A67028">
      <w:r>
        <w:t>The Engagement and Development Support Team comprises the PBC Support Unit and the Future Act Mining and Exploration (FAME) Unit both of which liaise closely with the claim lawyers as the claim nears determination and the establishment of a PBC is required. Whilst the circumstances of each claim group will determine the uniqueness of the delivery of support services, generally the FAME Unit advises on legal considerations (eg Rule Book, compliance with various legislation etc) and the PBC Support Unit assists with office and administrative establishment and access to PBC Support Funding program as administered by the relevant federal government department/agency.</w:t>
      </w:r>
    </w:p>
    <w:p w14:paraId="3AA9518A" w14:textId="77777777" w:rsidR="00A67028" w:rsidRDefault="00A67028" w:rsidP="00A67028">
      <w:r>
        <w:t>Assessment and delivery of further governance and financial management support services such as policies and procedures, strategic planning, financial advisory services is done on a case by case basis.</w:t>
      </w:r>
    </w:p>
    <w:p w14:paraId="4C08F3DB" w14:textId="747339AA" w:rsidR="00F00DA4" w:rsidRDefault="00F00DA4" w:rsidP="00F00DA4">
      <w:pPr>
        <w:rPr>
          <w:lang w:eastAsia="en-AU"/>
        </w:rPr>
      </w:pPr>
    </w:p>
    <w:p w14:paraId="03781D82" w14:textId="3210A353" w:rsidR="000914E7" w:rsidRDefault="000914E7">
      <w:pPr>
        <w:spacing w:after="160" w:line="259" w:lineRule="auto"/>
        <w:rPr>
          <w:lang w:eastAsia="en-AU"/>
        </w:rPr>
      </w:pPr>
      <w:r>
        <w:rPr>
          <w:lang w:eastAsia="en-AU"/>
        </w:rPr>
        <w:br w:type="page"/>
      </w:r>
    </w:p>
    <w:p w14:paraId="1581AAB1" w14:textId="6DE56380" w:rsidR="00EB1298" w:rsidRDefault="002E4BA7" w:rsidP="00CB2978">
      <w:pPr>
        <w:pStyle w:val="Heading2"/>
      </w:pPr>
      <w:bookmarkStart w:id="105" w:name="_Toc501895348"/>
      <w:bookmarkStart w:id="106" w:name="_Toc502839784"/>
      <w:bookmarkStart w:id="107" w:name="_Toc502843260"/>
      <w:bookmarkStart w:id="108" w:name="_Toc502847623"/>
      <w:bookmarkStart w:id="109" w:name="_Toc502850767"/>
      <w:bookmarkStart w:id="110" w:name="_Toc502855199"/>
      <w:bookmarkStart w:id="111" w:name="_Toc503117098"/>
      <w:bookmarkStart w:id="112" w:name="_Toc505259175"/>
      <w:bookmarkStart w:id="113" w:name="_Toc505256242"/>
      <w:bookmarkStart w:id="114" w:name="_Toc505618285"/>
      <w:r w:rsidRPr="0084761C">
        <w:lastRenderedPageBreak/>
        <w:t xml:space="preserve">TOR 6 | </w:t>
      </w:r>
      <w:r w:rsidR="00EB1298" w:rsidRPr="0084761C">
        <w:t>Review and assess the adequacy of each organisation’s strategic planning for a post determination environment.</w:t>
      </w:r>
      <w:bookmarkEnd w:id="105"/>
      <w:bookmarkEnd w:id="106"/>
      <w:bookmarkEnd w:id="107"/>
      <w:bookmarkEnd w:id="108"/>
      <w:bookmarkEnd w:id="109"/>
      <w:bookmarkEnd w:id="110"/>
      <w:bookmarkEnd w:id="111"/>
      <w:bookmarkEnd w:id="112"/>
      <w:bookmarkEnd w:id="113"/>
      <w:bookmarkEnd w:id="114"/>
    </w:p>
    <w:p w14:paraId="14271A51" w14:textId="77777777" w:rsidR="0084761C" w:rsidRPr="00CB2978" w:rsidRDefault="0084761C" w:rsidP="0084761C">
      <w:pPr>
        <w:rPr>
          <w:b/>
          <w:bCs/>
          <w:lang w:eastAsia="en-AU"/>
        </w:rPr>
      </w:pPr>
    </w:p>
    <w:p w14:paraId="6178B32B" w14:textId="77777777" w:rsidR="00CB2978" w:rsidRPr="00CB2978" w:rsidRDefault="00CB2978" w:rsidP="00CB2978">
      <w:pPr>
        <w:shd w:val="clear" w:color="auto" w:fill="E6E6E1" w:themeFill="accent5"/>
        <w:spacing w:after="0" w:line="259" w:lineRule="auto"/>
        <w:rPr>
          <w:b/>
          <w:color w:val="00264D" w:themeColor="background2"/>
        </w:rPr>
      </w:pPr>
      <w:r w:rsidRPr="00CB2978">
        <w:rPr>
          <w:b/>
          <w:bCs/>
          <w:color w:val="00264D" w:themeColor="background2"/>
        </w:rPr>
        <w:t>The NQLC’s strategic planning for post-determination is relatively under-developed at this stage with uncertainty on the role that the organisation would play in a post-determination environment.</w:t>
      </w:r>
      <w:r w:rsidRPr="00CB2978">
        <w:rPr>
          <w:color w:val="00264D" w:themeColor="background2"/>
        </w:rPr>
        <w:t xml:space="preserve"> The NQLC still has an active case load, with forecasts that ongoing claims work (excluding compensation work) may take ten to 15 years to resolve. However, the high proportion of claims that have been determined and resulting numbers of PBCs means that the Review would expect the NQLC to be more developed in this area.</w:t>
      </w:r>
    </w:p>
    <w:p w14:paraId="6E7E5142" w14:textId="77777777" w:rsidR="00CB2978" w:rsidRPr="00CB2978" w:rsidRDefault="00CB2978" w:rsidP="00CB2978">
      <w:pPr>
        <w:shd w:val="clear" w:color="auto" w:fill="E6E6E1" w:themeFill="accent5"/>
        <w:spacing w:after="0" w:line="259" w:lineRule="auto"/>
        <w:rPr>
          <w:b/>
          <w:color w:val="00264D" w:themeColor="background2"/>
        </w:rPr>
      </w:pPr>
      <w:r w:rsidRPr="00CB2978">
        <w:rPr>
          <w:color w:val="00264D" w:themeColor="background2"/>
        </w:rPr>
        <w:t>The Board has indicated that the NQLC may play a broader role in a post-determination environment, with recent work undertaken to more clearly define the role that the NQLC could play in supporting ‘economic development’ in the region. The NQLC should ensure resources are directed to future strategic planning activity and that this actively considers the NQLC’s role in a post-determination environment.</w:t>
      </w:r>
    </w:p>
    <w:p w14:paraId="7584D34D" w14:textId="77777777" w:rsidR="00F00DA4" w:rsidRDefault="00F00DA4" w:rsidP="00F00DA4">
      <w:pPr>
        <w:rPr>
          <w:lang w:eastAsia="en-AU"/>
        </w:rPr>
      </w:pPr>
    </w:p>
    <w:p w14:paraId="3AE70BB1" w14:textId="3F2F0ED0" w:rsidR="0084761C" w:rsidRPr="00915059" w:rsidRDefault="002B335B" w:rsidP="003137B5">
      <w:pPr>
        <w:outlineLvl w:val="2"/>
        <w:rPr>
          <w:b/>
          <w:bCs/>
          <w:i/>
          <w:iCs/>
          <w:color w:val="00264D" w:themeColor="background2"/>
        </w:rPr>
      </w:pPr>
      <w:r w:rsidRPr="00915059">
        <w:rPr>
          <w:b/>
          <w:bCs/>
          <w:i/>
          <w:iCs/>
          <w:color w:val="00264D" w:themeColor="background2"/>
        </w:rPr>
        <w:t>R</w:t>
      </w:r>
      <w:r w:rsidR="0084761C" w:rsidRPr="00915059">
        <w:rPr>
          <w:b/>
          <w:bCs/>
          <w:i/>
          <w:iCs/>
          <w:color w:val="00264D" w:themeColor="background2"/>
        </w:rPr>
        <w:t>ecommendations for TOR 6</w:t>
      </w:r>
    </w:p>
    <w:p w14:paraId="0B581017" w14:textId="3AD39D8D" w:rsidR="000914E7" w:rsidRPr="000914E7" w:rsidRDefault="00F20689" w:rsidP="000914E7">
      <w:pPr>
        <w:rPr>
          <w:lang w:eastAsia="en-AU"/>
        </w:rPr>
      </w:pPr>
      <w:r>
        <w:rPr>
          <w:lang w:eastAsia="en-AU"/>
        </w:rPr>
        <w:t>The Review made one recommendation for TOR 6 on the organisation’s strategic planning. This is outlined below, as well as N</w:t>
      </w:r>
      <w:r w:rsidR="00CE59B1">
        <w:rPr>
          <w:lang w:eastAsia="en-AU"/>
        </w:rPr>
        <w:t>QLC</w:t>
      </w:r>
      <w:r>
        <w:rPr>
          <w:lang w:eastAsia="en-AU"/>
        </w:rPr>
        <w:t xml:space="preserve">’s response to this recommendation. </w:t>
      </w:r>
    </w:p>
    <w:p w14:paraId="725A5C04" w14:textId="77777777" w:rsidR="00CB2978" w:rsidRPr="00CB2978" w:rsidRDefault="00CB2978" w:rsidP="003137B5">
      <w:pPr>
        <w:shd w:val="clear" w:color="auto" w:fill="E6E6E1" w:themeFill="accent5"/>
        <w:outlineLvl w:val="3"/>
        <w:rPr>
          <w:b/>
          <w:bCs/>
          <w:color w:val="00264D" w:themeColor="background2"/>
        </w:rPr>
      </w:pPr>
      <w:r w:rsidRPr="00CB2978">
        <w:rPr>
          <w:b/>
          <w:bCs/>
          <w:color w:val="00264D" w:themeColor="background2"/>
        </w:rPr>
        <w:t>Recommendation 16</w:t>
      </w:r>
    </w:p>
    <w:p w14:paraId="0F890775" w14:textId="77777777" w:rsidR="00CB2978" w:rsidRPr="00CB2978" w:rsidRDefault="00CB2978" w:rsidP="00CB2978">
      <w:pPr>
        <w:shd w:val="clear" w:color="auto" w:fill="E6E6E1" w:themeFill="accent5"/>
        <w:rPr>
          <w:b/>
          <w:color w:val="00264D" w:themeColor="background2"/>
        </w:rPr>
      </w:pPr>
      <w:r w:rsidRPr="00CB2978">
        <w:rPr>
          <w:color w:val="00264D" w:themeColor="background2"/>
        </w:rPr>
        <w:t>The NQLC should ensure that future strategic planning activities should actively consider the role (or a set of potential roles) that the NQLC will play in a post-determination environment.</w:t>
      </w:r>
    </w:p>
    <w:p w14:paraId="16EFCCAD" w14:textId="77777777" w:rsidR="00CB2978" w:rsidRPr="00CB2978" w:rsidRDefault="00CB2978" w:rsidP="003137B5">
      <w:pPr>
        <w:outlineLvl w:val="4"/>
        <w:rPr>
          <w:b/>
          <w:bCs/>
          <w:color w:val="00264D" w:themeColor="background2"/>
        </w:rPr>
      </w:pPr>
      <w:r w:rsidRPr="00CB2978">
        <w:rPr>
          <w:b/>
          <w:bCs/>
          <w:color w:val="00264D" w:themeColor="background2"/>
        </w:rPr>
        <w:t xml:space="preserve">NQLC response. </w:t>
      </w:r>
    </w:p>
    <w:p w14:paraId="088BD308" w14:textId="77777777" w:rsidR="00CB2978" w:rsidRDefault="00CB2978" w:rsidP="00CB2978">
      <w:r w:rsidRPr="00DF51AE">
        <w:t>The NQLC Board is currently restructuring itself and the organisation in order to play a stronger role in the post-determination environment. Once the new structure is in place (expected end 2020) a comprehensive strategic planning review will be undertaken.</w:t>
      </w:r>
    </w:p>
    <w:p w14:paraId="3A816728" w14:textId="115F3224" w:rsidR="000A6B36" w:rsidRDefault="000A6B36" w:rsidP="000A6B36">
      <w:pPr>
        <w:rPr>
          <w:lang w:eastAsia="en-AU"/>
        </w:rPr>
      </w:pPr>
    </w:p>
    <w:p w14:paraId="4D4C98CE" w14:textId="77777777" w:rsidR="000A6B36" w:rsidRPr="000A6B36" w:rsidRDefault="000A6B36" w:rsidP="000A6B36">
      <w:pPr>
        <w:rPr>
          <w:lang w:eastAsia="en-AU"/>
        </w:rPr>
      </w:pPr>
    </w:p>
    <w:p w14:paraId="62197B13" w14:textId="77777777" w:rsidR="00525012" w:rsidRDefault="00525012" w:rsidP="00525012">
      <w:pPr>
        <w:pStyle w:val="xAppendixLevel1"/>
      </w:pPr>
      <w:bookmarkStart w:id="115" w:name="_Ref500494833"/>
      <w:bookmarkStart w:id="116" w:name="_Toc502668024"/>
      <w:bookmarkStart w:id="117" w:name="_Toc502839785"/>
      <w:bookmarkStart w:id="118" w:name="_Toc502843261"/>
      <w:bookmarkStart w:id="119" w:name="_Toc502847624"/>
      <w:bookmarkStart w:id="120" w:name="_Toc502850768"/>
      <w:bookmarkStart w:id="121" w:name="_Toc502855200"/>
      <w:bookmarkStart w:id="122" w:name="_Toc503117099"/>
      <w:bookmarkStart w:id="123" w:name="_Toc505259176"/>
      <w:bookmarkStart w:id="124" w:name="_Toc505256243"/>
      <w:bookmarkStart w:id="125" w:name="_Toc505618286"/>
      <w:bookmarkStart w:id="126" w:name="_Toc68071811"/>
      <w:r w:rsidRPr="00584514">
        <w:lastRenderedPageBreak/>
        <w:t>Terms of Reference</w:t>
      </w:r>
      <w:bookmarkEnd w:id="115"/>
      <w:bookmarkEnd w:id="116"/>
      <w:bookmarkEnd w:id="117"/>
      <w:bookmarkEnd w:id="118"/>
      <w:bookmarkEnd w:id="119"/>
      <w:bookmarkEnd w:id="120"/>
      <w:bookmarkEnd w:id="121"/>
      <w:bookmarkEnd w:id="122"/>
      <w:bookmarkEnd w:id="123"/>
      <w:bookmarkEnd w:id="124"/>
      <w:bookmarkEnd w:id="125"/>
      <w:bookmarkEnd w:id="126"/>
    </w:p>
    <w:p w14:paraId="06936EEF" w14:textId="77777777" w:rsidR="00525012" w:rsidRDefault="00525012" w:rsidP="003800E8">
      <w:pPr>
        <w:pStyle w:val="Listnumbered"/>
        <w:numPr>
          <w:ilvl w:val="0"/>
          <w:numId w:val="9"/>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611370EF" w14:textId="77777777" w:rsidR="00525012" w:rsidRDefault="00525012" w:rsidP="00525012">
      <w:pPr>
        <w:pStyle w:val="Bullet"/>
        <w:numPr>
          <w:ilvl w:val="0"/>
          <w:numId w:val="6"/>
        </w:numPr>
        <w:shd w:val="clear" w:color="auto" w:fill="FDEAD1" w:themeFill="accent3" w:themeFillTint="33"/>
        <w:spacing w:after="165" w:line="259" w:lineRule="auto"/>
      </w:pPr>
      <w:r>
        <w:t xml:space="preserve">Native title claim outcomes achieved for clients. </w:t>
      </w:r>
    </w:p>
    <w:p w14:paraId="41E05DC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organisation’s assessment and prioritisation of applications are equitable, transparent and robust. </w:t>
      </w:r>
    </w:p>
    <w:p w14:paraId="577BB7F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404E9DC2"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2306F970" w14:textId="4B9A5A52"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w:t>
      </w:r>
      <w:r w:rsidR="002C3710">
        <w:rPr>
          <w:lang w:eastAsia="en-AU"/>
        </w:rPr>
        <w:t>the NIAA</w:t>
      </w:r>
      <w:r>
        <w:rPr>
          <w:lang w:eastAsia="en-AU"/>
        </w:rPr>
        <w:t xml:space="preserve">. </w:t>
      </w:r>
    </w:p>
    <w:p w14:paraId="5D9C0EFC"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46F7B675"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281F8956" w14:textId="77777777" w:rsidR="00525012" w:rsidRDefault="00525012" w:rsidP="00525012">
      <w:pPr>
        <w:pStyle w:val="Bullet"/>
        <w:numPr>
          <w:ilvl w:val="0"/>
          <w:numId w:val="6"/>
        </w:numPr>
        <w:shd w:val="clear" w:color="auto" w:fill="FDEAD1" w:themeFill="accent3" w:themeFillTint="33"/>
        <w:spacing w:after="165" w:line="259" w:lineRule="auto"/>
      </w:pPr>
      <w:r>
        <w:t>Its financial management.</w:t>
      </w:r>
    </w:p>
    <w:p w14:paraId="5CE4721F"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conflicts of interest. </w:t>
      </w:r>
    </w:p>
    <w:p w14:paraId="42FAECD9"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complaints. </w:t>
      </w:r>
    </w:p>
    <w:p w14:paraId="2F5D15A7"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211472D3"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2885C33F" w14:textId="42C71084"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Examine and report on other relevant issues as identified by </w:t>
      </w:r>
      <w:r w:rsidR="002C3710">
        <w:rPr>
          <w:lang w:eastAsia="en-AU"/>
        </w:rPr>
        <w:t>the NIAA</w:t>
      </w:r>
      <w:r w:rsidR="009515AD">
        <w:rPr>
          <w:lang w:eastAsia="en-AU"/>
        </w:rPr>
        <w:t xml:space="preserve"> </w:t>
      </w:r>
      <w:r>
        <w:rPr>
          <w:lang w:eastAsia="en-AU"/>
        </w:rPr>
        <w:t>or in the course of the review, which may be specific to particular organisations.</w:t>
      </w:r>
    </w:p>
    <w:p w14:paraId="2EA02360" w14:textId="77777777"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079EB65" w14:textId="79F6C966"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Provide written draft and final reports to </w:t>
      </w:r>
      <w:r w:rsidR="002C3710">
        <w:rPr>
          <w:lang w:eastAsia="en-AU"/>
        </w:rPr>
        <w:t>the NIAA</w:t>
      </w:r>
      <w:r w:rsidR="009515AD">
        <w:rPr>
          <w:lang w:eastAsia="en-AU"/>
        </w:rPr>
        <w:t xml:space="preserve"> </w:t>
      </w:r>
      <w:r>
        <w:rPr>
          <w:lang w:eastAsia="en-AU"/>
        </w:rPr>
        <w:t>on the work undertaken for each review and the review findings, making recommendations on what changes, if any, each organisation could make to improve its efficiency and effectiveness. There will be an overarching comparative report and five individual reports.</w:t>
      </w:r>
    </w:p>
    <w:p w14:paraId="70487381" w14:textId="77777777" w:rsidR="00525012" w:rsidRPr="006B7B98" w:rsidRDefault="00525012" w:rsidP="00525012">
      <w:pPr>
        <w:rPr>
          <w:lang w:eastAsia="en-AU"/>
        </w:rPr>
      </w:pPr>
    </w:p>
    <w:p w14:paraId="641692F5" w14:textId="77777777" w:rsidR="00D06FCE" w:rsidRDefault="00D06FCE" w:rsidP="00D06FCE">
      <w:pPr>
        <w:pStyle w:val="xAppendixLevel1"/>
      </w:pPr>
      <w:bookmarkStart w:id="127" w:name="_Ref37158564"/>
      <w:bookmarkStart w:id="128" w:name="_Toc68071812"/>
      <w:bookmarkStart w:id="129" w:name="_Toc501799420"/>
      <w:bookmarkStart w:id="130" w:name="_Ref502723599"/>
      <w:bookmarkStart w:id="131" w:name="_Toc502839786"/>
      <w:bookmarkStart w:id="132" w:name="_Toc502843262"/>
      <w:bookmarkStart w:id="133" w:name="_Toc502847625"/>
      <w:bookmarkStart w:id="134" w:name="_Toc502850769"/>
      <w:bookmarkStart w:id="135" w:name="_Toc502855201"/>
      <w:bookmarkStart w:id="136" w:name="_Toc503117100"/>
      <w:bookmarkStart w:id="137" w:name="_Toc505259177"/>
      <w:bookmarkStart w:id="138" w:name="_Toc505256244"/>
      <w:bookmarkStart w:id="139" w:name="_Toc505618287"/>
      <w:bookmarkStart w:id="140" w:name="_Ref500494866"/>
      <w:bookmarkStart w:id="141" w:name="_Toc502668025"/>
      <w:bookmarkStart w:id="142" w:name="_Ref495407339"/>
      <w:r>
        <w:lastRenderedPageBreak/>
        <w:t>NTRB-SPs under review</w:t>
      </w:r>
      <w:bookmarkEnd w:id="127"/>
      <w:bookmarkEnd w:id="128"/>
    </w:p>
    <w:p w14:paraId="108B2B09" w14:textId="08DCF1A9" w:rsidR="001B5ADA" w:rsidRDefault="00F96932" w:rsidP="001B5ADA">
      <w:pPr>
        <w:spacing w:after="0"/>
        <w:rPr>
          <w:lang w:eastAsia="en-AU"/>
        </w:rPr>
      </w:pPr>
      <w:r>
        <w:rPr>
          <w:lang w:eastAsia="en-AU"/>
        </w:rPr>
        <w:t>A total of 14</w:t>
      </w:r>
      <w:r w:rsidR="001B5ADA">
        <w:rPr>
          <w:lang w:eastAsia="en-AU"/>
        </w:rPr>
        <w:t xml:space="preserve"> Native Title Representative Bodies and Service Providers (NTRB-SPs) were reviewed in three tranches using the same methodology and approach. For each Review tranche, a three-year period was in scope for the </w:t>
      </w:r>
      <w:r w:rsidR="00432BD6">
        <w:rPr>
          <w:lang w:eastAsia="en-AU"/>
        </w:rPr>
        <w:t>R</w:t>
      </w:r>
      <w:r w:rsidR="001B5ADA">
        <w:rPr>
          <w:lang w:eastAsia="en-AU"/>
        </w:rPr>
        <w:t xml:space="preserve">eview – as presented in </w:t>
      </w:r>
      <w:r w:rsidR="001B5ADA">
        <w:rPr>
          <w:lang w:eastAsia="en-AU"/>
        </w:rPr>
        <w:fldChar w:fldCharType="begin"/>
      </w:r>
      <w:r w:rsidR="001B5ADA">
        <w:rPr>
          <w:lang w:eastAsia="en-AU"/>
        </w:rPr>
        <w:instrText xml:space="preserve"> REF _Ref37790230 \h </w:instrText>
      </w:r>
      <w:r w:rsidR="001B5ADA">
        <w:rPr>
          <w:lang w:eastAsia="en-AU"/>
        </w:rPr>
      </w:r>
      <w:r w:rsidR="001B5ADA">
        <w:rPr>
          <w:lang w:eastAsia="en-AU"/>
        </w:rPr>
        <w:fldChar w:fldCharType="separate"/>
      </w:r>
      <w:r w:rsidR="00F65C29" w:rsidRPr="00BB1AA6">
        <w:t xml:space="preserve">Table </w:t>
      </w:r>
      <w:r w:rsidR="00F65C29">
        <w:rPr>
          <w:noProof/>
        </w:rPr>
        <w:t>1</w:t>
      </w:r>
      <w:r w:rsidR="001B5ADA">
        <w:rPr>
          <w:lang w:eastAsia="en-AU"/>
        </w:rPr>
        <w:fldChar w:fldCharType="end"/>
      </w:r>
      <w:r w:rsidR="001B5ADA">
        <w:rPr>
          <w:lang w:eastAsia="en-AU"/>
        </w:rPr>
        <w:t xml:space="preserve">. The efficiency and effectiveness of each NTRB-SP was assessed and a performance report was prepared for each. </w:t>
      </w:r>
    </w:p>
    <w:p w14:paraId="45FEA155" w14:textId="748E7B46" w:rsidR="001B5ADA" w:rsidRPr="00BB1AA6" w:rsidRDefault="001B5ADA" w:rsidP="001B5ADA">
      <w:pPr>
        <w:pStyle w:val="Caption"/>
        <w:keepNext/>
      </w:pPr>
      <w:bookmarkStart w:id="143" w:name="_Ref37790230"/>
      <w:r w:rsidRPr="00BB1AA6">
        <w:t xml:space="preserve">Table </w:t>
      </w:r>
      <w:r w:rsidRPr="00BB1AA6">
        <w:fldChar w:fldCharType="begin"/>
      </w:r>
      <w:r w:rsidRPr="00BB1AA6">
        <w:instrText xml:space="preserve"> SEQ Table \* ARABIC </w:instrText>
      </w:r>
      <w:r w:rsidRPr="00BB1AA6">
        <w:fldChar w:fldCharType="separate"/>
      </w:r>
      <w:r w:rsidR="00F65C29">
        <w:rPr>
          <w:noProof/>
        </w:rPr>
        <w:t>1</w:t>
      </w:r>
      <w:r w:rsidRPr="00BB1AA6">
        <w:fldChar w:fldCharType="end"/>
      </w:r>
      <w:bookmarkEnd w:id="143"/>
      <w:r w:rsidRPr="00BB1AA6">
        <w:t xml:space="preserve"> | </w:t>
      </w:r>
      <w:r>
        <w:t>NTRB-SPs review tranches</w:t>
      </w:r>
    </w:p>
    <w:tbl>
      <w:tblPr>
        <w:tblStyle w:val="TableGrid"/>
        <w:tblW w:w="8931" w:type="dxa"/>
        <w:tblLook w:val="04A0" w:firstRow="1" w:lastRow="0" w:firstColumn="1" w:lastColumn="0" w:noHBand="0" w:noVBand="1"/>
      </w:tblPr>
      <w:tblGrid>
        <w:gridCol w:w="993"/>
        <w:gridCol w:w="3685"/>
        <w:gridCol w:w="1843"/>
        <w:gridCol w:w="2410"/>
      </w:tblGrid>
      <w:tr w:rsidR="001B5ADA" w:rsidRPr="00BB1AA6" w14:paraId="1B8CE4D6" w14:textId="77777777" w:rsidTr="00C26D69">
        <w:trPr>
          <w:cnfStyle w:val="100000000000" w:firstRow="1" w:lastRow="0" w:firstColumn="0" w:lastColumn="0" w:oddVBand="0" w:evenVBand="0" w:oddHBand="0" w:evenHBand="0" w:firstRowFirstColumn="0" w:firstRowLastColumn="0" w:lastRowFirstColumn="0" w:lastRowLastColumn="0"/>
        </w:trPr>
        <w:tc>
          <w:tcPr>
            <w:tcW w:w="993" w:type="dxa"/>
          </w:tcPr>
          <w:p w14:paraId="54800209" w14:textId="77777777" w:rsidR="001B5ADA" w:rsidRPr="0043363C" w:rsidRDefault="001B5ADA" w:rsidP="00C26D69">
            <w:pPr>
              <w:pStyle w:val="TableExpText"/>
              <w:rPr>
                <w:color w:val="00264D" w:themeColor="background2"/>
              </w:rPr>
            </w:pPr>
            <w:r w:rsidRPr="0043363C">
              <w:rPr>
                <w:color w:val="00264D" w:themeColor="background2"/>
              </w:rPr>
              <w:t>Tranche</w:t>
            </w:r>
          </w:p>
        </w:tc>
        <w:tc>
          <w:tcPr>
            <w:tcW w:w="3685" w:type="dxa"/>
          </w:tcPr>
          <w:p w14:paraId="4DDAEA09" w14:textId="39E09866" w:rsidR="001B5ADA" w:rsidRPr="0043363C" w:rsidRDefault="001B5ADA" w:rsidP="00C26D69">
            <w:pPr>
              <w:pStyle w:val="TableExpText"/>
              <w:rPr>
                <w:color w:val="00264D" w:themeColor="background2"/>
              </w:rPr>
            </w:pPr>
            <w:r w:rsidRPr="0043363C">
              <w:rPr>
                <w:color w:val="00264D" w:themeColor="background2"/>
              </w:rPr>
              <w:t xml:space="preserve">NTRB-SP </w:t>
            </w:r>
          </w:p>
        </w:tc>
        <w:tc>
          <w:tcPr>
            <w:tcW w:w="1843" w:type="dxa"/>
          </w:tcPr>
          <w:p w14:paraId="62514225" w14:textId="4884B193" w:rsidR="001B5ADA" w:rsidRPr="0043363C" w:rsidRDefault="001B5ADA" w:rsidP="00C26D69">
            <w:pPr>
              <w:pStyle w:val="TableExpText"/>
              <w:rPr>
                <w:color w:val="00264D" w:themeColor="background2"/>
              </w:rPr>
            </w:pPr>
            <w:r w:rsidRPr="0043363C">
              <w:rPr>
                <w:color w:val="00264D" w:themeColor="background2"/>
              </w:rPr>
              <w:t xml:space="preserve">Scope of </w:t>
            </w:r>
            <w:r w:rsidR="00432BD6">
              <w:rPr>
                <w:color w:val="00264D" w:themeColor="background2"/>
              </w:rPr>
              <w:t>R</w:t>
            </w:r>
            <w:r w:rsidRPr="0043363C">
              <w:rPr>
                <w:color w:val="00264D" w:themeColor="background2"/>
              </w:rPr>
              <w:t>eview</w:t>
            </w:r>
          </w:p>
        </w:tc>
        <w:tc>
          <w:tcPr>
            <w:tcW w:w="2410" w:type="dxa"/>
          </w:tcPr>
          <w:p w14:paraId="62636E57" w14:textId="19125D10" w:rsidR="001B5ADA" w:rsidRPr="0043363C" w:rsidRDefault="001B5ADA" w:rsidP="00C26D69">
            <w:pPr>
              <w:pStyle w:val="TableExpText"/>
              <w:rPr>
                <w:color w:val="00264D" w:themeColor="background2"/>
              </w:rPr>
            </w:pPr>
            <w:r w:rsidRPr="0043363C">
              <w:rPr>
                <w:color w:val="00264D" w:themeColor="background2"/>
              </w:rPr>
              <w:t xml:space="preserve">Timing </w:t>
            </w:r>
            <w:r w:rsidR="00432BD6">
              <w:rPr>
                <w:color w:val="00264D" w:themeColor="background2"/>
              </w:rPr>
              <w:t>R</w:t>
            </w:r>
            <w:r w:rsidRPr="0043363C">
              <w:rPr>
                <w:color w:val="00264D" w:themeColor="background2"/>
              </w:rPr>
              <w:t>eview conducted</w:t>
            </w:r>
          </w:p>
        </w:tc>
      </w:tr>
      <w:tr w:rsidR="001B5ADA" w:rsidRPr="00BB1AA6" w14:paraId="08A4B567" w14:textId="77777777" w:rsidTr="00C26D69">
        <w:tc>
          <w:tcPr>
            <w:tcW w:w="993" w:type="dxa"/>
            <w:vMerge w:val="restart"/>
          </w:tcPr>
          <w:p w14:paraId="0733A86F" w14:textId="77777777" w:rsidR="001B5ADA" w:rsidRPr="00BB1AA6" w:rsidRDefault="001B5ADA" w:rsidP="00C26D69">
            <w:pPr>
              <w:pStyle w:val="TableExpText"/>
              <w:rPr>
                <w:rFonts w:cs="Segoe UI"/>
                <w:color w:val="000000" w:themeColor="text1"/>
                <w:szCs w:val="19"/>
              </w:rPr>
            </w:pPr>
            <w:r>
              <w:rPr>
                <w:rFonts w:cs="Segoe UI"/>
                <w:color w:val="000000" w:themeColor="text1"/>
                <w:szCs w:val="19"/>
              </w:rPr>
              <w:t>Tranche 1 (2017)</w:t>
            </w:r>
          </w:p>
        </w:tc>
        <w:tc>
          <w:tcPr>
            <w:tcW w:w="3685" w:type="dxa"/>
          </w:tcPr>
          <w:p w14:paraId="63D150C3" w14:textId="77777777" w:rsidR="001B5ADA" w:rsidRPr="00BB1AA6" w:rsidRDefault="001B5ADA" w:rsidP="00C26D69">
            <w:pPr>
              <w:pStyle w:val="TableExpText"/>
              <w:rPr>
                <w:rFonts w:cs="Segoe UI"/>
                <w:color w:val="000000" w:themeColor="text1"/>
                <w:szCs w:val="19"/>
                <w:lang w:val="en-US"/>
              </w:rPr>
            </w:pPr>
            <w:r>
              <w:rPr>
                <w:rFonts w:cs="Segoe UI"/>
                <w:color w:val="000000" w:themeColor="text1"/>
                <w:szCs w:val="19"/>
                <w:lang w:val="en-US"/>
              </w:rPr>
              <w:t>Central Desert Native Title Services</w:t>
            </w:r>
          </w:p>
        </w:tc>
        <w:tc>
          <w:tcPr>
            <w:tcW w:w="1843" w:type="dxa"/>
            <w:vMerge w:val="restart"/>
          </w:tcPr>
          <w:p w14:paraId="701429A5" w14:textId="77777777" w:rsidR="001B5ADA" w:rsidRPr="0036670E" w:rsidRDefault="001B5ADA" w:rsidP="00C26D69">
            <w:pPr>
              <w:pStyle w:val="TableExpText"/>
              <w:rPr>
                <w:rFonts w:cs="Segoe UI"/>
                <w:color w:val="000000" w:themeColor="text1"/>
                <w:szCs w:val="19"/>
                <w:lang w:val="en-US"/>
              </w:rPr>
            </w:pPr>
            <w:r>
              <w:rPr>
                <w:rFonts w:cs="Segoe UI"/>
                <w:color w:val="000000" w:themeColor="text1"/>
                <w:szCs w:val="19"/>
                <w:lang w:val="en-US"/>
              </w:rPr>
              <w:t xml:space="preserve">July 2014 – </w:t>
            </w:r>
            <w:r w:rsidRPr="0036670E">
              <w:rPr>
                <w:rFonts w:cs="Segoe UI"/>
                <w:color w:val="000000" w:themeColor="text1"/>
                <w:szCs w:val="19"/>
                <w:lang w:val="en-US"/>
              </w:rPr>
              <w:t>June 2017</w:t>
            </w:r>
          </w:p>
        </w:tc>
        <w:tc>
          <w:tcPr>
            <w:tcW w:w="2410" w:type="dxa"/>
            <w:vMerge w:val="restart"/>
          </w:tcPr>
          <w:p w14:paraId="508E92DB" w14:textId="77777777" w:rsidR="001B5ADA" w:rsidRPr="0036670E" w:rsidRDefault="001B5ADA" w:rsidP="00C26D69">
            <w:pPr>
              <w:pStyle w:val="TableExpText"/>
              <w:rPr>
                <w:rFonts w:cs="Segoe UI"/>
                <w:color w:val="000000" w:themeColor="text1"/>
                <w:szCs w:val="19"/>
                <w:lang w:val="en-US"/>
              </w:rPr>
            </w:pPr>
            <w:r>
              <w:rPr>
                <w:rFonts w:cs="Segoe UI"/>
                <w:color w:val="000000" w:themeColor="text1"/>
                <w:szCs w:val="19"/>
                <w:lang w:val="en-US"/>
              </w:rPr>
              <w:t xml:space="preserve">June 2017 – </w:t>
            </w:r>
            <w:r w:rsidRPr="0036670E">
              <w:rPr>
                <w:rFonts w:cs="Segoe UI"/>
                <w:color w:val="000000" w:themeColor="text1"/>
                <w:szCs w:val="19"/>
                <w:lang w:val="en-US"/>
              </w:rPr>
              <w:t>March 2018</w:t>
            </w:r>
          </w:p>
        </w:tc>
      </w:tr>
      <w:tr w:rsidR="001B5ADA" w:rsidRPr="00BB1AA6" w14:paraId="0462CC83" w14:textId="77777777" w:rsidTr="00C26D69">
        <w:tc>
          <w:tcPr>
            <w:tcW w:w="993" w:type="dxa"/>
            <w:vMerge/>
          </w:tcPr>
          <w:p w14:paraId="31CFDBBA" w14:textId="77777777" w:rsidR="001B5ADA" w:rsidRPr="00BB1AA6" w:rsidRDefault="001B5ADA" w:rsidP="00C26D69">
            <w:pPr>
              <w:pStyle w:val="TableExpText"/>
              <w:rPr>
                <w:rFonts w:cs="Segoe UI"/>
                <w:color w:val="000000" w:themeColor="text1"/>
                <w:szCs w:val="19"/>
              </w:rPr>
            </w:pPr>
          </w:p>
        </w:tc>
        <w:tc>
          <w:tcPr>
            <w:tcW w:w="3685" w:type="dxa"/>
            <w:vAlign w:val="top"/>
          </w:tcPr>
          <w:p w14:paraId="0E2D47F7" w14:textId="77777777" w:rsidR="001B5ADA" w:rsidRPr="00BB1AA6" w:rsidRDefault="001B5ADA" w:rsidP="00C26D69">
            <w:pPr>
              <w:pStyle w:val="TableExpText"/>
              <w:rPr>
                <w:rFonts w:cs="Segoe UI"/>
                <w:color w:val="000000" w:themeColor="text1"/>
                <w:szCs w:val="19"/>
              </w:rPr>
            </w:pPr>
            <w:r w:rsidRPr="00AA08B3">
              <w:t>First Nations Legal and Research Services</w:t>
            </w:r>
          </w:p>
        </w:tc>
        <w:tc>
          <w:tcPr>
            <w:tcW w:w="1843" w:type="dxa"/>
            <w:vMerge/>
          </w:tcPr>
          <w:p w14:paraId="7A2E7697" w14:textId="77777777" w:rsidR="001B5ADA" w:rsidRPr="00BB1AA6" w:rsidRDefault="001B5ADA" w:rsidP="00C26D69">
            <w:pPr>
              <w:pStyle w:val="TableExpText"/>
              <w:rPr>
                <w:rFonts w:cs="Segoe UI"/>
                <w:color w:val="000000" w:themeColor="text1"/>
                <w:szCs w:val="19"/>
              </w:rPr>
            </w:pPr>
          </w:p>
        </w:tc>
        <w:tc>
          <w:tcPr>
            <w:tcW w:w="2410" w:type="dxa"/>
            <w:vMerge/>
          </w:tcPr>
          <w:p w14:paraId="638870F8" w14:textId="77777777" w:rsidR="001B5ADA" w:rsidRPr="00BB1AA6" w:rsidRDefault="001B5ADA" w:rsidP="00C26D69">
            <w:pPr>
              <w:pStyle w:val="TableExpText"/>
              <w:rPr>
                <w:rFonts w:cs="Segoe UI"/>
                <w:color w:val="000000" w:themeColor="text1"/>
                <w:szCs w:val="19"/>
              </w:rPr>
            </w:pPr>
          </w:p>
        </w:tc>
      </w:tr>
      <w:tr w:rsidR="001B5ADA" w:rsidRPr="00BB1AA6" w14:paraId="2757C695" w14:textId="77777777" w:rsidTr="00C26D69">
        <w:tc>
          <w:tcPr>
            <w:tcW w:w="993" w:type="dxa"/>
            <w:vMerge/>
          </w:tcPr>
          <w:p w14:paraId="5D4C7F13" w14:textId="77777777" w:rsidR="001B5ADA" w:rsidRPr="00BB1AA6" w:rsidRDefault="001B5ADA" w:rsidP="00C26D69">
            <w:pPr>
              <w:pStyle w:val="TableExpText"/>
              <w:rPr>
                <w:rFonts w:cs="Segoe UI"/>
                <w:color w:val="000000" w:themeColor="text1"/>
                <w:szCs w:val="19"/>
              </w:rPr>
            </w:pPr>
          </w:p>
        </w:tc>
        <w:tc>
          <w:tcPr>
            <w:tcW w:w="3685" w:type="dxa"/>
            <w:vAlign w:val="top"/>
          </w:tcPr>
          <w:p w14:paraId="5AB3F2AA" w14:textId="77777777" w:rsidR="001B5ADA" w:rsidRPr="00BB1AA6" w:rsidRDefault="001B5ADA" w:rsidP="00C26D69">
            <w:pPr>
              <w:pStyle w:val="TableExpText"/>
              <w:rPr>
                <w:rFonts w:cs="Segoe UI"/>
                <w:color w:val="000000" w:themeColor="text1"/>
                <w:szCs w:val="19"/>
                <w:lang w:val="en-US"/>
              </w:rPr>
            </w:pPr>
            <w:r w:rsidRPr="00AA08B3">
              <w:t>Goldfields Land and Sea Council</w:t>
            </w:r>
          </w:p>
        </w:tc>
        <w:tc>
          <w:tcPr>
            <w:tcW w:w="1843" w:type="dxa"/>
            <w:vMerge/>
          </w:tcPr>
          <w:p w14:paraId="447139C7" w14:textId="77777777" w:rsidR="001B5ADA" w:rsidRPr="00BB1AA6" w:rsidRDefault="001B5ADA" w:rsidP="00C26D69">
            <w:pPr>
              <w:pStyle w:val="TableExpText"/>
              <w:rPr>
                <w:rFonts w:cs="Segoe UI"/>
                <w:color w:val="000000" w:themeColor="text1"/>
                <w:szCs w:val="19"/>
                <w:lang w:val="en-US"/>
              </w:rPr>
            </w:pPr>
          </w:p>
        </w:tc>
        <w:tc>
          <w:tcPr>
            <w:tcW w:w="2410" w:type="dxa"/>
            <w:vMerge/>
          </w:tcPr>
          <w:p w14:paraId="46C24ED9" w14:textId="77777777" w:rsidR="001B5ADA" w:rsidRPr="00BB1AA6" w:rsidRDefault="001B5ADA" w:rsidP="00C26D69">
            <w:pPr>
              <w:pStyle w:val="TableExpText"/>
              <w:rPr>
                <w:rFonts w:cs="Segoe UI"/>
                <w:color w:val="000000" w:themeColor="text1"/>
                <w:szCs w:val="19"/>
                <w:lang w:val="en-US"/>
              </w:rPr>
            </w:pPr>
          </w:p>
        </w:tc>
      </w:tr>
      <w:tr w:rsidR="001B5ADA" w:rsidRPr="00BB1AA6" w14:paraId="429CFEE1" w14:textId="77777777" w:rsidTr="00C26D69">
        <w:tc>
          <w:tcPr>
            <w:tcW w:w="993" w:type="dxa"/>
            <w:vMerge/>
          </w:tcPr>
          <w:p w14:paraId="6D69FD3F" w14:textId="77777777" w:rsidR="001B5ADA" w:rsidRPr="00BB1AA6" w:rsidRDefault="001B5ADA" w:rsidP="00C26D69">
            <w:pPr>
              <w:pStyle w:val="TableExpText"/>
              <w:rPr>
                <w:rFonts w:cs="Segoe UI"/>
                <w:color w:val="000000" w:themeColor="text1"/>
                <w:szCs w:val="19"/>
              </w:rPr>
            </w:pPr>
          </w:p>
        </w:tc>
        <w:tc>
          <w:tcPr>
            <w:tcW w:w="3685" w:type="dxa"/>
            <w:vAlign w:val="top"/>
          </w:tcPr>
          <w:p w14:paraId="16253FCB" w14:textId="77777777" w:rsidR="001B5ADA" w:rsidRPr="001B5ADA" w:rsidRDefault="001B5ADA" w:rsidP="00C26D69">
            <w:pPr>
              <w:pStyle w:val="TableExpText"/>
              <w:rPr>
                <w:rFonts w:cs="Segoe UI"/>
                <w:bCs/>
                <w:color w:val="000000" w:themeColor="text1"/>
                <w:szCs w:val="19"/>
                <w:lang w:val="en-US"/>
              </w:rPr>
            </w:pPr>
            <w:r w:rsidRPr="001B5ADA">
              <w:rPr>
                <w:bCs/>
              </w:rPr>
              <w:t>Native Title Services Corporation</w:t>
            </w:r>
          </w:p>
        </w:tc>
        <w:tc>
          <w:tcPr>
            <w:tcW w:w="1843" w:type="dxa"/>
            <w:vMerge/>
          </w:tcPr>
          <w:p w14:paraId="2E0D036C" w14:textId="77777777" w:rsidR="001B5ADA" w:rsidRPr="00BB1AA6" w:rsidRDefault="001B5ADA" w:rsidP="00C26D69">
            <w:pPr>
              <w:pStyle w:val="TableExpText"/>
              <w:rPr>
                <w:rFonts w:cs="Segoe UI"/>
                <w:color w:val="000000" w:themeColor="text1"/>
                <w:szCs w:val="19"/>
                <w:lang w:val="en-US"/>
              </w:rPr>
            </w:pPr>
          </w:p>
        </w:tc>
        <w:tc>
          <w:tcPr>
            <w:tcW w:w="2410" w:type="dxa"/>
            <w:vMerge/>
          </w:tcPr>
          <w:p w14:paraId="4449144F" w14:textId="77777777" w:rsidR="001B5ADA" w:rsidRPr="00BB1AA6" w:rsidRDefault="001B5ADA" w:rsidP="00C26D69">
            <w:pPr>
              <w:pStyle w:val="TableExpText"/>
              <w:rPr>
                <w:rFonts w:cs="Segoe UI"/>
                <w:color w:val="000000" w:themeColor="text1"/>
                <w:szCs w:val="19"/>
                <w:lang w:val="en-US"/>
              </w:rPr>
            </w:pPr>
          </w:p>
        </w:tc>
      </w:tr>
      <w:tr w:rsidR="001B5ADA" w:rsidRPr="00BB1AA6" w14:paraId="132BC1DB" w14:textId="77777777" w:rsidTr="00C26D69">
        <w:tc>
          <w:tcPr>
            <w:tcW w:w="993" w:type="dxa"/>
            <w:vMerge/>
          </w:tcPr>
          <w:p w14:paraId="1BEAD1F6" w14:textId="77777777" w:rsidR="001B5ADA" w:rsidRPr="00BB1AA6" w:rsidRDefault="001B5ADA" w:rsidP="00C26D69">
            <w:pPr>
              <w:pStyle w:val="TableExpText"/>
              <w:rPr>
                <w:rFonts w:cs="Segoe UI"/>
                <w:color w:val="000000" w:themeColor="text1"/>
                <w:szCs w:val="19"/>
              </w:rPr>
            </w:pPr>
          </w:p>
        </w:tc>
        <w:tc>
          <w:tcPr>
            <w:tcW w:w="3685" w:type="dxa"/>
            <w:vAlign w:val="top"/>
          </w:tcPr>
          <w:p w14:paraId="1A858424" w14:textId="77777777" w:rsidR="001B5ADA" w:rsidRPr="00131D1D" w:rsidRDefault="001B5ADA" w:rsidP="00C26D69">
            <w:pPr>
              <w:pStyle w:val="TableExpText"/>
              <w:rPr>
                <w:rFonts w:cs="Segoe UI"/>
                <w:color w:val="000000" w:themeColor="text1"/>
                <w:szCs w:val="19"/>
                <w:lang w:val="en-US"/>
              </w:rPr>
            </w:pPr>
            <w:r w:rsidRPr="00131D1D">
              <w:t>Queensland South Native Title Services</w:t>
            </w:r>
          </w:p>
        </w:tc>
        <w:tc>
          <w:tcPr>
            <w:tcW w:w="1843" w:type="dxa"/>
            <w:vMerge/>
          </w:tcPr>
          <w:p w14:paraId="0F2B0E48" w14:textId="77777777" w:rsidR="001B5ADA" w:rsidRPr="00BB1AA6" w:rsidRDefault="001B5ADA" w:rsidP="00C26D69">
            <w:pPr>
              <w:pStyle w:val="TableExpText"/>
              <w:rPr>
                <w:rFonts w:cs="Segoe UI"/>
                <w:color w:val="000000" w:themeColor="text1"/>
                <w:szCs w:val="19"/>
                <w:lang w:val="en-US"/>
              </w:rPr>
            </w:pPr>
          </w:p>
        </w:tc>
        <w:tc>
          <w:tcPr>
            <w:tcW w:w="2410" w:type="dxa"/>
            <w:vMerge/>
          </w:tcPr>
          <w:p w14:paraId="01CF924A" w14:textId="77777777" w:rsidR="001B5ADA" w:rsidRPr="00BB1AA6" w:rsidRDefault="001B5ADA" w:rsidP="00C26D69">
            <w:pPr>
              <w:pStyle w:val="TableExpText"/>
              <w:rPr>
                <w:rFonts w:cs="Segoe UI"/>
                <w:color w:val="000000" w:themeColor="text1"/>
                <w:szCs w:val="19"/>
                <w:lang w:val="en-US"/>
              </w:rPr>
            </w:pPr>
          </w:p>
        </w:tc>
      </w:tr>
      <w:tr w:rsidR="001B5ADA" w:rsidRPr="00BB1AA6" w14:paraId="1944BE8A" w14:textId="77777777" w:rsidTr="00C26D69">
        <w:tc>
          <w:tcPr>
            <w:tcW w:w="993" w:type="dxa"/>
            <w:vMerge w:val="restart"/>
          </w:tcPr>
          <w:p w14:paraId="10B89F0B" w14:textId="77777777" w:rsidR="001B5ADA" w:rsidRPr="00BB1AA6" w:rsidRDefault="001B5ADA" w:rsidP="00C26D69">
            <w:pPr>
              <w:pStyle w:val="TableExpText"/>
              <w:rPr>
                <w:rFonts w:cs="Segoe UI"/>
                <w:color w:val="000000" w:themeColor="text1"/>
                <w:szCs w:val="19"/>
              </w:rPr>
            </w:pPr>
            <w:r>
              <w:rPr>
                <w:rFonts w:cs="Segoe UI"/>
                <w:color w:val="000000" w:themeColor="text1"/>
                <w:szCs w:val="19"/>
              </w:rPr>
              <w:t>Tranche 2 (2018)</w:t>
            </w:r>
          </w:p>
        </w:tc>
        <w:tc>
          <w:tcPr>
            <w:tcW w:w="3685" w:type="dxa"/>
            <w:vAlign w:val="top"/>
          </w:tcPr>
          <w:p w14:paraId="15BA211F" w14:textId="77777777" w:rsidR="001B5ADA" w:rsidRPr="00BB1AA6" w:rsidRDefault="001B5ADA" w:rsidP="00C26D69">
            <w:pPr>
              <w:pStyle w:val="TableExpText"/>
              <w:rPr>
                <w:rFonts w:cs="Segoe UI"/>
                <w:color w:val="000000" w:themeColor="text1"/>
                <w:szCs w:val="19"/>
                <w:lang w:val="en-US"/>
              </w:rPr>
            </w:pPr>
            <w:r w:rsidRPr="00197B40">
              <w:t>Cape York Land Council</w:t>
            </w:r>
          </w:p>
        </w:tc>
        <w:tc>
          <w:tcPr>
            <w:tcW w:w="1843" w:type="dxa"/>
            <w:vMerge w:val="restart"/>
          </w:tcPr>
          <w:p w14:paraId="2095579D" w14:textId="77777777" w:rsidR="001B5ADA" w:rsidRPr="0036670E" w:rsidRDefault="001B5ADA" w:rsidP="00C26D69">
            <w:pPr>
              <w:pStyle w:val="TableExpText"/>
              <w:rPr>
                <w:rFonts w:cs="Segoe UI"/>
                <w:color w:val="000000" w:themeColor="text1"/>
                <w:szCs w:val="19"/>
                <w:lang w:val="en-US"/>
              </w:rPr>
            </w:pPr>
            <w:r>
              <w:rPr>
                <w:rFonts w:cs="Segoe UI"/>
                <w:color w:val="000000" w:themeColor="text1"/>
                <w:szCs w:val="19"/>
                <w:lang w:val="en-US"/>
              </w:rPr>
              <w:t xml:space="preserve">July 2015 – </w:t>
            </w:r>
            <w:r w:rsidRPr="0036670E">
              <w:rPr>
                <w:rFonts w:cs="Segoe UI"/>
                <w:color w:val="000000" w:themeColor="text1"/>
                <w:szCs w:val="19"/>
                <w:lang w:val="en-US"/>
              </w:rPr>
              <w:t>June 2018</w:t>
            </w:r>
          </w:p>
        </w:tc>
        <w:tc>
          <w:tcPr>
            <w:tcW w:w="2410" w:type="dxa"/>
            <w:vMerge w:val="restart"/>
          </w:tcPr>
          <w:p w14:paraId="1C4EE21A" w14:textId="77777777" w:rsidR="001B5ADA" w:rsidRPr="00BB1AA6" w:rsidRDefault="001B5ADA" w:rsidP="00C26D69">
            <w:pPr>
              <w:pStyle w:val="TableExpText"/>
              <w:rPr>
                <w:rFonts w:cs="Segoe UI"/>
                <w:color w:val="000000" w:themeColor="text1"/>
                <w:szCs w:val="19"/>
                <w:lang w:val="en-US"/>
              </w:rPr>
            </w:pPr>
            <w:r>
              <w:rPr>
                <w:rFonts w:cs="Segoe UI"/>
                <w:color w:val="000000" w:themeColor="text1"/>
                <w:szCs w:val="19"/>
                <w:lang w:val="en-US"/>
              </w:rPr>
              <w:t>September 2018 – April 2019</w:t>
            </w:r>
          </w:p>
        </w:tc>
      </w:tr>
      <w:tr w:rsidR="001B5ADA" w:rsidRPr="00BB1AA6" w14:paraId="13AD6BFE" w14:textId="77777777" w:rsidTr="00C26D69">
        <w:tc>
          <w:tcPr>
            <w:tcW w:w="993" w:type="dxa"/>
            <w:vMerge/>
          </w:tcPr>
          <w:p w14:paraId="7D4E655B" w14:textId="77777777" w:rsidR="001B5ADA" w:rsidRPr="00BB1AA6" w:rsidRDefault="001B5ADA" w:rsidP="00C26D69">
            <w:pPr>
              <w:pStyle w:val="TableExpText"/>
              <w:rPr>
                <w:rFonts w:cs="Segoe UI"/>
                <w:color w:val="000000" w:themeColor="text1"/>
                <w:szCs w:val="19"/>
              </w:rPr>
            </w:pPr>
          </w:p>
        </w:tc>
        <w:tc>
          <w:tcPr>
            <w:tcW w:w="3685" w:type="dxa"/>
            <w:vAlign w:val="top"/>
          </w:tcPr>
          <w:p w14:paraId="43936139" w14:textId="77777777" w:rsidR="001B5ADA" w:rsidRPr="00BB1AA6" w:rsidRDefault="001B5ADA" w:rsidP="00C26D69">
            <w:pPr>
              <w:pStyle w:val="TableExpText"/>
              <w:rPr>
                <w:rFonts w:cs="Segoe UI"/>
                <w:color w:val="000000" w:themeColor="text1"/>
                <w:szCs w:val="19"/>
                <w:lang w:val="en-US"/>
              </w:rPr>
            </w:pPr>
            <w:r w:rsidRPr="00197B40">
              <w:t xml:space="preserve">Carpentaria </w:t>
            </w:r>
            <w:r>
              <w:t>L</w:t>
            </w:r>
            <w:r w:rsidRPr="00197B40">
              <w:t>and Council Aboriginal Corporation</w:t>
            </w:r>
          </w:p>
        </w:tc>
        <w:tc>
          <w:tcPr>
            <w:tcW w:w="1843" w:type="dxa"/>
            <w:vMerge/>
          </w:tcPr>
          <w:p w14:paraId="0805A9A4" w14:textId="77777777" w:rsidR="001B5ADA" w:rsidRPr="00BB1AA6" w:rsidRDefault="001B5ADA" w:rsidP="00C26D69">
            <w:pPr>
              <w:pStyle w:val="TableExpText"/>
              <w:rPr>
                <w:rFonts w:cs="Segoe UI"/>
                <w:color w:val="000000" w:themeColor="text1"/>
                <w:szCs w:val="19"/>
                <w:lang w:val="en-US"/>
              </w:rPr>
            </w:pPr>
          </w:p>
        </w:tc>
        <w:tc>
          <w:tcPr>
            <w:tcW w:w="2410" w:type="dxa"/>
            <w:vMerge/>
          </w:tcPr>
          <w:p w14:paraId="5C49BB90" w14:textId="77777777" w:rsidR="001B5ADA" w:rsidRPr="00BB1AA6" w:rsidRDefault="001B5ADA" w:rsidP="00C26D69">
            <w:pPr>
              <w:pStyle w:val="TableExpText"/>
              <w:rPr>
                <w:rFonts w:cs="Segoe UI"/>
                <w:color w:val="000000" w:themeColor="text1"/>
                <w:szCs w:val="19"/>
                <w:lang w:val="en-US"/>
              </w:rPr>
            </w:pPr>
          </w:p>
        </w:tc>
      </w:tr>
      <w:tr w:rsidR="001B5ADA" w:rsidRPr="00BB1AA6" w14:paraId="0A23FF7B" w14:textId="77777777" w:rsidTr="00C26D69">
        <w:tc>
          <w:tcPr>
            <w:tcW w:w="993" w:type="dxa"/>
            <w:vMerge/>
          </w:tcPr>
          <w:p w14:paraId="7F14993B" w14:textId="77777777" w:rsidR="001B5ADA" w:rsidRPr="00BB1AA6" w:rsidRDefault="001B5ADA" w:rsidP="00C26D69">
            <w:pPr>
              <w:pStyle w:val="TableExpText"/>
              <w:rPr>
                <w:rFonts w:cs="Segoe UI"/>
                <w:color w:val="000000" w:themeColor="text1"/>
                <w:szCs w:val="19"/>
              </w:rPr>
            </w:pPr>
          </w:p>
        </w:tc>
        <w:tc>
          <w:tcPr>
            <w:tcW w:w="3685" w:type="dxa"/>
            <w:vAlign w:val="top"/>
          </w:tcPr>
          <w:p w14:paraId="544761D8" w14:textId="77777777" w:rsidR="001B5ADA" w:rsidRPr="00BB1AA6" w:rsidRDefault="001B5ADA" w:rsidP="00C26D69">
            <w:pPr>
              <w:pStyle w:val="TableExpText"/>
              <w:rPr>
                <w:rFonts w:cs="Segoe UI"/>
                <w:color w:val="000000" w:themeColor="text1"/>
                <w:szCs w:val="19"/>
                <w:lang w:val="en-US"/>
              </w:rPr>
            </w:pPr>
            <w:r w:rsidRPr="00197B40">
              <w:t>Kimberly Land Council</w:t>
            </w:r>
          </w:p>
        </w:tc>
        <w:tc>
          <w:tcPr>
            <w:tcW w:w="1843" w:type="dxa"/>
            <w:vMerge/>
          </w:tcPr>
          <w:p w14:paraId="51818D95" w14:textId="77777777" w:rsidR="001B5ADA" w:rsidRPr="00BB1AA6" w:rsidRDefault="001B5ADA" w:rsidP="00C26D69">
            <w:pPr>
              <w:pStyle w:val="TableExpText"/>
              <w:rPr>
                <w:rFonts w:cs="Segoe UI"/>
                <w:color w:val="000000" w:themeColor="text1"/>
                <w:szCs w:val="19"/>
                <w:lang w:val="en-US"/>
              </w:rPr>
            </w:pPr>
          </w:p>
        </w:tc>
        <w:tc>
          <w:tcPr>
            <w:tcW w:w="2410" w:type="dxa"/>
            <w:vMerge/>
          </w:tcPr>
          <w:p w14:paraId="72217F77" w14:textId="77777777" w:rsidR="001B5ADA" w:rsidRPr="00BB1AA6" w:rsidRDefault="001B5ADA" w:rsidP="00C26D69">
            <w:pPr>
              <w:pStyle w:val="TableExpText"/>
              <w:rPr>
                <w:rFonts w:cs="Segoe UI"/>
                <w:color w:val="000000" w:themeColor="text1"/>
                <w:szCs w:val="19"/>
                <w:lang w:val="en-US"/>
              </w:rPr>
            </w:pPr>
          </w:p>
        </w:tc>
      </w:tr>
      <w:tr w:rsidR="001B5ADA" w:rsidRPr="00BB1AA6" w14:paraId="51B9E057" w14:textId="77777777" w:rsidTr="00C26D69">
        <w:tc>
          <w:tcPr>
            <w:tcW w:w="993" w:type="dxa"/>
            <w:vMerge/>
          </w:tcPr>
          <w:p w14:paraId="220CBFEB" w14:textId="77777777" w:rsidR="001B5ADA" w:rsidRPr="00BB1AA6" w:rsidRDefault="001B5ADA" w:rsidP="00C26D69">
            <w:pPr>
              <w:pStyle w:val="TableExpText"/>
              <w:rPr>
                <w:rFonts w:cs="Segoe UI"/>
                <w:color w:val="000000" w:themeColor="text1"/>
                <w:szCs w:val="19"/>
              </w:rPr>
            </w:pPr>
          </w:p>
        </w:tc>
        <w:tc>
          <w:tcPr>
            <w:tcW w:w="3685" w:type="dxa"/>
            <w:vAlign w:val="top"/>
          </w:tcPr>
          <w:p w14:paraId="5E2B509E" w14:textId="77777777" w:rsidR="001B5ADA" w:rsidRPr="001B5ADA" w:rsidRDefault="001B5ADA" w:rsidP="00C26D69">
            <w:pPr>
              <w:pStyle w:val="TableExpText"/>
              <w:rPr>
                <w:rFonts w:cs="Segoe UI"/>
                <w:b/>
                <w:color w:val="000000" w:themeColor="text1"/>
                <w:szCs w:val="19"/>
                <w:lang w:val="en-US"/>
              </w:rPr>
            </w:pPr>
            <w:r w:rsidRPr="001B5ADA">
              <w:rPr>
                <w:b/>
              </w:rPr>
              <w:t>North Queensland Land Council</w:t>
            </w:r>
          </w:p>
        </w:tc>
        <w:tc>
          <w:tcPr>
            <w:tcW w:w="1843" w:type="dxa"/>
            <w:vMerge/>
          </w:tcPr>
          <w:p w14:paraId="3EC0AAB8" w14:textId="77777777" w:rsidR="001B5ADA" w:rsidRPr="00BB1AA6" w:rsidRDefault="001B5ADA" w:rsidP="00C26D69">
            <w:pPr>
              <w:pStyle w:val="TableExpText"/>
              <w:rPr>
                <w:rFonts w:cs="Segoe UI"/>
                <w:color w:val="000000" w:themeColor="text1"/>
                <w:szCs w:val="19"/>
                <w:lang w:val="en-US"/>
              </w:rPr>
            </w:pPr>
          </w:p>
        </w:tc>
        <w:tc>
          <w:tcPr>
            <w:tcW w:w="2410" w:type="dxa"/>
            <w:vMerge/>
          </w:tcPr>
          <w:p w14:paraId="00622F36" w14:textId="77777777" w:rsidR="001B5ADA" w:rsidRPr="00BB1AA6" w:rsidRDefault="001B5ADA" w:rsidP="00C26D69">
            <w:pPr>
              <w:pStyle w:val="TableExpText"/>
              <w:rPr>
                <w:rFonts w:cs="Segoe UI"/>
                <w:color w:val="000000" w:themeColor="text1"/>
                <w:szCs w:val="19"/>
                <w:lang w:val="en-US"/>
              </w:rPr>
            </w:pPr>
          </w:p>
        </w:tc>
      </w:tr>
      <w:tr w:rsidR="001B5ADA" w:rsidRPr="00BB1AA6" w14:paraId="07102F5A" w14:textId="77777777" w:rsidTr="00C26D69">
        <w:tc>
          <w:tcPr>
            <w:tcW w:w="993" w:type="dxa"/>
            <w:vMerge/>
          </w:tcPr>
          <w:p w14:paraId="62E04C83" w14:textId="77777777" w:rsidR="001B5ADA" w:rsidRPr="00BB1AA6" w:rsidRDefault="001B5ADA" w:rsidP="00C26D69">
            <w:pPr>
              <w:pStyle w:val="TableExpText"/>
              <w:rPr>
                <w:rFonts w:cs="Segoe UI"/>
                <w:color w:val="000000" w:themeColor="text1"/>
                <w:szCs w:val="19"/>
              </w:rPr>
            </w:pPr>
          </w:p>
        </w:tc>
        <w:tc>
          <w:tcPr>
            <w:tcW w:w="3685" w:type="dxa"/>
            <w:vAlign w:val="top"/>
          </w:tcPr>
          <w:p w14:paraId="51E41CD3" w14:textId="77777777" w:rsidR="001B5ADA" w:rsidRPr="00BB1AA6" w:rsidRDefault="001B5ADA" w:rsidP="00C26D69">
            <w:pPr>
              <w:pStyle w:val="TableExpText"/>
              <w:rPr>
                <w:rFonts w:cs="Segoe UI"/>
                <w:color w:val="000000" w:themeColor="text1"/>
                <w:szCs w:val="19"/>
                <w:lang w:val="en-US"/>
              </w:rPr>
            </w:pPr>
            <w:r w:rsidRPr="00197B40">
              <w:t>South Australia Native Title Services</w:t>
            </w:r>
          </w:p>
        </w:tc>
        <w:tc>
          <w:tcPr>
            <w:tcW w:w="1843" w:type="dxa"/>
            <w:vMerge/>
          </w:tcPr>
          <w:p w14:paraId="37329F52" w14:textId="77777777" w:rsidR="001B5ADA" w:rsidRPr="00BB1AA6" w:rsidRDefault="001B5ADA" w:rsidP="00C26D69">
            <w:pPr>
              <w:pStyle w:val="TableExpText"/>
              <w:rPr>
                <w:rFonts w:cs="Segoe UI"/>
                <w:color w:val="000000" w:themeColor="text1"/>
                <w:szCs w:val="19"/>
                <w:lang w:val="en-US"/>
              </w:rPr>
            </w:pPr>
          </w:p>
        </w:tc>
        <w:tc>
          <w:tcPr>
            <w:tcW w:w="2410" w:type="dxa"/>
            <w:vMerge/>
          </w:tcPr>
          <w:p w14:paraId="2C16F05F" w14:textId="77777777" w:rsidR="001B5ADA" w:rsidRPr="00BB1AA6" w:rsidRDefault="001B5ADA" w:rsidP="00C26D69">
            <w:pPr>
              <w:pStyle w:val="TableExpText"/>
              <w:rPr>
                <w:rFonts w:cs="Segoe UI"/>
                <w:color w:val="000000" w:themeColor="text1"/>
                <w:szCs w:val="19"/>
                <w:lang w:val="en-US"/>
              </w:rPr>
            </w:pPr>
          </w:p>
        </w:tc>
      </w:tr>
      <w:tr w:rsidR="001B5ADA" w:rsidRPr="00BB1AA6" w14:paraId="33A0F20C" w14:textId="77777777" w:rsidTr="00C26D69">
        <w:tc>
          <w:tcPr>
            <w:tcW w:w="993" w:type="dxa"/>
            <w:vMerge/>
          </w:tcPr>
          <w:p w14:paraId="12F54413" w14:textId="77777777" w:rsidR="001B5ADA" w:rsidRPr="00BB1AA6" w:rsidRDefault="001B5ADA" w:rsidP="00C26D69">
            <w:pPr>
              <w:pStyle w:val="TableExpText"/>
              <w:rPr>
                <w:rFonts w:cs="Segoe UI"/>
                <w:color w:val="000000" w:themeColor="text1"/>
                <w:szCs w:val="19"/>
              </w:rPr>
            </w:pPr>
          </w:p>
        </w:tc>
        <w:tc>
          <w:tcPr>
            <w:tcW w:w="3685" w:type="dxa"/>
            <w:vAlign w:val="top"/>
          </w:tcPr>
          <w:p w14:paraId="66413F1A" w14:textId="77777777" w:rsidR="001B5ADA" w:rsidRPr="00BB1AA6" w:rsidRDefault="001B5ADA" w:rsidP="00C26D69">
            <w:pPr>
              <w:pStyle w:val="TableExpText"/>
              <w:rPr>
                <w:rFonts w:cs="Segoe UI"/>
                <w:color w:val="000000" w:themeColor="text1"/>
                <w:szCs w:val="19"/>
                <w:lang w:val="en-US"/>
              </w:rPr>
            </w:pPr>
            <w:r w:rsidRPr="00197B40">
              <w:t>Yamatji Marlpa Aboriginal Corporation</w:t>
            </w:r>
          </w:p>
        </w:tc>
        <w:tc>
          <w:tcPr>
            <w:tcW w:w="1843" w:type="dxa"/>
            <w:vMerge/>
          </w:tcPr>
          <w:p w14:paraId="701EBD1B" w14:textId="77777777" w:rsidR="001B5ADA" w:rsidRPr="00BB1AA6" w:rsidRDefault="001B5ADA" w:rsidP="00C26D69">
            <w:pPr>
              <w:pStyle w:val="TableExpText"/>
              <w:rPr>
                <w:rFonts w:cs="Segoe UI"/>
                <w:color w:val="000000" w:themeColor="text1"/>
                <w:szCs w:val="19"/>
                <w:lang w:val="en-US"/>
              </w:rPr>
            </w:pPr>
          </w:p>
        </w:tc>
        <w:tc>
          <w:tcPr>
            <w:tcW w:w="2410" w:type="dxa"/>
            <w:vMerge/>
          </w:tcPr>
          <w:p w14:paraId="6649ADE4" w14:textId="77777777" w:rsidR="001B5ADA" w:rsidRPr="00BB1AA6" w:rsidRDefault="001B5ADA" w:rsidP="00C26D69">
            <w:pPr>
              <w:pStyle w:val="TableExpText"/>
              <w:rPr>
                <w:rFonts w:cs="Segoe UI"/>
                <w:color w:val="000000" w:themeColor="text1"/>
                <w:szCs w:val="19"/>
                <w:lang w:val="en-US"/>
              </w:rPr>
            </w:pPr>
          </w:p>
        </w:tc>
      </w:tr>
      <w:tr w:rsidR="00570CFA" w:rsidRPr="00BB1AA6" w14:paraId="4DF3D6DD" w14:textId="77777777" w:rsidTr="00C26D69">
        <w:tc>
          <w:tcPr>
            <w:tcW w:w="993" w:type="dxa"/>
            <w:vMerge w:val="restart"/>
          </w:tcPr>
          <w:p w14:paraId="4072979E" w14:textId="2A6EF753" w:rsidR="00570CFA" w:rsidRPr="00BB1AA6" w:rsidRDefault="00570CFA" w:rsidP="00C26D69">
            <w:pPr>
              <w:pStyle w:val="TableExpText"/>
              <w:rPr>
                <w:rFonts w:cs="Segoe UI"/>
                <w:color w:val="000000" w:themeColor="text1"/>
                <w:szCs w:val="19"/>
              </w:rPr>
            </w:pPr>
            <w:r>
              <w:rPr>
                <w:rFonts w:cs="Segoe UI"/>
                <w:color w:val="000000" w:themeColor="text1"/>
                <w:szCs w:val="19"/>
              </w:rPr>
              <w:t>Tranche 3</w:t>
            </w:r>
            <w:r w:rsidR="004B55BC">
              <w:rPr>
                <w:rFonts w:cs="Segoe UI"/>
                <w:color w:val="000000" w:themeColor="text1"/>
                <w:szCs w:val="19"/>
              </w:rPr>
              <w:t xml:space="preserve"> </w:t>
            </w:r>
            <w:r>
              <w:rPr>
                <w:rFonts w:cs="Segoe UI"/>
                <w:color w:val="000000" w:themeColor="text1"/>
                <w:szCs w:val="19"/>
              </w:rPr>
              <w:t>(2020)</w:t>
            </w:r>
          </w:p>
        </w:tc>
        <w:tc>
          <w:tcPr>
            <w:tcW w:w="3685" w:type="dxa"/>
          </w:tcPr>
          <w:p w14:paraId="072F5966" w14:textId="77777777" w:rsidR="00570CFA" w:rsidRPr="00BB1AA6" w:rsidRDefault="00570CFA" w:rsidP="00C26D69">
            <w:pPr>
              <w:pStyle w:val="TableExpText"/>
              <w:rPr>
                <w:rFonts w:cs="Segoe UI"/>
                <w:color w:val="000000" w:themeColor="text1"/>
                <w:szCs w:val="19"/>
                <w:lang w:val="en-US"/>
              </w:rPr>
            </w:pPr>
            <w:r>
              <w:rPr>
                <w:rFonts w:cs="Segoe UI"/>
                <w:color w:val="000000" w:themeColor="text1"/>
                <w:szCs w:val="19"/>
                <w:lang w:val="en-US"/>
              </w:rPr>
              <w:t>Central Land Council</w:t>
            </w:r>
          </w:p>
        </w:tc>
        <w:tc>
          <w:tcPr>
            <w:tcW w:w="1843" w:type="dxa"/>
            <w:vMerge w:val="restart"/>
          </w:tcPr>
          <w:p w14:paraId="3E855F18" w14:textId="77777777" w:rsidR="00570CFA" w:rsidRPr="0036670E" w:rsidRDefault="00570CFA" w:rsidP="00C26D69">
            <w:pPr>
              <w:pStyle w:val="TableExpText"/>
              <w:rPr>
                <w:rFonts w:cs="Segoe UI"/>
                <w:color w:val="000000" w:themeColor="text1"/>
                <w:szCs w:val="19"/>
                <w:lang w:val="en-US"/>
              </w:rPr>
            </w:pPr>
            <w:r>
              <w:rPr>
                <w:rFonts w:cs="Segoe UI"/>
                <w:color w:val="000000" w:themeColor="text1"/>
                <w:szCs w:val="19"/>
                <w:lang w:val="en-US"/>
              </w:rPr>
              <w:t xml:space="preserve">July 2016 – </w:t>
            </w:r>
            <w:r w:rsidRPr="0036670E">
              <w:rPr>
                <w:rFonts w:cs="Segoe UI"/>
                <w:color w:val="000000" w:themeColor="text1"/>
                <w:szCs w:val="19"/>
                <w:lang w:val="en-US"/>
              </w:rPr>
              <w:t>June 2019</w:t>
            </w:r>
          </w:p>
        </w:tc>
        <w:tc>
          <w:tcPr>
            <w:tcW w:w="2410" w:type="dxa"/>
            <w:vMerge w:val="restart"/>
          </w:tcPr>
          <w:p w14:paraId="1D9DE8AC" w14:textId="77777777" w:rsidR="00570CFA" w:rsidRPr="0036670E" w:rsidRDefault="00570CFA" w:rsidP="00C26D69">
            <w:pPr>
              <w:pStyle w:val="TableExpText"/>
              <w:rPr>
                <w:rFonts w:cs="Segoe UI"/>
                <w:color w:val="000000" w:themeColor="text1"/>
                <w:szCs w:val="19"/>
                <w:lang w:val="en-US"/>
              </w:rPr>
            </w:pPr>
            <w:r>
              <w:rPr>
                <w:rFonts w:cs="Segoe UI"/>
                <w:color w:val="000000" w:themeColor="text1"/>
                <w:szCs w:val="19"/>
                <w:lang w:val="en-US"/>
              </w:rPr>
              <w:t xml:space="preserve">January 2020 – </w:t>
            </w:r>
            <w:r w:rsidRPr="0036670E">
              <w:rPr>
                <w:rFonts w:cs="Segoe UI"/>
                <w:color w:val="000000" w:themeColor="text1"/>
                <w:szCs w:val="19"/>
                <w:lang w:val="en-US"/>
              </w:rPr>
              <w:t>July 2020</w:t>
            </w:r>
          </w:p>
        </w:tc>
      </w:tr>
      <w:tr w:rsidR="00570CFA" w:rsidRPr="00BB1AA6" w14:paraId="3D1E18A5" w14:textId="77777777" w:rsidTr="00C26D69">
        <w:tc>
          <w:tcPr>
            <w:tcW w:w="993" w:type="dxa"/>
            <w:vMerge/>
          </w:tcPr>
          <w:p w14:paraId="1E86C7F6" w14:textId="77777777" w:rsidR="00570CFA" w:rsidRPr="00BB1AA6" w:rsidRDefault="00570CFA" w:rsidP="00C26D69">
            <w:pPr>
              <w:spacing w:after="0"/>
              <w:jc w:val="center"/>
              <w:rPr>
                <w:rFonts w:cs="Segoe UI"/>
                <w:color w:val="000000" w:themeColor="text1"/>
                <w:szCs w:val="19"/>
                <w:lang w:eastAsia="en-AU"/>
              </w:rPr>
            </w:pPr>
          </w:p>
        </w:tc>
        <w:tc>
          <w:tcPr>
            <w:tcW w:w="3685" w:type="dxa"/>
          </w:tcPr>
          <w:p w14:paraId="33B1DC85" w14:textId="77777777" w:rsidR="00570CFA" w:rsidRPr="00BB1AA6" w:rsidRDefault="00570CFA" w:rsidP="00C26D69">
            <w:pPr>
              <w:pStyle w:val="TableExpText"/>
              <w:rPr>
                <w:lang w:val="en-US"/>
              </w:rPr>
            </w:pPr>
            <w:r>
              <w:rPr>
                <w:lang w:val="en-US"/>
              </w:rPr>
              <w:t>Northern Land Council</w:t>
            </w:r>
          </w:p>
        </w:tc>
        <w:tc>
          <w:tcPr>
            <w:tcW w:w="1843" w:type="dxa"/>
            <w:vMerge/>
          </w:tcPr>
          <w:p w14:paraId="49659DFA" w14:textId="77777777" w:rsidR="00570CFA" w:rsidRPr="00BB1AA6" w:rsidRDefault="00570CFA" w:rsidP="00C26D69">
            <w:pPr>
              <w:spacing w:after="0"/>
              <w:rPr>
                <w:rFonts w:cs="Segoe UI"/>
                <w:color w:val="000000" w:themeColor="text1"/>
                <w:szCs w:val="19"/>
                <w:lang w:val="en-US"/>
              </w:rPr>
            </w:pPr>
          </w:p>
        </w:tc>
        <w:tc>
          <w:tcPr>
            <w:tcW w:w="2410" w:type="dxa"/>
            <w:vMerge/>
          </w:tcPr>
          <w:p w14:paraId="5A6A5A7B" w14:textId="77777777" w:rsidR="00570CFA" w:rsidRPr="00BB1AA6" w:rsidRDefault="00570CFA" w:rsidP="00C26D69">
            <w:pPr>
              <w:spacing w:after="0"/>
              <w:rPr>
                <w:rFonts w:cs="Segoe UI"/>
                <w:color w:val="000000" w:themeColor="text1"/>
                <w:szCs w:val="19"/>
                <w:lang w:val="en-US"/>
              </w:rPr>
            </w:pPr>
          </w:p>
        </w:tc>
      </w:tr>
      <w:tr w:rsidR="00570CFA" w:rsidRPr="00BB1AA6" w14:paraId="45C0EC8C" w14:textId="77777777" w:rsidTr="00C26D69">
        <w:tc>
          <w:tcPr>
            <w:tcW w:w="993" w:type="dxa"/>
            <w:vMerge/>
          </w:tcPr>
          <w:p w14:paraId="6FE002CF" w14:textId="77777777" w:rsidR="00570CFA" w:rsidRPr="00BB1AA6" w:rsidRDefault="00570CFA" w:rsidP="00C26D69">
            <w:pPr>
              <w:spacing w:after="0"/>
              <w:jc w:val="center"/>
              <w:rPr>
                <w:rFonts w:cs="Segoe UI"/>
                <w:color w:val="000000" w:themeColor="text1"/>
                <w:szCs w:val="19"/>
                <w:lang w:eastAsia="en-AU"/>
              </w:rPr>
            </w:pPr>
          </w:p>
        </w:tc>
        <w:tc>
          <w:tcPr>
            <w:tcW w:w="3685" w:type="dxa"/>
          </w:tcPr>
          <w:p w14:paraId="7FD8AE77" w14:textId="79C1B96F" w:rsidR="00570CFA" w:rsidRDefault="00570CFA" w:rsidP="006B728A">
            <w:pPr>
              <w:pStyle w:val="TableExpText"/>
              <w:rPr>
                <w:lang w:val="en-US"/>
              </w:rPr>
            </w:pPr>
            <w:r w:rsidRPr="006B728A">
              <w:rPr>
                <w:lang w:val="en-US"/>
              </w:rPr>
              <w:t>Torres Strait Regional Authority</w:t>
            </w:r>
          </w:p>
        </w:tc>
        <w:tc>
          <w:tcPr>
            <w:tcW w:w="1843" w:type="dxa"/>
          </w:tcPr>
          <w:p w14:paraId="36AA0165" w14:textId="312F038A" w:rsidR="00570CFA" w:rsidRPr="00570CFA" w:rsidRDefault="00570CFA" w:rsidP="00570CFA">
            <w:pPr>
              <w:pStyle w:val="TableExpText"/>
              <w:rPr>
                <w:rFonts w:cs="Segoe UI"/>
                <w:color w:val="000000" w:themeColor="text1"/>
                <w:szCs w:val="19"/>
                <w:lang w:val="en-US"/>
              </w:rPr>
            </w:pPr>
            <w:r w:rsidRPr="00570CFA">
              <w:rPr>
                <w:rFonts w:cs="Segoe UI"/>
                <w:color w:val="000000" w:themeColor="text1"/>
                <w:szCs w:val="19"/>
                <w:lang w:val="en-US"/>
              </w:rPr>
              <w:t>July 2016 – June 2019</w:t>
            </w:r>
          </w:p>
        </w:tc>
        <w:tc>
          <w:tcPr>
            <w:tcW w:w="2410" w:type="dxa"/>
          </w:tcPr>
          <w:p w14:paraId="33044467" w14:textId="7E0EB783" w:rsidR="00570CFA" w:rsidRPr="00570CFA" w:rsidRDefault="00570CFA" w:rsidP="00570CFA">
            <w:pPr>
              <w:pStyle w:val="TableExpText"/>
              <w:rPr>
                <w:rFonts w:cs="Segoe UI"/>
                <w:color w:val="000000" w:themeColor="text1"/>
                <w:szCs w:val="19"/>
                <w:lang w:val="en-US"/>
              </w:rPr>
            </w:pPr>
            <w:r w:rsidRPr="00570CFA">
              <w:rPr>
                <w:rFonts w:cs="Segoe UI"/>
                <w:color w:val="000000" w:themeColor="text1"/>
                <w:szCs w:val="19"/>
                <w:lang w:val="en-US"/>
              </w:rPr>
              <w:t xml:space="preserve">October 2020 – </w:t>
            </w:r>
            <w:r w:rsidR="00EE7D49">
              <w:rPr>
                <w:rFonts w:cs="Segoe UI"/>
                <w:color w:val="000000" w:themeColor="text1"/>
                <w:szCs w:val="19"/>
                <w:lang w:val="en-US"/>
              </w:rPr>
              <w:t>March 2021</w:t>
            </w:r>
          </w:p>
        </w:tc>
      </w:tr>
    </w:tbl>
    <w:p w14:paraId="78F97BB1" w14:textId="77777777" w:rsidR="001B5ADA" w:rsidRDefault="001B5ADA" w:rsidP="00D06FCE">
      <w:pPr>
        <w:spacing w:after="0"/>
        <w:rPr>
          <w:lang w:eastAsia="en-AU"/>
        </w:rPr>
      </w:pPr>
    </w:p>
    <w:p w14:paraId="4866784C" w14:textId="77777777" w:rsidR="001B5ADA" w:rsidRDefault="001B5ADA" w:rsidP="00D06FCE">
      <w:pPr>
        <w:spacing w:after="0"/>
        <w:rPr>
          <w:lang w:eastAsia="en-AU"/>
        </w:rPr>
      </w:pPr>
    </w:p>
    <w:p w14:paraId="4304BE9A" w14:textId="77777777" w:rsidR="00F72654" w:rsidRPr="00F94F37" w:rsidRDefault="00F72654" w:rsidP="00F72654">
      <w:pPr>
        <w:pStyle w:val="xAppendixLevel1"/>
      </w:pPr>
      <w:bookmarkStart w:id="144" w:name="_Ref37158591"/>
      <w:bookmarkStart w:id="145" w:name="_Toc68071813"/>
      <w:r w:rsidRPr="00F94F37">
        <w:lastRenderedPageBreak/>
        <w:t>Stakeholders consulted</w:t>
      </w:r>
      <w:bookmarkEnd w:id="144"/>
      <w:bookmarkEnd w:id="145"/>
    </w:p>
    <w:p w14:paraId="2BB52DEE" w14:textId="708755FD" w:rsidR="00D469C4" w:rsidRDefault="00D469C4" w:rsidP="00D469C4">
      <w:r>
        <w:t xml:space="preserve">The Review consulted with over 40 stakeholders in relation to NQLC’s performance. </w:t>
      </w:r>
      <w:r w:rsidR="00557127" w:rsidRPr="00B05C3C">
        <w:t xml:space="preserve">This was directly through interviews, as well as </w:t>
      </w:r>
      <w:r w:rsidR="00557127">
        <w:t xml:space="preserve">a qualitative </w:t>
      </w:r>
      <w:r w:rsidR="00557127" w:rsidRPr="00B05C3C">
        <w:t>survey conducted as part of the Review.</w:t>
      </w:r>
    </w:p>
    <w:p w14:paraId="60AFCE16" w14:textId="77777777" w:rsidR="00D469C4" w:rsidRDefault="00D469C4" w:rsidP="00D469C4">
      <w:r>
        <w:t>Stakeholder groups included:</w:t>
      </w:r>
    </w:p>
    <w:p w14:paraId="53821EE6" w14:textId="77777777" w:rsidR="00D469C4" w:rsidRDefault="00D469C4" w:rsidP="00D469C4">
      <w:pPr>
        <w:pStyle w:val="Bullet"/>
        <w:numPr>
          <w:ilvl w:val="0"/>
          <w:numId w:val="6"/>
        </w:numPr>
      </w:pPr>
      <w:r>
        <w:t>clients who have been represented by NQLC (including members of PBCs)</w:t>
      </w:r>
    </w:p>
    <w:p w14:paraId="41E82F87" w14:textId="38DD7B11" w:rsidR="00D469C4" w:rsidRDefault="00D469C4" w:rsidP="00D469C4">
      <w:pPr>
        <w:pStyle w:val="Bullet"/>
        <w:numPr>
          <w:ilvl w:val="0"/>
          <w:numId w:val="6"/>
        </w:numPr>
      </w:pPr>
      <w:r>
        <w:t>potential clients in NQLC’s RATSIB area/people who have engaged private legal representation to register a claim in NQLC’s RATSIB area</w:t>
      </w:r>
    </w:p>
    <w:p w14:paraId="03741CF2" w14:textId="77777777" w:rsidR="00D469C4" w:rsidRDefault="00D469C4" w:rsidP="00D469C4">
      <w:pPr>
        <w:pStyle w:val="Bullet"/>
        <w:numPr>
          <w:ilvl w:val="0"/>
          <w:numId w:val="6"/>
        </w:numPr>
      </w:pPr>
      <w:r>
        <w:t>persons who have been refused assistance by NQLC</w:t>
      </w:r>
    </w:p>
    <w:p w14:paraId="18872DA8" w14:textId="77777777" w:rsidR="00D469C4" w:rsidRDefault="00D469C4" w:rsidP="00D469C4">
      <w:pPr>
        <w:pStyle w:val="Bullet"/>
        <w:numPr>
          <w:ilvl w:val="0"/>
          <w:numId w:val="6"/>
        </w:numPr>
      </w:pPr>
      <w:r>
        <w:t>the Federal Court of Australia</w:t>
      </w:r>
    </w:p>
    <w:p w14:paraId="14EF5349" w14:textId="45231C78" w:rsidR="00D469C4" w:rsidRDefault="00D469C4" w:rsidP="00D469C4">
      <w:pPr>
        <w:pStyle w:val="Bullet"/>
        <w:numPr>
          <w:ilvl w:val="0"/>
          <w:numId w:val="6"/>
        </w:numPr>
      </w:pPr>
      <w:r>
        <w:t>the N</w:t>
      </w:r>
      <w:r w:rsidR="00D14DD4">
        <w:t>ational Native Title Tribunal</w:t>
      </w:r>
    </w:p>
    <w:p w14:paraId="3C5AD569" w14:textId="77777777" w:rsidR="00D469C4" w:rsidRDefault="00D469C4" w:rsidP="00D469C4">
      <w:pPr>
        <w:pStyle w:val="Bullet"/>
        <w:numPr>
          <w:ilvl w:val="0"/>
          <w:numId w:val="6"/>
        </w:numPr>
      </w:pPr>
      <w:r>
        <w:t>representatives of QLD State Government</w:t>
      </w:r>
    </w:p>
    <w:p w14:paraId="03B9F856" w14:textId="77777777" w:rsidR="00D469C4" w:rsidRDefault="00D469C4" w:rsidP="00D469C4">
      <w:pPr>
        <w:pStyle w:val="Bullet"/>
        <w:numPr>
          <w:ilvl w:val="0"/>
          <w:numId w:val="6"/>
        </w:numPr>
      </w:pPr>
      <w:r>
        <w:t>NQLC contractors, including:</w:t>
      </w:r>
    </w:p>
    <w:p w14:paraId="1078B0E5" w14:textId="77777777" w:rsidR="00D469C4" w:rsidRDefault="00D469C4" w:rsidP="00D469C4">
      <w:pPr>
        <w:pStyle w:val="Bullet"/>
        <w:numPr>
          <w:ilvl w:val="1"/>
          <w:numId w:val="6"/>
        </w:numPr>
      </w:pPr>
      <w:r>
        <w:t>barristers</w:t>
      </w:r>
    </w:p>
    <w:p w14:paraId="0126F6C5" w14:textId="77777777" w:rsidR="00D469C4" w:rsidRDefault="00D469C4" w:rsidP="00D469C4">
      <w:pPr>
        <w:pStyle w:val="Bullet"/>
        <w:numPr>
          <w:ilvl w:val="1"/>
          <w:numId w:val="6"/>
        </w:numPr>
      </w:pPr>
      <w:r>
        <w:t>anthropologists</w:t>
      </w:r>
    </w:p>
    <w:p w14:paraId="4ED5922C" w14:textId="77777777" w:rsidR="00D469C4" w:rsidRDefault="00D469C4" w:rsidP="00D469C4">
      <w:pPr>
        <w:pStyle w:val="Bullet"/>
        <w:numPr>
          <w:ilvl w:val="0"/>
          <w:numId w:val="6"/>
        </w:numPr>
      </w:pPr>
      <w:r>
        <w:t>NQLC Board Directors, and</w:t>
      </w:r>
    </w:p>
    <w:p w14:paraId="72557B13" w14:textId="77777777" w:rsidR="00D469C4" w:rsidRDefault="00D469C4" w:rsidP="00D469C4">
      <w:pPr>
        <w:pStyle w:val="Bullet"/>
        <w:numPr>
          <w:ilvl w:val="0"/>
          <w:numId w:val="6"/>
        </w:numPr>
      </w:pPr>
      <w:r>
        <w:t xml:space="preserve">NQLC staff (including staff that no longer work for NQLC). </w:t>
      </w:r>
    </w:p>
    <w:p w14:paraId="2209FDF4" w14:textId="0CA13C2D" w:rsidR="00F72654" w:rsidRPr="00F94F37" w:rsidRDefault="00F72654" w:rsidP="00D469C4">
      <w:pPr>
        <w:pStyle w:val="Bullet"/>
        <w:numPr>
          <w:ilvl w:val="0"/>
          <w:numId w:val="0"/>
        </w:numPr>
      </w:pPr>
      <w:r w:rsidRPr="00F94F37">
        <w:t xml:space="preserve"> </w:t>
      </w:r>
    </w:p>
    <w:p w14:paraId="0A5E5A0A" w14:textId="39B76943" w:rsidR="002770F2" w:rsidRDefault="002770F2" w:rsidP="00AB0EA2">
      <w:pPr>
        <w:pStyle w:val="xAppendixLevel1"/>
      </w:pPr>
      <w:bookmarkStart w:id="146" w:name="_Ref37158604"/>
      <w:bookmarkStart w:id="147" w:name="_Toc68071814"/>
      <w:r>
        <w:lastRenderedPageBreak/>
        <w:t>Methodology</w:t>
      </w:r>
      <w:bookmarkEnd w:id="146"/>
      <w:bookmarkEnd w:id="147"/>
    </w:p>
    <w:p w14:paraId="114F34A5" w14:textId="77777777" w:rsidR="003800E8" w:rsidRDefault="003800E8" w:rsidP="003800E8">
      <w:pPr>
        <w:rPr>
          <w:lang w:eastAsia="en-AU"/>
        </w:rPr>
      </w:pPr>
      <w:bookmarkStart w:id="148" w:name="_Hlk4133526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lang w:eastAsia="en-AU"/>
        </w:rPr>
        <w:t xml:space="preserve">Nous designed a detailed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26A354CA" w14:textId="77777777" w:rsidR="003800E8" w:rsidRDefault="003800E8" w:rsidP="003800E8">
      <w:pPr>
        <w:pStyle w:val="ListParagraph"/>
        <w:numPr>
          <w:ilvl w:val="0"/>
          <w:numId w:val="11"/>
        </w:numPr>
        <w:spacing w:line="360" w:lineRule="auto"/>
        <w:ind w:left="357" w:hanging="357"/>
        <w:rPr>
          <w:lang w:eastAsia="en-AU"/>
        </w:rPr>
      </w:pPr>
      <w:r>
        <w:rPr>
          <w:lang w:eastAsia="en-AU"/>
        </w:rPr>
        <w:t>Develop performance and attribution indicators for each TOR</w:t>
      </w:r>
    </w:p>
    <w:p w14:paraId="62F8A1B9" w14:textId="77777777" w:rsidR="003800E8" w:rsidRDefault="003800E8" w:rsidP="003800E8">
      <w:pPr>
        <w:pStyle w:val="ListParagraph"/>
        <w:numPr>
          <w:ilvl w:val="0"/>
          <w:numId w:val="11"/>
        </w:numPr>
        <w:spacing w:line="360" w:lineRule="auto"/>
        <w:ind w:left="357" w:hanging="357"/>
        <w:rPr>
          <w:lang w:eastAsia="en-AU"/>
        </w:rPr>
      </w:pPr>
      <w:r>
        <w:rPr>
          <w:lang w:eastAsia="en-AU"/>
        </w:rPr>
        <w:t>Collect data through desktop research and consultations</w:t>
      </w:r>
    </w:p>
    <w:p w14:paraId="776115F6" w14:textId="77777777" w:rsidR="003800E8" w:rsidRDefault="003800E8" w:rsidP="003800E8">
      <w:pPr>
        <w:pStyle w:val="ListParagraph"/>
        <w:numPr>
          <w:ilvl w:val="0"/>
          <w:numId w:val="11"/>
        </w:numPr>
        <w:spacing w:line="360" w:lineRule="auto"/>
        <w:ind w:left="357" w:hanging="357"/>
        <w:rPr>
          <w:lang w:eastAsia="en-AU"/>
        </w:rPr>
      </w:pPr>
      <w:r>
        <w:rPr>
          <w:lang w:eastAsia="en-AU"/>
        </w:rPr>
        <w:t>Assess efficiency and effectiveness against each TOR</w:t>
      </w:r>
    </w:p>
    <w:p w14:paraId="629483D0" w14:textId="77777777" w:rsidR="003800E8" w:rsidRDefault="003800E8" w:rsidP="003800E8">
      <w:pPr>
        <w:pStyle w:val="ListParagraph"/>
        <w:numPr>
          <w:ilvl w:val="0"/>
          <w:numId w:val="11"/>
        </w:numPr>
        <w:spacing w:line="360" w:lineRule="auto"/>
        <w:ind w:left="357" w:hanging="357"/>
        <w:rPr>
          <w:lang w:eastAsia="en-AU"/>
        </w:rPr>
      </w:pPr>
      <w:r>
        <w:rPr>
          <w:lang w:eastAsia="en-AU"/>
        </w:rPr>
        <w:t>Develop individual NTRB-SP Performance Assessment Reports</w:t>
      </w:r>
    </w:p>
    <w:p w14:paraId="7691AFBB" w14:textId="77777777" w:rsidR="003800E8" w:rsidRDefault="003800E8" w:rsidP="003800E8">
      <w:pPr>
        <w:pStyle w:val="ListParagraph"/>
        <w:numPr>
          <w:ilvl w:val="0"/>
          <w:numId w:val="11"/>
        </w:numPr>
        <w:spacing w:line="360" w:lineRule="auto"/>
        <w:ind w:left="357" w:hanging="357"/>
        <w:rPr>
          <w:lang w:eastAsia="en-AU"/>
        </w:rPr>
      </w:pPr>
      <w:r>
        <w:rPr>
          <w:lang w:eastAsia="en-AU"/>
        </w:rPr>
        <w:t>Review NTRB-SP feedback on Performance Assessment Report</w:t>
      </w:r>
    </w:p>
    <w:p w14:paraId="4E0F8BB9" w14:textId="77777777" w:rsidR="003800E8" w:rsidRDefault="003800E8" w:rsidP="003800E8">
      <w:pPr>
        <w:pStyle w:val="ListParagraph"/>
        <w:numPr>
          <w:ilvl w:val="0"/>
          <w:numId w:val="11"/>
        </w:numPr>
        <w:ind w:left="357" w:hanging="357"/>
        <w:rPr>
          <w:lang w:eastAsia="en-AU"/>
        </w:rPr>
      </w:pPr>
      <w:r>
        <w:rPr>
          <w:lang w:eastAsia="en-AU"/>
        </w:rPr>
        <w:t>Create NTRB-SP Comparative Performance Report</w:t>
      </w:r>
    </w:p>
    <w:p w14:paraId="45701C89" w14:textId="77777777" w:rsidR="003800E8" w:rsidRDefault="003800E8" w:rsidP="003800E8">
      <w:pPr>
        <w:rPr>
          <w:lang w:eastAsia="en-AU"/>
        </w:rPr>
      </w:pPr>
      <w:r>
        <w:rPr>
          <w:lang w:eastAsia="en-AU"/>
        </w:rPr>
        <w:t xml:space="preserve">Qualitative and quantitative performance indicators and attribution factors were developed to assess each TOR. Attribution factors refer to factors outside the control of the NTRB-SP (external factors) that have a significant impact on the efficiency or effectiveness of their native title operations.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t>
      </w:r>
    </w:p>
    <w:p w14:paraId="790395EC" w14:textId="77777777" w:rsidR="003800E8" w:rsidRDefault="003800E8" w:rsidP="003800E8">
      <w:pPr>
        <w:rPr>
          <w:lang w:eastAsia="en-AU"/>
        </w:rPr>
      </w:pPr>
      <w:r>
        <w:rPr>
          <w:lang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199B7CFE" w14:textId="77777777" w:rsidR="003800E8" w:rsidRDefault="003800E8" w:rsidP="003800E8">
      <w:pPr>
        <w:rPr>
          <w:lang w:eastAsia="en-AU"/>
        </w:rPr>
      </w:pPr>
      <w:r>
        <w:rPr>
          <w:lang w:eastAsia="en-AU"/>
        </w:rPr>
        <w:t>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7D16D24B" w14:textId="77777777" w:rsidR="003800E8" w:rsidRDefault="003800E8" w:rsidP="003800E8">
      <w:pPr>
        <w:rPr>
          <w:lang w:eastAsia="en-AU"/>
        </w:rPr>
      </w:pPr>
      <w:r>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1975637D" w14:textId="572A3435" w:rsidR="00EB3786" w:rsidRDefault="003800E8" w:rsidP="00EB3786">
      <w:pPr>
        <w:rPr>
          <w:lang w:eastAsia="en-AU"/>
        </w:rPr>
      </w:pPr>
      <w:r>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bookmarkEnd w:id="148"/>
    </w:p>
    <w:p w14:paraId="5CAF79D0" w14:textId="36581F12" w:rsidR="008F4752" w:rsidRPr="00BB1AA6" w:rsidRDefault="00836DF7" w:rsidP="00BB1AA6">
      <w:pPr>
        <w:pStyle w:val="xAppendixLevel1"/>
      </w:pPr>
      <w:bookmarkStart w:id="149" w:name="_Toc503366789"/>
      <w:bookmarkStart w:id="150" w:name="_Toc505259165"/>
      <w:bookmarkStart w:id="151" w:name="_Toc505256232"/>
      <w:bookmarkStart w:id="152" w:name="_Toc505618275"/>
      <w:bookmarkStart w:id="153" w:name="_Hlk36460153"/>
      <w:r>
        <w:lastRenderedPageBreak/>
        <w:t xml:space="preserve">     </w:t>
      </w:r>
      <w:bookmarkStart w:id="154" w:name="_Toc68071815"/>
      <w:r w:rsidR="008F4752" w:rsidRPr="00BB1AA6">
        <w:t>Glossary</w:t>
      </w:r>
      <w:bookmarkEnd w:id="149"/>
      <w:bookmarkEnd w:id="150"/>
      <w:bookmarkEnd w:id="151"/>
      <w:bookmarkEnd w:id="152"/>
      <w:bookmarkEnd w:id="154"/>
    </w:p>
    <w:p w14:paraId="52E0FDD9" w14:textId="06D8703C" w:rsidR="008F4752" w:rsidRPr="00BB1AA6" w:rsidRDefault="008F4752" w:rsidP="008F4752">
      <w:pPr>
        <w:rPr>
          <w:lang w:eastAsia="en-AU"/>
        </w:rPr>
      </w:pPr>
      <w:r w:rsidRPr="00BB1AA6">
        <w:t xml:space="preserve">Throughout this document, the following terms have the meaning prescribed in </w:t>
      </w:r>
      <w:r w:rsidRPr="00BB1AA6">
        <w:fldChar w:fldCharType="begin"/>
      </w:r>
      <w:r w:rsidRPr="00BB1AA6">
        <w:instrText xml:space="preserve"> REF _Ref504381411 \h  \* MERGEFORMAT </w:instrText>
      </w:r>
      <w:r w:rsidRPr="00BB1AA6">
        <w:fldChar w:fldCharType="separate"/>
      </w:r>
      <w:r w:rsidR="00F65C29" w:rsidRPr="00BB1AA6">
        <w:t xml:space="preserve">Table </w:t>
      </w:r>
      <w:r w:rsidR="00F65C29">
        <w:t>2</w:t>
      </w:r>
      <w:r w:rsidRPr="00BB1AA6">
        <w:fldChar w:fldCharType="end"/>
      </w:r>
      <w:r w:rsidRPr="00BB1AA6">
        <w:t>.</w:t>
      </w:r>
    </w:p>
    <w:p w14:paraId="1C774D25" w14:textId="1127857F" w:rsidR="008F4752" w:rsidRPr="00BB1AA6" w:rsidRDefault="008F4752" w:rsidP="008F4752">
      <w:pPr>
        <w:pStyle w:val="Caption"/>
        <w:keepNext/>
      </w:pPr>
      <w:bookmarkStart w:id="155" w:name="_Ref504381411"/>
      <w:r w:rsidRPr="00BB1AA6">
        <w:t xml:space="preserve">Table </w:t>
      </w:r>
      <w:r w:rsidR="00477925">
        <w:t>2</w:t>
      </w:r>
      <w:bookmarkEnd w:id="155"/>
      <w:r w:rsidRPr="00BB1AA6">
        <w:t xml:space="preserve"> | Glossary</w:t>
      </w:r>
    </w:p>
    <w:tbl>
      <w:tblPr>
        <w:tblStyle w:val="TableGrid"/>
        <w:tblW w:w="0" w:type="auto"/>
        <w:tblLook w:val="04A0" w:firstRow="1" w:lastRow="0" w:firstColumn="1" w:lastColumn="0" w:noHBand="0" w:noVBand="1"/>
      </w:tblPr>
      <w:tblGrid>
        <w:gridCol w:w="1645"/>
        <w:gridCol w:w="6804"/>
      </w:tblGrid>
      <w:tr w:rsidR="008F4752" w:rsidRPr="00A911FA" w14:paraId="2806E0C3" w14:textId="77777777" w:rsidTr="00A94C57">
        <w:trPr>
          <w:cnfStyle w:val="100000000000" w:firstRow="1" w:lastRow="0" w:firstColumn="0" w:lastColumn="0" w:oddVBand="0" w:evenVBand="0" w:oddHBand="0" w:evenHBand="0" w:firstRowFirstColumn="0" w:firstRowLastColumn="0" w:lastRowFirstColumn="0" w:lastRowLastColumn="0"/>
        </w:trPr>
        <w:tc>
          <w:tcPr>
            <w:tcW w:w="1645" w:type="dxa"/>
          </w:tcPr>
          <w:p w14:paraId="27D739B8" w14:textId="77777777" w:rsidR="008F4752" w:rsidRPr="00A911FA" w:rsidRDefault="008F4752" w:rsidP="00A94C57">
            <w:pPr>
              <w:rPr>
                <w:rFonts w:ascii="Segoe UI Semibold" w:hAnsi="Segoe UI Semibold" w:cs="Segoe UI Semibold"/>
                <w:b w:val="0"/>
                <w:sz w:val="17"/>
                <w:szCs w:val="17"/>
                <w:lang w:eastAsia="en-AU"/>
              </w:rPr>
            </w:pPr>
            <w:r w:rsidRPr="00A911FA">
              <w:rPr>
                <w:rFonts w:ascii="Segoe UI Semibold" w:hAnsi="Segoe UI Semibold" w:cs="Segoe UI Semibold"/>
                <w:b w:val="0"/>
                <w:sz w:val="17"/>
                <w:szCs w:val="17"/>
                <w:lang w:eastAsia="en-AU"/>
              </w:rPr>
              <w:t>Term</w:t>
            </w:r>
          </w:p>
        </w:tc>
        <w:tc>
          <w:tcPr>
            <w:tcW w:w="6804" w:type="dxa"/>
          </w:tcPr>
          <w:p w14:paraId="06CE00F1" w14:textId="77777777" w:rsidR="008F4752" w:rsidRPr="00A911FA" w:rsidRDefault="008F4752" w:rsidP="00A94C57">
            <w:pPr>
              <w:rPr>
                <w:rFonts w:ascii="Segoe UI Semibold" w:hAnsi="Segoe UI Semibold" w:cs="Segoe UI Semibold"/>
                <w:b w:val="0"/>
                <w:sz w:val="17"/>
                <w:szCs w:val="17"/>
                <w:lang w:eastAsia="en-AU"/>
              </w:rPr>
            </w:pPr>
            <w:r w:rsidRPr="00A911FA">
              <w:rPr>
                <w:rFonts w:ascii="Segoe UI Semibold" w:hAnsi="Segoe UI Semibold" w:cs="Segoe UI Semibold"/>
                <w:b w:val="0"/>
                <w:sz w:val="17"/>
                <w:szCs w:val="17"/>
                <w:lang w:eastAsia="en-AU"/>
              </w:rPr>
              <w:t>Meaning</w:t>
            </w:r>
          </w:p>
        </w:tc>
      </w:tr>
      <w:tr w:rsidR="008F4752" w:rsidRPr="00A911FA" w14:paraId="42FB9351" w14:textId="77777777" w:rsidTr="00A94C57">
        <w:tc>
          <w:tcPr>
            <w:tcW w:w="1645" w:type="dxa"/>
          </w:tcPr>
          <w:p w14:paraId="2AE9700F"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Applicant</w:t>
            </w:r>
          </w:p>
        </w:tc>
        <w:tc>
          <w:tcPr>
            <w:tcW w:w="6804" w:type="dxa"/>
          </w:tcPr>
          <w:p w14:paraId="587CB368" w14:textId="77777777"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8F4752" w:rsidRPr="00A911FA" w14:paraId="41FBC25E" w14:textId="77777777" w:rsidTr="00A94C57">
        <w:tc>
          <w:tcPr>
            <w:tcW w:w="1645" w:type="dxa"/>
          </w:tcPr>
          <w:p w14:paraId="484F71E7"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Client</w:t>
            </w:r>
          </w:p>
        </w:tc>
        <w:tc>
          <w:tcPr>
            <w:tcW w:w="6804" w:type="dxa"/>
          </w:tcPr>
          <w:p w14:paraId="2AD17ED7"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Any individual or group being provided assistance by an NTRB-SP (including assistance with claims, research and/or PBC support).</w:t>
            </w:r>
          </w:p>
        </w:tc>
      </w:tr>
      <w:tr w:rsidR="008F4752" w:rsidRPr="00A911FA" w14:paraId="7F694900" w14:textId="77777777" w:rsidTr="00A94C57">
        <w:tc>
          <w:tcPr>
            <w:tcW w:w="1645" w:type="dxa"/>
          </w:tcPr>
          <w:p w14:paraId="725C55D4"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Connection evidence</w:t>
            </w:r>
          </w:p>
        </w:tc>
        <w:tc>
          <w:tcPr>
            <w:tcW w:w="6804" w:type="dxa"/>
          </w:tcPr>
          <w:p w14:paraId="5B55A35F" w14:textId="77777777"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8F4752" w:rsidRPr="00A911FA" w14:paraId="518DE299" w14:textId="77777777" w:rsidTr="00A94C57">
        <w:tc>
          <w:tcPr>
            <w:tcW w:w="1645" w:type="dxa"/>
          </w:tcPr>
          <w:p w14:paraId="05228EDF" w14:textId="77777777" w:rsidR="008F4752" w:rsidRPr="00A911FA" w:rsidRDefault="008F4752" w:rsidP="00A94C57">
            <w:pPr>
              <w:rPr>
                <w:rFonts w:cs="Segoe UI"/>
                <w:color w:val="000000" w:themeColor="text1"/>
                <w:sz w:val="17"/>
                <w:szCs w:val="17"/>
                <w:lang w:eastAsia="en-AU"/>
              </w:rPr>
            </w:pPr>
            <w:r w:rsidRPr="00A911FA">
              <w:rPr>
                <w:rFonts w:cs="Segoe UI"/>
                <w:i/>
                <w:color w:val="000000" w:themeColor="text1"/>
                <w:sz w:val="17"/>
                <w:szCs w:val="17"/>
                <w:lang w:val="en-US"/>
              </w:rPr>
              <w:t xml:space="preserve">Corporations (Aboriginal and Torres Strait Islander) Act 2006 </w:t>
            </w:r>
            <w:r w:rsidRPr="00A911FA">
              <w:rPr>
                <w:rFonts w:cs="Segoe UI"/>
                <w:color w:val="000000" w:themeColor="text1"/>
                <w:sz w:val="17"/>
                <w:szCs w:val="17"/>
                <w:lang w:val="en-US"/>
              </w:rPr>
              <w:t xml:space="preserve">(Cth) (the </w:t>
            </w:r>
            <w:r w:rsidRPr="00A911FA">
              <w:rPr>
                <w:rFonts w:cs="Segoe UI"/>
                <w:i/>
                <w:color w:val="000000" w:themeColor="text1"/>
                <w:sz w:val="17"/>
                <w:szCs w:val="17"/>
                <w:lang w:val="en-US"/>
              </w:rPr>
              <w:t>CATSI Act</w:t>
            </w:r>
            <w:r w:rsidRPr="00A911FA">
              <w:rPr>
                <w:rFonts w:cs="Segoe UI"/>
                <w:color w:val="000000" w:themeColor="text1"/>
                <w:sz w:val="17"/>
                <w:szCs w:val="17"/>
                <w:lang w:val="en-US"/>
              </w:rPr>
              <w:t>)</w:t>
            </w:r>
          </w:p>
        </w:tc>
        <w:tc>
          <w:tcPr>
            <w:tcW w:w="6804" w:type="dxa"/>
          </w:tcPr>
          <w:p w14:paraId="19CFBCE2" w14:textId="77777777"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 xml:space="preserve">The </w:t>
            </w:r>
            <w:r w:rsidRPr="00A911FA">
              <w:rPr>
                <w:rFonts w:cs="Segoe UI"/>
                <w:i/>
                <w:color w:val="000000" w:themeColor="text1"/>
                <w:sz w:val="17"/>
                <w:szCs w:val="17"/>
                <w:lang w:val="en-US"/>
              </w:rPr>
              <w:t xml:space="preserve">Corporations (Aboriginal and Torres Strait Islander) Act 2006 </w:t>
            </w:r>
            <w:r w:rsidRPr="00A911FA">
              <w:rPr>
                <w:rFonts w:cs="Segoe UI"/>
                <w:color w:val="000000" w:themeColor="text1"/>
                <w:sz w:val="17"/>
                <w:szCs w:val="17"/>
                <w:lang w:val="en-US"/>
              </w:rPr>
              <w:t>(Cth) is the law that establishes the role of the Registrar of Indigenous Corporations and enables Aboriginal and Torres Strait Islander groups to form Aboriginal and Torres Strait Islander corporations.</w:t>
            </w:r>
          </w:p>
        </w:tc>
      </w:tr>
      <w:tr w:rsidR="008F4752" w:rsidRPr="00A911FA" w14:paraId="31032D14" w14:textId="77777777" w:rsidTr="00A94C57">
        <w:tc>
          <w:tcPr>
            <w:tcW w:w="1645" w:type="dxa"/>
          </w:tcPr>
          <w:p w14:paraId="4B3ADFC6"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Determination</w:t>
            </w:r>
          </w:p>
        </w:tc>
        <w:tc>
          <w:tcPr>
            <w:tcW w:w="6804" w:type="dxa"/>
          </w:tcPr>
          <w:p w14:paraId="2CA780C1" w14:textId="77777777"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A decision by the Federal or High Court of Australia. A determination is made either when parties have reached an agreement after mediation (consent determination) or following a trial process (litigated determination).</w:t>
            </w:r>
          </w:p>
        </w:tc>
      </w:tr>
      <w:tr w:rsidR="008F4752" w:rsidRPr="00A911FA" w14:paraId="2B08360D" w14:textId="77777777" w:rsidTr="00A94C57">
        <w:tc>
          <w:tcPr>
            <w:tcW w:w="1645" w:type="dxa"/>
          </w:tcPr>
          <w:p w14:paraId="61E51E3F"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Extinguishment</w:t>
            </w:r>
          </w:p>
        </w:tc>
        <w:tc>
          <w:tcPr>
            <w:tcW w:w="6804" w:type="dxa"/>
          </w:tcPr>
          <w:p w14:paraId="2DC649C1" w14:textId="77777777"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8F4752" w:rsidRPr="00A911FA" w14:paraId="46D5E9F2" w14:textId="77777777" w:rsidTr="00A94C57">
        <w:tc>
          <w:tcPr>
            <w:tcW w:w="1645" w:type="dxa"/>
          </w:tcPr>
          <w:p w14:paraId="750E4864"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Future act</w:t>
            </w:r>
          </w:p>
        </w:tc>
        <w:tc>
          <w:tcPr>
            <w:tcW w:w="6804" w:type="dxa"/>
          </w:tcPr>
          <w:p w14:paraId="3FFC22F5" w14:textId="77777777" w:rsidR="008F4752" w:rsidRPr="00A911FA" w:rsidRDefault="008F4752" w:rsidP="00A94C57">
            <w:pPr>
              <w:pStyle w:val="Default"/>
              <w:rPr>
                <w:rFonts w:ascii="Segoe UI" w:hAnsi="Segoe UI" w:cs="Segoe UI"/>
                <w:color w:val="000000" w:themeColor="text1"/>
                <w:sz w:val="17"/>
                <w:szCs w:val="17"/>
              </w:rPr>
            </w:pPr>
            <w:r w:rsidRPr="00A911FA">
              <w:rPr>
                <w:rFonts w:ascii="Segoe UI" w:hAnsi="Segoe UI"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8F4752" w:rsidRPr="00A911FA" w14:paraId="6047CF62" w14:textId="77777777" w:rsidTr="00A94C57">
        <w:tc>
          <w:tcPr>
            <w:tcW w:w="1645" w:type="dxa"/>
          </w:tcPr>
          <w:p w14:paraId="177CB3B2"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Indigenous Land Use Agreement (ILUA)</w:t>
            </w:r>
          </w:p>
        </w:tc>
        <w:tc>
          <w:tcPr>
            <w:tcW w:w="6804" w:type="dxa"/>
          </w:tcPr>
          <w:p w14:paraId="260671C8"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8F4752" w:rsidRPr="00A911FA" w14:paraId="7A23795A" w14:textId="77777777" w:rsidTr="00A94C57">
        <w:tc>
          <w:tcPr>
            <w:tcW w:w="1645" w:type="dxa"/>
          </w:tcPr>
          <w:p w14:paraId="3DEBD89D"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National Native Title Tribunal (NNTT)</w:t>
            </w:r>
          </w:p>
        </w:tc>
        <w:tc>
          <w:tcPr>
            <w:tcW w:w="6804" w:type="dxa"/>
          </w:tcPr>
          <w:p w14:paraId="1BE1DC19" w14:textId="77777777"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 xml:space="preserve">An independent statutory body established under s 107 of the </w:t>
            </w:r>
            <w:r w:rsidRPr="00B05524">
              <w:rPr>
                <w:rStyle w:val="Emphasis"/>
                <w:rFonts w:cs="Segoe UI"/>
                <w:i w:val="0"/>
                <w:iCs w:val="0"/>
                <w:color w:val="000000" w:themeColor="text1"/>
                <w:sz w:val="17"/>
                <w:szCs w:val="17"/>
                <w:lang w:val="en-US"/>
              </w:rPr>
              <w:t>NTA</w:t>
            </w:r>
            <w:r w:rsidRPr="00A911FA">
              <w:rPr>
                <w:rStyle w:val="Emphasis"/>
                <w:rFonts w:cs="Segoe UI"/>
                <w:color w:val="000000" w:themeColor="text1"/>
                <w:sz w:val="17"/>
                <w:szCs w:val="17"/>
                <w:lang w:val="en-US"/>
              </w:rPr>
              <w:t xml:space="preserve"> </w:t>
            </w:r>
            <w:r w:rsidRPr="00A911FA">
              <w:rPr>
                <w:rFonts w:cs="Segoe UI"/>
                <w:color w:val="000000" w:themeColor="text1"/>
                <w:sz w:val="17"/>
                <w:szCs w:val="17"/>
                <w:lang w:val="en-US"/>
              </w:rPr>
              <w:t>to assist people in resolving native title issues by:</w:t>
            </w:r>
          </w:p>
          <w:p w14:paraId="42C5757C" w14:textId="77777777" w:rsidR="008F4752" w:rsidRPr="00A911FA" w:rsidRDefault="008F4752" w:rsidP="003800E8">
            <w:pPr>
              <w:pStyle w:val="ListParagraph"/>
              <w:numPr>
                <w:ilvl w:val="0"/>
                <w:numId w:val="10"/>
              </w:numPr>
              <w:rPr>
                <w:rFonts w:cs="Segoe UI"/>
                <w:color w:val="000000" w:themeColor="text1"/>
                <w:sz w:val="17"/>
                <w:szCs w:val="17"/>
                <w:lang w:val="en-US"/>
              </w:rPr>
            </w:pPr>
            <w:r w:rsidRPr="00A911FA">
              <w:rPr>
                <w:rFonts w:cs="Segoe UI"/>
                <w:color w:val="000000" w:themeColor="text1"/>
                <w:sz w:val="17"/>
                <w:szCs w:val="17"/>
                <w:lang w:val="en-US"/>
              </w:rPr>
              <w:t>mediating between the parties to native title applications at the direction of the Federal Court</w:t>
            </w:r>
          </w:p>
          <w:p w14:paraId="2C38FE0D" w14:textId="77777777" w:rsidR="008F4752" w:rsidRPr="00A911FA" w:rsidRDefault="008F4752" w:rsidP="003800E8">
            <w:pPr>
              <w:pStyle w:val="ListParagraph"/>
              <w:numPr>
                <w:ilvl w:val="0"/>
                <w:numId w:val="10"/>
              </w:numPr>
              <w:rPr>
                <w:rFonts w:cs="Segoe UI"/>
                <w:color w:val="000000" w:themeColor="text1"/>
                <w:sz w:val="17"/>
                <w:szCs w:val="17"/>
                <w:lang w:val="en-US"/>
              </w:rPr>
            </w:pPr>
            <w:r w:rsidRPr="00A911FA">
              <w:rPr>
                <w:rFonts w:cs="Segoe UI"/>
                <w:color w:val="000000" w:themeColor="text1"/>
                <w:sz w:val="17"/>
                <w:szCs w:val="17"/>
                <w:lang w:val="en-US"/>
              </w:rPr>
              <w:t>acting as an arbitrator in situations where the people cannot reach agreement about certain future acts</w:t>
            </w:r>
          </w:p>
          <w:p w14:paraId="2176F0B2" w14:textId="77777777" w:rsidR="008F4752" w:rsidRPr="00A911FA" w:rsidRDefault="008F4752" w:rsidP="003800E8">
            <w:pPr>
              <w:pStyle w:val="ListParagraph"/>
              <w:numPr>
                <w:ilvl w:val="0"/>
                <w:numId w:val="10"/>
              </w:numPr>
              <w:rPr>
                <w:rFonts w:cs="Segoe UI"/>
                <w:color w:val="000000" w:themeColor="text1"/>
                <w:sz w:val="17"/>
                <w:szCs w:val="17"/>
                <w:lang w:val="en-US"/>
              </w:rPr>
            </w:pPr>
            <w:r w:rsidRPr="00A911FA">
              <w:rPr>
                <w:rFonts w:cs="Segoe UI"/>
                <w:color w:val="000000" w:themeColor="text1"/>
                <w:sz w:val="17"/>
                <w:szCs w:val="17"/>
                <w:lang w:val="en-US"/>
              </w:rPr>
              <w:t>helping people to negotiate ILUAs</w:t>
            </w:r>
          </w:p>
          <w:p w14:paraId="6AFCAA70" w14:textId="465EC8CF"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 xml:space="preserve">The NNTT maintains three registers relating to native title applications, determinations and ILUAs. It also maintains databases regarding future act matters and geospatial tools.   </w:t>
            </w:r>
          </w:p>
        </w:tc>
      </w:tr>
      <w:tr w:rsidR="008F4752" w:rsidRPr="00A911FA" w14:paraId="11D50C5F" w14:textId="77777777" w:rsidTr="00A94C57">
        <w:tc>
          <w:tcPr>
            <w:tcW w:w="1645" w:type="dxa"/>
          </w:tcPr>
          <w:p w14:paraId="3DF37CD6"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lastRenderedPageBreak/>
              <w:t>Native title</w:t>
            </w:r>
          </w:p>
        </w:tc>
        <w:tc>
          <w:tcPr>
            <w:tcW w:w="6804" w:type="dxa"/>
          </w:tcPr>
          <w:p w14:paraId="4109036C" w14:textId="77777777"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 223 </w:t>
            </w:r>
            <w:r w:rsidRPr="00B05524">
              <w:rPr>
                <w:rFonts w:cs="Segoe UI"/>
                <w:iCs/>
                <w:color w:val="000000" w:themeColor="text1"/>
                <w:sz w:val="17"/>
                <w:szCs w:val="17"/>
                <w:lang w:val="en-US"/>
              </w:rPr>
              <w:t>NTA</w:t>
            </w:r>
            <w:r w:rsidRPr="00A911FA">
              <w:rPr>
                <w:rFonts w:cs="Segoe UI"/>
                <w:color w:val="000000" w:themeColor="text1"/>
                <w:sz w:val="17"/>
                <w:szCs w:val="17"/>
                <w:lang w:val="en-US"/>
              </w:rPr>
              <w:t>).</w:t>
            </w:r>
          </w:p>
        </w:tc>
      </w:tr>
      <w:tr w:rsidR="008F4752" w:rsidRPr="00A911FA" w14:paraId="20A84EA5" w14:textId="77777777" w:rsidTr="00A94C57">
        <w:tc>
          <w:tcPr>
            <w:tcW w:w="1645" w:type="dxa"/>
          </w:tcPr>
          <w:p w14:paraId="35484C96" w14:textId="77777777" w:rsidR="008F4752" w:rsidRPr="00A911FA" w:rsidRDefault="008F4752" w:rsidP="00A94C57">
            <w:pPr>
              <w:rPr>
                <w:rFonts w:cs="Segoe UI"/>
                <w:color w:val="000000" w:themeColor="text1"/>
                <w:sz w:val="17"/>
                <w:szCs w:val="17"/>
                <w:lang w:eastAsia="en-AU"/>
              </w:rPr>
            </w:pPr>
            <w:r w:rsidRPr="00A911FA">
              <w:rPr>
                <w:rFonts w:cs="Segoe UI"/>
                <w:i/>
                <w:color w:val="000000" w:themeColor="text1"/>
                <w:sz w:val="17"/>
                <w:szCs w:val="17"/>
                <w:lang w:eastAsia="en-AU"/>
              </w:rPr>
              <w:t>Native Title Act 1993</w:t>
            </w:r>
            <w:r w:rsidRPr="00A911FA">
              <w:rPr>
                <w:rFonts w:cs="Segoe UI"/>
                <w:color w:val="000000" w:themeColor="text1"/>
                <w:sz w:val="17"/>
                <w:szCs w:val="17"/>
                <w:lang w:eastAsia="en-AU"/>
              </w:rPr>
              <w:t xml:space="preserve"> (Cth) (</w:t>
            </w:r>
            <w:r w:rsidRPr="00A911FA">
              <w:rPr>
                <w:rFonts w:cs="Segoe UI"/>
                <w:i/>
                <w:color w:val="000000" w:themeColor="text1"/>
                <w:sz w:val="17"/>
                <w:szCs w:val="17"/>
                <w:lang w:eastAsia="en-AU"/>
              </w:rPr>
              <w:t>NTA</w:t>
            </w:r>
            <w:r w:rsidRPr="00A911FA">
              <w:rPr>
                <w:rFonts w:cs="Segoe UI"/>
                <w:color w:val="000000" w:themeColor="text1"/>
                <w:sz w:val="17"/>
                <w:szCs w:val="17"/>
                <w:lang w:eastAsia="en-AU"/>
              </w:rPr>
              <w:t>)</w:t>
            </w:r>
          </w:p>
        </w:tc>
        <w:tc>
          <w:tcPr>
            <w:tcW w:w="6804" w:type="dxa"/>
          </w:tcPr>
          <w:p w14:paraId="31AEF98C" w14:textId="77777777" w:rsidR="008F4752" w:rsidRPr="00A911FA" w:rsidRDefault="008F4752" w:rsidP="00A94C57">
            <w:pPr>
              <w:rPr>
                <w:rFonts w:cs="Segoe UI"/>
                <w:i/>
                <w:color w:val="000000" w:themeColor="text1"/>
                <w:sz w:val="17"/>
                <w:szCs w:val="17"/>
                <w:lang w:eastAsia="en-AU"/>
              </w:rPr>
            </w:pPr>
            <w:r w:rsidRPr="00A911FA">
              <w:rPr>
                <w:rFonts w:cs="Segoe UI"/>
                <w:sz w:val="17"/>
                <w:szCs w:val="17"/>
                <w:lang w:val="en"/>
              </w:rPr>
              <w:t>The </w:t>
            </w:r>
            <w:r w:rsidRPr="00A911FA">
              <w:rPr>
                <w:rFonts w:cs="Segoe UI"/>
                <w:i/>
                <w:sz w:val="17"/>
                <w:szCs w:val="17"/>
                <w:lang w:val="en"/>
              </w:rPr>
              <w:t xml:space="preserve">Native Title Act 1993 </w:t>
            </w:r>
            <w:r w:rsidRPr="00A911FA">
              <w:rPr>
                <w:rFonts w:cs="Segoe UI"/>
                <w:sz w:val="17"/>
                <w:szCs w:val="17"/>
                <w:lang w:val="en"/>
              </w:rPr>
              <w:t>(Cth)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8F4752" w:rsidRPr="00A911FA" w14:paraId="6F40318D" w14:textId="77777777" w:rsidTr="00A94C57">
        <w:tc>
          <w:tcPr>
            <w:tcW w:w="1645" w:type="dxa"/>
          </w:tcPr>
          <w:p w14:paraId="73DDE129"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Native Title Representative Body (NTRB)</w:t>
            </w:r>
          </w:p>
        </w:tc>
        <w:tc>
          <w:tcPr>
            <w:tcW w:w="6804" w:type="dxa"/>
          </w:tcPr>
          <w:p w14:paraId="2213DE34" w14:textId="77777777" w:rsidR="008F4752" w:rsidRPr="00A911FA" w:rsidRDefault="008F4752" w:rsidP="00A94C57">
            <w:pPr>
              <w:pStyle w:val="Default"/>
              <w:rPr>
                <w:rFonts w:ascii="Segoe UI" w:hAnsi="Segoe UI" w:cs="Segoe UI"/>
                <w:color w:val="000000" w:themeColor="text1"/>
                <w:sz w:val="17"/>
                <w:szCs w:val="17"/>
              </w:rPr>
            </w:pPr>
            <w:r w:rsidRPr="00A911FA">
              <w:rPr>
                <w:rFonts w:ascii="Segoe UI" w:hAnsi="Segoe UI"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A911FA">
              <w:rPr>
                <w:rFonts w:ascii="Segoe UI" w:hAnsi="Segoe UI" w:cs="Segoe UI"/>
                <w:i/>
                <w:iCs/>
                <w:color w:val="000000" w:themeColor="text1"/>
                <w:sz w:val="17"/>
                <w:szCs w:val="17"/>
              </w:rPr>
              <w:t>Native Title Act 1993</w:t>
            </w:r>
            <w:r w:rsidRPr="00A911FA">
              <w:rPr>
                <w:rFonts w:ascii="Segoe UI" w:hAnsi="Segoe UI" w:cs="Segoe UI"/>
                <w:color w:val="000000" w:themeColor="text1"/>
                <w:sz w:val="17"/>
                <w:szCs w:val="17"/>
              </w:rPr>
              <w:t xml:space="preserve">. </w:t>
            </w:r>
          </w:p>
        </w:tc>
      </w:tr>
      <w:tr w:rsidR="008F4752" w:rsidRPr="00A911FA" w14:paraId="44CE44DD" w14:textId="77777777" w:rsidTr="00A94C57">
        <w:tc>
          <w:tcPr>
            <w:tcW w:w="1645" w:type="dxa"/>
          </w:tcPr>
          <w:p w14:paraId="0CB9E510"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Native Title Service Provider (NTSP)</w:t>
            </w:r>
          </w:p>
        </w:tc>
        <w:tc>
          <w:tcPr>
            <w:tcW w:w="6804" w:type="dxa"/>
          </w:tcPr>
          <w:p w14:paraId="52954D96" w14:textId="77777777" w:rsidR="008F4752" w:rsidRPr="00A911FA" w:rsidRDefault="008F4752" w:rsidP="00A94C57">
            <w:pPr>
              <w:pStyle w:val="Default"/>
              <w:rPr>
                <w:rFonts w:ascii="Segoe UI" w:hAnsi="Segoe UI" w:cs="Segoe UI"/>
                <w:color w:val="000000" w:themeColor="text1"/>
                <w:sz w:val="17"/>
                <w:szCs w:val="17"/>
              </w:rPr>
            </w:pPr>
            <w:r w:rsidRPr="00A911FA">
              <w:rPr>
                <w:rFonts w:ascii="Segoe UI" w:hAnsi="Segoe UI" w:cs="Segoe UI"/>
                <w:color w:val="000000" w:themeColor="text1"/>
                <w:sz w:val="17"/>
                <w:szCs w:val="17"/>
              </w:rPr>
              <w:t>Organisations funded by the Australian Government to perform all or some of the same functions as NTRBs in areas where NTRBs have not been recognised.</w:t>
            </w:r>
          </w:p>
        </w:tc>
      </w:tr>
      <w:tr w:rsidR="008F4752" w:rsidRPr="00A911FA" w14:paraId="1EFEBF5A" w14:textId="77777777" w:rsidTr="00A94C57">
        <w:tc>
          <w:tcPr>
            <w:tcW w:w="1645" w:type="dxa"/>
          </w:tcPr>
          <w:p w14:paraId="3834B62A"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Non-claimant application</w:t>
            </w:r>
          </w:p>
        </w:tc>
        <w:tc>
          <w:tcPr>
            <w:tcW w:w="6804" w:type="dxa"/>
          </w:tcPr>
          <w:p w14:paraId="593D47F7" w14:textId="77777777"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An application made by a person, who does not claim to have native title but who seeks a determination that native title does or does not exist.</w:t>
            </w:r>
          </w:p>
        </w:tc>
      </w:tr>
      <w:tr w:rsidR="008F4752" w:rsidRPr="00A911FA" w14:paraId="17CDD418" w14:textId="77777777" w:rsidTr="00A94C57">
        <w:tc>
          <w:tcPr>
            <w:tcW w:w="1645" w:type="dxa"/>
          </w:tcPr>
          <w:p w14:paraId="2DFF9366"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Post-determination</w:t>
            </w:r>
          </w:p>
        </w:tc>
        <w:tc>
          <w:tcPr>
            <w:tcW w:w="6804" w:type="dxa"/>
          </w:tcPr>
          <w:p w14:paraId="40C67045"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At a claim level, refers to the period following a determination that native title exists. At an NTRB-SP life cycle level, refers to the period following the resolution of all active claims within a RATSIB area.</w:t>
            </w:r>
          </w:p>
        </w:tc>
      </w:tr>
      <w:tr w:rsidR="008F4752" w:rsidRPr="00A911FA" w14:paraId="30264D76" w14:textId="77777777" w:rsidTr="00A94C57">
        <w:tc>
          <w:tcPr>
            <w:tcW w:w="1645" w:type="dxa"/>
          </w:tcPr>
          <w:p w14:paraId="4E4E6C11"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Prescribed Body Corporate (PBC)</w:t>
            </w:r>
          </w:p>
        </w:tc>
        <w:tc>
          <w:tcPr>
            <w:tcW w:w="6804" w:type="dxa"/>
          </w:tcPr>
          <w:p w14:paraId="3194AFBA"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val="en-US"/>
              </w:rPr>
              <w:t xml:space="preserve">A body, established under the </w:t>
            </w:r>
            <w:r w:rsidRPr="00A911FA">
              <w:rPr>
                <w:rFonts w:cs="Segoe UI"/>
                <w:i/>
                <w:color w:val="000000" w:themeColor="text1"/>
                <w:sz w:val="17"/>
                <w:szCs w:val="17"/>
                <w:lang w:val="en-US"/>
              </w:rPr>
              <w:t xml:space="preserve">Corporations (Aboriginal and Torres Strait Islander) Act 2006 </w:t>
            </w:r>
            <w:r w:rsidRPr="00A911FA">
              <w:rPr>
                <w:rFonts w:cs="Segoe UI"/>
                <w:color w:val="000000" w:themeColor="text1"/>
                <w:sz w:val="17"/>
                <w:szCs w:val="17"/>
                <w:lang w:val="en-US"/>
              </w:rPr>
              <w:t>(Cth), nominated by native title holders which will represent them and manage their native title rights and interests once a determination that native title exists has been made. </w:t>
            </w:r>
          </w:p>
        </w:tc>
      </w:tr>
      <w:tr w:rsidR="008F4752" w:rsidRPr="00A911FA" w14:paraId="4756247D" w14:textId="77777777" w:rsidTr="00A94C57">
        <w:tc>
          <w:tcPr>
            <w:tcW w:w="1645" w:type="dxa"/>
          </w:tcPr>
          <w:p w14:paraId="48766801"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Registration test</w:t>
            </w:r>
          </w:p>
        </w:tc>
        <w:tc>
          <w:tcPr>
            <w:tcW w:w="6804" w:type="dxa"/>
          </w:tcPr>
          <w:p w14:paraId="0180DACA" w14:textId="77777777" w:rsidR="008F4752" w:rsidRPr="00A911FA" w:rsidRDefault="008F4752" w:rsidP="00A94C57">
            <w:pPr>
              <w:rPr>
                <w:rFonts w:cs="Segoe UI"/>
                <w:color w:val="000000" w:themeColor="text1"/>
                <w:sz w:val="17"/>
                <w:szCs w:val="17"/>
                <w:lang w:val="en-US"/>
              </w:rPr>
            </w:pPr>
            <w:r w:rsidRPr="00A911FA">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Pr="00B05524">
              <w:rPr>
                <w:rFonts w:cs="Segoe UI"/>
                <w:iCs/>
                <w:color w:val="000000" w:themeColor="text1"/>
                <w:sz w:val="17"/>
                <w:szCs w:val="17"/>
                <w:lang w:val="en-US"/>
              </w:rPr>
              <w:t>NTA</w:t>
            </w:r>
            <w:r w:rsidRPr="00A911FA">
              <w:rPr>
                <w:rFonts w:cs="Segoe UI"/>
                <w:color w:val="000000" w:themeColor="text1"/>
                <w:sz w:val="17"/>
                <w:szCs w:val="17"/>
                <w:lang w:val="en-US"/>
              </w:rPr>
              <w:t>.</w:t>
            </w:r>
          </w:p>
        </w:tc>
      </w:tr>
      <w:tr w:rsidR="008F4752" w:rsidRPr="00A911FA" w14:paraId="190D1CE1" w14:textId="77777777" w:rsidTr="00A94C57">
        <w:tc>
          <w:tcPr>
            <w:tcW w:w="1645" w:type="dxa"/>
          </w:tcPr>
          <w:p w14:paraId="4EC2B696"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Representative Aboriginal/ Torres Strait Islander Body area (RATSIB area)</w:t>
            </w:r>
          </w:p>
        </w:tc>
        <w:tc>
          <w:tcPr>
            <w:tcW w:w="6804" w:type="dxa"/>
          </w:tcPr>
          <w:p w14:paraId="1EE3825E"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val="en-US"/>
              </w:rPr>
              <w:t xml:space="preserve">The area in which an NTRB-SP performs its functions. </w:t>
            </w:r>
          </w:p>
        </w:tc>
      </w:tr>
      <w:tr w:rsidR="008F4752" w:rsidRPr="00A911FA" w14:paraId="5298E20E" w14:textId="77777777" w:rsidTr="00A94C57">
        <w:tc>
          <w:tcPr>
            <w:tcW w:w="1645" w:type="dxa"/>
          </w:tcPr>
          <w:p w14:paraId="27199737"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Terms of Reference (TOR)</w:t>
            </w:r>
          </w:p>
        </w:tc>
        <w:tc>
          <w:tcPr>
            <w:tcW w:w="6804" w:type="dxa"/>
          </w:tcPr>
          <w:p w14:paraId="1BCAEAA8" w14:textId="72A1E8CF"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 xml:space="preserve">Refers to the Terms of Reference provided by </w:t>
            </w:r>
            <w:r w:rsidR="002C3710" w:rsidRPr="00A911FA">
              <w:rPr>
                <w:rFonts w:cs="Segoe UI"/>
                <w:color w:val="000000" w:themeColor="text1"/>
                <w:sz w:val="17"/>
                <w:szCs w:val="17"/>
                <w:lang w:eastAsia="en-AU"/>
              </w:rPr>
              <w:t>the NIAA</w:t>
            </w:r>
            <w:r w:rsidRPr="00A911FA">
              <w:rPr>
                <w:rFonts w:cs="Segoe UI"/>
                <w:color w:val="000000" w:themeColor="text1"/>
                <w:sz w:val="17"/>
                <w:szCs w:val="17"/>
                <w:lang w:eastAsia="en-AU"/>
              </w:rPr>
              <w:t xml:space="preserve"> which govern the scope of the project. These can be found in Appendix A. </w:t>
            </w:r>
          </w:p>
        </w:tc>
      </w:tr>
      <w:tr w:rsidR="008F4752" w:rsidRPr="00A911FA" w14:paraId="197B56ED" w14:textId="77777777" w:rsidTr="00A94C57">
        <w:tc>
          <w:tcPr>
            <w:tcW w:w="1645" w:type="dxa"/>
          </w:tcPr>
          <w:p w14:paraId="4E2527AC"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Traditional Owners (TOs)</w:t>
            </w:r>
          </w:p>
        </w:tc>
        <w:tc>
          <w:tcPr>
            <w:tcW w:w="6804" w:type="dxa"/>
          </w:tcPr>
          <w:p w14:paraId="026FE39B" w14:textId="77777777" w:rsidR="008F4752" w:rsidRPr="00A911FA" w:rsidRDefault="008F4752" w:rsidP="00A94C57">
            <w:pPr>
              <w:rPr>
                <w:rFonts w:cs="Segoe UI"/>
                <w:color w:val="000000" w:themeColor="text1"/>
                <w:sz w:val="17"/>
                <w:szCs w:val="17"/>
                <w:lang w:eastAsia="en-AU"/>
              </w:rPr>
            </w:pPr>
            <w:r w:rsidRPr="00A911FA">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2BC27C9F" w14:textId="644D0CF4" w:rsidR="008F4752" w:rsidRDefault="008F4752" w:rsidP="008F4752">
      <w:pPr>
        <w:rPr>
          <w:lang w:eastAsia="en-AU"/>
        </w:rPr>
      </w:pPr>
    </w:p>
    <w:p w14:paraId="7AF6C8F3" w14:textId="68880A16" w:rsidR="00A911FA" w:rsidRDefault="00A911FA">
      <w:pPr>
        <w:spacing w:after="160" w:line="259" w:lineRule="auto"/>
        <w:rPr>
          <w:lang w:eastAsia="en-AU"/>
        </w:rPr>
      </w:pPr>
      <w:r>
        <w:rPr>
          <w:lang w:eastAsia="en-AU"/>
        </w:rPr>
        <w:br w:type="page"/>
      </w:r>
    </w:p>
    <w:p w14:paraId="5F33A4EB" w14:textId="19CA4268" w:rsidR="008F4752" w:rsidRPr="00BB1AA6" w:rsidRDefault="008F4752" w:rsidP="008F4752">
      <w:pPr>
        <w:rPr>
          <w:lang w:eastAsia="en-AU"/>
        </w:rPr>
      </w:pPr>
      <w:r w:rsidRPr="00BB1AA6">
        <w:rPr>
          <w:lang w:eastAsia="en-AU"/>
        </w:rPr>
        <w:lastRenderedPageBreak/>
        <w:t xml:space="preserve">This document refers to the functions of NTRB-SPs outlined under the </w:t>
      </w:r>
      <w:r w:rsidR="00F06BF0" w:rsidRPr="00B05524">
        <w:rPr>
          <w:iCs/>
          <w:lang w:eastAsia="en-AU"/>
        </w:rPr>
        <w:t>NTA</w:t>
      </w:r>
      <w:r w:rsidRPr="00BB1AA6">
        <w:rPr>
          <w:i/>
          <w:lang w:eastAsia="en-AU"/>
        </w:rPr>
        <w:t xml:space="preserve"> </w:t>
      </w:r>
      <w:r w:rsidRPr="00BB1AA6">
        <w:rPr>
          <w:lang w:eastAsia="en-AU"/>
        </w:rPr>
        <w:t xml:space="preserve">and captured in </w:t>
      </w:r>
      <w:r w:rsidR="00A03BFE">
        <w:rPr>
          <w:lang w:eastAsia="en-AU"/>
        </w:rPr>
        <w:t>Table 3</w:t>
      </w:r>
      <w:r w:rsidRPr="00BB1AA6">
        <w:rPr>
          <w:lang w:eastAsia="en-AU"/>
        </w:rPr>
        <w:t>.</w:t>
      </w:r>
    </w:p>
    <w:p w14:paraId="5B4ABE4F" w14:textId="06CEE913" w:rsidR="008F4752" w:rsidRPr="00BB1AA6" w:rsidRDefault="008F4752" w:rsidP="008F4752">
      <w:pPr>
        <w:pStyle w:val="Caption"/>
      </w:pPr>
      <w:bookmarkStart w:id="156" w:name="_Ref504381314"/>
      <w:r w:rsidRPr="00BB1AA6">
        <w:t xml:space="preserve">Table </w:t>
      </w:r>
      <w:r w:rsidR="00A03BFE">
        <w:t>3</w:t>
      </w:r>
      <w:bookmarkEnd w:id="156"/>
      <w:r w:rsidRPr="00BB1AA6">
        <w:t xml:space="preserve"> | NTRB functions under the </w:t>
      </w:r>
      <w:r w:rsidRPr="00BB1AA6">
        <w:rPr>
          <w:i/>
        </w:rPr>
        <w:t>Act</w:t>
      </w:r>
    </w:p>
    <w:tbl>
      <w:tblPr>
        <w:tblStyle w:val="TableGrid"/>
        <w:tblW w:w="0" w:type="auto"/>
        <w:tblLook w:val="04A0" w:firstRow="1" w:lastRow="0" w:firstColumn="1" w:lastColumn="0" w:noHBand="0" w:noVBand="1"/>
      </w:tblPr>
      <w:tblGrid>
        <w:gridCol w:w="1075"/>
        <w:gridCol w:w="2233"/>
        <w:gridCol w:w="5622"/>
      </w:tblGrid>
      <w:tr w:rsidR="008F4752" w:rsidRPr="00A911FA" w14:paraId="2EF7BE66" w14:textId="77777777" w:rsidTr="00A94C57">
        <w:trPr>
          <w:cnfStyle w:val="100000000000" w:firstRow="1" w:lastRow="0" w:firstColumn="0" w:lastColumn="0" w:oddVBand="0" w:evenVBand="0" w:oddHBand="0" w:evenHBand="0" w:firstRowFirstColumn="0" w:firstRowLastColumn="0" w:lastRowFirstColumn="0" w:lastRowLastColumn="0"/>
        </w:trPr>
        <w:tc>
          <w:tcPr>
            <w:tcW w:w="1078" w:type="dxa"/>
          </w:tcPr>
          <w:p w14:paraId="5D73CEF7" w14:textId="77777777" w:rsidR="008F4752" w:rsidRPr="00A911FA" w:rsidRDefault="008F4752" w:rsidP="00A94C57">
            <w:pPr>
              <w:rPr>
                <w:sz w:val="17"/>
                <w:szCs w:val="17"/>
                <w:lang w:eastAsia="en-AU"/>
              </w:rPr>
            </w:pPr>
            <w:r w:rsidRPr="00A911FA">
              <w:rPr>
                <w:sz w:val="17"/>
                <w:szCs w:val="17"/>
                <w:lang w:eastAsia="en-AU"/>
              </w:rPr>
              <w:t xml:space="preserve">Reference </w:t>
            </w:r>
          </w:p>
        </w:tc>
        <w:tc>
          <w:tcPr>
            <w:tcW w:w="2268" w:type="dxa"/>
          </w:tcPr>
          <w:p w14:paraId="3ED7B3A5" w14:textId="77777777" w:rsidR="008F4752" w:rsidRPr="00A911FA" w:rsidRDefault="008F4752" w:rsidP="00A94C57">
            <w:pPr>
              <w:rPr>
                <w:sz w:val="17"/>
                <w:szCs w:val="17"/>
                <w:lang w:eastAsia="en-AU"/>
              </w:rPr>
            </w:pPr>
            <w:r w:rsidRPr="00A911FA">
              <w:rPr>
                <w:sz w:val="17"/>
                <w:szCs w:val="17"/>
                <w:lang w:eastAsia="en-AU"/>
              </w:rPr>
              <w:t>Function</w:t>
            </w:r>
          </w:p>
        </w:tc>
        <w:tc>
          <w:tcPr>
            <w:tcW w:w="5754" w:type="dxa"/>
          </w:tcPr>
          <w:p w14:paraId="74139994" w14:textId="77777777" w:rsidR="008F4752" w:rsidRPr="00A911FA" w:rsidRDefault="008F4752" w:rsidP="00A94C57">
            <w:pPr>
              <w:rPr>
                <w:sz w:val="17"/>
                <w:szCs w:val="17"/>
                <w:lang w:eastAsia="en-AU"/>
              </w:rPr>
            </w:pPr>
            <w:r w:rsidRPr="00A911FA">
              <w:rPr>
                <w:sz w:val="17"/>
                <w:szCs w:val="17"/>
                <w:lang w:eastAsia="en-AU"/>
              </w:rPr>
              <w:t>Detail</w:t>
            </w:r>
          </w:p>
        </w:tc>
      </w:tr>
      <w:tr w:rsidR="008F4752" w:rsidRPr="00A911FA" w14:paraId="355751CE" w14:textId="77777777" w:rsidTr="00A94C57">
        <w:tc>
          <w:tcPr>
            <w:tcW w:w="1078" w:type="dxa"/>
          </w:tcPr>
          <w:p w14:paraId="71501DCD" w14:textId="77777777" w:rsidR="008F4752" w:rsidRPr="00A911FA" w:rsidRDefault="008F4752" w:rsidP="00A94C57">
            <w:pPr>
              <w:rPr>
                <w:sz w:val="17"/>
                <w:szCs w:val="17"/>
                <w:lang w:eastAsia="en-AU"/>
              </w:rPr>
            </w:pPr>
            <w:r w:rsidRPr="00A911FA">
              <w:rPr>
                <w:sz w:val="17"/>
                <w:szCs w:val="17"/>
                <w:lang w:eastAsia="en-AU"/>
              </w:rPr>
              <w:t>s203BB</w:t>
            </w:r>
          </w:p>
        </w:tc>
        <w:tc>
          <w:tcPr>
            <w:tcW w:w="2268" w:type="dxa"/>
          </w:tcPr>
          <w:p w14:paraId="29943E01" w14:textId="77777777" w:rsidR="008F4752" w:rsidRPr="00A911FA" w:rsidRDefault="008F4752" w:rsidP="00A94C57">
            <w:pPr>
              <w:rPr>
                <w:sz w:val="17"/>
                <w:szCs w:val="17"/>
                <w:lang w:eastAsia="en-AU"/>
              </w:rPr>
            </w:pPr>
            <w:r w:rsidRPr="00A911FA">
              <w:rPr>
                <w:sz w:val="17"/>
                <w:szCs w:val="17"/>
                <w:lang w:eastAsia="en-AU"/>
              </w:rPr>
              <w:t>Facilitation and assistance</w:t>
            </w:r>
          </w:p>
        </w:tc>
        <w:tc>
          <w:tcPr>
            <w:tcW w:w="5754" w:type="dxa"/>
          </w:tcPr>
          <w:p w14:paraId="371B8202" w14:textId="77777777" w:rsidR="008F4752" w:rsidRPr="00A911FA" w:rsidRDefault="008F4752" w:rsidP="00A94C57">
            <w:pPr>
              <w:rPr>
                <w:sz w:val="17"/>
                <w:szCs w:val="17"/>
                <w:lang w:eastAsia="en-AU"/>
              </w:rPr>
            </w:pPr>
            <w:r w:rsidRPr="00A911FA">
              <w:rPr>
                <w:sz w:val="17"/>
                <w:szCs w:val="17"/>
                <w:lang w:eastAsia="en-AU"/>
              </w:rPr>
              <w:t>NTRB-SPs provide assistance to those that hold or may hold native title in relation to native title applications, future acts, agreements, rights of access and other matters.</w:t>
            </w:r>
          </w:p>
        </w:tc>
      </w:tr>
      <w:tr w:rsidR="008F4752" w:rsidRPr="00A911FA" w14:paraId="2D5EC063" w14:textId="77777777" w:rsidTr="00A94C57">
        <w:tc>
          <w:tcPr>
            <w:tcW w:w="1078" w:type="dxa"/>
          </w:tcPr>
          <w:p w14:paraId="71EA25D2" w14:textId="77777777" w:rsidR="008F4752" w:rsidRPr="00A911FA" w:rsidRDefault="008F4752" w:rsidP="00A94C57">
            <w:pPr>
              <w:rPr>
                <w:sz w:val="17"/>
                <w:szCs w:val="17"/>
                <w:lang w:eastAsia="en-AU"/>
              </w:rPr>
            </w:pPr>
            <w:r w:rsidRPr="00A911FA">
              <w:rPr>
                <w:sz w:val="17"/>
                <w:szCs w:val="17"/>
                <w:lang w:eastAsia="en-AU"/>
              </w:rPr>
              <w:t>s203BF</w:t>
            </w:r>
          </w:p>
        </w:tc>
        <w:tc>
          <w:tcPr>
            <w:tcW w:w="2268" w:type="dxa"/>
          </w:tcPr>
          <w:p w14:paraId="3EB9EF43" w14:textId="77777777" w:rsidR="008F4752" w:rsidRPr="00A911FA" w:rsidRDefault="008F4752" w:rsidP="00A94C57">
            <w:pPr>
              <w:rPr>
                <w:sz w:val="17"/>
                <w:szCs w:val="17"/>
                <w:lang w:eastAsia="en-AU"/>
              </w:rPr>
            </w:pPr>
            <w:r w:rsidRPr="00A911FA">
              <w:rPr>
                <w:sz w:val="17"/>
                <w:szCs w:val="17"/>
                <w:lang w:eastAsia="en-AU"/>
              </w:rPr>
              <w:t>Certification</w:t>
            </w:r>
          </w:p>
        </w:tc>
        <w:tc>
          <w:tcPr>
            <w:tcW w:w="5754" w:type="dxa"/>
          </w:tcPr>
          <w:p w14:paraId="7E1CAE7C" w14:textId="77777777" w:rsidR="008F4752" w:rsidRPr="00A911FA" w:rsidRDefault="008F4752" w:rsidP="00A94C57">
            <w:pPr>
              <w:rPr>
                <w:sz w:val="17"/>
                <w:szCs w:val="17"/>
                <w:lang w:eastAsia="en-AU"/>
              </w:rPr>
            </w:pPr>
            <w:r w:rsidRPr="00A911FA">
              <w:rPr>
                <w:sz w:val="17"/>
                <w:szCs w:val="17"/>
                <w:lang w:eastAsia="en-AU"/>
              </w:rPr>
              <w:t xml:space="preserve">NTRB-SPs certify applications for native title determinations and certify the registration of ILUAs. </w:t>
            </w:r>
          </w:p>
        </w:tc>
      </w:tr>
      <w:tr w:rsidR="008F4752" w:rsidRPr="00A911FA" w14:paraId="1BFDA1DA" w14:textId="77777777" w:rsidTr="00A94C57">
        <w:tc>
          <w:tcPr>
            <w:tcW w:w="1078" w:type="dxa"/>
          </w:tcPr>
          <w:p w14:paraId="27075AD3" w14:textId="77777777" w:rsidR="008F4752" w:rsidRPr="00A911FA" w:rsidRDefault="008F4752" w:rsidP="00A94C57">
            <w:pPr>
              <w:rPr>
                <w:sz w:val="17"/>
                <w:szCs w:val="17"/>
                <w:lang w:eastAsia="en-AU"/>
              </w:rPr>
            </w:pPr>
            <w:r w:rsidRPr="00A911FA">
              <w:rPr>
                <w:sz w:val="17"/>
                <w:szCs w:val="17"/>
                <w:lang w:eastAsia="en-AU"/>
              </w:rPr>
              <w:t>s203BF</w:t>
            </w:r>
          </w:p>
        </w:tc>
        <w:tc>
          <w:tcPr>
            <w:tcW w:w="2268" w:type="dxa"/>
          </w:tcPr>
          <w:p w14:paraId="603427B8" w14:textId="77777777" w:rsidR="008F4752" w:rsidRPr="00A911FA" w:rsidRDefault="008F4752" w:rsidP="00A94C57">
            <w:pPr>
              <w:rPr>
                <w:sz w:val="17"/>
                <w:szCs w:val="17"/>
                <w:lang w:eastAsia="en-AU"/>
              </w:rPr>
            </w:pPr>
            <w:r w:rsidRPr="00A911FA">
              <w:rPr>
                <w:sz w:val="17"/>
                <w:szCs w:val="17"/>
                <w:lang w:eastAsia="en-AU"/>
              </w:rPr>
              <w:t>Dispute resolution</w:t>
            </w:r>
          </w:p>
        </w:tc>
        <w:tc>
          <w:tcPr>
            <w:tcW w:w="5754" w:type="dxa"/>
          </w:tcPr>
          <w:p w14:paraId="4BE49A3B" w14:textId="77777777" w:rsidR="008F4752" w:rsidRPr="00A911FA" w:rsidRDefault="008F4752" w:rsidP="00A94C57">
            <w:pPr>
              <w:rPr>
                <w:sz w:val="17"/>
                <w:szCs w:val="17"/>
                <w:lang w:eastAsia="en-AU"/>
              </w:rPr>
            </w:pPr>
            <w:r w:rsidRPr="00A911FA">
              <w:rPr>
                <w:sz w:val="17"/>
                <w:szCs w:val="17"/>
                <w:lang w:eastAsia="en-AU"/>
              </w:rPr>
              <w:t xml:space="preserve">NTRB-SPs promote agreement and mediate disputes between native title groups. </w:t>
            </w:r>
          </w:p>
        </w:tc>
      </w:tr>
      <w:tr w:rsidR="008F4752" w:rsidRPr="00A911FA" w14:paraId="24ED8894" w14:textId="77777777" w:rsidTr="00A94C57">
        <w:tc>
          <w:tcPr>
            <w:tcW w:w="1078" w:type="dxa"/>
          </w:tcPr>
          <w:p w14:paraId="6C36E88E" w14:textId="77777777" w:rsidR="008F4752" w:rsidRPr="00A911FA" w:rsidRDefault="008F4752" w:rsidP="00A94C57">
            <w:pPr>
              <w:rPr>
                <w:sz w:val="17"/>
                <w:szCs w:val="17"/>
                <w:lang w:eastAsia="en-AU"/>
              </w:rPr>
            </w:pPr>
            <w:r w:rsidRPr="00A911FA">
              <w:rPr>
                <w:sz w:val="17"/>
                <w:szCs w:val="17"/>
                <w:lang w:eastAsia="en-AU"/>
              </w:rPr>
              <w:t>s203BG</w:t>
            </w:r>
          </w:p>
        </w:tc>
        <w:tc>
          <w:tcPr>
            <w:tcW w:w="2268" w:type="dxa"/>
          </w:tcPr>
          <w:p w14:paraId="118490EA" w14:textId="77777777" w:rsidR="008F4752" w:rsidRPr="00A911FA" w:rsidRDefault="008F4752" w:rsidP="00A94C57">
            <w:pPr>
              <w:rPr>
                <w:sz w:val="17"/>
                <w:szCs w:val="17"/>
                <w:lang w:eastAsia="en-AU"/>
              </w:rPr>
            </w:pPr>
            <w:r w:rsidRPr="00A911FA">
              <w:rPr>
                <w:sz w:val="17"/>
                <w:szCs w:val="17"/>
                <w:lang w:eastAsia="en-AU"/>
              </w:rPr>
              <w:t>Notification</w:t>
            </w:r>
          </w:p>
        </w:tc>
        <w:tc>
          <w:tcPr>
            <w:tcW w:w="5754" w:type="dxa"/>
          </w:tcPr>
          <w:p w14:paraId="25B82844" w14:textId="77777777" w:rsidR="008F4752" w:rsidRPr="00A911FA" w:rsidRDefault="008F4752" w:rsidP="00A94C57">
            <w:pPr>
              <w:rPr>
                <w:sz w:val="17"/>
                <w:szCs w:val="17"/>
                <w:lang w:eastAsia="en-AU"/>
              </w:rPr>
            </w:pPr>
            <w:r w:rsidRPr="00A911FA">
              <w:rPr>
                <w:sz w:val="17"/>
                <w:szCs w:val="17"/>
                <w:lang w:eastAsia="en-AU"/>
              </w:rPr>
              <w:t xml:space="preserve">NTRB-SPs ensure that people that may hold native title are informed of other claims and of future acts and the time limits for responding to these. </w:t>
            </w:r>
          </w:p>
        </w:tc>
      </w:tr>
      <w:tr w:rsidR="008F4752" w:rsidRPr="00A911FA" w14:paraId="098EFB2E" w14:textId="77777777" w:rsidTr="00A94C57">
        <w:tc>
          <w:tcPr>
            <w:tcW w:w="1078" w:type="dxa"/>
          </w:tcPr>
          <w:p w14:paraId="479D615E" w14:textId="77777777" w:rsidR="008F4752" w:rsidRPr="00A911FA" w:rsidRDefault="008F4752" w:rsidP="00A94C57">
            <w:pPr>
              <w:rPr>
                <w:sz w:val="17"/>
                <w:szCs w:val="17"/>
                <w:lang w:eastAsia="en-AU"/>
              </w:rPr>
            </w:pPr>
            <w:r w:rsidRPr="00A911FA">
              <w:rPr>
                <w:sz w:val="17"/>
                <w:szCs w:val="17"/>
                <w:lang w:eastAsia="en-AU"/>
              </w:rPr>
              <w:t>s203BH</w:t>
            </w:r>
          </w:p>
        </w:tc>
        <w:tc>
          <w:tcPr>
            <w:tcW w:w="2268" w:type="dxa"/>
          </w:tcPr>
          <w:p w14:paraId="7BAD378D" w14:textId="77777777" w:rsidR="008F4752" w:rsidRPr="00A911FA" w:rsidRDefault="008F4752" w:rsidP="00A94C57">
            <w:pPr>
              <w:rPr>
                <w:sz w:val="17"/>
                <w:szCs w:val="17"/>
                <w:lang w:eastAsia="en-AU"/>
              </w:rPr>
            </w:pPr>
            <w:r w:rsidRPr="00A911FA">
              <w:rPr>
                <w:sz w:val="17"/>
                <w:szCs w:val="17"/>
                <w:lang w:eastAsia="en-AU"/>
              </w:rPr>
              <w:t>Agreement making</w:t>
            </w:r>
          </w:p>
        </w:tc>
        <w:tc>
          <w:tcPr>
            <w:tcW w:w="5754" w:type="dxa"/>
          </w:tcPr>
          <w:p w14:paraId="3F390559" w14:textId="77777777" w:rsidR="008F4752" w:rsidRPr="00A911FA" w:rsidRDefault="008F4752" w:rsidP="00A94C57">
            <w:pPr>
              <w:rPr>
                <w:sz w:val="17"/>
                <w:szCs w:val="17"/>
                <w:lang w:eastAsia="en-AU"/>
              </w:rPr>
            </w:pPr>
            <w:r w:rsidRPr="00A911FA">
              <w:rPr>
                <w:sz w:val="17"/>
                <w:szCs w:val="17"/>
                <w:lang w:eastAsia="en-AU"/>
              </w:rPr>
              <w:t>NTRB-SPs can be a party to ILUAs or other agreements.</w:t>
            </w:r>
          </w:p>
        </w:tc>
      </w:tr>
      <w:tr w:rsidR="008F4752" w:rsidRPr="00A911FA" w14:paraId="40C9AA1A" w14:textId="77777777" w:rsidTr="00A94C57">
        <w:tc>
          <w:tcPr>
            <w:tcW w:w="1078" w:type="dxa"/>
          </w:tcPr>
          <w:p w14:paraId="4D46D100" w14:textId="77777777" w:rsidR="008F4752" w:rsidRPr="00A911FA" w:rsidRDefault="008F4752" w:rsidP="00A94C57">
            <w:pPr>
              <w:rPr>
                <w:sz w:val="17"/>
                <w:szCs w:val="17"/>
                <w:lang w:eastAsia="en-AU"/>
              </w:rPr>
            </w:pPr>
            <w:r w:rsidRPr="00A911FA">
              <w:rPr>
                <w:sz w:val="17"/>
                <w:szCs w:val="17"/>
                <w:lang w:eastAsia="en-AU"/>
              </w:rPr>
              <w:t>s203BI</w:t>
            </w:r>
          </w:p>
        </w:tc>
        <w:tc>
          <w:tcPr>
            <w:tcW w:w="2268" w:type="dxa"/>
          </w:tcPr>
          <w:p w14:paraId="30CCDD2B" w14:textId="77777777" w:rsidR="008F4752" w:rsidRPr="00A911FA" w:rsidRDefault="008F4752" w:rsidP="00A94C57">
            <w:pPr>
              <w:rPr>
                <w:sz w:val="17"/>
                <w:szCs w:val="17"/>
                <w:lang w:eastAsia="en-AU"/>
              </w:rPr>
            </w:pPr>
            <w:r w:rsidRPr="00A911FA">
              <w:rPr>
                <w:sz w:val="17"/>
                <w:szCs w:val="17"/>
                <w:lang w:eastAsia="en-AU"/>
              </w:rPr>
              <w:t>Internal review</w:t>
            </w:r>
          </w:p>
        </w:tc>
        <w:tc>
          <w:tcPr>
            <w:tcW w:w="5754" w:type="dxa"/>
          </w:tcPr>
          <w:p w14:paraId="3E4D913D" w14:textId="77777777" w:rsidR="008F4752" w:rsidRPr="00A911FA" w:rsidRDefault="008F4752" w:rsidP="00A94C57">
            <w:pPr>
              <w:rPr>
                <w:sz w:val="17"/>
                <w:szCs w:val="17"/>
                <w:lang w:eastAsia="en-AU"/>
              </w:rPr>
            </w:pPr>
            <w:r w:rsidRPr="00A911FA">
              <w:rPr>
                <w:sz w:val="17"/>
                <w:szCs w:val="17"/>
                <w:lang w:eastAsia="en-AU"/>
              </w:rPr>
              <w:t>NTRB-SPs have a process by which native title claimants can seek a review of decisions and actions they have made, and promote access to this process for claimants.</w:t>
            </w:r>
          </w:p>
        </w:tc>
      </w:tr>
      <w:tr w:rsidR="008F4752" w:rsidRPr="00A911FA" w14:paraId="393BD146" w14:textId="77777777" w:rsidTr="00A94C57">
        <w:tc>
          <w:tcPr>
            <w:tcW w:w="1078" w:type="dxa"/>
          </w:tcPr>
          <w:p w14:paraId="138F723A" w14:textId="77777777" w:rsidR="008F4752" w:rsidRPr="00A911FA" w:rsidRDefault="008F4752" w:rsidP="00A94C57">
            <w:pPr>
              <w:rPr>
                <w:sz w:val="17"/>
                <w:szCs w:val="17"/>
                <w:lang w:eastAsia="en-AU"/>
              </w:rPr>
            </w:pPr>
            <w:r w:rsidRPr="00A911FA">
              <w:rPr>
                <w:sz w:val="17"/>
                <w:szCs w:val="17"/>
                <w:lang w:eastAsia="en-AU"/>
              </w:rPr>
              <w:t>s203BJ</w:t>
            </w:r>
          </w:p>
        </w:tc>
        <w:tc>
          <w:tcPr>
            <w:tcW w:w="2268" w:type="dxa"/>
          </w:tcPr>
          <w:p w14:paraId="011DD931" w14:textId="77777777" w:rsidR="008F4752" w:rsidRPr="00A911FA" w:rsidRDefault="008F4752" w:rsidP="00A94C57">
            <w:pPr>
              <w:rPr>
                <w:sz w:val="17"/>
                <w:szCs w:val="17"/>
                <w:lang w:eastAsia="en-AU"/>
              </w:rPr>
            </w:pPr>
            <w:r w:rsidRPr="00A911FA">
              <w:rPr>
                <w:sz w:val="17"/>
                <w:szCs w:val="17"/>
                <w:lang w:eastAsia="en-AU"/>
              </w:rPr>
              <w:t>Other functions conferred by the Act or by any other law</w:t>
            </w:r>
          </w:p>
        </w:tc>
        <w:tc>
          <w:tcPr>
            <w:tcW w:w="5754" w:type="dxa"/>
          </w:tcPr>
          <w:p w14:paraId="7121D02A" w14:textId="77777777" w:rsidR="008F4752" w:rsidRPr="00A911FA" w:rsidRDefault="008F4752" w:rsidP="00A94C57">
            <w:pPr>
              <w:rPr>
                <w:sz w:val="17"/>
                <w:szCs w:val="17"/>
                <w:lang w:eastAsia="en-AU"/>
              </w:rPr>
            </w:pPr>
            <w:r w:rsidRPr="00A911FA">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46D82CBE" w14:textId="77777777" w:rsidR="008F4752" w:rsidRPr="00F142E6" w:rsidRDefault="008F4752" w:rsidP="008F4752">
      <w:pPr>
        <w:rPr>
          <w:lang w:eastAsia="en-AU"/>
        </w:rPr>
      </w:pPr>
    </w:p>
    <w:bookmarkEnd w:id="153"/>
    <w:p w14:paraId="53FAEEFE" w14:textId="77777777" w:rsidR="008F4752" w:rsidRDefault="008F4752" w:rsidP="00EB3786"/>
    <w:sectPr w:rsidR="008F4752" w:rsidSect="00272EEE">
      <w:headerReference w:type="default" r:id="rId18"/>
      <w:footerReference w:type="default" r:id="rId19"/>
      <w:headerReference w:type="first" r:id="rId20"/>
      <w:footerReference w:type="first" r:id="rId21"/>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189D8" w14:textId="77777777" w:rsidR="00692743" w:rsidRDefault="00692743" w:rsidP="00302076">
      <w:pPr>
        <w:spacing w:after="0"/>
      </w:pPr>
      <w:r>
        <w:separator/>
      </w:r>
    </w:p>
  </w:endnote>
  <w:endnote w:type="continuationSeparator" w:id="0">
    <w:p w14:paraId="6F18E346" w14:textId="77777777" w:rsidR="00692743" w:rsidRDefault="00692743" w:rsidP="00302076">
      <w:pPr>
        <w:spacing w:after="0"/>
      </w:pPr>
      <w:r>
        <w:continuationSeparator/>
      </w:r>
    </w:p>
  </w:endnote>
  <w:endnote w:type="continuationNotice" w:id="1">
    <w:p w14:paraId="62380C65" w14:textId="77777777" w:rsidR="00692743" w:rsidRDefault="006927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B71" w14:textId="6581692F" w:rsidR="00A94C57" w:rsidRPr="00FD4AB1" w:rsidRDefault="00A94C57" w:rsidP="000A7531">
    <w:pPr>
      <w:pStyle w:val="Footer"/>
      <w:rPr>
        <w:rFonts w:ascii="Segoe UI Semibold" w:hAnsi="Segoe UI Semibold" w:cs="Segoe UI"/>
        <w:b/>
      </w:rPr>
    </w:pPr>
    <w:r>
      <w:rPr>
        <w:color w:val="808080" w:themeColor="background1" w:themeShade="80"/>
        <w:sz w:val="15"/>
        <w:szCs w:val="15"/>
        <w:lang w:eastAsia="en-AU"/>
      </w:rPr>
      <w:t xml:space="preserve">Nous Group | </w:t>
    </w:r>
    <w:sdt>
      <w:sdtPr>
        <w:rPr>
          <w:color w:val="808080" w:themeColor="background1" w:themeShade="80"/>
          <w:sz w:val="15"/>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3800E8">
          <w:rPr>
            <w:color w:val="808080" w:themeColor="background1" w:themeShade="80"/>
            <w:sz w:val="15"/>
            <w:szCs w:val="15"/>
            <w:lang w:eastAsia="en-AU"/>
          </w:rPr>
          <w:t>Review of Performance as a Native Title Representative Body: North Queensland Land Council</w:t>
        </w:r>
      </w:sdtContent>
    </w:sdt>
    <w:r>
      <w:rPr>
        <w:color w:val="808080" w:themeColor="background1" w:themeShade="80"/>
        <w:sz w:val="15"/>
        <w:szCs w:val="15"/>
        <w:lang w:eastAsia="en-AU"/>
      </w:rPr>
      <w:t xml:space="preserve"> | </w:t>
    </w:r>
    <w:sdt>
      <w:sdtPr>
        <w:rPr>
          <w:color w:val="808080" w:themeColor="background1" w:themeShade="80"/>
          <w:sz w:val="15"/>
          <w:szCs w:val="15"/>
          <w:lang w:eastAsia="en-AU"/>
        </w:rPr>
        <w:alias w:val="Publish Date"/>
        <w:id w:val="-1921550597"/>
        <w:showingPlcHdr/>
        <w:dataBinding w:prefixMappings="xmlns:ns0='http://schemas.microsoft.com/office/2006/coverPageProps' " w:xpath="/ns0:CoverPageProperties[1]/ns0:PublishDate[1]" w:storeItemID="{55AF091B-3C7A-41E3-B477-F2FDAA23CFDA}"/>
        <w:date w:fullDate="2021-03-01T00:00:00Z">
          <w:dateFormat w:val="d MMMM yyyy"/>
          <w:lid w:val="en-AU"/>
          <w:storeMappedDataAs w:val="dateTime"/>
          <w:calendar w:val="gregorian"/>
        </w:date>
      </w:sdtPr>
      <w:sdtEndPr/>
      <w:sdtContent>
        <w:r w:rsidR="006A429B">
          <w:rPr>
            <w:color w:val="808080" w:themeColor="background1" w:themeShade="80"/>
            <w:sz w:val="15"/>
            <w:szCs w:val="15"/>
            <w:lang w:eastAsia="en-AU"/>
          </w:rPr>
          <w:t xml:space="preserve">     </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D" w14:textId="4596EC59" w:rsidR="00A94C57" w:rsidRPr="007A5C67" w:rsidRDefault="00A94C57" w:rsidP="00000A9B">
    <w:pPr>
      <w:spacing w:after="0"/>
      <w:rPr>
        <w:color w:val="808080" w:themeColor="background1" w:themeShade="80"/>
        <w:sz w:val="15"/>
        <w:szCs w:val="15"/>
        <w:lang w:eastAsia="en-AU"/>
      </w:rPr>
    </w:pPr>
    <w:r>
      <w:rPr>
        <w:color w:val="808080" w:themeColor="background1" w:themeShade="80"/>
        <w:sz w:val="15"/>
        <w:szCs w:val="15"/>
        <w:lang w:eastAsia="en-AU"/>
      </w:rPr>
      <w:t xml:space="preserve">Nous Group | Review of NTRB-SPs – </w:t>
    </w:r>
    <w:r w:rsidR="00796323">
      <w:rPr>
        <w:color w:val="808080" w:themeColor="background1" w:themeShade="80"/>
        <w:sz w:val="15"/>
        <w:szCs w:val="15"/>
        <w:lang w:eastAsia="en-AU"/>
      </w:rPr>
      <w:t>QNLC summary</w:t>
    </w:r>
    <w:r>
      <w:rPr>
        <w:color w:val="808080" w:themeColor="background1" w:themeShade="80"/>
        <w:sz w:val="15"/>
        <w:szCs w:val="15"/>
        <w:lang w:eastAsia="en-AU"/>
      </w:rPr>
      <w:t xml:space="preserve"> report</w:t>
    </w:r>
    <w:r w:rsidRPr="008A55C6">
      <w:rPr>
        <w:color w:val="808080" w:themeColor="background1" w:themeShade="80"/>
        <w:sz w:val="15"/>
        <w:szCs w:val="15"/>
        <w:lang w:eastAsia="en-AU"/>
      </w:rPr>
      <w:t xml:space="preserve"> | </w:t>
    </w:r>
    <w:r w:rsidR="0023420B">
      <w:rPr>
        <w:color w:val="808080" w:themeColor="background1" w:themeShade="80"/>
        <w:sz w:val="15"/>
        <w:szCs w:val="15"/>
        <w:lang w:eastAsia="en-AU"/>
      </w:rPr>
      <w:t>March 2021</w:t>
    </w:r>
    <w:r w:rsidRPr="008A55C6">
      <w:rPr>
        <w:color w:val="808080" w:themeColor="background1" w:themeShade="80"/>
        <w:sz w:val="15"/>
        <w:szCs w:val="15"/>
      </w:rPr>
      <w:ptab w:relativeTo="margin" w:alignment="right" w:leader="none"/>
    </w:r>
    <w:r w:rsidRPr="008A55C6">
      <w:rPr>
        <w:color w:val="808080" w:themeColor="background1" w:themeShade="80"/>
      </w:rPr>
      <w:t xml:space="preserve">| </w:t>
    </w:r>
    <w:r w:rsidRPr="008A55C6">
      <w:rPr>
        <w:color w:val="808080" w:themeColor="background1" w:themeShade="80"/>
        <w:sz w:val="16"/>
        <w:szCs w:val="16"/>
      </w:rPr>
      <w:fldChar w:fldCharType="begin"/>
    </w:r>
    <w:r w:rsidRPr="008A55C6">
      <w:rPr>
        <w:color w:val="808080" w:themeColor="background1" w:themeShade="80"/>
        <w:sz w:val="16"/>
        <w:szCs w:val="16"/>
      </w:rPr>
      <w:instrText xml:space="preserve"> PAGE  \* Arabic  \* MERGEFORMAT </w:instrText>
    </w:r>
    <w:r w:rsidRPr="008A55C6">
      <w:rPr>
        <w:color w:val="808080" w:themeColor="background1" w:themeShade="80"/>
        <w:sz w:val="16"/>
        <w:szCs w:val="16"/>
      </w:rPr>
      <w:fldChar w:fldCharType="separate"/>
    </w:r>
    <w:r w:rsidR="00D9055E">
      <w:rPr>
        <w:noProof/>
        <w:color w:val="808080" w:themeColor="background1" w:themeShade="80"/>
        <w:sz w:val="16"/>
        <w:szCs w:val="16"/>
      </w:rPr>
      <w:t>4</w:t>
    </w:r>
    <w:r w:rsidRPr="008A55C6">
      <w:rPr>
        <w:color w:val="808080" w:themeColor="background1" w:themeShade="80"/>
        <w:sz w:val="16"/>
        <w:szCs w:val="16"/>
      </w:rPr>
      <w:fldChar w:fldCharType="end"/>
    </w:r>
    <w:r w:rsidRPr="008A55C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F" w14:textId="77777777" w:rsidR="00A94C57" w:rsidRDefault="00A94C57">
    <w:pPr>
      <w:pStyle w:val="Footer"/>
    </w:pPr>
    <w:r w:rsidRPr="000D4195">
      <w:rPr>
        <w:noProof/>
        <w:lang w:eastAsia="en-AU"/>
      </w:rPr>
      <w:drawing>
        <wp:anchor distT="0" distB="0" distL="114300" distR="114300" simplePos="0" relativeHeight="251658241" behindDoc="0" locked="0" layoutInCell="1" allowOverlap="1" wp14:anchorId="162CE2B4" wp14:editId="205EE84D">
          <wp:simplePos x="0" y="0"/>
          <wp:positionH relativeFrom="page">
            <wp:posOffset>6285964</wp:posOffset>
          </wp:positionH>
          <wp:positionV relativeFrom="page">
            <wp:posOffset>10079665</wp:posOffset>
          </wp:positionV>
          <wp:extent cx="856155" cy="234000"/>
          <wp:effectExtent l="0" t="0" r="1270" b="0"/>
          <wp:wrapNone/>
          <wp:docPr id="11" name="Picture 11"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S_ORAN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FC6C7" w14:textId="77777777" w:rsidR="00692743" w:rsidRDefault="00692743" w:rsidP="00302076">
      <w:pPr>
        <w:spacing w:after="0"/>
      </w:pPr>
      <w:r>
        <w:separator/>
      </w:r>
    </w:p>
  </w:footnote>
  <w:footnote w:type="continuationSeparator" w:id="0">
    <w:p w14:paraId="2012EEB5" w14:textId="77777777" w:rsidR="00692743" w:rsidRDefault="00692743" w:rsidP="00302076">
      <w:pPr>
        <w:spacing w:after="0"/>
      </w:pPr>
      <w:r>
        <w:continuationSeparator/>
      </w:r>
    </w:p>
  </w:footnote>
  <w:footnote w:type="continuationNotice" w:id="1">
    <w:p w14:paraId="1C021327" w14:textId="77777777" w:rsidR="00692743" w:rsidRDefault="00692743">
      <w:pPr>
        <w:spacing w:after="0"/>
      </w:pPr>
    </w:p>
  </w:footnote>
  <w:footnote w:id="2">
    <w:p w14:paraId="1B172B11" w14:textId="77777777" w:rsidR="003800E8" w:rsidRDefault="003800E8" w:rsidP="003800E8">
      <w:pPr>
        <w:pStyle w:val="FootnoteText"/>
      </w:pPr>
      <w:r w:rsidRPr="00796791">
        <w:rPr>
          <w:rStyle w:val="FootnoteReference"/>
          <w:sz w:val="16"/>
          <w:szCs w:val="16"/>
        </w:rPr>
        <w:footnoteRef/>
      </w:r>
      <w:r w:rsidRPr="00796791">
        <w:rPr>
          <w:sz w:val="16"/>
          <w:szCs w:val="16"/>
        </w:rPr>
        <w:t xml:space="preserve"> Note in</w:t>
      </w:r>
      <w:r>
        <w:rPr>
          <w:sz w:val="16"/>
          <w:szCs w:val="16"/>
        </w:rPr>
        <w:t xml:space="preserve"> July 2019 the National Indigenous Australians Agency (NIAA) was established to lead Indigenous Affairs Policy for the Australian Government. NIAA has commissioned subsequent NTRB-SP Reviews.</w:t>
      </w:r>
    </w:p>
  </w:footnote>
  <w:footnote w:id="3">
    <w:p w14:paraId="368D254E" w14:textId="77777777" w:rsidR="00C67A81" w:rsidRPr="007F0A6B" w:rsidRDefault="00C67A81" w:rsidP="00C67A81">
      <w:pPr>
        <w:pStyle w:val="FootnoteText"/>
        <w:rPr>
          <w:sz w:val="16"/>
          <w:szCs w:val="16"/>
        </w:rPr>
      </w:pPr>
      <w:r w:rsidRPr="007F0A6B">
        <w:rPr>
          <w:rStyle w:val="FootnoteReference"/>
          <w:sz w:val="16"/>
          <w:szCs w:val="16"/>
        </w:rPr>
        <w:footnoteRef/>
      </w:r>
      <w:r w:rsidRPr="007F0A6B">
        <w:rPr>
          <w:sz w:val="16"/>
          <w:szCs w:val="16"/>
        </w:rPr>
        <w:t xml:space="preserve"> NQLC (2018) Annual Report 2017-18</w:t>
      </w:r>
      <w:r>
        <w:rPr>
          <w:sz w:val="16"/>
          <w:szCs w:val="16"/>
        </w:rPr>
        <w:t>.</w:t>
      </w:r>
    </w:p>
  </w:footnote>
  <w:footnote w:id="4">
    <w:p w14:paraId="5FDCF0FC" w14:textId="77777777" w:rsidR="00C67A81" w:rsidRPr="00C11903" w:rsidRDefault="00C67A81" w:rsidP="00C67A81">
      <w:pPr>
        <w:pStyle w:val="FootnoteText"/>
        <w:rPr>
          <w:sz w:val="16"/>
          <w:szCs w:val="16"/>
        </w:rPr>
      </w:pPr>
      <w:r w:rsidRPr="00C11903">
        <w:rPr>
          <w:rStyle w:val="FootnoteReference"/>
          <w:sz w:val="16"/>
          <w:szCs w:val="16"/>
        </w:rPr>
        <w:footnoteRef/>
      </w:r>
      <w:r w:rsidRPr="00C11903">
        <w:rPr>
          <w:sz w:val="16"/>
          <w:szCs w:val="16"/>
        </w:rPr>
        <w:t xml:space="preserve"> It should be noted </w:t>
      </w:r>
      <w:r>
        <w:rPr>
          <w:sz w:val="16"/>
          <w:szCs w:val="16"/>
        </w:rPr>
        <w:t xml:space="preserve">that several of these determinations were parts of claims from single claim groups. This may inflate the total number reported relative to other NTRB-SPs.  </w:t>
      </w:r>
    </w:p>
  </w:footnote>
  <w:footnote w:id="5">
    <w:p w14:paraId="719DACF0" w14:textId="77777777" w:rsidR="00CD0CB8" w:rsidRPr="00E12F48" w:rsidRDefault="00CD0CB8" w:rsidP="00CD0CB8">
      <w:pPr>
        <w:pStyle w:val="FootnoteText"/>
        <w:rPr>
          <w:rFonts w:cs="Segoe UI"/>
          <w:sz w:val="16"/>
          <w:szCs w:val="16"/>
          <w:lang w:val="en-US"/>
        </w:rPr>
      </w:pPr>
      <w:r w:rsidRPr="00E12F48">
        <w:rPr>
          <w:rStyle w:val="FootnoteReference"/>
          <w:rFonts w:cs="Segoe UI"/>
          <w:sz w:val="16"/>
          <w:szCs w:val="16"/>
        </w:rPr>
        <w:footnoteRef/>
      </w:r>
      <w:r w:rsidRPr="00E12F48">
        <w:rPr>
          <w:rFonts w:cs="Segoe UI"/>
          <w:sz w:val="16"/>
          <w:szCs w:val="16"/>
        </w:rPr>
        <w:t xml:space="preserve"> National Native Title Tribunal Reg</w:t>
      </w:r>
      <w:r>
        <w:rPr>
          <w:rFonts w:cs="Segoe UI"/>
          <w:sz w:val="16"/>
          <w:szCs w:val="16"/>
        </w:rPr>
        <w:t>ister. Accessed in December 2018</w:t>
      </w:r>
      <w:r w:rsidRPr="00E12F48">
        <w:rPr>
          <w:rFonts w:cs="Segoe UI"/>
          <w:sz w:val="16"/>
          <w:szCs w:val="16"/>
        </w:rPr>
        <w:t>.</w:t>
      </w:r>
    </w:p>
  </w:footnote>
  <w:footnote w:id="6">
    <w:p w14:paraId="660420BC" w14:textId="77777777" w:rsidR="00CD0CB8" w:rsidRDefault="00CD0CB8" w:rsidP="00CD0CB8">
      <w:pPr>
        <w:pStyle w:val="FootnoteText"/>
      </w:pPr>
      <w:r>
        <w:rPr>
          <w:rStyle w:val="FootnoteReference"/>
        </w:rPr>
        <w:footnoteRef/>
      </w:r>
      <w:r>
        <w:t xml:space="preserve"> </w:t>
      </w:r>
      <w:r w:rsidRPr="001C729A">
        <w:rPr>
          <w:sz w:val="16"/>
          <w:szCs w:val="16"/>
        </w:rPr>
        <w:t>NNTT data, available online from &lt;</w:t>
      </w:r>
      <w:hyperlink r:id="rId1" w:history="1">
        <w:r w:rsidRPr="001C729A">
          <w:rPr>
            <w:rStyle w:val="Hyperlink"/>
            <w:sz w:val="16"/>
            <w:szCs w:val="16"/>
          </w:rPr>
          <w:t>http://www.arcgis.com/home/webmap/viewer.html?url=https://services2.arcgis.com/rzk7fNEt0xoEp3cX/ArcGIS/rest/services/NNTT_Custodial_AGOL/FeatureServer/6&amp;source=sd</w:t>
        </w:r>
      </w:hyperlink>
      <w:r w:rsidRPr="001C729A">
        <w:rPr>
          <w:sz w:val="16"/>
          <w:szCs w:val="16"/>
        </w:rPr>
        <w:t xml:space="preserve">&gt;. Note that since the production of this map, the </w:t>
      </w:r>
      <w:r>
        <w:rPr>
          <w:sz w:val="16"/>
          <w:szCs w:val="16"/>
        </w:rPr>
        <w:t>Gingirana</w:t>
      </w:r>
      <w:r w:rsidRPr="001C729A">
        <w:rPr>
          <w:sz w:val="16"/>
          <w:szCs w:val="16"/>
        </w:rPr>
        <w:t>, Yilka and Ngurra Kayanta claims have been determined, and area 5 has been registered as the Manta Rirrtinya claim.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63AB" w14:textId="77777777" w:rsidR="00A94C57" w:rsidRDefault="00A94C57">
    <w:pPr>
      <w:pStyle w:val="Header"/>
    </w:pPr>
    <w:r>
      <w:rPr>
        <w:noProof/>
        <w:sz w:val="20"/>
        <w:szCs w:val="20"/>
        <w:lang w:eastAsia="en-AU"/>
      </w:rPr>
      <w:drawing>
        <wp:anchor distT="0" distB="0" distL="114300" distR="114300" simplePos="0" relativeHeight="251658243" behindDoc="0" locked="0" layoutInCell="1" allowOverlap="1" wp14:anchorId="05DF786C" wp14:editId="691B6DE5">
          <wp:simplePos x="0" y="0"/>
          <wp:positionH relativeFrom="page">
            <wp:posOffset>3337</wp:posOffset>
          </wp:positionH>
          <wp:positionV relativeFrom="page">
            <wp:posOffset>-6985</wp:posOffset>
          </wp:positionV>
          <wp:extent cx="7559749" cy="11695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14F" w14:textId="77777777" w:rsidR="00A94C57" w:rsidRDefault="00A94C57" w:rsidP="000A7531">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C" w14:textId="77777777" w:rsidR="00A94C57" w:rsidRPr="00B2563A" w:rsidRDefault="00A94C57" w:rsidP="00B2563A">
    <w:pPr>
      <w:pStyle w:val="Header"/>
    </w:pPr>
    <w:r w:rsidRPr="000D4195">
      <w:rPr>
        <w:noProof/>
        <w:lang w:eastAsia="en-AU"/>
      </w:rPr>
      <w:drawing>
        <wp:anchor distT="0" distB="0" distL="114300" distR="114300" simplePos="0" relativeHeight="251658242" behindDoc="0" locked="0" layoutInCell="1" allowOverlap="1" wp14:anchorId="162CE2B0" wp14:editId="162CE2B1">
          <wp:simplePos x="0" y="0"/>
          <wp:positionH relativeFrom="page">
            <wp:posOffset>3810</wp:posOffset>
          </wp:positionH>
          <wp:positionV relativeFrom="page">
            <wp:posOffset>-3620</wp:posOffset>
          </wp:positionV>
          <wp:extent cx="7562850" cy="1143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E" w14:textId="77777777" w:rsidR="00A94C57" w:rsidRDefault="00A94C57">
    <w:pPr>
      <w:pStyle w:val="Header"/>
    </w:pPr>
    <w:r w:rsidRPr="000D4195">
      <w:rPr>
        <w:noProof/>
        <w:lang w:eastAsia="en-AU"/>
      </w:rPr>
      <w:drawing>
        <wp:anchor distT="0" distB="0" distL="114300" distR="114300" simplePos="0" relativeHeight="251658240" behindDoc="0" locked="0" layoutInCell="1" allowOverlap="1" wp14:anchorId="162CE2B2" wp14:editId="162CE2B3">
          <wp:simplePos x="0" y="0"/>
          <wp:positionH relativeFrom="page">
            <wp:posOffset>-4255</wp:posOffset>
          </wp:positionH>
          <wp:positionV relativeFrom="page">
            <wp:posOffset>635</wp:posOffset>
          </wp:positionV>
          <wp:extent cx="7562850" cy="11430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13625D8B"/>
    <w:multiLevelType w:val="hybridMultilevel"/>
    <w:tmpl w:val="F4482672"/>
    <w:lvl w:ilvl="0" w:tplc="DDC68316">
      <w:start w:val="1"/>
      <w:numFmt w:val="decimal"/>
      <w:pStyle w:val="Listnumbered"/>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B2E4365"/>
    <w:multiLevelType w:val="hybridMultilevel"/>
    <w:tmpl w:val="00A2A170"/>
    <w:lvl w:ilvl="0" w:tplc="C9D8D988">
      <w:start w:val="1"/>
      <w:numFmt w:val="bullet"/>
      <w:pStyle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8D32309"/>
    <w:multiLevelType w:val="hybridMultilevel"/>
    <w:tmpl w:val="B7143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D1413D"/>
    <w:multiLevelType w:val="multilevel"/>
    <w:tmpl w:val="E14812A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67074625"/>
    <w:multiLevelType w:val="hybridMultilevel"/>
    <w:tmpl w:val="5330B676"/>
    <w:lvl w:ilvl="0" w:tplc="BF6AEE8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9B7218E"/>
    <w:multiLevelType w:val="hybridMultilevel"/>
    <w:tmpl w:val="9C061010"/>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0"/>
  </w:num>
  <w:num w:numId="5">
    <w:abstractNumId w:val="5"/>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lvlOverride w:ilvl="0">
      <w:startOverride w:val="1"/>
    </w:lvlOverride>
  </w:num>
  <w:num w:numId="10">
    <w:abstractNumId w:val="6"/>
  </w:num>
  <w:num w:numId="11">
    <w:abstractNumId w:val="4"/>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rKwtLAwsjA0NDZT0lEKTi0uzszPAykwrAUAiSbytywAAAA="/>
  </w:docVars>
  <w:rsids>
    <w:rsidRoot w:val="007A76D0"/>
    <w:rsid w:val="000001EB"/>
    <w:rsid w:val="0000085F"/>
    <w:rsid w:val="00000A9B"/>
    <w:rsid w:val="00002727"/>
    <w:rsid w:val="00002C94"/>
    <w:rsid w:val="000032DC"/>
    <w:rsid w:val="00004A8F"/>
    <w:rsid w:val="00004DAE"/>
    <w:rsid w:val="000051CE"/>
    <w:rsid w:val="00005E07"/>
    <w:rsid w:val="00005E13"/>
    <w:rsid w:val="0000734B"/>
    <w:rsid w:val="00007710"/>
    <w:rsid w:val="00007D42"/>
    <w:rsid w:val="00007ED1"/>
    <w:rsid w:val="00011469"/>
    <w:rsid w:val="00013097"/>
    <w:rsid w:val="00014DF0"/>
    <w:rsid w:val="00015658"/>
    <w:rsid w:val="0001589A"/>
    <w:rsid w:val="00017DF5"/>
    <w:rsid w:val="00017E30"/>
    <w:rsid w:val="0002010C"/>
    <w:rsid w:val="00024163"/>
    <w:rsid w:val="00027F13"/>
    <w:rsid w:val="00030B3D"/>
    <w:rsid w:val="000318EA"/>
    <w:rsid w:val="00033603"/>
    <w:rsid w:val="000337F9"/>
    <w:rsid w:val="00034486"/>
    <w:rsid w:val="000354E7"/>
    <w:rsid w:val="00040629"/>
    <w:rsid w:val="00040D2B"/>
    <w:rsid w:val="000438DD"/>
    <w:rsid w:val="00043FEB"/>
    <w:rsid w:val="00044653"/>
    <w:rsid w:val="00044DA0"/>
    <w:rsid w:val="00045290"/>
    <w:rsid w:val="00045B96"/>
    <w:rsid w:val="00045DE8"/>
    <w:rsid w:val="00047A54"/>
    <w:rsid w:val="00047BDF"/>
    <w:rsid w:val="00047D19"/>
    <w:rsid w:val="00047D2B"/>
    <w:rsid w:val="0005212F"/>
    <w:rsid w:val="00052805"/>
    <w:rsid w:val="00053F85"/>
    <w:rsid w:val="00054B9E"/>
    <w:rsid w:val="00054BB2"/>
    <w:rsid w:val="000567C1"/>
    <w:rsid w:val="00056B67"/>
    <w:rsid w:val="0005789D"/>
    <w:rsid w:val="00057E8D"/>
    <w:rsid w:val="0006048B"/>
    <w:rsid w:val="0006164C"/>
    <w:rsid w:val="00063399"/>
    <w:rsid w:val="00064BB7"/>
    <w:rsid w:val="00065939"/>
    <w:rsid w:val="00067145"/>
    <w:rsid w:val="00067E21"/>
    <w:rsid w:val="00067FC8"/>
    <w:rsid w:val="0007063F"/>
    <w:rsid w:val="00072D25"/>
    <w:rsid w:val="00074D81"/>
    <w:rsid w:val="00074DC7"/>
    <w:rsid w:val="000804A2"/>
    <w:rsid w:val="00081336"/>
    <w:rsid w:val="0008372D"/>
    <w:rsid w:val="00083992"/>
    <w:rsid w:val="00083A9E"/>
    <w:rsid w:val="000841F4"/>
    <w:rsid w:val="000850B3"/>
    <w:rsid w:val="000856E3"/>
    <w:rsid w:val="00085834"/>
    <w:rsid w:val="000862FB"/>
    <w:rsid w:val="00087874"/>
    <w:rsid w:val="000914E7"/>
    <w:rsid w:val="0009188F"/>
    <w:rsid w:val="00091A80"/>
    <w:rsid w:val="00091C14"/>
    <w:rsid w:val="00093378"/>
    <w:rsid w:val="00093F96"/>
    <w:rsid w:val="00094431"/>
    <w:rsid w:val="00095D0D"/>
    <w:rsid w:val="00096AFA"/>
    <w:rsid w:val="00096C5F"/>
    <w:rsid w:val="00096EF0"/>
    <w:rsid w:val="000979F5"/>
    <w:rsid w:val="00097C4D"/>
    <w:rsid w:val="00097F2C"/>
    <w:rsid w:val="000A0883"/>
    <w:rsid w:val="000A0D3C"/>
    <w:rsid w:val="000A0D6B"/>
    <w:rsid w:val="000A13C3"/>
    <w:rsid w:val="000A1F02"/>
    <w:rsid w:val="000A239B"/>
    <w:rsid w:val="000A256A"/>
    <w:rsid w:val="000A2F1B"/>
    <w:rsid w:val="000A6A29"/>
    <w:rsid w:val="000A6B36"/>
    <w:rsid w:val="000A7531"/>
    <w:rsid w:val="000B029D"/>
    <w:rsid w:val="000B1534"/>
    <w:rsid w:val="000B316F"/>
    <w:rsid w:val="000B3E04"/>
    <w:rsid w:val="000B4528"/>
    <w:rsid w:val="000B47D2"/>
    <w:rsid w:val="000B54F3"/>
    <w:rsid w:val="000B6DF8"/>
    <w:rsid w:val="000B720D"/>
    <w:rsid w:val="000B754F"/>
    <w:rsid w:val="000B7985"/>
    <w:rsid w:val="000B7AA3"/>
    <w:rsid w:val="000C0472"/>
    <w:rsid w:val="000C1CEF"/>
    <w:rsid w:val="000C34BB"/>
    <w:rsid w:val="000C3D88"/>
    <w:rsid w:val="000C459D"/>
    <w:rsid w:val="000C7926"/>
    <w:rsid w:val="000D01AD"/>
    <w:rsid w:val="000D04FD"/>
    <w:rsid w:val="000D0DA3"/>
    <w:rsid w:val="000D3203"/>
    <w:rsid w:val="000D4195"/>
    <w:rsid w:val="000D4216"/>
    <w:rsid w:val="000D4B5E"/>
    <w:rsid w:val="000D5CE3"/>
    <w:rsid w:val="000D64CD"/>
    <w:rsid w:val="000D744F"/>
    <w:rsid w:val="000D7987"/>
    <w:rsid w:val="000E0D33"/>
    <w:rsid w:val="000E325F"/>
    <w:rsid w:val="000E5751"/>
    <w:rsid w:val="000E6705"/>
    <w:rsid w:val="000F0338"/>
    <w:rsid w:val="000F1763"/>
    <w:rsid w:val="000F21C9"/>
    <w:rsid w:val="000F2C6B"/>
    <w:rsid w:val="000F4294"/>
    <w:rsid w:val="000F4A27"/>
    <w:rsid w:val="000F6D04"/>
    <w:rsid w:val="000F6ED7"/>
    <w:rsid w:val="000F7233"/>
    <w:rsid w:val="000F7B48"/>
    <w:rsid w:val="000F7DF2"/>
    <w:rsid w:val="000F7F2F"/>
    <w:rsid w:val="00101343"/>
    <w:rsid w:val="00101C45"/>
    <w:rsid w:val="00101CE6"/>
    <w:rsid w:val="001028F8"/>
    <w:rsid w:val="00102B5D"/>
    <w:rsid w:val="00103429"/>
    <w:rsid w:val="0010462B"/>
    <w:rsid w:val="00104822"/>
    <w:rsid w:val="00104C3A"/>
    <w:rsid w:val="001069F9"/>
    <w:rsid w:val="00107587"/>
    <w:rsid w:val="001111D5"/>
    <w:rsid w:val="001124FA"/>
    <w:rsid w:val="001129C9"/>
    <w:rsid w:val="00112F98"/>
    <w:rsid w:val="00112FD2"/>
    <w:rsid w:val="00113188"/>
    <w:rsid w:val="0011406B"/>
    <w:rsid w:val="0011553E"/>
    <w:rsid w:val="001157CD"/>
    <w:rsid w:val="0011585E"/>
    <w:rsid w:val="00116182"/>
    <w:rsid w:val="0011718E"/>
    <w:rsid w:val="00117855"/>
    <w:rsid w:val="00120C51"/>
    <w:rsid w:val="00121CA1"/>
    <w:rsid w:val="001221EF"/>
    <w:rsid w:val="0012285B"/>
    <w:rsid w:val="00122A88"/>
    <w:rsid w:val="001242E7"/>
    <w:rsid w:val="00124C53"/>
    <w:rsid w:val="00125AE9"/>
    <w:rsid w:val="00126688"/>
    <w:rsid w:val="0013091F"/>
    <w:rsid w:val="00131A1F"/>
    <w:rsid w:val="00132C79"/>
    <w:rsid w:val="00135B2C"/>
    <w:rsid w:val="00135ED7"/>
    <w:rsid w:val="00137279"/>
    <w:rsid w:val="00140A6C"/>
    <w:rsid w:val="001413E6"/>
    <w:rsid w:val="00141995"/>
    <w:rsid w:val="0014203C"/>
    <w:rsid w:val="001427C1"/>
    <w:rsid w:val="00143CBA"/>
    <w:rsid w:val="00144001"/>
    <w:rsid w:val="0014429D"/>
    <w:rsid w:val="00145516"/>
    <w:rsid w:val="00147322"/>
    <w:rsid w:val="00151249"/>
    <w:rsid w:val="00151988"/>
    <w:rsid w:val="001523D7"/>
    <w:rsid w:val="00152B89"/>
    <w:rsid w:val="00152FF3"/>
    <w:rsid w:val="00154BDF"/>
    <w:rsid w:val="001568C5"/>
    <w:rsid w:val="00157603"/>
    <w:rsid w:val="001600C1"/>
    <w:rsid w:val="00160955"/>
    <w:rsid w:val="00160A3F"/>
    <w:rsid w:val="00162F23"/>
    <w:rsid w:val="001634A5"/>
    <w:rsid w:val="0016356D"/>
    <w:rsid w:val="00165D5C"/>
    <w:rsid w:val="00165FFA"/>
    <w:rsid w:val="00166CD5"/>
    <w:rsid w:val="0016703D"/>
    <w:rsid w:val="00167672"/>
    <w:rsid w:val="00171042"/>
    <w:rsid w:val="00171F62"/>
    <w:rsid w:val="00171F80"/>
    <w:rsid w:val="001737E1"/>
    <w:rsid w:val="0017418C"/>
    <w:rsid w:val="00174B6D"/>
    <w:rsid w:val="00174E49"/>
    <w:rsid w:val="0017752B"/>
    <w:rsid w:val="001809F4"/>
    <w:rsid w:val="00180AB8"/>
    <w:rsid w:val="00180D9A"/>
    <w:rsid w:val="001819A2"/>
    <w:rsid w:val="00181F59"/>
    <w:rsid w:val="0018273B"/>
    <w:rsid w:val="001831B4"/>
    <w:rsid w:val="001835E7"/>
    <w:rsid w:val="0018360A"/>
    <w:rsid w:val="001838BC"/>
    <w:rsid w:val="00183942"/>
    <w:rsid w:val="00183B36"/>
    <w:rsid w:val="00185E0F"/>
    <w:rsid w:val="0018662E"/>
    <w:rsid w:val="00186C82"/>
    <w:rsid w:val="00187B26"/>
    <w:rsid w:val="00191526"/>
    <w:rsid w:val="00192859"/>
    <w:rsid w:val="00192F9A"/>
    <w:rsid w:val="00193435"/>
    <w:rsid w:val="001942B3"/>
    <w:rsid w:val="001946F0"/>
    <w:rsid w:val="001959FB"/>
    <w:rsid w:val="00196E9A"/>
    <w:rsid w:val="00197211"/>
    <w:rsid w:val="001A125B"/>
    <w:rsid w:val="001A1C5B"/>
    <w:rsid w:val="001A1ED3"/>
    <w:rsid w:val="001A28C6"/>
    <w:rsid w:val="001A2AC5"/>
    <w:rsid w:val="001A2B4B"/>
    <w:rsid w:val="001A3EDE"/>
    <w:rsid w:val="001A4083"/>
    <w:rsid w:val="001A58E6"/>
    <w:rsid w:val="001A5B49"/>
    <w:rsid w:val="001A7C76"/>
    <w:rsid w:val="001A7EA7"/>
    <w:rsid w:val="001B0795"/>
    <w:rsid w:val="001B18D6"/>
    <w:rsid w:val="001B21E2"/>
    <w:rsid w:val="001B2391"/>
    <w:rsid w:val="001B2EB8"/>
    <w:rsid w:val="001B31E9"/>
    <w:rsid w:val="001B44DE"/>
    <w:rsid w:val="001B4B46"/>
    <w:rsid w:val="001B4D27"/>
    <w:rsid w:val="001B5ADA"/>
    <w:rsid w:val="001B7431"/>
    <w:rsid w:val="001C1921"/>
    <w:rsid w:val="001C35F2"/>
    <w:rsid w:val="001C409E"/>
    <w:rsid w:val="001C42CF"/>
    <w:rsid w:val="001C4669"/>
    <w:rsid w:val="001C46FD"/>
    <w:rsid w:val="001C533D"/>
    <w:rsid w:val="001C66D0"/>
    <w:rsid w:val="001C66F6"/>
    <w:rsid w:val="001D0BAC"/>
    <w:rsid w:val="001D14D4"/>
    <w:rsid w:val="001D1A57"/>
    <w:rsid w:val="001D2806"/>
    <w:rsid w:val="001D290F"/>
    <w:rsid w:val="001D2C88"/>
    <w:rsid w:val="001D461F"/>
    <w:rsid w:val="001D4846"/>
    <w:rsid w:val="001D4AFF"/>
    <w:rsid w:val="001D561B"/>
    <w:rsid w:val="001D5C32"/>
    <w:rsid w:val="001D6A88"/>
    <w:rsid w:val="001E0867"/>
    <w:rsid w:val="001E20F1"/>
    <w:rsid w:val="001E3397"/>
    <w:rsid w:val="001E4136"/>
    <w:rsid w:val="001E4BDA"/>
    <w:rsid w:val="001E4DA1"/>
    <w:rsid w:val="001E6D9E"/>
    <w:rsid w:val="001F04B8"/>
    <w:rsid w:val="001F20AA"/>
    <w:rsid w:val="001F24CF"/>
    <w:rsid w:val="001F2EB2"/>
    <w:rsid w:val="001F403D"/>
    <w:rsid w:val="001F5E1B"/>
    <w:rsid w:val="001F619C"/>
    <w:rsid w:val="001F669D"/>
    <w:rsid w:val="0020000D"/>
    <w:rsid w:val="002014F6"/>
    <w:rsid w:val="00201C0E"/>
    <w:rsid w:val="002023B8"/>
    <w:rsid w:val="0020588F"/>
    <w:rsid w:val="00207ABD"/>
    <w:rsid w:val="00207F1C"/>
    <w:rsid w:val="0021021F"/>
    <w:rsid w:val="002146DC"/>
    <w:rsid w:val="002148C5"/>
    <w:rsid w:val="00214B24"/>
    <w:rsid w:val="00214C96"/>
    <w:rsid w:val="002166BB"/>
    <w:rsid w:val="002169D5"/>
    <w:rsid w:val="0021792C"/>
    <w:rsid w:val="00217C0E"/>
    <w:rsid w:val="002211E8"/>
    <w:rsid w:val="00221D0F"/>
    <w:rsid w:val="00221F26"/>
    <w:rsid w:val="00225779"/>
    <w:rsid w:val="00225FF4"/>
    <w:rsid w:val="00226A75"/>
    <w:rsid w:val="00227D19"/>
    <w:rsid w:val="00227D7F"/>
    <w:rsid w:val="002308DD"/>
    <w:rsid w:val="0023225A"/>
    <w:rsid w:val="002325FF"/>
    <w:rsid w:val="00232694"/>
    <w:rsid w:val="00232862"/>
    <w:rsid w:val="002329E7"/>
    <w:rsid w:val="00232CE6"/>
    <w:rsid w:val="0023346F"/>
    <w:rsid w:val="00233F42"/>
    <w:rsid w:val="0023420B"/>
    <w:rsid w:val="00234F2A"/>
    <w:rsid w:val="00234F3D"/>
    <w:rsid w:val="002351C1"/>
    <w:rsid w:val="00235E34"/>
    <w:rsid w:val="00240113"/>
    <w:rsid w:val="00240D2C"/>
    <w:rsid w:val="00240FF6"/>
    <w:rsid w:val="002417F6"/>
    <w:rsid w:val="00241E9E"/>
    <w:rsid w:val="0024251C"/>
    <w:rsid w:val="00242FE5"/>
    <w:rsid w:val="00243FCA"/>
    <w:rsid w:val="00244300"/>
    <w:rsid w:val="002448AE"/>
    <w:rsid w:val="00244AF3"/>
    <w:rsid w:val="00244F45"/>
    <w:rsid w:val="0024561E"/>
    <w:rsid w:val="0024564E"/>
    <w:rsid w:val="0024715C"/>
    <w:rsid w:val="00247CC3"/>
    <w:rsid w:val="002516B8"/>
    <w:rsid w:val="0025193D"/>
    <w:rsid w:val="002535B4"/>
    <w:rsid w:val="00253BD3"/>
    <w:rsid w:val="00253E86"/>
    <w:rsid w:val="00254CDE"/>
    <w:rsid w:val="00256611"/>
    <w:rsid w:val="00261161"/>
    <w:rsid w:val="00261A86"/>
    <w:rsid w:val="00261FB5"/>
    <w:rsid w:val="0026286F"/>
    <w:rsid w:val="00263500"/>
    <w:rsid w:val="00265D92"/>
    <w:rsid w:val="00266109"/>
    <w:rsid w:val="0026639C"/>
    <w:rsid w:val="00267E38"/>
    <w:rsid w:val="0027024E"/>
    <w:rsid w:val="00270396"/>
    <w:rsid w:val="00270FD5"/>
    <w:rsid w:val="0027210B"/>
    <w:rsid w:val="00272EEE"/>
    <w:rsid w:val="00273A00"/>
    <w:rsid w:val="00274A34"/>
    <w:rsid w:val="00275F0C"/>
    <w:rsid w:val="00276B8E"/>
    <w:rsid w:val="002770AF"/>
    <w:rsid w:val="002770F2"/>
    <w:rsid w:val="0027723F"/>
    <w:rsid w:val="00281D42"/>
    <w:rsid w:val="002832ED"/>
    <w:rsid w:val="0028391B"/>
    <w:rsid w:val="00283AF6"/>
    <w:rsid w:val="00284476"/>
    <w:rsid w:val="0028521C"/>
    <w:rsid w:val="00285281"/>
    <w:rsid w:val="00285654"/>
    <w:rsid w:val="00285D1A"/>
    <w:rsid w:val="00286480"/>
    <w:rsid w:val="00287CAE"/>
    <w:rsid w:val="00287D47"/>
    <w:rsid w:val="00287E4C"/>
    <w:rsid w:val="0029017D"/>
    <w:rsid w:val="0029320C"/>
    <w:rsid w:val="00293CAA"/>
    <w:rsid w:val="002946D0"/>
    <w:rsid w:val="00294C6F"/>
    <w:rsid w:val="002956EB"/>
    <w:rsid w:val="0029592F"/>
    <w:rsid w:val="0029711A"/>
    <w:rsid w:val="00297FB2"/>
    <w:rsid w:val="002A1024"/>
    <w:rsid w:val="002A3273"/>
    <w:rsid w:val="002A36A4"/>
    <w:rsid w:val="002A4541"/>
    <w:rsid w:val="002A54BC"/>
    <w:rsid w:val="002A6C27"/>
    <w:rsid w:val="002B0099"/>
    <w:rsid w:val="002B111C"/>
    <w:rsid w:val="002B1968"/>
    <w:rsid w:val="002B1EEF"/>
    <w:rsid w:val="002B2BF8"/>
    <w:rsid w:val="002B2EE6"/>
    <w:rsid w:val="002B335B"/>
    <w:rsid w:val="002B4815"/>
    <w:rsid w:val="002B5822"/>
    <w:rsid w:val="002B758E"/>
    <w:rsid w:val="002C09DE"/>
    <w:rsid w:val="002C0A60"/>
    <w:rsid w:val="002C0F67"/>
    <w:rsid w:val="002C1569"/>
    <w:rsid w:val="002C3710"/>
    <w:rsid w:val="002C3B26"/>
    <w:rsid w:val="002C3E18"/>
    <w:rsid w:val="002C400D"/>
    <w:rsid w:val="002C4462"/>
    <w:rsid w:val="002C7BF3"/>
    <w:rsid w:val="002D05C8"/>
    <w:rsid w:val="002D067D"/>
    <w:rsid w:val="002D2801"/>
    <w:rsid w:val="002D55AD"/>
    <w:rsid w:val="002D5685"/>
    <w:rsid w:val="002D64A4"/>
    <w:rsid w:val="002D6614"/>
    <w:rsid w:val="002D66A7"/>
    <w:rsid w:val="002D67B5"/>
    <w:rsid w:val="002D6FE3"/>
    <w:rsid w:val="002D7469"/>
    <w:rsid w:val="002D794A"/>
    <w:rsid w:val="002E0098"/>
    <w:rsid w:val="002E08F5"/>
    <w:rsid w:val="002E0F90"/>
    <w:rsid w:val="002E1538"/>
    <w:rsid w:val="002E254C"/>
    <w:rsid w:val="002E2628"/>
    <w:rsid w:val="002E2B73"/>
    <w:rsid w:val="002E4005"/>
    <w:rsid w:val="002E4BA7"/>
    <w:rsid w:val="002E57AD"/>
    <w:rsid w:val="002E5D9A"/>
    <w:rsid w:val="002E6086"/>
    <w:rsid w:val="002E7BB3"/>
    <w:rsid w:val="002F032A"/>
    <w:rsid w:val="002F0518"/>
    <w:rsid w:val="002F0572"/>
    <w:rsid w:val="002F1CDF"/>
    <w:rsid w:val="002F297B"/>
    <w:rsid w:val="002F35E8"/>
    <w:rsid w:val="002F53C2"/>
    <w:rsid w:val="002F57F5"/>
    <w:rsid w:val="002F59A9"/>
    <w:rsid w:val="002F70C1"/>
    <w:rsid w:val="00300411"/>
    <w:rsid w:val="0030137A"/>
    <w:rsid w:val="00301E62"/>
    <w:rsid w:val="00302076"/>
    <w:rsid w:val="003023FB"/>
    <w:rsid w:val="00303865"/>
    <w:rsid w:val="0030424A"/>
    <w:rsid w:val="003045C6"/>
    <w:rsid w:val="00304F86"/>
    <w:rsid w:val="00305E01"/>
    <w:rsid w:val="00307E26"/>
    <w:rsid w:val="0031086C"/>
    <w:rsid w:val="00312BDA"/>
    <w:rsid w:val="003137B5"/>
    <w:rsid w:val="00313F32"/>
    <w:rsid w:val="003156E7"/>
    <w:rsid w:val="003160C5"/>
    <w:rsid w:val="00320286"/>
    <w:rsid w:val="0032099F"/>
    <w:rsid w:val="00321398"/>
    <w:rsid w:val="00321641"/>
    <w:rsid w:val="0032339C"/>
    <w:rsid w:val="00324156"/>
    <w:rsid w:val="0032506B"/>
    <w:rsid w:val="00326093"/>
    <w:rsid w:val="00326A05"/>
    <w:rsid w:val="00326E51"/>
    <w:rsid w:val="0032740A"/>
    <w:rsid w:val="00330715"/>
    <w:rsid w:val="003316BF"/>
    <w:rsid w:val="00331A69"/>
    <w:rsid w:val="00331AC8"/>
    <w:rsid w:val="003327FE"/>
    <w:rsid w:val="00332C7A"/>
    <w:rsid w:val="00335367"/>
    <w:rsid w:val="003356FE"/>
    <w:rsid w:val="00335FBA"/>
    <w:rsid w:val="00340399"/>
    <w:rsid w:val="0034079F"/>
    <w:rsid w:val="00340AB5"/>
    <w:rsid w:val="00340ED0"/>
    <w:rsid w:val="00341905"/>
    <w:rsid w:val="00341928"/>
    <w:rsid w:val="00341BB9"/>
    <w:rsid w:val="003441A4"/>
    <w:rsid w:val="0034491B"/>
    <w:rsid w:val="003465D8"/>
    <w:rsid w:val="003476B1"/>
    <w:rsid w:val="00351396"/>
    <w:rsid w:val="00351455"/>
    <w:rsid w:val="00351D4B"/>
    <w:rsid w:val="00351DEB"/>
    <w:rsid w:val="00352D55"/>
    <w:rsid w:val="003535F2"/>
    <w:rsid w:val="00353628"/>
    <w:rsid w:val="00355F88"/>
    <w:rsid w:val="003560B3"/>
    <w:rsid w:val="0035639E"/>
    <w:rsid w:val="0035723E"/>
    <w:rsid w:val="00357533"/>
    <w:rsid w:val="003576BD"/>
    <w:rsid w:val="00357E49"/>
    <w:rsid w:val="00357EEA"/>
    <w:rsid w:val="00361D25"/>
    <w:rsid w:val="00361EC0"/>
    <w:rsid w:val="0036336C"/>
    <w:rsid w:val="00363784"/>
    <w:rsid w:val="00363AB8"/>
    <w:rsid w:val="0036479A"/>
    <w:rsid w:val="00366DCC"/>
    <w:rsid w:val="0037031B"/>
    <w:rsid w:val="0037218A"/>
    <w:rsid w:val="003726CD"/>
    <w:rsid w:val="00373054"/>
    <w:rsid w:val="00373ED3"/>
    <w:rsid w:val="00373F4B"/>
    <w:rsid w:val="00374A32"/>
    <w:rsid w:val="003756BF"/>
    <w:rsid w:val="00376DCF"/>
    <w:rsid w:val="003772AE"/>
    <w:rsid w:val="003800E8"/>
    <w:rsid w:val="00381B2C"/>
    <w:rsid w:val="00381EE3"/>
    <w:rsid w:val="00382110"/>
    <w:rsid w:val="00382517"/>
    <w:rsid w:val="00383701"/>
    <w:rsid w:val="00383AD0"/>
    <w:rsid w:val="00383FD2"/>
    <w:rsid w:val="00385DD0"/>
    <w:rsid w:val="00386F82"/>
    <w:rsid w:val="00386FE1"/>
    <w:rsid w:val="0038760F"/>
    <w:rsid w:val="003876C5"/>
    <w:rsid w:val="00387745"/>
    <w:rsid w:val="00390B53"/>
    <w:rsid w:val="00391C60"/>
    <w:rsid w:val="00393D85"/>
    <w:rsid w:val="0039516F"/>
    <w:rsid w:val="0039690F"/>
    <w:rsid w:val="00396DF4"/>
    <w:rsid w:val="00396FF7"/>
    <w:rsid w:val="003973F2"/>
    <w:rsid w:val="00397FF8"/>
    <w:rsid w:val="003A02C9"/>
    <w:rsid w:val="003A0CA4"/>
    <w:rsid w:val="003A1C1C"/>
    <w:rsid w:val="003A1C98"/>
    <w:rsid w:val="003A23AC"/>
    <w:rsid w:val="003A2DAD"/>
    <w:rsid w:val="003A375F"/>
    <w:rsid w:val="003A3C72"/>
    <w:rsid w:val="003A400A"/>
    <w:rsid w:val="003A4F52"/>
    <w:rsid w:val="003A6F6D"/>
    <w:rsid w:val="003B1480"/>
    <w:rsid w:val="003B21FF"/>
    <w:rsid w:val="003B4031"/>
    <w:rsid w:val="003B5517"/>
    <w:rsid w:val="003B6325"/>
    <w:rsid w:val="003B6614"/>
    <w:rsid w:val="003B6D2E"/>
    <w:rsid w:val="003B6E28"/>
    <w:rsid w:val="003B7E4B"/>
    <w:rsid w:val="003C1545"/>
    <w:rsid w:val="003C17B7"/>
    <w:rsid w:val="003C1D62"/>
    <w:rsid w:val="003C270A"/>
    <w:rsid w:val="003C2C36"/>
    <w:rsid w:val="003C3644"/>
    <w:rsid w:val="003C37C4"/>
    <w:rsid w:val="003C480F"/>
    <w:rsid w:val="003C4836"/>
    <w:rsid w:val="003C4EB4"/>
    <w:rsid w:val="003C6B8B"/>
    <w:rsid w:val="003C6D6D"/>
    <w:rsid w:val="003C7B5D"/>
    <w:rsid w:val="003D0FB0"/>
    <w:rsid w:val="003D1C84"/>
    <w:rsid w:val="003D1FA7"/>
    <w:rsid w:val="003D313D"/>
    <w:rsid w:val="003D4D5F"/>
    <w:rsid w:val="003D6286"/>
    <w:rsid w:val="003E02E5"/>
    <w:rsid w:val="003E211B"/>
    <w:rsid w:val="003E5926"/>
    <w:rsid w:val="003E5BDC"/>
    <w:rsid w:val="003E7C0F"/>
    <w:rsid w:val="003F029F"/>
    <w:rsid w:val="003F0730"/>
    <w:rsid w:val="003F0D71"/>
    <w:rsid w:val="003F2D57"/>
    <w:rsid w:val="003F2F6A"/>
    <w:rsid w:val="003F467E"/>
    <w:rsid w:val="003F5093"/>
    <w:rsid w:val="003F5205"/>
    <w:rsid w:val="003F68BC"/>
    <w:rsid w:val="003F6954"/>
    <w:rsid w:val="003F6EBB"/>
    <w:rsid w:val="003F6EFA"/>
    <w:rsid w:val="003F7365"/>
    <w:rsid w:val="003F7F9E"/>
    <w:rsid w:val="00401459"/>
    <w:rsid w:val="00401CDD"/>
    <w:rsid w:val="004021A5"/>
    <w:rsid w:val="00404032"/>
    <w:rsid w:val="00405E7E"/>
    <w:rsid w:val="0040679F"/>
    <w:rsid w:val="00407CF9"/>
    <w:rsid w:val="00410BA9"/>
    <w:rsid w:val="00410D0C"/>
    <w:rsid w:val="004118CA"/>
    <w:rsid w:val="00411E8C"/>
    <w:rsid w:val="00413599"/>
    <w:rsid w:val="00413A52"/>
    <w:rsid w:val="00413E6A"/>
    <w:rsid w:val="00414C9E"/>
    <w:rsid w:val="00415090"/>
    <w:rsid w:val="00416591"/>
    <w:rsid w:val="00416856"/>
    <w:rsid w:val="00417050"/>
    <w:rsid w:val="00417F38"/>
    <w:rsid w:val="0042018D"/>
    <w:rsid w:val="004215AC"/>
    <w:rsid w:val="00423244"/>
    <w:rsid w:val="004245E5"/>
    <w:rsid w:val="00425051"/>
    <w:rsid w:val="00426562"/>
    <w:rsid w:val="004277DD"/>
    <w:rsid w:val="00427EEF"/>
    <w:rsid w:val="00430203"/>
    <w:rsid w:val="00430E82"/>
    <w:rsid w:val="004322D3"/>
    <w:rsid w:val="00432673"/>
    <w:rsid w:val="00432BD6"/>
    <w:rsid w:val="00433922"/>
    <w:rsid w:val="00435ABC"/>
    <w:rsid w:val="00436FB9"/>
    <w:rsid w:val="00437476"/>
    <w:rsid w:val="004377EB"/>
    <w:rsid w:val="00437DBB"/>
    <w:rsid w:val="0044042D"/>
    <w:rsid w:val="00444323"/>
    <w:rsid w:val="00444F98"/>
    <w:rsid w:val="004455BE"/>
    <w:rsid w:val="00446231"/>
    <w:rsid w:val="004464AD"/>
    <w:rsid w:val="004471E7"/>
    <w:rsid w:val="00450060"/>
    <w:rsid w:val="004507CC"/>
    <w:rsid w:val="00451284"/>
    <w:rsid w:val="0045207B"/>
    <w:rsid w:val="00453C8C"/>
    <w:rsid w:val="0045441A"/>
    <w:rsid w:val="00454981"/>
    <w:rsid w:val="00454AA5"/>
    <w:rsid w:val="004555A5"/>
    <w:rsid w:val="00456097"/>
    <w:rsid w:val="00460C7E"/>
    <w:rsid w:val="0046172A"/>
    <w:rsid w:val="00464D6F"/>
    <w:rsid w:val="00465761"/>
    <w:rsid w:val="004660B6"/>
    <w:rsid w:val="004662A4"/>
    <w:rsid w:val="004665AF"/>
    <w:rsid w:val="004669BD"/>
    <w:rsid w:val="00470351"/>
    <w:rsid w:val="004704AF"/>
    <w:rsid w:val="0047152B"/>
    <w:rsid w:val="0047201C"/>
    <w:rsid w:val="00472105"/>
    <w:rsid w:val="00472635"/>
    <w:rsid w:val="004737D0"/>
    <w:rsid w:val="004742DE"/>
    <w:rsid w:val="00476937"/>
    <w:rsid w:val="00476B5E"/>
    <w:rsid w:val="00476C2A"/>
    <w:rsid w:val="0047778E"/>
    <w:rsid w:val="00477925"/>
    <w:rsid w:val="00480117"/>
    <w:rsid w:val="00482489"/>
    <w:rsid w:val="0048275E"/>
    <w:rsid w:val="00482DEA"/>
    <w:rsid w:val="004836B0"/>
    <w:rsid w:val="004864F1"/>
    <w:rsid w:val="004872F3"/>
    <w:rsid w:val="0049007A"/>
    <w:rsid w:val="00490317"/>
    <w:rsid w:val="004907BB"/>
    <w:rsid w:val="00490990"/>
    <w:rsid w:val="0049189B"/>
    <w:rsid w:val="00492574"/>
    <w:rsid w:val="00493FC1"/>
    <w:rsid w:val="00494D17"/>
    <w:rsid w:val="00494D4F"/>
    <w:rsid w:val="004952C6"/>
    <w:rsid w:val="004956D4"/>
    <w:rsid w:val="00495A73"/>
    <w:rsid w:val="004964A6"/>
    <w:rsid w:val="004A0725"/>
    <w:rsid w:val="004A1634"/>
    <w:rsid w:val="004A16CF"/>
    <w:rsid w:val="004A2DAA"/>
    <w:rsid w:val="004A2DFE"/>
    <w:rsid w:val="004A2EDB"/>
    <w:rsid w:val="004A31E9"/>
    <w:rsid w:val="004A39CA"/>
    <w:rsid w:val="004A3C89"/>
    <w:rsid w:val="004A442B"/>
    <w:rsid w:val="004A6757"/>
    <w:rsid w:val="004A76F1"/>
    <w:rsid w:val="004A7DA5"/>
    <w:rsid w:val="004A7E57"/>
    <w:rsid w:val="004B0190"/>
    <w:rsid w:val="004B0EFA"/>
    <w:rsid w:val="004B1316"/>
    <w:rsid w:val="004B1F4F"/>
    <w:rsid w:val="004B26D7"/>
    <w:rsid w:val="004B3750"/>
    <w:rsid w:val="004B3B1F"/>
    <w:rsid w:val="004B4234"/>
    <w:rsid w:val="004B4499"/>
    <w:rsid w:val="004B4B2E"/>
    <w:rsid w:val="004B55BC"/>
    <w:rsid w:val="004B6077"/>
    <w:rsid w:val="004B79FC"/>
    <w:rsid w:val="004C02FC"/>
    <w:rsid w:val="004C036A"/>
    <w:rsid w:val="004C0F7F"/>
    <w:rsid w:val="004C14E2"/>
    <w:rsid w:val="004C3FAF"/>
    <w:rsid w:val="004C4853"/>
    <w:rsid w:val="004C68A0"/>
    <w:rsid w:val="004C73A6"/>
    <w:rsid w:val="004D0073"/>
    <w:rsid w:val="004D01BA"/>
    <w:rsid w:val="004D1B83"/>
    <w:rsid w:val="004D1D28"/>
    <w:rsid w:val="004D27CD"/>
    <w:rsid w:val="004D2BFB"/>
    <w:rsid w:val="004D5FA0"/>
    <w:rsid w:val="004D61EE"/>
    <w:rsid w:val="004D6661"/>
    <w:rsid w:val="004D6C14"/>
    <w:rsid w:val="004D7145"/>
    <w:rsid w:val="004D7D22"/>
    <w:rsid w:val="004E0A85"/>
    <w:rsid w:val="004E0BCB"/>
    <w:rsid w:val="004E141D"/>
    <w:rsid w:val="004E1BA9"/>
    <w:rsid w:val="004E3084"/>
    <w:rsid w:val="004E328E"/>
    <w:rsid w:val="004E46E3"/>
    <w:rsid w:val="004E6A8F"/>
    <w:rsid w:val="004F0340"/>
    <w:rsid w:val="004F40F8"/>
    <w:rsid w:val="004F64FB"/>
    <w:rsid w:val="004F6976"/>
    <w:rsid w:val="004F72E8"/>
    <w:rsid w:val="00500290"/>
    <w:rsid w:val="00504264"/>
    <w:rsid w:val="00504F9F"/>
    <w:rsid w:val="005052CE"/>
    <w:rsid w:val="00505B3A"/>
    <w:rsid w:val="005067F3"/>
    <w:rsid w:val="00506BBE"/>
    <w:rsid w:val="00506BC9"/>
    <w:rsid w:val="00506E77"/>
    <w:rsid w:val="00506FD2"/>
    <w:rsid w:val="00507EC9"/>
    <w:rsid w:val="00510569"/>
    <w:rsid w:val="00510E61"/>
    <w:rsid w:val="00511938"/>
    <w:rsid w:val="005121F0"/>
    <w:rsid w:val="005124CF"/>
    <w:rsid w:val="00513A37"/>
    <w:rsid w:val="00513C59"/>
    <w:rsid w:val="0051412B"/>
    <w:rsid w:val="00515B62"/>
    <w:rsid w:val="00516067"/>
    <w:rsid w:val="0051637F"/>
    <w:rsid w:val="0051717D"/>
    <w:rsid w:val="005171EE"/>
    <w:rsid w:val="00517A92"/>
    <w:rsid w:val="00517AB8"/>
    <w:rsid w:val="00517BDB"/>
    <w:rsid w:val="005201E6"/>
    <w:rsid w:val="0052112D"/>
    <w:rsid w:val="00523746"/>
    <w:rsid w:val="005244BA"/>
    <w:rsid w:val="00525012"/>
    <w:rsid w:val="00525AF9"/>
    <w:rsid w:val="00527BC7"/>
    <w:rsid w:val="00527E67"/>
    <w:rsid w:val="00530912"/>
    <w:rsid w:val="00530E1C"/>
    <w:rsid w:val="00532D2E"/>
    <w:rsid w:val="00532F21"/>
    <w:rsid w:val="00533A76"/>
    <w:rsid w:val="0053728A"/>
    <w:rsid w:val="005401B8"/>
    <w:rsid w:val="005403BD"/>
    <w:rsid w:val="005414A9"/>
    <w:rsid w:val="005423C0"/>
    <w:rsid w:val="00545F10"/>
    <w:rsid w:val="005471B8"/>
    <w:rsid w:val="0055184C"/>
    <w:rsid w:val="00551888"/>
    <w:rsid w:val="00552178"/>
    <w:rsid w:val="00553DC7"/>
    <w:rsid w:val="00553EBB"/>
    <w:rsid w:val="00554281"/>
    <w:rsid w:val="005544BB"/>
    <w:rsid w:val="0055483D"/>
    <w:rsid w:val="00554CFF"/>
    <w:rsid w:val="00555538"/>
    <w:rsid w:val="005555B3"/>
    <w:rsid w:val="00557127"/>
    <w:rsid w:val="005576F7"/>
    <w:rsid w:val="00557BE8"/>
    <w:rsid w:val="00562F9A"/>
    <w:rsid w:val="005634F4"/>
    <w:rsid w:val="00563646"/>
    <w:rsid w:val="00565220"/>
    <w:rsid w:val="00567306"/>
    <w:rsid w:val="0057076A"/>
    <w:rsid w:val="00570CFA"/>
    <w:rsid w:val="00571006"/>
    <w:rsid w:val="00571B00"/>
    <w:rsid w:val="00571E2F"/>
    <w:rsid w:val="00572037"/>
    <w:rsid w:val="00572039"/>
    <w:rsid w:val="00572266"/>
    <w:rsid w:val="00572F09"/>
    <w:rsid w:val="00573651"/>
    <w:rsid w:val="00574DE1"/>
    <w:rsid w:val="00575E4A"/>
    <w:rsid w:val="00576A29"/>
    <w:rsid w:val="005774FE"/>
    <w:rsid w:val="00577894"/>
    <w:rsid w:val="00580B89"/>
    <w:rsid w:val="00580F8C"/>
    <w:rsid w:val="00581ECE"/>
    <w:rsid w:val="005824A0"/>
    <w:rsid w:val="00582938"/>
    <w:rsid w:val="00584AB9"/>
    <w:rsid w:val="005854A7"/>
    <w:rsid w:val="00587145"/>
    <w:rsid w:val="005873E0"/>
    <w:rsid w:val="00587D06"/>
    <w:rsid w:val="00587F85"/>
    <w:rsid w:val="00591252"/>
    <w:rsid w:val="0059131A"/>
    <w:rsid w:val="00591601"/>
    <w:rsid w:val="005922FA"/>
    <w:rsid w:val="00592A97"/>
    <w:rsid w:val="005939E0"/>
    <w:rsid w:val="00594954"/>
    <w:rsid w:val="0059630F"/>
    <w:rsid w:val="00596502"/>
    <w:rsid w:val="0059650A"/>
    <w:rsid w:val="0059662A"/>
    <w:rsid w:val="00596892"/>
    <w:rsid w:val="00596B01"/>
    <w:rsid w:val="005A13D5"/>
    <w:rsid w:val="005A3CCA"/>
    <w:rsid w:val="005A4B0B"/>
    <w:rsid w:val="005A52E4"/>
    <w:rsid w:val="005A6211"/>
    <w:rsid w:val="005A634C"/>
    <w:rsid w:val="005A644F"/>
    <w:rsid w:val="005A6B1E"/>
    <w:rsid w:val="005A6B61"/>
    <w:rsid w:val="005A775B"/>
    <w:rsid w:val="005A7C20"/>
    <w:rsid w:val="005B01EB"/>
    <w:rsid w:val="005B0F01"/>
    <w:rsid w:val="005B169C"/>
    <w:rsid w:val="005B17DA"/>
    <w:rsid w:val="005B29D4"/>
    <w:rsid w:val="005B29DA"/>
    <w:rsid w:val="005B3DFA"/>
    <w:rsid w:val="005B58CE"/>
    <w:rsid w:val="005B5D28"/>
    <w:rsid w:val="005B68DA"/>
    <w:rsid w:val="005B715A"/>
    <w:rsid w:val="005B7C5B"/>
    <w:rsid w:val="005C1218"/>
    <w:rsid w:val="005C12F2"/>
    <w:rsid w:val="005C1CA9"/>
    <w:rsid w:val="005C32C3"/>
    <w:rsid w:val="005C3909"/>
    <w:rsid w:val="005C3AC7"/>
    <w:rsid w:val="005C3E7E"/>
    <w:rsid w:val="005C4173"/>
    <w:rsid w:val="005C43D7"/>
    <w:rsid w:val="005C4E58"/>
    <w:rsid w:val="005C54A4"/>
    <w:rsid w:val="005C5752"/>
    <w:rsid w:val="005C62AE"/>
    <w:rsid w:val="005C6A86"/>
    <w:rsid w:val="005C6CDB"/>
    <w:rsid w:val="005D040E"/>
    <w:rsid w:val="005D1983"/>
    <w:rsid w:val="005D2A44"/>
    <w:rsid w:val="005D3D7E"/>
    <w:rsid w:val="005D41ED"/>
    <w:rsid w:val="005D46FD"/>
    <w:rsid w:val="005D4A29"/>
    <w:rsid w:val="005D4E5E"/>
    <w:rsid w:val="005D57D0"/>
    <w:rsid w:val="005D5D96"/>
    <w:rsid w:val="005E0BE4"/>
    <w:rsid w:val="005E281A"/>
    <w:rsid w:val="005E39D3"/>
    <w:rsid w:val="005E4305"/>
    <w:rsid w:val="005E5898"/>
    <w:rsid w:val="005E5EDE"/>
    <w:rsid w:val="005E670D"/>
    <w:rsid w:val="005F04A7"/>
    <w:rsid w:val="005F0F45"/>
    <w:rsid w:val="005F10D9"/>
    <w:rsid w:val="005F2996"/>
    <w:rsid w:val="005F3018"/>
    <w:rsid w:val="005F3042"/>
    <w:rsid w:val="005F3D47"/>
    <w:rsid w:val="005F4402"/>
    <w:rsid w:val="005F5448"/>
    <w:rsid w:val="005F6558"/>
    <w:rsid w:val="005F66EA"/>
    <w:rsid w:val="005F758B"/>
    <w:rsid w:val="005F7EF8"/>
    <w:rsid w:val="0060066B"/>
    <w:rsid w:val="0060073C"/>
    <w:rsid w:val="0060147F"/>
    <w:rsid w:val="006025FD"/>
    <w:rsid w:val="006031C6"/>
    <w:rsid w:val="00603238"/>
    <w:rsid w:val="00603BA5"/>
    <w:rsid w:val="00603C44"/>
    <w:rsid w:val="006040D3"/>
    <w:rsid w:val="00605C5C"/>
    <w:rsid w:val="00606598"/>
    <w:rsid w:val="00606BED"/>
    <w:rsid w:val="00610683"/>
    <w:rsid w:val="0061082D"/>
    <w:rsid w:val="00610A4F"/>
    <w:rsid w:val="00611A08"/>
    <w:rsid w:val="00613743"/>
    <w:rsid w:val="006139E0"/>
    <w:rsid w:val="006145A3"/>
    <w:rsid w:val="006151C7"/>
    <w:rsid w:val="00615391"/>
    <w:rsid w:val="006154FF"/>
    <w:rsid w:val="006172E3"/>
    <w:rsid w:val="0062148C"/>
    <w:rsid w:val="00622AA4"/>
    <w:rsid w:val="00623F2E"/>
    <w:rsid w:val="00624041"/>
    <w:rsid w:val="00624280"/>
    <w:rsid w:val="006244AE"/>
    <w:rsid w:val="00624A8B"/>
    <w:rsid w:val="00626BFC"/>
    <w:rsid w:val="00627170"/>
    <w:rsid w:val="00627DC8"/>
    <w:rsid w:val="0063059E"/>
    <w:rsid w:val="00631B0F"/>
    <w:rsid w:val="006320A0"/>
    <w:rsid w:val="0063226D"/>
    <w:rsid w:val="00634652"/>
    <w:rsid w:val="006349B1"/>
    <w:rsid w:val="00634B49"/>
    <w:rsid w:val="00636006"/>
    <w:rsid w:val="00640368"/>
    <w:rsid w:val="0064064A"/>
    <w:rsid w:val="00641FF6"/>
    <w:rsid w:val="00643D0A"/>
    <w:rsid w:val="006451CF"/>
    <w:rsid w:val="006459FE"/>
    <w:rsid w:val="00647322"/>
    <w:rsid w:val="006502C1"/>
    <w:rsid w:val="00650F02"/>
    <w:rsid w:val="00652BEB"/>
    <w:rsid w:val="00653665"/>
    <w:rsid w:val="00653916"/>
    <w:rsid w:val="00654392"/>
    <w:rsid w:val="00656344"/>
    <w:rsid w:val="00656464"/>
    <w:rsid w:val="006566EA"/>
    <w:rsid w:val="00656BA5"/>
    <w:rsid w:val="00657958"/>
    <w:rsid w:val="006579A5"/>
    <w:rsid w:val="00660463"/>
    <w:rsid w:val="006629DE"/>
    <w:rsid w:val="0066309D"/>
    <w:rsid w:val="006637FA"/>
    <w:rsid w:val="006647D2"/>
    <w:rsid w:val="00664B10"/>
    <w:rsid w:val="00664CC5"/>
    <w:rsid w:val="0066569F"/>
    <w:rsid w:val="006657BA"/>
    <w:rsid w:val="00665D23"/>
    <w:rsid w:val="0066728E"/>
    <w:rsid w:val="006674AE"/>
    <w:rsid w:val="00667F43"/>
    <w:rsid w:val="0067028E"/>
    <w:rsid w:val="0067093F"/>
    <w:rsid w:val="006731EE"/>
    <w:rsid w:val="00673A86"/>
    <w:rsid w:val="00673B2B"/>
    <w:rsid w:val="00675317"/>
    <w:rsid w:val="0067610F"/>
    <w:rsid w:val="0067684C"/>
    <w:rsid w:val="00676E4B"/>
    <w:rsid w:val="0067725A"/>
    <w:rsid w:val="00677D25"/>
    <w:rsid w:val="00680669"/>
    <w:rsid w:val="006813A6"/>
    <w:rsid w:val="00681650"/>
    <w:rsid w:val="00681A2E"/>
    <w:rsid w:val="00681F4F"/>
    <w:rsid w:val="0068292F"/>
    <w:rsid w:val="00682DE1"/>
    <w:rsid w:val="00683798"/>
    <w:rsid w:val="00683840"/>
    <w:rsid w:val="00683AEA"/>
    <w:rsid w:val="00684158"/>
    <w:rsid w:val="00684CB1"/>
    <w:rsid w:val="00686006"/>
    <w:rsid w:val="006867B3"/>
    <w:rsid w:val="00690F78"/>
    <w:rsid w:val="006910EB"/>
    <w:rsid w:val="0069136F"/>
    <w:rsid w:val="00691428"/>
    <w:rsid w:val="006917C2"/>
    <w:rsid w:val="00691D71"/>
    <w:rsid w:val="00692743"/>
    <w:rsid w:val="00692747"/>
    <w:rsid w:val="00692F9B"/>
    <w:rsid w:val="006937A3"/>
    <w:rsid w:val="0069591B"/>
    <w:rsid w:val="00696F48"/>
    <w:rsid w:val="0069744D"/>
    <w:rsid w:val="006A0EF4"/>
    <w:rsid w:val="006A17FE"/>
    <w:rsid w:val="006A1AA0"/>
    <w:rsid w:val="006A1F4B"/>
    <w:rsid w:val="006A27C0"/>
    <w:rsid w:val="006A2CB8"/>
    <w:rsid w:val="006A2D03"/>
    <w:rsid w:val="006A40AF"/>
    <w:rsid w:val="006A429B"/>
    <w:rsid w:val="006A54CB"/>
    <w:rsid w:val="006A5AE5"/>
    <w:rsid w:val="006A5B18"/>
    <w:rsid w:val="006A5DCC"/>
    <w:rsid w:val="006A6B67"/>
    <w:rsid w:val="006B1158"/>
    <w:rsid w:val="006B41CE"/>
    <w:rsid w:val="006B5078"/>
    <w:rsid w:val="006B5415"/>
    <w:rsid w:val="006B5532"/>
    <w:rsid w:val="006B6ACE"/>
    <w:rsid w:val="006B6E74"/>
    <w:rsid w:val="006B728A"/>
    <w:rsid w:val="006B7B98"/>
    <w:rsid w:val="006C07C0"/>
    <w:rsid w:val="006C18F2"/>
    <w:rsid w:val="006C3E0E"/>
    <w:rsid w:val="006C4534"/>
    <w:rsid w:val="006C45EB"/>
    <w:rsid w:val="006C473D"/>
    <w:rsid w:val="006C4A6D"/>
    <w:rsid w:val="006C52A4"/>
    <w:rsid w:val="006C5371"/>
    <w:rsid w:val="006C5698"/>
    <w:rsid w:val="006C6E4C"/>
    <w:rsid w:val="006C6EDB"/>
    <w:rsid w:val="006D0604"/>
    <w:rsid w:val="006D0ACF"/>
    <w:rsid w:val="006D17FB"/>
    <w:rsid w:val="006D1876"/>
    <w:rsid w:val="006D32AC"/>
    <w:rsid w:val="006D58E8"/>
    <w:rsid w:val="006D6B5A"/>
    <w:rsid w:val="006D6F9B"/>
    <w:rsid w:val="006D780C"/>
    <w:rsid w:val="006D7911"/>
    <w:rsid w:val="006E0BE4"/>
    <w:rsid w:val="006E27E6"/>
    <w:rsid w:val="006E33C6"/>
    <w:rsid w:val="006E36A3"/>
    <w:rsid w:val="006E413B"/>
    <w:rsid w:val="006E4C77"/>
    <w:rsid w:val="006E500B"/>
    <w:rsid w:val="006E52A2"/>
    <w:rsid w:val="006E5CA4"/>
    <w:rsid w:val="006E634A"/>
    <w:rsid w:val="006E6DC9"/>
    <w:rsid w:val="006F15CE"/>
    <w:rsid w:val="006F218D"/>
    <w:rsid w:val="006F31B4"/>
    <w:rsid w:val="006F3D31"/>
    <w:rsid w:val="006F4577"/>
    <w:rsid w:val="006F5B5A"/>
    <w:rsid w:val="006F6C4A"/>
    <w:rsid w:val="006F7005"/>
    <w:rsid w:val="0070030A"/>
    <w:rsid w:val="00700F04"/>
    <w:rsid w:val="0070125C"/>
    <w:rsid w:val="00701E46"/>
    <w:rsid w:val="00703BC5"/>
    <w:rsid w:val="00704F45"/>
    <w:rsid w:val="007051E7"/>
    <w:rsid w:val="007052EB"/>
    <w:rsid w:val="00707E3A"/>
    <w:rsid w:val="00710087"/>
    <w:rsid w:val="007103C2"/>
    <w:rsid w:val="007104C6"/>
    <w:rsid w:val="00710BBA"/>
    <w:rsid w:val="00710EEC"/>
    <w:rsid w:val="007111ED"/>
    <w:rsid w:val="0071261D"/>
    <w:rsid w:val="00713AB6"/>
    <w:rsid w:val="00713BFB"/>
    <w:rsid w:val="007154EF"/>
    <w:rsid w:val="00720D59"/>
    <w:rsid w:val="00720F29"/>
    <w:rsid w:val="00721056"/>
    <w:rsid w:val="00721627"/>
    <w:rsid w:val="0072227E"/>
    <w:rsid w:val="00722EE0"/>
    <w:rsid w:val="00723A9B"/>
    <w:rsid w:val="00723C16"/>
    <w:rsid w:val="0072420D"/>
    <w:rsid w:val="00726FF2"/>
    <w:rsid w:val="00727701"/>
    <w:rsid w:val="007312A4"/>
    <w:rsid w:val="00731D6A"/>
    <w:rsid w:val="0073299C"/>
    <w:rsid w:val="00732CAB"/>
    <w:rsid w:val="00733ABC"/>
    <w:rsid w:val="00733AC6"/>
    <w:rsid w:val="0073412A"/>
    <w:rsid w:val="00734149"/>
    <w:rsid w:val="00735D7F"/>
    <w:rsid w:val="00736663"/>
    <w:rsid w:val="0073695E"/>
    <w:rsid w:val="007376B2"/>
    <w:rsid w:val="00737791"/>
    <w:rsid w:val="007408A3"/>
    <w:rsid w:val="0074091A"/>
    <w:rsid w:val="007429DD"/>
    <w:rsid w:val="00742F8C"/>
    <w:rsid w:val="007432E2"/>
    <w:rsid w:val="007441E5"/>
    <w:rsid w:val="007444AB"/>
    <w:rsid w:val="007450A0"/>
    <w:rsid w:val="0074514D"/>
    <w:rsid w:val="007457BA"/>
    <w:rsid w:val="00747A64"/>
    <w:rsid w:val="00750950"/>
    <w:rsid w:val="007509CC"/>
    <w:rsid w:val="0075123E"/>
    <w:rsid w:val="00752258"/>
    <w:rsid w:val="00752805"/>
    <w:rsid w:val="00752CB1"/>
    <w:rsid w:val="007532E7"/>
    <w:rsid w:val="007536A1"/>
    <w:rsid w:val="007601AE"/>
    <w:rsid w:val="007607C8"/>
    <w:rsid w:val="00760834"/>
    <w:rsid w:val="00761788"/>
    <w:rsid w:val="00761B39"/>
    <w:rsid w:val="007638F8"/>
    <w:rsid w:val="007639CF"/>
    <w:rsid w:val="00763A3F"/>
    <w:rsid w:val="00764086"/>
    <w:rsid w:val="00764732"/>
    <w:rsid w:val="00765156"/>
    <w:rsid w:val="00765305"/>
    <w:rsid w:val="007659AF"/>
    <w:rsid w:val="007672EB"/>
    <w:rsid w:val="007676AB"/>
    <w:rsid w:val="00770250"/>
    <w:rsid w:val="007702E2"/>
    <w:rsid w:val="00771346"/>
    <w:rsid w:val="00771C9D"/>
    <w:rsid w:val="00771CAE"/>
    <w:rsid w:val="00772EDD"/>
    <w:rsid w:val="00773B10"/>
    <w:rsid w:val="0077403C"/>
    <w:rsid w:val="00774182"/>
    <w:rsid w:val="00775B2F"/>
    <w:rsid w:val="00776163"/>
    <w:rsid w:val="007771CF"/>
    <w:rsid w:val="00777DEE"/>
    <w:rsid w:val="00777EBD"/>
    <w:rsid w:val="00780B24"/>
    <w:rsid w:val="00781584"/>
    <w:rsid w:val="00782AA6"/>
    <w:rsid w:val="0078334D"/>
    <w:rsid w:val="00783AD2"/>
    <w:rsid w:val="007842C4"/>
    <w:rsid w:val="00784AF7"/>
    <w:rsid w:val="00784DB2"/>
    <w:rsid w:val="00784E34"/>
    <w:rsid w:val="00784FBE"/>
    <w:rsid w:val="0078512B"/>
    <w:rsid w:val="007909FF"/>
    <w:rsid w:val="00791466"/>
    <w:rsid w:val="007918FF"/>
    <w:rsid w:val="00792CA2"/>
    <w:rsid w:val="00793E6C"/>
    <w:rsid w:val="00794B49"/>
    <w:rsid w:val="0079602B"/>
    <w:rsid w:val="00796323"/>
    <w:rsid w:val="00796EC5"/>
    <w:rsid w:val="00797BB6"/>
    <w:rsid w:val="007A0AB5"/>
    <w:rsid w:val="007A18B4"/>
    <w:rsid w:val="007A1E3A"/>
    <w:rsid w:val="007A22D7"/>
    <w:rsid w:val="007A55E5"/>
    <w:rsid w:val="007A5C67"/>
    <w:rsid w:val="007A5E59"/>
    <w:rsid w:val="007A6411"/>
    <w:rsid w:val="007A6BD9"/>
    <w:rsid w:val="007A76D0"/>
    <w:rsid w:val="007B1B9C"/>
    <w:rsid w:val="007B342E"/>
    <w:rsid w:val="007B39C0"/>
    <w:rsid w:val="007B3A6D"/>
    <w:rsid w:val="007B54F3"/>
    <w:rsid w:val="007B5A23"/>
    <w:rsid w:val="007B5CD1"/>
    <w:rsid w:val="007B6A54"/>
    <w:rsid w:val="007B75EC"/>
    <w:rsid w:val="007B7E25"/>
    <w:rsid w:val="007C0332"/>
    <w:rsid w:val="007C1DC5"/>
    <w:rsid w:val="007C2334"/>
    <w:rsid w:val="007C30CC"/>
    <w:rsid w:val="007C4AFD"/>
    <w:rsid w:val="007C5A43"/>
    <w:rsid w:val="007C5C59"/>
    <w:rsid w:val="007C5D58"/>
    <w:rsid w:val="007C6452"/>
    <w:rsid w:val="007C64D6"/>
    <w:rsid w:val="007C6DC5"/>
    <w:rsid w:val="007D00D1"/>
    <w:rsid w:val="007D13F3"/>
    <w:rsid w:val="007D21CF"/>
    <w:rsid w:val="007D4D87"/>
    <w:rsid w:val="007D69EC"/>
    <w:rsid w:val="007D7498"/>
    <w:rsid w:val="007D7EAF"/>
    <w:rsid w:val="007E05EE"/>
    <w:rsid w:val="007E0BD6"/>
    <w:rsid w:val="007E2540"/>
    <w:rsid w:val="007E3421"/>
    <w:rsid w:val="007E41FB"/>
    <w:rsid w:val="007E522D"/>
    <w:rsid w:val="007E634C"/>
    <w:rsid w:val="007E68BA"/>
    <w:rsid w:val="007F03DC"/>
    <w:rsid w:val="007F067C"/>
    <w:rsid w:val="007F0D0A"/>
    <w:rsid w:val="007F1114"/>
    <w:rsid w:val="007F1D33"/>
    <w:rsid w:val="007F2970"/>
    <w:rsid w:val="007F2FE2"/>
    <w:rsid w:val="007F3061"/>
    <w:rsid w:val="007F3C56"/>
    <w:rsid w:val="007F3D82"/>
    <w:rsid w:val="007F3FBD"/>
    <w:rsid w:val="007F465A"/>
    <w:rsid w:val="007F4D55"/>
    <w:rsid w:val="007F5A7E"/>
    <w:rsid w:val="007F7588"/>
    <w:rsid w:val="007F7C98"/>
    <w:rsid w:val="008005FB"/>
    <w:rsid w:val="008008C1"/>
    <w:rsid w:val="00801B02"/>
    <w:rsid w:val="00801C98"/>
    <w:rsid w:val="00801CE0"/>
    <w:rsid w:val="00801F67"/>
    <w:rsid w:val="008026AA"/>
    <w:rsid w:val="0080287A"/>
    <w:rsid w:val="00803996"/>
    <w:rsid w:val="00804286"/>
    <w:rsid w:val="00804C2E"/>
    <w:rsid w:val="00805EB2"/>
    <w:rsid w:val="008107FD"/>
    <w:rsid w:val="00810A36"/>
    <w:rsid w:val="00810B33"/>
    <w:rsid w:val="00811E3C"/>
    <w:rsid w:val="0081266D"/>
    <w:rsid w:val="0081477B"/>
    <w:rsid w:val="0081480D"/>
    <w:rsid w:val="0081518B"/>
    <w:rsid w:val="00816825"/>
    <w:rsid w:val="00817BC4"/>
    <w:rsid w:val="0082008B"/>
    <w:rsid w:val="00820662"/>
    <w:rsid w:val="00822ABB"/>
    <w:rsid w:val="00823E24"/>
    <w:rsid w:val="00824BB0"/>
    <w:rsid w:val="00825F19"/>
    <w:rsid w:val="008275E1"/>
    <w:rsid w:val="008306C1"/>
    <w:rsid w:val="00830E37"/>
    <w:rsid w:val="00831073"/>
    <w:rsid w:val="0083171E"/>
    <w:rsid w:val="008317F2"/>
    <w:rsid w:val="0083219B"/>
    <w:rsid w:val="00833492"/>
    <w:rsid w:val="00833816"/>
    <w:rsid w:val="0083509B"/>
    <w:rsid w:val="00835CA6"/>
    <w:rsid w:val="00836DF7"/>
    <w:rsid w:val="00840534"/>
    <w:rsid w:val="00840F83"/>
    <w:rsid w:val="00841DF2"/>
    <w:rsid w:val="00843548"/>
    <w:rsid w:val="00844B90"/>
    <w:rsid w:val="00844CA0"/>
    <w:rsid w:val="008458DB"/>
    <w:rsid w:val="00845A83"/>
    <w:rsid w:val="00846EAF"/>
    <w:rsid w:val="0084761C"/>
    <w:rsid w:val="00847A1D"/>
    <w:rsid w:val="00847DCC"/>
    <w:rsid w:val="00850032"/>
    <w:rsid w:val="00850FEB"/>
    <w:rsid w:val="008511BB"/>
    <w:rsid w:val="00854457"/>
    <w:rsid w:val="00854B5B"/>
    <w:rsid w:val="00854F8A"/>
    <w:rsid w:val="00855103"/>
    <w:rsid w:val="00855B51"/>
    <w:rsid w:val="0085641E"/>
    <w:rsid w:val="00856493"/>
    <w:rsid w:val="008602AD"/>
    <w:rsid w:val="008633C0"/>
    <w:rsid w:val="00864C4E"/>
    <w:rsid w:val="0086528A"/>
    <w:rsid w:val="008661E6"/>
    <w:rsid w:val="00866894"/>
    <w:rsid w:val="008700D8"/>
    <w:rsid w:val="00870F68"/>
    <w:rsid w:val="00872246"/>
    <w:rsid w:val="008728B5"/>
    <w:rsid w:val="00873E64"/>
    <w:rsid w:val="00874515"/>
    <w:rsid w:val="00875859"/>
    <w:rsid w:val="00876FF7"/>
    <w:rsid w:val="008805ED"/>
    <w:rsid w:val="00882460"/>
    <w:rsid w:val="008826AE"/>
    <w:rsid w:val="00883665"/>
    <w:rsid w:val="00883DA4"/>
    <w:rsid w:val="00883E03"/>
    <w:rsid w:val="00883F2E"/>
    <w:rsid w:val="008853E6"/>
    <w:rsid w:val="00885D70"/>
    <w:rsid w:val="008861C7"/>
    <w:rsid w:val="008900A8"/>
    <w:rsid w:val="0089012E"/>
    <w:rsid w:val="008922A5"/>
    <w:rsid w:val="00892458"/>
    <w:rsid w:val="00892A20"/>
    <w:rsid w:val="00892D76"/>
    <w:rsid w:val="008952D4"/>
    <w:rsid w:val="008A0256"/>
    <w:rsid w:val="008A0F52"/>
    <w:rsid w:val="008A145F"/>
    <w:rsid w:val="008A2B8F"/>
    <w:rsid w:val="008A2D69"/>
    <w:rsid w:val="008A4B23"/>
    <w:rsid w:val="008A55C6"/>
    <w:rsid w:val="008A5892"/>
    <w:rsid w:val="008A5D91"/>
    <w:rsid w:val="008A61CB"/>
    <w:rsid w:val="008A70CC"/>
    <w:rsid w:val="008A79FD"/>
    <w:rsid w:val="008B044E"/>
    <w:rsid w:val="008B0737"/>
    <w:rsid w:val="008B18F8"/>
    <w:rsid w:val="008B2A6D"/>
    <w:rsid w:val="008B2C29"/>
    <w:rsid w:val="008B3CED"/>
    <w:rsid w:val="008B4431"/>
    <w:rsid w:val="008B4EE5"/>
    <w:rsid w:val="008B516B"/>
    <w:rsid w:val="008B521D"/>
    <w:rsid w:val="008B67FE"/>
    <w:rsid w:val="008B6C26"/>
    <w:rsid w:val="008B7323"/>
    <w:rsid w:val="008B7B2E"/>
    <w:rsid w:val="008C091C"/>
    <w:rsid w:val="008C11DC"/>
    <w:rsid w:val="008C1316"/>
    <w:rsid w:val="008C1B46"/>
    <w:rsid w:val="008C21F8"/>
    <w:rsid w:val="008C2FEC"/>
    <w:rsid w:val="008C394C"/>
    <w:rsid w:val="008C4439"/>
    <w:rsid w:val="008C45EA"/>
    <w:rsid w:val="008C586A"/>
    <w:rsid w:val="008C5979"/>
    <w:rsid w:val="008C5C6A"/>
    <w:rsid w:val="008C5F29"/>
    <w:rsid w:val="008C6493"/>
    <w:rsid w:val="008C6B86"/>
    <w:rsid w:val="008D1A0F"/>
    <w:rsid w:val="008D20E8"/>
    <w:rsid w:val="008D295A"/>
    <w:rsid w:val="008D3542"/>
    <w:rsid w:val="008D5A51"/>
    <w:rsid w:val="008D6F62"/>
    <w:rsid w:val="008D71D0"/>
    <w:rsid w:val="008D7259"/>
    <w:rsid w:val="008E014E"/>
    <w:rsid w:val="008E23F3"/>
    <w:rsid w:val="008E3039"/>
    <w:rsid w:val="008E3392"/>
    <w:rsid w:val="008E383D"/>
    <w:rsid w:val="008E3E4A"/>
    <w:rsid w:val="008E4CA0"/>
    <w:rsid w:val="008E52FB"/>
    <w:rsid w:val="008E5950"/>
    <w:rsid w:val="008E59B1"/>
    <w:rsid w:val="008E5DA8"/>
    <w:rsid w:val="008E6C25"/>
    <w:rsid w:val="008E790B"/>
    <w:rsid w:val="008E7F8D"/>
    <w:rsid w:val="008F1D01"/>
    <w:rsid w:val="008F23B0"/>
    <w:rsid w:val="008F3AD4"/>
    <w:rsid w:val="008F436A"/>
    <w:rsid w:val="008F4752"/>
    <w:rsid w:val="008F510A"/>
    <w:rsid w:val="008F5C94"/>
    <w:rsid w:val="008F675E"/>
    <w:rsid w:val="008F703E"/>
    <w:rsid w:val="008F789B"/>
    <w:rsid w:val="008F7A37"/>
    <w:rsid w:val="00900880"/>
    <w:rsid w:val="009028A5"/>
    <w:rsid w:val="00904E72"/>
    <w:rsid w:val="00905A6D"/>
    <w:rsid w:val="00905F11"/>
    <w:rsid w:val="009078EC"/>
    <w:rsid w:val="009079A2"/>
    <w:rsid w:val="00913268"/>
    <w:rsid w:val="00913CE8"/>
    <w:rsid w:val="009143E9"/>
    <w:rsid w:val="00914405"/>
    <w:rsid w:val="00914DD8"/>
    <w:rsid w:val="00915059"/>
    <w:rsid w:val="00915188"/>
    <w:rsid w:val="009157C5"/>
    <w:rsid w:val="0091623B"/>
    <w:rsid w:val="00916F46"/>
    <w:rsid w:val="00922751"/>
    <w:rsid w:val="009232B0"/>
    <w:rsid w:val="009236B7"/>
    <w:rsid w:val="00924CEC"/>
    <w:rsid w:val="009253C9"/>
    <w:rsid w:val="00926619"/>
    <w:rsid w:val="009273C6"/>
    <w:rsid w:val="0092790D"/>
    <w:rsid w:val="00930510"/>
    <w:rsid w:val="009330E0"/>
    <w:rsid w:val="00933404"/>
    <w:rsid w:val="00933FDD"/>
    <w:rsid w:val="00935899"/>
    <w:rsid w:val="00937211"/>
    <w:rsid w:val="00937A7C"/>
    <w:rsid w:val="00940E37"/>
    <w:rsid w:val="00941016"/>
    <w:rsid w:val="009426C0"/>
    <w:rsid w:val="00945FA7"/>
    <w:rsid w:val="0094658D"/>
    <w:rsid w:val="00946A90"/>
    <w:rsid w:val="00946F49"/>
    <w:rsid w:val="00947C4B"/>
    <w:rsid w:val="00950649"/>
    <w:rsid w:val="00950ECE"/>
    <w:rsid w:val="00951001"/>
    <w:rsid w:val="009515AD"/>
    <w:rsid w:val="00952BB6"/>
    <w:rsid w:val="0095478E"/>
    <w:rsid w:val="00955F75"/>
    <w:rsid w:val="009563A9"/>
    <w:rsid w:val="00956FF3"/>
    <w:rsid w:val="009574FA"/>
    <w:rsid w:val="00960D0D"/>
    <w:rsid w:val="0096232C"/>
    <w:rsid w:val="0096243A"/>
    <w:rsid w:val="009624B5"/>
    <w:rsid w:val="009626FD"/>
    <w:rsid w:val="00962BF8"/>
    <w:rsid w:val="00963C39"/>
    <w:rsid w:val="00964E05"/>
    <w:rsid w:val="00964F44"/>
    <w:rsid w:val="009654DC"/>
    <w:rsid w:val="0096592D"/>
    <w:rsid w:val="00965A24"/>
    <w:rsid w:val="0096620D"/>
    <w:rsid w:val="00972A53"/>
    <w:rsid w:val="0097324B"/>
    <w:rsid w:val="0097385E"/>
    <w:rsid w:val="009740D6"/>
    <w:rsid w:val="00974BFD"/>
    <w:rsid w:val="0097506E"/>
    <w:rsid w:val="009765A0"/>
    <w:rsid w:val="009775AC"/>
    <w:rsid w:val="0098028F"/>
    <w:rsid w:val="009802E3"/>
    <w:rsid w:val="0098248A"/>
    <w:rsid w:val="00982D9C"/>
    <w:rsid w:val="009831D9"/>
    <w:rsid w:val="00983F10"/>
    <w:rsid w:val="00983F53"/>
    <w:rsid w:val="0098438E"/>
    <w:rsid w:val="009845B7"/>
    <w:rsid w:val="009845DC"/>
    <w:rsid w:val="00984B54"/>
    <w:rsid w:val="00984CEE"/>
    <w:rsid w:val="00984DF7"/>
    <w:rsid w:val="00986653"/>
    <w:rsid w:val="009871E8"/>
    <w:rsid w:val="009871FF"/>
    <w:rsid w:val="009900F3"/>
    <w:rsid w:val="00990121"/>
    <w:rsid w:val="00990529"/>
    <w:rsid w:val="009907A5"/>
    <w:rsid w:val="009914AA"/>
    <w:rsid w:val="009914F0"/>
    <w:rsid w:val="00992166"/>
    <w:rsid w:val="009926ED"/>
    <w:rsid w:val="009929BD"/>
    <w:rsid w:val="00993882"/>
    <w:rsid w:val="0099441D"/>
    <w:rsid w:val="00995697"/>
    <w:rsid w:val="009958DC"/>
    <w:rsid w:val="00995D40"/>
    <w:rsid w:val="00996078"/>
    <w:rsid w:val="00997287"/>
    <w:rsid w:val="00997A4C"/>
    <w:rsid w:val="00997C13"/>
    <w:rsid w:val="009A056E"/>
    <w:rsid w:val="009A0A65"/>
    <w:rsid w:val="009A0F4F"/>
    <w:rsid w:val="009A15AC"/>
    <w:rsid w:val="009A2AA9"/>
    <w:rsid w:val="009A2D70"/>
    <w:rsid w:val="009A3602"/>
    <w:rsid w:val="009A42EF"/>
    <w:rsid w:val="009A62E5"/>
    <w:rsid w:val="009A69FE"/>
    <w:rsid w:val="009A6D99"/>
    <w:rsid w:val="009A7865"/>
    <w:rsid w:val="009A7E94"/>
    <w:rsid w:val="009B0D47"/>
    <w:rsid w:val="009B1E72"/>
    <w:rsid w:val="009B4DA7"/>
    <w:rsid w:val="009B5063"/>
    <w:rsid w:val="009B548D"/>
    <w:rsid w:val="009B58DB"/>
    <w:rsid w:val="009B5A82"/>
    <w:rsid w:val="009B6145"/>
    <w:rsid w:val="009B743E"/>
    <w:rsid w:val="009B782A"/>
    <w:rsid w:val="009B7ECE"/>
    <w:rsid w:val="009C0802"/>
    <w:rsid w:val="009C0A7E"/>
    <w:rsid w:val="009C43D7"/>
    <w:rsid w:val="009C52D3"/>
    <w:rsid w:val="009C62D5"/>
    <w:rsid w:val="009C673C"/>
    <w:rsid w:val="009C6FE8"/>
    <w:rsid w:val="009C750F"/>
    <w:rsid w:val="009C7F02"/>
    <w:rsid w:val="009C7FC7"/>
    <w:rsid w:val="009C7FD6"/>
    <w:rsid w:val="009D0C8F"/>
    <w:rsid w:val="009D1E92"/>
    <w:rsid w:val="009D3DC6"/>
    <w:rsid w:val="009D4A32"/>
    <w:rsid w:val="009D5B21"/>
    <w:rsid w:val="009D6037"/>
    <w:rsid w:val="009D7E47"/>
    <w:rsid w:val="009E1053"/>
    <w:rsid w:val="009E2705"/>
    <w:rsid w:val="009E2C82"/>
    <w:rsid w:val="009E2F39"/>
    <w:rsid w:val="009E60DF"/>
    <w:rsid w:val="009E6709"/>
    <w:rsid w:val="009E6ED4"/>
    <w:rsid w:val="009E701F"/>
    <w:rsid w:val="009F0FDC"/>
    <w:rsid w:val="009F1C01"/>
    <w:rsid w:val="009F20E4"/>
    <w:rsid w:val="009F3E71"/>
    <w:rsid w:val="009F4487"/>
    <w:rsid w:val="009F4B2F"/>
    <w:rsid w:val="009F55AD"/>
    <w:rsid w:val="009F5A60"/>
    <w:rsid w:val="009F6B04"/>
    <w:rsid w:val="009F7484"/>
    <w:rsid w:val="009F7979"/>
    <w:rsid w:val="00A00ACF"/>
    <w:rsid w:val="00A00BA1"/>
    <w:rsid w:val="00A0125C"/>
    <w:rsid w:val="00A01EB9"/>
    <w:rsid w:val="00A01EEA"/>
    <w:rsid w:val="00A02040"/>
    <w:rsid w:val="00A0233F"/>
    <w:rsid w:val="00A0255B"/>
    <w:rsid w:val="00A02E7B"/>
    <w:rsid w:val="00A0302F"/>
    <w:rsid w:val="00A03A67"/>
    <w:rsid w:val="00A03BFE"/>
    <w:rsid w:val="00A0448E"/>
    <w:rsid w:val="00A04E62"/>
    <w:rsid w:val="00A060B6"/>
    <w:rsid w:val="00A06693"/>
    <w:rsid w:val="00A0752E"/>
    <w:rsid w:val="00A1169E"/>
    <w:rsid w:val="00A1211C"/>
    <w:rsid w:val="00A13A3E"/>
    <w:rsid w:val="00A14C7A"/>
    <w:rsid w:val="00A154BA"/>
    <w:rsid w:val="00A16650"/>
    <w:rsid w:val="00A17051"/>
    <w:rsid w:val="00A17810"/>
    <w:rsid w:val="00A21A16"/>
    <w:rsid w:val="00A2236A"/>
    <w:rsid w:val="00A23792"/>
    <w:rsid w:val="00A23ACC"/>
    <w:rsid w:val="00A243E9"/>
    <w:rsid w:val="00A24FFD"/>
    <w:rsid w:val="00A26DC7"/>
    <w:rsid w:val="00A30872"/>
    <w:rsid w:val="00A30E26"/>
    <w:rsid w:val="00A315F5"/>
    <w:rsid w:val="00A31BF3"/>
    <w:rsid w:val="00A3235B"/>
    <w:rsid w:val="00A33318"/>
    <w:rsid w:val="00A337E0"/>
    <w:rsid w:val="00A3464B"/>
    <w:rsid w:val="00A3613A"/>
    <w:rsid w:val="00A3680D"/>
    <w:rsid w:val="00A36920"/>
    <w:rsid w:val="00A37D54"/>
    <w:rsid w:val="00A37FB8"/>
    <w:rsid w:val="00A400D4"/>
    <w:rsid w:val="00A41837"/>
    <w:rsid w:val="00A43B5C"/>
    <w:rsid w:val="00A43DE6"/>
    <w:rsid w:val="00A443AD"/>
    <w:rsid w:val="00A44620"/>
    <w:rsid w:val="00A452D4"/>
    <w:rsid w:val="00A45673"/>
    <w:rsid w:val="00A46340"/>
    <w:rsid w:val="00A46E21"/>
    <w:rsid w:val="00A51A23"/>
    <w:rsid w:val="00A51BE7"/>
    <w:rsid w:val="00A52B68"/>
    <w:rsid w:val="00A53FB1"/>
    <w:rsid w:val="00A548A0"/>
    <w:rsid w:val="00A60275"/>
    <w:rsid w:val="00A6079A"/>
    <w:rsid w:val="00A60BA1"/>
    <w:rsid w:val="00A6291B"/>
    <w:rsid w:val="00A63CBE"/>
    <w:rsid w:val="00A6434E"/>
    <w:rsid w:val="00A646E3"/>
    <w:rsid w:val="00A67028"/>
    <w:rsid w:val="00A67603"/>
    <w:rsid w:val="00A7197D"/>
    <w:rsid w:val="00A726E5"/>
    <w:rsid w:val="00A72F96"/>
    <w:rsid w:val="00A73A2D"/>
    <w:rsid w:val="00A7585B"/>
    <w:rsid w:val="00A75BFF"/>
    <w:rsid w:val="00A777A0"/>
    <w:rsid w:val="00A80ABB"/>
    <w:rsid w:val="00A80C0D"/>
    <w:rsid w:val="00A81C48"/>
    <w:rsid w:val="00A823C8"/>
    <w:rsid w:val="00A849E7"/>
    <w:rsid w:val="00A85369"/>
    <w:rsid w:val="00A85CF6"/>
    <w:rsid w:val="00A869D6"/>
    <w:rsid w:val="00A8722C"/>
    <w:rsid w:val="00A911FA"/>
    <w:rsid w:val="00A91507"/>
    <w:rsid w:val="00A9186E"/>
    <w:rsid w:val="00A91D81"/>
    <w:rsid w:val="00A92246"/>
    <w:rsid w:val="00A92F03"/>
    <w:rsid w:val="00A93CD5"/>
    <w:rsid w:val="00A94C57"/>
    <w:rsid w:val="00A95800"/>
    <w:rsid w:val="00A964C7"/>
    <w:rsid w:val="00A965D7"/>
    <w:rsid w:val="00A9687E"/>
    <w:rsid w:val="00A96DD1"/>
    <w:rsid w:val="00A97F1B"/>
    <w:rsid w:val="00A97F5C"/>
    <w:rsid w:val="00AA019C"/>
    <w:rsid w:val="00AA0C94"/>
    <w:rsid w:val="00AA2492"/>
    <w:rsid w:val="00AA4BDA"/>
    <w:rsid w:val="00AA565E"/>
    <w:rsid w:val="00AA5FFB"/>
    <w:rsid w:val="00AA76D5"/>
    <w:rsid w:val="00AA7FB4"/>
    <w:rsid w:val="00AB0011"/>
    <w:rsid w:val="00AB0EA2"/>
    <w:rsid w:val="00AB2607"/>
    <w:rsid w:val="00AB267C"/>
    <w:rsid w:val="00AB2EB0"/>
    <w:rsid w:val="00AB3BFF"/>
    <w:rsid w:val="00AB68E9"/>
    <w:rsid w:val="00AC0FA3"/>
    <w:rsid w:val="00AC1574"/>
    <w:rsid w:val="00AC29A0"/>
    <w:rsid w:val="00AC2BF2"/>
    <w:rsid w:val="00AC39FF"/>
    <w:rsid w:val="00AC3A61"/>
    <w:rsid w:val="00AC3AD7"/>
    <w:rsid w:val="00AC46B7"/>
    <w:rsid w:val="00AC49D5"/>
    <w:rsid w:val="00AC516E"/>
    <w:rsid w:val="00AC5607"/>
    <w:rsid w:val="00AC692F"/>
    <w:rsid w:val="00AC7228"/>
    <w:rsid w:val="00AC79C8"/>
    <w:rsid w:val="00AD3EE1"/>
    <w:rsid w:val="00AD3F5D"/>
    <w:rsid w:val="00AD5223"/>
    <w:rsid w:val="00AD5992"/>
    <w:rsid w:val="00AD5AD9"/>
    <w:rsid w:val="00AD7557"/>
    <w:rsid w:val="00AE178A"/>
    <w:rsid w:val="00AE1DD7"/>
    <w:rsid w:val="00AE2761"/>
    <w:rsid w:val="00AE4069"/>
    <w:rsid w:val="00AE4ED6"/>
    <w:rsid w:val="00AE5233"/>
    <w:rsid w:val="00AE7AEB"/>
    <w:rsid w:val="00AE7DBC"/>
    <w:rsid w:val="00AF14C6"/>
    <w:rsid w:val="00AF18B7"/>
    <w:rsid w:val="00AF1A63"/>
    <w:rsid w:val="00AF1C7F"/>
    <w:rsid w:val="00AF3D77"/>
    <w:rsid w:val="00AF4A8A"/>
    <w:rsid w:val="00AF4BDE"/>
    <w:rsid w:val="00AF6AFD"/>
    <w:rsid w:val="00AF71E8"/>
    <w:rsid w:val="00AF7215"/>
    <w:rsid w:val="00AF7D53"/>
    <w:rsid w:val="00B00FA0"/>
    <w:rsid w:val="00B01950"/>
    <w:rsid w:val="00B023EE"/>
    <w:rsid w:val="00B02E49"/>
    <w:rsid w:val="00B03784"/>
    <w:rsid w:val="00B03A87"/>
    <w:rsid w:val="00B05524"/>
    <w:rsid w:val="00B06101"/>
    <w:rsid w:val="00B067C1"/>
    <w:rsid w:val="00B07731"/>
    <w:rsid w:val="00B10A3C"/>
    <w:rsid w:val="00B10C4A"/>
    <w:rsid w:val="00B119DE"/>
    <w:rsid w:val="00B11B1E"/>
    <w:rsid w:val="00B12EA7"/>
    <w:rsid w:val="00B15197"/>
    <w:rsid w:val="00B15336"/>
    <w:rsid w:val="00B15F07"/>
    <w:rsid w:val="00B17068"/>
    <w:rsid w:val="00B2009F"/>
    <w:rsid w:val="00B20343"/>
    <w:rsid w:val="00B2077E"/>
    <w:rsid w:val="00B21398"/>
    <w:rsid w:val="00B2195A"/>
    <w:rsid w:val="00B22379"/>
    <w:rsid w:val="00B223F6"/>
    <w:rsid w:val="00B22EB6"/>
    <w:rsid w:val="00B23FEE"/>
    <w:rsid w:val="00B2410D"/>
    <w:rsid w:val="00B2563A"/>
    <w:rsid w:val="00B25CBC"/>
    <w:rsid w:val="00B30DE6"/>
    <w:rsid w:val="00B31922"/>
    <w:rsid w:val="00B320DF"/>
    <w:rsid w:val="00B32D84"/>
    <w:rsid w:val="00B33890"/>
    <w:rsid w:val="00B349FD"/>
    <w:rsid w:val="00B35B90"/>
    <w:rsid w:val="00B366C9"/>
    <w:rsid w:val="00B36AE3"/>
    <w:rsid w:val="00B37471"/>
    <w:rsid w:val="00B4040C"/>
    <w:rsid w:val="00B4067D"/>
    <w:rsid w:val="00B40B58"/>
    <w:rsid w:val="00B411D3"/>
    <w:rsid w:val="00B42003"/>
    <w:rsid w:val="00B42C4B"/>
    <w:rsid w:val="00B43598"/>
    <w:rsid w:val="00B43F1F"/>
    <w:rsid w:val="00B45449"/>
    <w:rsid w:val="00B4582A"/>
    <w:rsid w:val="00B45A03"/>
    <w:rsid w:val="00B527BC"/>
    <w:rsid w:val="00B52D5A"/>
    <w:rsid w:val="00B5372C"/>
    <w:rsid w:val="00B538D9"/>
    <w:rsid w:val="00B5419C"/>
    <w:rsid w:val="00B54525"/>
    <w:rsid w:val="00B54D81"/>
    <w:rsid w:val="00B552C0"/>
    <w:rsid w:val="00B55AFA"/>
    <w:rsid w:val="00B5604D"/>
    <w:rsid w:val="00B570DF"/>
    <w:rsid w:val="00B61123"/>
    <w:rsid w:val="00B61F46"/>
    <w:rsid w:val="00B62E06"/>
    <w:rsid w:val="00B63BAB"/>
    <w:rsid w:val="00B640E0"/>
    <w:rsid w:val="00B6551A"/>
    <w:rsid w:val="00B65FCD"/>
    <w:rsid w:val="00B66147"/>
    <w:rsid w:val="00B6750D"/>
    <w:rsid w:val="00B675AF"/>
    <w:rsid w:val="00B67B6C"/>
    <w:rsid w:val="00B70473"/>
    <w:rsid w:val="00B7066F"/>
    <w:rsid w:val="00B70E68"/>
    <w:rsid w:val="00B71744"/>
    <w:rsid w:val="00B7287F"/>
    <w:rsid w:val="00B72C73"/>
    <w:rsid w:val="00B73362"/>
    <w:rsid w:val="00B741F3"/>
    <w:rsid w:val="00B742D4"/>
    <w:rsid w:val="00B74585"/>
    <w:rsid w:val="00B74A78"/>
    <w:rsid w:val="00B751A5"/>
    <w:rsid w:val="00B757CC"/>
    <w:rsid w:val="00B75A1C"/>
    <w:rsid w:val="00B76CEE"/>
    <w:rsid w:val="00B77135"/>
    <w:rsid w:val="00B77373"/>
    <w:rsid w:val="00B77A03"/>
    <w:rsid w:val="00B77BD4"/>
    <w:rsid w:val="00B8034D"/>
    <w:rsid w:val="00B8062E"/>
    <w:rsid w:val="00B831DC"/>
    <w:rsid w:val="00B831DF"/>
    <w:rsid w:val="00B83467"/>
    <w:rsid w:val="00B83F5D"/>
    <w:rsid w:val="00B8400C"/>
    <w:rsid w:val="00B84391"/>
    <w:rsid w:val="00B84B75"/>
    <w:rsid w:val="00B85ADB"/>
    <w:rsid w:val="00B866E3"/>
    <w:rsid w:val="00B86A5E"/>
    <w:rsid w:val="00B87D8E"/>
    <w:rsid w:val="00B919E0"/>
    <w:rsid w:val="00B91A47"/>
    <w:rsid w:val="00B93B6E"/>
    <w:rsid w:val="00B941DB"/>
    <w:rsid w:val="00B946DF"/>
    <w:rsid w:val="00B94A63"/>
    <w:rsid w:val="00B94F17"/>
    <w:rsid w:val="00B96396"/>
    <w:rsid w:val="00B966D2"/>
    <w:rsid w:val="00BA0EA1"/>
    <w:rsid w:val="00BA36B1"/>
    <w:rsid w:val="00BA375D"/>
    <w:rsid w:val="00BA3B4D"/>
    <w:rsid w:val="00BA3DB6"/>
    <w:rsid w:val="00BA3DB9"/>
    <w:rsid w:val="00BA4BCF"/>
    <w:rsid w:val="00BA62A9"/>
    <w:rsid w:val="00BA72E0"/>
    <w:rsid w:val="00BA7425"/>
    <w:rsid w:val="00BA75AE"/>
    <w:rsid w:val="00BA7BBA"/>
    <w:rsid w:val="00BB187F"/>
    <w:rsid w:val="00BB1AA6"/>
    <w:rsid w:val="00BB306E"/>
    <w:rsid w:val="00BB30DF"/>
    <w:rsid w:val="00BB5AE1"/>
    <w:rsid w:val="00BB5C42"/>
    <w:rsid w:val="00BB6401"/>
    <w:rsid w:val="00BB7613"/>
    <w:rsid w:val="00BB7B00"/>
    <w:rsid w:val="00BC058E"/>
    <w:rsid w:val="00BC0971"/>
    <w:rsid w:val="00BC2737"/>
    <w:rsid w:val="00BC2CC4"/>
    <w:rsid w:val="00BC3223"/>
    <w:rsid w:val="00BC390F"/>
    <w:rsid w:val="00BC392E"/>
    <w:rsid w:val="00BC3D87"/>
    <w:rsid w:val="00BC4A1B"/>
    <w:rsid w:val="00BD01EF"/>
    <w:rsid w:val="00BD0994"/>
    <w:rsid w:val="00BD0A1F"/>
    <w:rsid w:val="00BD2BC4"/>
    <w:rsid w:val="00BD4889"/>
    <w:rsid w:val="00BD4EB2"/>
    <w:rsid w:val="00BD4F67"/>
    <w:rsid w:val="00BD6660"/>
    <w:rsid w:val="00BD7C21"/>
    <w:rsid w:val="00BD7F02"/>
    <w:rsid w:val="00BE038E"/>
    <w:rsid w:val="00BE0E8B"/>
    <w:rsid w:val="00BE3978"/>
    <w:rsid w:val="00BE3BA2"/>
    <w:rsid w:val="00BE4870"/>
    <w:rsid w:val="00BE5426"/>
    <w:rsid w:val="00BE6722"/>
    <w:rsid w:val="00BE69BF"/>
    <w:rsid w:val="00BE6CA7"/>
    <w:rsid w:val="00BE7BDF"/>
    <w:rsid w:val="00BF0684"/>
    <w:rsid w:val="00BF1B90"/>
    <w:rsid w:val="00BF3E04"/>
    <w:rsid w:val="00BF4A9D"/>
    <w:rsid w:val="00BF4EFE"/>
    <w:rsid w:val="00BF5288"/>
    <w:rsid w:val="00C00099"/>
    <w:rsid w:val="00C002FE"/>
    <w:rsid w:val="00C01C78"/>
    <w:rsid w:val="00C0422E"/>
    <w:rsid w:val="00C05233"/>
    <w:rsid w:val="00C05395"/>
    <w:rsid w:val="00C0705F"/>
    <w:rsid w:val="00C07290"/>
    <w:rsid w:val="00C1085F"/>
    <w:rsid w:val="00C11A57"/>
    <w:rsid w:val="00C11BCA"/>
    <w:rsid w:val="00C130BF"/>
    <w:rsid w:val="00C14DD2"/>
    <w:rsid w:val="00C15B2D"/>
    <w:rsid w:val="00C17010"/>
    <w:rsid w:val="00C21E3C"/>
    <w:rsid w:val="00C22DCA"/>
    <w:rsid w:val="00C24E97"/>
    <w:rsid w:val="00C254FB"/>
    <w:rsid w:val="00C30A58"/>
    <w:rsid w:val="00C3117A"/>
    <w:rsid w:val="00C316A3"/>
    <w:rsid w:val="00C336F4"/>
    <w:rsid w:val="00C33E2E"/>
    <w:rsid w:val="00C3449D"/>
    <w:rsid w:val="00C35228"/>
    <w:rsid w:val="00C354F2"/>
    <w:rsid w:val="00C35CE3"/>
    <w:rsid w:val="00C362FD"/>
    <w:rsid w:val="00C369DF"/>
    <w:rsid w:val="00C37249"/>
    <w:rsid w:val="00C37276"/>
    <w:rsid w:val="00C37B07"/>
    <w:rsid w:val="00C4145C"/>
    <w:rsid w:val="00C43F21"/>
    <w:rsid w:val="00C444AB"/>
    <w:rsid w:val="00C44E99"/>
    <w:rsid w:val="00C4526B"/>
    <w:rsid w:val="00C456FB"/>
    <w:rsid w:val="00C508B0"/>
    <w:rsid w:val="00C50D23"/>
    <w:rsid w:val="00C50EA4"/>
    <w:rsid w:val="00C5160A"/>
    <w:rsid w:val="00C52A95"/>
    <w:rsid w:val="00C52AD3"/>
    <w:rsid w:val="00C5365D"/>
    <w:rsid w:val="00C53A66"/>
    <w:rsid w:val="00C53B69"/>
    <w:rsid w:val="00C53C5A"/>
    <w:rsid w:val="00C547D0"/>
    <w:rsid w:val="00C54DBC"/>
    <w:rsid w:val="00C5617F"/>
    <w:rsid w:val="00C56E6F"/>
    <w:rsid w:val="00C56EAB"/>
    <w:rsid w:val="00C56FFD"/>
    <w:rsid w:val="00C57426"/>
    <w:rsid w:val="00C60EB3"/>
    <w:rsid w:val="00C614D5"/>
    <w:rsid w:val="00C61B54"/>
    <w:rsid w:val="00C61D31"/>
    <w:rsid w:val="00C66730"/>
    <w:rsid w:val="00C66C75"/>
    <w:rsid w:val="00C66D10"/>
    <w:rsid w:val="00C670EA"/>
    <w:rsid w:val="00C67A81"/>
    <w:rsid w:val="00C706E0"/>
    <w:rsid w:val="00C70A85"/>
    <w:rsid w:val="00C70FC3"/>
    <w:rsid w:val="00C70FD3"/>
    <w:rsid w:val="00C73880"/>
    <w:rsid w:val="00C73B47"/>
    <w:rsid w:val="00C74392"/>
    <w:rsid w:val="00C74F23"/>
    <w:rsid w:val="00C75A56"/>
    <w:rsid w:val="00C7676F"/>
    <w:rsid w:val="00C80592"/>
    <w:rsid w:val="00C805E9"/>
    <w:rsid w:val="00C807FE"/>
    <w:rsid w:val="00C809C5"/>
    <w:rsid w:val="00C80D52"/>
    <w:rsid w:val="00C81C04"/>
    <w:rsid w:val="00C82E84"/>
    <w:rsid w:val="00C846A6"/>
    <w:rsid w:val="00C84E1B"/>
    <w:rsid w:val="00C86353"/>
    <w:rsid w:val="00C86476"/>
    <w:rsid w:val="00C87669"/>
    <w:rsid w:val="00C87BCA"/>
    <w:rsid w:val="00C905F5"/>
    <w:rsid w:val="00C92542"/>
    <w:rsid w:val="00C92ABD"/>
    <w:rsid w:val="00C9444D"/>
    <w:rsid w:val="00C94682"/>
    <w:rsid w:val="00C950D4"/>
    <w:rsid w:val="00C95B5F"/>
    <w:rsid w:val="00C95BDC"/>
    <w:rsid w:val="00C976FA"/>
    <w:rsid w:val="00C97C23"/>
    <w:rsid w:val="00CA0AD0"/>
    <w:rsid w:val="00CA0E57"/>
    <w:rsid w:val="00CA180E"/>
    <w:rsid w:val="00CA32E1"/>
    <w:rsid w:val="00CA57C8"/>
    <w:rsid w:val="00CA7824"/>
    <w:rsid w:val="00CB019F"/>
    <w:rsid w:val="00CB0774"/>
    <w:rsid w:val="00CB2978"/>
    <w:rsid w:val="00CB4968"/>
    <w:rsid w:val="00CB4FEA"/>
    <w:rsid w:val="00CB4FF3"/>
    <w:rsid w:val="00CB6F4E"/>
    <w:rsid w:val="00CC42DD"/>
    <w:rsid w:val="00CC5FF8"/>
    <w:rsid w:val="00CC64BB"/>
    <w:rsid w:val="00CC6F12"/>
    <w:rsid w:val="00CC70BC"/>
    <w:rsid w:val="00CD007C"/>
    <w:rsid w:val="00CD0535"/>
    <w:rsid w:val="00CD0A15"/>
    <w:rsid w:val="00CD0CB8"/>
    <w:rsid w:val="00CD1539"/>
    <w:rsid w:val="00CD20DC"/>
    <w:rsid w:val="00CD251F"/>
    <w:rsid w:val="00CD2CF8"/>
    <w:rsid w:val="00CD2FE9"/>
    <w:rsid w:val="00CD31A6"/>
    <w:rsid w:val="00CD3377"/>
    <w:rsid w:val="00CD3774"/>
    <w:rsid w:val="00CD3C21"/>
    <w:rsid w:val="00CD3E6F"/>
    <w:rsid w:val="00CD41C5"/>
    <w:rsid w:val="00CD5FC7"/>
    <w:rsid w:val="00CD6900"/>
    <w:rsid w:val="00CE047D"/>
    <w:rsid w:val="00CE0A8C"/>
    <w:rsid w:val="00CE0D51"/>
    <w:rsid w:val="00CE1778"/>
    <w:rsid w:val="00CE21A1"/>
    <w:rsid w:val="00CE35E3"/>
    <w:rsid w:val="00CE3884"/>
    <w:rsid w:val="00CE4E10"/>
    <w:rsid w:val="00CE58DE"/>
    <w:rsid w:val="00CE59B1"/>
    <w:rsid w:val="00CE5A7A"/>
    <w:rsid w:val="00CE612B"/>
    <w:rsid w:val="00CE63C4"/>
    <w:rsid w:val="00CE6B7E"/>
    <w:rsid w:val="00CE769A"/>
    <w:rsid w:val="00CE76EA"/>
    <w:rsid w:val="00CF00E4"/>
    <w:rsid w:val="00CF049C"/>
    <w:rsid w:val="00CF07F2"/>
    <w:rsid w:val="00CF1B6C"/>
    <w:rsid w:val="00CF2482"/>
    <w:rsid w:val="00CF2A13"/>
    <w:rsid w:val="00CF4AD6"/>
    <w:rsid w:val="00CF69C8"/>
    <w:rsid w:val="00CF7A99"/>
    <w:rsid w:val="00CF7B88"/>
    <w:rsid w:val="00CF7C29"/>
    <w:rsid w:val="00D002F7"/>
    <w:rsid w:val="00D0168E"/>
    <w:rsid w:val="00D01B85"/>
    <w:rsid w:val="00D01CAF"/>
    <w:rsid w:val="00D022DC"/>
    <w:rsid w:val="00D038B6"/>
    <w:rsid w:val="00D03B84"/>
    <w:rsid w:val="00D041A1"/>
    <w:rsid w:val="00D04B70"/>
    <w:rsid w:val="00D050D1"/>
    <w:rsid w:val="00D05155"/>
    <w:rsid w:val="00D06383"/>
    <w:rsid w:val="00D0656B"/>
    <w:rsid w:val="00D06EC2"/>
    <w:rsid w:val="00D06FCE"/>
    <w:rsid w:val="00D105E7"/>
    <w:rsid w:val="00D10CF5"/>
    <w:rsid w:val="00D12AE3"/>
    <w:rsid w:val="00D135D4"/>
    <w:rsid w:val="00D14DD4"/>
    <w:rsid w:val="00D14FE1"/>
    <w:rsid w:val="00D15772"/>
    <w:rsid w:val="00D16396"/>
    <w:rsid w:val="00D16BB7"/>
    <w:rsid w:val="00D1754B"/>
    <w:rsid w:val="00D179D3"/>
    <w:rsid w:val="00D17ACB"/>
    <w:rsid w:val="00D17C10"/>
    <w:rsid w:val="00D17E79"/>
    <w:rsid w:val="00D202D9"/>
    <w:rsid w:val="00D208F3"/>
    <w:rsid w:val="00D21749"/>
    <w:rsid w:val="00D21EAC"/>
    <w:rsid w:val="00D22956"/>
    <w:rsid w:val="00D24E5B"/>
    <w:rsid w:val="00D25C72"/>
    <w:rsid w:val="00D25DB8"/>
    <w:rsid w:val="00D25DC0"/>
    <w:rsid w:val="00D263A4"/>
    <w:rsid w:val="00D26584"/>
    <w:rsid w:val="00D265CB"/>
    <w:rsid w:val="00D2701B"/>
    <w:rsid w:val="00D30C58"/>
    <w:rsid w:val="00D3234A"/>
    <w:rsid w:val="00D32FAA"/>
    <w:rsid w:val="00D3337F"/>
    <w:rsid w:val="00D359BE"/>
    <w:rsid w:val="00D35B02"/>
    <w:rsid w:val="00D370B7"/>
    <w:rsid w:val="00D373D4"/>
    <w:rsid w:val="00D3793D"/>
    <w:rsid w:val="00D379A6"/>
    <w:rsid w:val="00D41003"/>
    <w:rsid w:val="00D43E5B"/>
    <w:rsid w:val="00D44469"/>
    <w:rsid w:val="00D44608"/>
    <w:rsid w:val="00D454E7"/>
    <w:rsid w:val="00D4585E"/>
    <w:rsid w:val="00D469C4"/>
    <w:rsid w:val="00D4731E"/>
    <w:rsid w:val="00D4771E"/>
    <w:rsid w:val="00D47FEA"/>
    <w:rsid w:val="00D501A4"/>
    <w:rsid w:val="00D52929"/>
    <w:rsid w:val="00D53C4D"/>
    <w:rsid w:val="00D552F7"/>
    <w:rsid w:val="00D55D0D"/>
    <w:rsid w:val="00D5615C"/>
    <w:rsid w:val="00D56755"/>
    <w:rsid w:val="00D56A44"/>
    <w:rsid w:val="00D5767B"/>
    <w:rsid w:val="00D57965"/>
    <w:rsid w:val="00D57A8E"/>
    <w:rsid w:val="00D57B9C"/>
    <w:rsid w:val="00D60193"/>
    <w:rsid w:val="00D6088B"/>
    <w:rsid w:val="00D61A53"/>
    <w:rsid w:val="00D63C37"/>
    <w:rsid w:val="00D66155"/>
    <w:rsid w:val="00D6662A"/>
    <w:rsid w:val="00D6749D"/>
    <w:rsid w:val="00D70C2C"/>
    <w:rsid w:val="00D70DE7"/>
    <w:rsid w:val="00D70F34"/>
    <w:rsid w:val="00D71297"/>
    <w:rsid w:val="00D72EFD"/>
    <w:rsid w:val="00D73D5F"/>
    <w:rsid w:val="00D741A1"/>
    <w:rsid w:val="00D744D9"/>
    <w:rsid w:val="00D760BE"/>
    <w:rsid w:val="00D76CA5"/>
    <w:rsid w:val="00D7751A"/>
    <w:rsid w:val="00D8019D"/>
    <w:rsid w:val="00D809AE"/>
    <w:rsid w:val="00D82365"/>
    <w:rsid w:val="00D847B6"/>
    <w:rsid w:val="00D85673"/>
    <w:rsid w:val="00D858E2"/>
    <w:rsid w:val="00D859BE"/>
    <w:rsid w:val="00D86589"/>
    <w:rsid w:val="00D86734"/>
    <w:rsid w:val="00D869D4"/>
    <w:rsid w:val="00D86D36"/>
    <w:rsid w:val="00D87726"/>
    <w:rsid w:val="00D87CD9"/>
    <w:rsid w:val="00D9055E"/>
    <w:rsid w:val="00D91D84"/>
    <w:rsid w:val="00D93307"/>
    <w:rsid w:val="00D93EC1"/>
    <w:rsid w:val="00D93EC6"/>
    <w:rsid w:val="00D95008"/>
    <w:rsid w:val="00D95164"/>
    <w:rsid w:val="00D95665"/>
    <w:rsid w:val="00D96DFE"/>
    <w:rsid w:val="00DA2E98"/>
    <w:rsid w:val="00DA32D3"/>
    <w:rsid w:val="00DA4935"/>
    <w:rsid w:val="00DA4FD5"/>
    <w:rsid w:val="00DA4FF8"/>
    <w:rsid w:val="00DA55FF"/>
    <w:rsid w:val="00DA5854"/>
    <w:rsid w:val="00DA5CD5"/>
    <w:rsid w:val="00DA6578"/>
    <w:rsid w:val="00DA6830"/>
    <w:rsid w:val="00DA6E4D"/>
    <w:rsid w:val="00DA7667"/>
    <w:rsid w:val="00DB078D"/>
    <w:rsid w:val="00DB09C6"/>
    <w:rsid w:val="00DB17DC"/>
    <w:rsid w:val="00DB1DB1"/>
    <w:rsid w:val="00DB1E25"/>
    <w:rsid w:val="00DB35FB"/>
    <w:rsid w:val="00DB416D"/>
    <w:rsid w:val="00DB4B1F"/>
    <w:rsid w:val="00DB4C59"/>
    <w:rsid w:val="00DB5758"/>
    <w:rsid w:val="00DB5A42"/>
    <w:rsid w:val="00DC167A"/>
    <w:rsid w:val="00DC18B8"/>
    <w:rsid w:val="00DC2A27"/>
    <w:rsid w:val="00DC3393"/>
    <w:rsid w:val="00DC35DA"/>
    <w:rsid w:val="00DC3AEE"/>
    <w:rsid w:val="00DC46BF"/>
    <w:rsid w:val="00DD070F"/>
    <w:rsid w:val="00DD0BF2"/>
    <w:rsid w:val="00DD1833"/>
    <w:rsid w:val="00DD2773"/>
    <w:rsid w:val="00DD358E"/>
    <w:rsid w:val="00DD3EE2"/>
    <w:rsid w:val="00DD522F"/>
    <w:rsid w:val="00DD5C1B"/>
    <w:rsid w:val="00DD5FAA"/>
    <w:rsid w:val="00DD66FC"/>
    <w:rsid w:val="00DD6773"/>
    <w:rsid w:val="00DD6832"/>
    <w:rsid w:val="00DE0EE6"/>
    <w:rsid w:val="00DE3E09"/>
    <w:rsid w:val="00DE3F2E"/>
    <w:rsid w:val="00DE4719"/>
    <w:rsid w:val="00DE48FE"/>
    <w:rsid w:val="00DE6C6D"/>
    <w:rsid w:val="00DF1003"/>
    <w:rsid w:val="00DF120E"/>
    <w:rsid w:val="00DF158C"/>
    <w:rsid w:val="00DF2D0E"/>
    <w:rsid w:val="00DF43B0"/>
    <w:rsid w:val="00DF4A5D"/>
    <w:rsid w:val="00DF51AE"/>
    <w:rsid w:val="00DF57F2"/>
    <w:rsid w:val="00DF5CD1"/>
    <w:rsid w:val="00DF5F67"/>
    <w:rsid w:val="00DF6E4B"/>
    <w:rsid w:val="00DF714E"/>
    <w:rsid w:val="00DF7975"/>
    <w:rsid w:val="00E00E59"/>
    <w:rsid w:val="00E0113C"/>
    <w:rsid w:val="00E0260E"/>
    <w:rsid w:val="00E02D7A"/>
    <w:rsid w:val="00E031CC"/>
    <w:rsid w:val="00E0521C"/>
    <w:rsid w:val="00E05669"/>
    <w:rsid w:val="00E0587C"/>
    <w:rsid w:val="00E05AC2"/>
    <w:rsid w:val="00E06315"/>
    <w:rsid w:val="00E06FB9"/>
    <w:rsid w:val="00E07AA9"/>
    <w:rsid w:val="00E07E47"/>
    <w:rsid w:val="00E10264"/>
    <w:rsid w:val="00E10AE5"/>
    <w:rsid w:val="00E11165"/>
    <w:rsid w:val="00E11D34"/>
    <w:rsid w:val="00E12B4C"/>
    <w:rsid w:val="00E12F48"/>
    <w:rsid w:val="00E133B2"/>
    <w:rsid w:val="00E16C42"/>
    <w:rsid w:val="00E178A5"/>
    <w:rsid w:val="00E21235"/>
    <w:rsid w:val="00E2161A"/>
    <w:rsid w:val="00E2162E"/>
    <w:rsid w:val="00E21CAB"/>
    <w:rsid w:val="00E22067"/>
    <w:rsid w:val="00E221FD"/>
    <w:rsid w:val="00E229A8"/>
    <w:rsid w:val="00E22C08"/>
    <w:rsid w:val="00E22E8A"/>
    <w:rsid w:val="00E22F07"/>
    <w:rsid w:val="00E23A69"/>
    <w:rsid w:val="00E250B6"/>
    <w:rsid w:val="00E25887"/>
    <w:rsid w:val="00E25EE6"/>
    <w:rsid w:val="00E260DF"/>
    <w:rsid w:val="00E2689E"/>
    <w:rsid w:val="00E26E50"/>
    <w:rsid w:val="00E2780F"/>
    <w:rsid w:val="00E30C11"/>
    <w:rsid w:val="00E31C8D"/>
    <w:rsid w:val="00E31EEF"/>
    <w:rsid w:val="00E3316D"/>
    <w:rsid w:val="00E34ECE"/>
    <w:rsid w:val="00E35324"/>
    <w:rsid w:val="00E3778F"/>
    <w:rsid w:val="00E42E2A"/>
    <w:rsid w:val="00E42EE8"/>
    <w:rsid w:val="00E43052"/>
    <w:rsid w:val="00E43395"/>
    <w:rsid w:val="00E434C1"/>
    <w:rsid w:val="00E43B32"/>
    <w:rsid w:val="00E43F6E"/>
    <w:rsid w:val="00E4470C"/>
    <w:rsid w:val="00E44EC1"/>
    <w:rsid w:val="00E46664"/>
    <w:rsid w:val="00E474B2"/>
    <w:rsid w:val="00E47D9E"/>
    <w:rsid w:val="00E50C28"/>
    <w:rsid w:val="00E51BD0"/>
    <w:rsid w:val="00E5318B"/>
    <w:rsid w:val="00E53710"/>
    <w:rsid w:val="00E56635"/>
    <w:rsid w:val="00E575E6"/>
    <w:rsid w:val="00E57DFF"/>
    <w:rsid w:val="00E60A9B"/>
    <w:rsid w:val="00E60DE4"/>
    <w:rsid w:val="00E611A5"/>
    <w:rsid w:val="00E61376"/>
    <w:rsid w:val="00E61D60"/>
    <w:rsid w:val="00E627C5"/>
    <w:rsid w:val="00E634D6"/>
    <w:rsid w:val="00E63AD2"/>
    <w:rsid w:val="00E6430D"/>
    <w:rsid w:val="00E64356"/>
    <w:rsid w:val="00E64A54"/>
    <w:rsid w:val="00E652B8"/>
    <w:rsid w:val="00E6735B"/>
    <w:rsid w:val="00E709CB"/>
    <w:rsid w:val="00E71160"/>
    <w:rsid w:val="00E718DD"/>
    <w:rsid w:val="00E71B90"/>
    <w:rsid w:val="00E7413C"/>
    <w:rsid w:val="00E7467B"/>
    <w:rsid w:val="00E750A4"/>
    <w:rsid w:val="00E75564"/>
    <w:rsid w:val="00E75B82"/>
    <w:rsid w:val="00E760D2"/>
    <w:rsid w:val="00E76BEF"/>
    <w:rsid w:val="00E76C05"/>
    <w:rsid w:val="00E76E67"/>
    <w:rsid w:val="00E771DB"/>
    <w:rsid w:val="00E7728A"/>
    <w:rsid w:val="00E77CF5"/>
    <w:rsid w:val="00E806C5"/>
    <w:rsid w:val="00E80F49"/>
    <w:rsid w:val="00E81B0B"/>
    <w:rsid w:val="00E8397C"/>
    <w:rsid w:val="00E84A02"/>
    <w:rsid w:val="00E850BB"/>
    <w:rsid w:val="00E85A89"/>
    <w:rsid w:val="00E86C69"/>
    <w:rsid w:val="00E87CBE"/>
    <w:rsid w:val="00E90296"/>
    <w:rsid w:val="00E91900"/>
    <w:rsid w:val="00E91E37"/>
    <w:rsid w:val="00E9355E"/>
    <w:rsid w:val="00E93EC1"/>
    <w:rsid w:val="00E94F48"/>
    <w:rsid w:val="00E952CF"/>
    <w:rsid w:val="00E95B78"/>
    <w:rsid w:val="00E95D4D"/>
    <w:rsid w:val="00E96B64"/>
    <w:rsid w:val="00E971B4"/>
    <w:rsid w:val="00E97F65"/>
    <w:rsid w:val="00EA03BD"/>
    <w:rsid w:val="00EA0555"/>
    <w:rsid w:val="00EA0E4F"/>
    <w:rsid w:val="00EA1D37"/>
    <w:rsid w:val="00EA1FA1"/>
    <w:rsid w:val="00EA540C"/>
    <w:rsid w:val="00EA7319"/>
    <w:rsid w:val="00EA76AE"/>
    <w:rsid w:val="00EB0351"/>
    <w:rsid w:val="00EB055D"/>
    <w:rsid w:val="00EB0ACA"/>
    <w:rsid w:val="00EB1298"/>
    <w:rsid w:val="00EB1DBF"/>
    <w:rsid w:val="00EB1F74"/>
    <w:rsid w:val="00EB3786"/>
    <w:rsid w:val="00EB3924"/>
    <w:rsid w:val="00EB409F"/>
    <w:rsid w:val="00EB5742"/>
    <w:rsid w:val="00EB5EF2"/>
    <w:rsid w:val="00EB5F03"/>
    <w:rsid w:val="00EB6160"/>
    <w:rsid w:val="00EB62A5"/>
    <w:rsid w:val="00EB6D77"/>
    <w:rsid w:val="00EB75A9"/>
    <w:rsid w:val="00EB773F"/>
    <w:rsid w:val="00EB7923"/>
    <w:rsid w:val="00EC1D39"/>
    <w:rsid w:val="00EC1F63"/>
    <w:rsid w:val="00EC2DDE"/>
    <w:rsid w:val="00EC34B7"/>
    <w:rsid w:val="00EC3F7E"/>
    <w:rsid w:val="00EC426C"/>
    <w:rsid w:val="00EC530D"/>
    <w:rsid w:val="00EC5A62"/>
    <w:rsid w:val="00EC6CDE"/>
    <w:rsid w:val="00EC7D90"/>
    <w:rsid w:val="00ED06D4"/>
    <w:rsid w:val="00ED0B60"/>
    <w:rsid w:val="00ED3132"/>
    <w:rsid w:val="00ED3571"/>
    <w:rsid w:val="00ED4486"/>
    <w:rsid w:val="00ED4C88"/>
    <w:rsid w:val="00ED4FE7"/>
    <w:rsid w:val="00ED55F8"/>
    <w:rsid w:val="00ED6281"/>
    <w:rsid w:val="00ED74ED"/>
    <w:rsid w:val="00ED797A"/>
    <w:rsid w:val="00EE1878"/>
    <w:rsid w:val="00EE22C0"/>
    <w:rsid w:val="00EE25B6"/>
    <w:rsid w:val="00EE26BD"/>
    <w:rsid w:val="00EE272F"/>
    <w:rsid w:val="00EE3287"/>
    <w:rsid w:val="00EE4630"/>
    <w:rsid w:val="00EE67AD"/>
    <w:rsid w:val="00EE6B03"/>
    <w:rsid w:val="00EE7D49"/>
    <w:rsid w:val="00EF0A1D"/>
    <w:rsid w:val="00EF2556"/>
    <w:rsid w:val="00EF4103"/>
    <w:rsid w:val="00EF68DB"/>
    <w:rsid w:val="00EF73FD"/>
    <w:rsid w:val="00F00DA4"/>
    <w:rsid w:val="00F01E58"/>
    <w:rsid w:val="00F0304C"/>
    <w:rsid w:val="00F0337B"/>
    <w:rsid w:val="00F043E1"/>
    <w:rsid w:val="00F066CA"/>
    <w:rsid w:val="00F06BF0"/>
    <w:rsid w:val="00F072BE"/>
    <w:rsid w:val="00F07989"/>
    <w:rsid w:val="00F07A4D"/>
    <w:rsid w:val="00F1026D"/>
    <w:rsid w:val="00F1041D"/>
    <w:rsid w:val="00F114F9"/>
    <w:rsid w:val="00F12140"/>
    <w:rsid w:val="00F12F80"/>
    <w:rsid w:val="00F1307D"/>
    <w:rsid w:val="00F136E7"/>
    <w:rsid w:val="00F137F6"/>
    <w:rsid w:val="00F161C8"/>
    <w:rsid w:val="00F20554"/>
    <w:rsid w:val="00F20689"/>
    <w:rsid w:val="00F2087F"/>
    <w:rsid w:val="00F21E1F"/>
    <w:rsid w:val="00F22FF9"/>
    <w:rsid w:val="00F2458F"/>
    <w:rsid w:val="00F2470B"/>
    <w:rsid w:val="00F24B2F"/>
    <w:rsid w:val="00F25639"/>
    <w:rsid w:val="00F25CFA"/>
    <w:rsid w:val="00F26C87"/>
    <w:rsid w:val="00F30C69"/>
    <w:rsid w:val="00F313CC"/>
    <w:rsid w:val="00F31E05"/>
    <w:rsid w:val="00F31FE8"/>
    <w:rsid w:val="00F32DE6"/>
    <w:rsid w:val="00F32E1C"/>
    <w:rsid w:val="00F34149"/>
    <w:rsid w:val="00F356D0"/>
    <w:rsid w:val="00F35B5B"/>
    <w:rsid w:val="00F371B6"/>
    <w:rsid w:val="00F3736C"/>
    <w:rsid w:val="00F37D99"/>
    <w:rsid w:val="00F411FF"/>
    <w:rsid w:val="00F41287"/>
    <w:rsid w:val="00F4232A"/>
    <w:rsid w:val="00F42D7F"/>
    <w:rsid w:val="00F436D1"/>
    <w:rsid w:val="00F44CCD"/>
    <w:rsid w:val="00F45A6F"/>
    <w:rsid w:val="00F4632D"/>
    <w:rsid w:val="00F4654F"/>
    <w:rsid w:val="00F4729D"/>
    <w:rsid w:val="00F47397"/>
    <w:rsid w:val="00F50E39"/>
    <w:rsid w:val="00F52626"/>
    <w:rsid w:val="00F526C3"/>
    <w:rsid w:val="00F53D45"/>
    <w:rsid w:val="00F54C56"/>
    <w:rsid w:val="00F55B2B"/>
    <w:rsid w:val="00F56302"/>
    <w:rsid w:val="00F5705E"/>
    <w:rsid w:val="00F578A6"/>
    <w:rsid w:val="00F603AB"/>
    <w:rsid w:val="00F60EFD"/>
    <w:rsid w:val="00F6137E"/>
    <w:rsid w:val="00F619C2"/>
    <w:rsid w:val="00F62347"/>
    <w:rsid w:val="00F63E19"/>
    <w:rsid w:val="00F64BB4"/>
    <w:rsid w:val="00F64DDC"/>
    <w:rsid w:val="00F64E21"/>
    <w:rsid w:val="00F651F6"/>
    <w:rsid w:val="00F65623"/>
    <w:rsid w:val="00F65751"/>
    <w:rsid w:val="00F6598A"/>
    <w:rsid w:val="00F65C29"/>
    <w:rsid w:val="00F65F2C"/>
    <w:rsid w:val="00F6785A"/>
    <w:rsid w:val="00F70021"/>
    <w:rsid w:val="00F71E67"/>
    <w:rsid w:val="00F7205C"/>
    <w:rsid w:val="00F7257F"/>
    <w:rsid w:val="00F72654"/>
    <w:rsid w:val="00F73832"/>
    <w:rsid w:val="00F73CBF"/>
    <w:rsid w:val="00F7416C"/>
    <w:rsid w:val="00F74393"/>
    <w:rsid w:val="00F74CD4"/>
    <w:rsid w:val="00F756F3"/>
    <w:rsid w:val="00F7642C"/>
    <w:rsid w:val="00F779EF"/>
    <w:rsid w:val="00F77B13"/>
    <w:rsid w:val="00F77C2B"/>
    <w:rsid w:val="00F80AF3"/>
    <w:rsid w:val="00F81828"/>
    <w:rsid w:val="00F82BC2"/>
    <w:rsid w:val="00F83583"/>
    <w:rsid w:val="00F841D6"/>
    <w:rsid w:val="00F84B27"/>
    <w:rsid w:val="00F84E87"/>
    <w:rsid w:val="00F853AC"/>
    <w:rsid w:val="00F86054"/>
    <w:rsid w:val="00F863FE"/>
    <w:rsid w:val="00F86DCA"/>
    <w:rsid w:val="00F90169"/>
    <w:rsid w:val="00F90983"/>
    <w:rsid w:val="00F90B1A"/>
    <w:rsid w:val="00F923EC"/>
    <w:rsid w:val="00F92CEB"/>
    <w:rsid w:val="00F9389B"/>
    <w:rsid w:val="00F93DF5"/>
    <w:rsid w:val="00F93FA0"/>
    <w:rsid w:val="00F942A4"/>
    <w:rsid w:val="00F94ED5"/>
    <w:rsid w:val="00F94F37"/>
    <w:rsid w:val="00F959A6"/>
    <w:rsid w:val="00F9619C"/>
    <w:rsid w:val="00F96932"/>
    <w:rsid w:val="00F9697F"/>
    <w:rsid w:val="00FA0EEC"/>
    <w:rsid w:val="00FA1952"/>
    <w:rsid w:val="00FA1A74"/>
    <w:rsid w:val="00FA1D41"/>
    <w:rsid w:val="00FA1EB1"/>
    <w:rsid w:val="00FA1F90"/>
    <w:rsid w:val="00FA2AAA"/>
    <w:rsid w:val="00FA2F53"/>
    <w:rsid w:val="00FA3F07"/>
    <w:rsid w:val="00FA3FE6"/>
    <w:rsid w:val="00FA48FD"/>
    <w:rsid w:val="00FA4902"/>
    <w:rsid w:val="00FA5EE3"/>
    <w:rsid w:val="00FA6EFD"/>
    <w:rsid w:val="00FA7461"/>
    <w:rsid w:val="00FA760C"/>
    <w:rsid w:val="00FB0718"/>
    <w:rsid w:val="00FB0740"/>
    <w:rsid w:val="00FB16B5"/>
    <w:rsid w:val="00FB1AB9"/>
    <w:rsid w:val="00FB272A"/>
    <w:rsid w:val="00FB2B3D"/>
    <w:rsid w:val="00FB30F5"/>
    <w:rsid w:val="00FB3951"/>
    <w:rsid w:val="00FB42C3"/>
    <w:rsid w:val="00FB4457"/>
    <w:rsid w:val="00FB4758"/>
    <w:rsid w:val="00FB4D84"/>
    <w:rsid w:val="00FB569C"/>
    <w:rsid w:val="00FB71C0"/>
    <w:rsid w:val="00FC06A1"/>
    <w:rsid w:val="00FC0C45"/>
    <w:rsid w:val="00FC31A8"/>
    <w:rsid w:val="00FC3517"/>
    <w:rsid w:val="00FC5C05"/>
    <w:rsid w:val="00FC5D0B"/>
    <w:rsid w:val="00FC5F4A"/>
    <w:rsid w:val="00FC6220"/>
    <w:rsid w:val="00FC63D6"/>
    <w:rsid w:val="00FC68F4"/>
    <w:rsid w:val="00FC70F9"/>
    <w:rsid w:val="00FC7159"/>
    <w:rsid w:val="00FD006B"/>
    <w:rsid w:val="00FD1356"/>
    <w:rsid w:val="00FD1596"/>
    <w:rsid w:val="00FD1F57"/>
    <w:rsid w:val="00FD3E25"/>
    <w:rsid w:val="00FD4013"/>
    <w:rsid w:val="00FD43F0"/>
    <w:rsid w:val="00FD4851"/>
    <w:rsid w:val="00FD550F"/>
    <w:rsid w:val="00FD6B99"/>
    <w:rsid w:val="00FD7161"/>
    <w:rsid w:val="00FD717F"/>
    <w:rsid w:val="00FD79E8"/>
    <w:rsid w:val="00FE0840"/>
    <w:rsid w:val="00FE2298"/>
    <w:rsid w:val="00FE3AFE"/>
    <w:rsid w:val="00FE3BB3"/>
    <w:rsid w:val="00FE5705"/>
    <w:rsid w:val="00FF0797"/>
    <w:rsid w:val="00FF2EB1"/>
    <w:rsid w:val="00FF3631"/>
    <w:rsid w:val="00FF4A53"/>
    <w:rsid w:val="071AF0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2CE262"/>
  <w15:docId w15:val="{55FAE837-59AE-4370-9439-67C8048F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89D"/>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9F20E4"/>
    <w:pPr>
      <w:keepNext/>
      <w:numPr>
        <w:numId w:val="4"/>
      </w:numPr>
      <w:spacing w:before="480"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3337F"/>
    <w:pPr>
      <w:keepNext/>
      <w:numPr>
        <w:ilvl w:val="3"/>
        <w:numId w:val="4"/>
      </w:numPr>
      <w:spacing w:before="240" w:after="60"/>
      <w:outlineLvl w:val="3"/>
    </w:pPr>
    <w:rPr>
      <w:rFonts w:ascii="Segoe UI Semibold" w:eastAsia="Times New Roman" w:hAnsi="Segoe UI Semibold" w:cs="Times New Roman"/>
      <w:color w:val="00264D" w:themeColor="background2"/>
      <w:sz w:val="25"/>
      <w:szCs w:val="19"/>
      <w:lang w:eastAsia="en-AU"/>
    </w:rPr>
  </w:style>
  <w:style w:type="paragraph" w:styleId="Heading5">
    <w:name w:val="heading 5"/>
    <w:basedOn w:val="Normal"/>
    <w:next w:val="Normal"/>
    <w:link w:val="Heading5Char"/>
    <w:uiPriority w:val="19"/>
    <w:qFormat/>
    <w:rsid w:val="00D3337F"/>
    <w:pPr>
      <w:keepNext/>
      <w:numPr>
        <w:ilvl w:val="4"/>
        <w:numId w:val="4"/>
      </w:numPr>
      <w:spacing w:before="240" w:after="60"/>
      <w:outlineLvl w:val="4"/>
    </w:pPr>
    <w:rPr>
      <w:rFonts w:eastAsia="Times New Roman" w:cs="Times New Roman"/>
      <w:b/>
      <w:color w:val="808080" w:themeColor="background1" w:themeShade="80"/>
      <w:sz w:val="22"/>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789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05789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05789D"/>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05789D"/>
    <w:rPr>
      <w:rFonts w:ascii="Segoe UI Semibold" w:eastAsia="Times New Roman" w:hAnsi="Segoe UI Semibold" w:cs="Times New Roman"/>
      <w:color w:val="00264D" w:themeColor="background2"/>
      <w:sz w:val="25"/>
      <w:szCs w:val="19"/>
      <w:lang w:val="en-AU" w:eastAsia="en-AU"/>
    </w:rPr>
  </w:style>
  <w:style w:type="character" w:customStyle="1" w:styleId="Heading5Char">
    <w:name w:val="Heading 5 Char"/>
    <w:basedOn w:val="DefaultParagraphFont"/>
    <w:link w:val="Heading5"/>
    <w:uiPriority w:val="19"/>
    <w:rsid w:val="003B5517"/>
    <w:rPr>
      <w:rFonts w:ascii="Segoe UI" w:eastAsia="Times New Roman" w:hAnsi="Segoe UI" w:cs="Times New Roman"/>
      <w:b/>
      <w:color w:val="808080" w:themeColor="background1" w:themeShade="80"/>
      <w:szCs w:val="24"/>
      <w:lang w:val="en-AU" w:eastAsia="en-AU"/>
    </w:rPr>
  </w:style>
  <w:style w:type="character" w:customStyle="1" w:styleId="Heading6Char">
    <w:name w:val="Heading 6 Char"/>
    <w:basedOn w:val="DefaultParagraphFont"/>
    <w:link w:val="Heading6"/>
    <w:uiPriority w:val="19"/>
    <w:rsid w:val="006F5B5A"/>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3E02E5"/>
    <w:pPr>
      <w:numPr>
        <w:numId w:val="8"/>
      </w:numPr>
      <w:suppressAutoHyphens/>
      <w:ind w:left="360"/>
    </w:pPr>
    <w:rPr>
      <w:rFonts w:eastAsia="Times New Roman" w:cs="Times New Roman"/>
      <w:szCs w:val="19"/>
      <w:lang w:eastAsia="en-AU"/>
    </w:rPr>
  </w:style>
  <w:style w:type="paragraph" w:customStyle="1" w:styleId="TableNheader">
    <w:name w:val="Table N header"/>
    <w:basedOn w:val="Heading5"/>
    <w:uiPriority w:val="2"/>
    <w:qFormat/>
    <w:rsid w:val="009C750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3346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basedOn w:val="Normal"/>
    <w:link w:val="FooterChar"/>
    <w:uiPriority w:val="89"/>
    <w:unhideWhenUsed/>
    <w:rsid w:val="00302076"/>
    <w:pPr>
      <w:tabs>
        <w:tab w:val="center" w:pos="4513"/>
        <w:tab w:val="right" w:pos="9026"/>
      </w:tabs>
      <w:spacing w:after="0"/>
    </w:pPr>
  </w:style>
  <w:style w:type="character" w:customStyle="1" w:styleId="FooterChar">
    <w:name w:val="Footer Char"/>
    <w:basedOn w:val="DefaultParagraphFont"/>
    <w:link w:val="Footer"/>
    <w:uiPriority w:val="89"/>
    <w:rsid w:val="00302076"/>
    <w:rPr>
      <w:rFonts w:ascii="Segoe UI" w:hAnsi="Segoe UI"/>
      <w:sz w:val="19"/>
    </w:rPr>
  </w:style>
  <w:style w:type="paragraph" w:styleId="Caption">
    <w:name w:val="caption"/>
    <w:basedOn w:val="Normal"/>
    <w:next w:val="Normal"/>
    <w:uiPriority w:val="35"/>
    <w:qFormat/>
    <w:rsid w:val="00413A52"/>
    <w:pPr>
      <w:spacing w:before="360"/>
    </w:pPr>
    <w:rPr>
      <w:rFonts w:ascii="Segoe UI Semibold" w:hAnsi="Segoe UI Semibold"/>
      <w:bCs/>
      <w:color w:val="00264D" w:themeColor="background2"/>
      <w:sz w:val="20"/>
      <w:szCs w:val="18"/>
    </w:rPr>
  </w:style>
  <w:style w:type="paragraph" w:customStyle="1" w:styleId="TableNBullet">
    <w:name w:val="Table N Bullet"/>
    <w:basedOn w:val="Bullet"/>
    <w:link w:val="TableNBulletChar"/>
    <w:uiPriority w:val="9"/>
    <w:qFormat/>
    <w:rsid w:val="000A13C3"/>
    <w:pPr>
      <w:numPr>
        <w:numId w:val="5"/>
      </w:numPr>
      <w:spacing w:before="40" w:after="40"/>
    </w:pPr>
    <w:rPr>
      <w:sz w:val="17"/>
    </w:rPr>
  </w:style>
  <w:style w:type="paragraph" w:customStyle="1" w:styleId="TableNListnumbered">
    <w:name w:val="Table N List (numbered)"/>
    <w:basedOn w:val="TableNBullet"/>
    <w:uiPriority w:val="1"/>
    <w:qFormat/>
    <w:rsid w:val="0029320C"/>
    <w:pPr>
      <w:numPr>
        <w:numId w:val="1"/>
      </w:numPr>
      <w:ind w:left="170" w:hanging="170"/>
    </w:pPr>
  </w:style>
  <w:style w:type="paragraph" w:customStyle="1" w:styleId="xAppendixLevel1">
    <w:name w:val="xAppendix Level 1"/>
    <w:basedOn w:val="Heading1"/>
    <w:next w:val="Normal"/>
    <w:uiPriority w:val="98"/>
    <w:qFormat/>
    <w:rsid w:val="002B5822"/>
    <w:pPr>
      <w:pageBreakBefore/>
      <w:numPr>
        <w:numId w:val="2"/>
      </w:numPr>
    </w:pPr>
    <w:rPr>
      <w:rFonts w:ascii="Segoe UI Semibold" w:hAnsi="Segoe UI Semibold"/>
      <w:b w:val="0"/>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BE4870"/>
    <w:pPr>
      <w:numPr>
        <w:numId w:val="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2"/>
    <w:qFormat/>
    <w:rsid w:val="0029320C"/>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2"/>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1"/>
    <w:rsid w:val="00653916"/>
    <w:rPr>
      <w:rFonts w:ascii="Segoe UI Semibold" w:eastAsia="Times New Roman" w:hAnsi="Segoe UI Semibold" w:cs="Times New Roman"/>
      <w:color w:val="00264D"/>
      <w:sz w:val="18"/>
      <w:szCs w:val="17"/>
      <w:lang w:val="en-AU" w:eastAsia="en-AU"/>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0A13C3"/>
    <w:rPr>
      <w:rFonts w:ascii="Segoe UI" w:eastAsia="Times New Roman" w:hAnsi="Segoe UI" w:cs="Times New Roman"/>
      <w:sz w:val="17"/>
      <w:szCs w:val="19"/>
      <w:lang w:val="en-AU" w:eastAsia="en-AU"/>
    </w:rPr>
  </w:style>
  <w:style w:type="table" w:styleId="TableGrid">
    <w:name w:val="Table Grid"/>
    <w:aliases w:val="Table,NOUS,NOUS Side Header,Nous Table"/>
    <w:basedOn w:val="TableNormal"/>
    <w:uiPriority w:val="39"/>
    <w:rsid w:val="00E031CC"/>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w:hAnsi="Segoe UI"/>
        <w:b/>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BulletChar">
    <w:name w:val="Bullet Char"/>
    <w:basedOn w:val="DefaultParagraphFont"/>
    <w:link w:val="Bullet"/>
    <w:uiPriority w:val="2"/>
    <w:rsid w:val="003E02E5"/>
    <w:rPr>
      <w:rFonts w:ascii="Segoe UI" w:eastAsia="Times New Roman" w:hAnsi="Segoe UI" w:cs="Times New Roman"/>
      <w:sz w:val="19"/>
      <w:szCs w:val="19"/>
      <w:lang w:val="en-AU" w:eastAsia="en-AU"/>
    </w:rPr>
  </w:style>
  <w:style w:type="paragraph" w:styleId="ListParagraph">
    <w:name w:val="List Paragraph"/>
    <w:basedOn w:val="Normal"/>
    <w:uiPriority w:val="34"/>
    <w:qFormat/>
    <w:rsid w:val="00CF07F2"/>
    <w:pPr>
      <w:ind w:left="720"/>
      <w:contextualSpacing/>
    </w:p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SideTitle">
    <w:name w:val="Side Title"/>
    <w:basedOn w:val="TableNormal"/>
    <w:uiPriority w:val="99"/>
    <w:rsid w:val="001C1921"/>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Segoe UI" w:hAnsi="Segoe UI"/>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Styletopandsideheading">
    <w:name w:val="Nous Table Style top and side heading"/>
    <w:basedOn w:val="TableNormal"/>
    <w:uiPriority w:val="99"/>
    <w:rsid w:val="00F2470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character" w:styleId="CommentReference">
    <w:name w:val="annotation reference"/>
    <w:basedOn w:val="DefaultParagraphFont"/>
    <w:uiPriority w:val="99"/>
    <w:semiHidden/>
    <w:unhideWhenUsed/>
    <w:rsid w:val="00D741A1"/>
    <w:rPr>
      <w:sz w:val="16"/>
      <w:szCs w:val="16"/>
    </w:rPr>
  </w:style>
  <w:style w:type="paragraph" w:styleId="CommentText">
    <w:name w:val="annotation text"/>
    <w:basedOn w:val="Normal"/>
    <w:link w:val="CommentTextChar"/>
    <w:uiPriority w:val="99"/>
    <w:unhideWhenUsed/>
    <w:rsid w:val="00D741A1"/>
    <w:rPr>
      <w:sz w:val="20"/>
      <w:szCs w:val="20"/>
    </w:rPr>
  </w:style>
  <w:style w:type="character" w:customStyle="1" w:styleId="CommentTextChar">
    <w:name w:val="Comment Text Char"/>
    <w:basedOn w:val="DefaultParagraphFont"/>
    <w:link w:val="CommentText"/>
    <w:uiPriority w:val="99"/>
    <w:rsid w:val="00D741A1"/>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41A1"/>
    <w:rPr>
      <w:b/>
      <w:bCs/>
    </w:rPr>
  </w:style>
  <w:style w:type="character" w:customStyle="1" w:styleId="CommentSubjectChar">
    <w:name w:val="Comment Subject Char"/>
    <w:basedOn w:val="CommentTextChar"/>
    <w:link w:val="CommentSubject"/>
    <w:uiPriority w:val="99"/>
    <w:semiHidden/>
    <w:rsid w:val="00D741A1"/>
    <w:rPr>
      <w:rFonts w:ascii="Segoe UI" w:hAnsi="Segoe UI"/>
      <w:b/>
      <w:bCs/>
      <w:sz w:val="20"/>
      <w:szCs w:val="20"/>
      <w:lang w:val="en-AU"/>
    </w:rPr>
  </w:style>
  <w:style w:type="paragraph" w:styleId="Revision">
    <w:name w:val="Revision"/>
    <w:hidden/>
    <w:uiPriority w:val="99"/>
    <w:semiHidden/>
    <w:rsid w:val="003A23AC"/>
    <w:pPr>
      <w:spacing w:after="0" w:line="240" w:lineRule="auto"/>
    </w:pPr>
    <w:rPr>
      <w:rFonts w:ascii="Segoe UI" w:hAnsi="Segoe UI"/>
      <w:sz w:val="19"/>
      <w:lang w:val="en-AU"/>
    </w:rPr>
  </w:style>
  <w:style w:type="paragraph" w:styleId="FootnoteText">
    <w:name w:val="footnote text"/>
    <w:basedOn w:val="Normal"/>
    <w:link w:val="FootnoteTextChar"/>
    <w:uiPriority w:val="99"/>
    <w:unhideWhenUsed/>
    <w:rsid w:val="00116182"/>
    <w:pPr>
      <w:spacing w:after="0"/>
    </w:pPr>
    <w:rPr>
      <w:sz w:val="20"/>
      <w:szCs w:val="20"/>
    </w:rPr>
  </w:style>
  <w:style w:type="character" w:customStyle="1" w:styleId="FootnoteTextChar">
    <w:name w:val="Footnote Text Char"/>
    <w:basedOn w:val="DefaultParagraphFont"/>
    <w:link w:val="FootnoteText"/>
    <w:uiPriority w:val="99"/>
    <w:rsid w:val="00116182"/>
    <w:rPr>
      <w:rFonts w:ascii="Segoe UI" w:hAnsi="Segoe UI"/>
      <w:sz w:val="20"/>
      <w:szCs w:val="20"/>
      <w:lang w:val="en-AU"/>
    </w:rPr>
  </w:style>
  <w:style w:type="character" w:styleId="FootnoteReference">
    <w:name w:val="footnote reference"/>
    <w:basedOn w:val="DefaultParagraphFont"/>
    <w:uiPriority w:val="99"/>
    <w:unhideWhenUsed/>
    <w:rsid w:val="00116182"/>
    <w:rPr>
      <w:vertAlign w:val="superscript"/>
    </w:rPr>
  </w:style>
  <w:style w:type="paragraph" w:customStyle="1" w:styleId="Default">
    <w:name w:val="Default"/>
    <w:rsid w:val="00396DF4"/>
    <w:pPr>
      <w:autoSpaceDE w:val="0"/>
      <w:autoSpaceDN w:val="0"/>
      <w:adjustRightInd w:val="0"/>
      <w:spacing w:after="0" w:line="240" w:lineRule="auto"/>
    </w:pPr>
    <w:rPr>
      <w:rFonts w:ascii="Arial Narrow" w:hAnsi="Arial Narrow" w:cs="Arial Narrow"/>
      <w:color w:val="000000"/>
      <w:sz w:val="24"/>
      <w:szCs w:val="24"/>
      <w:lang w:val="en-AU"/>
    </w:rPr>
  </w:style>
  <w:style w:type="character" w:styleId="FollowedHyperlink">
    <w:name w:val="FollowedHyperlink"/>
    <w:basedOn w:val="DefaultParagraphFont"/>
    <w:uiPriority w:val="99"/>
    <w:semiHidden/>
    <w:unhideWhenUsed/>
    <w:rsid w:val="00DB4C59"/>
    <w:rPr>
      <w:color w:val="0048C7" w:themeColor="followedHyperlink"/>
      <w:u w:val="single"/>
    </w:rPr>
  </w:style>
  <w:style w:type="paragraph" w:styleId="NormalWeb">
    <w:name w:val="Normal (Web)"/>
    <w:basedOn w:val="Normal"/>
    <w:uiPriority w:val="99"/>
    <w:semiHidden/>
    <w:unhideWhenUsed/>
    <w:rsid w:val="002B75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numberedChar">
    <w:name w:val="List (numbered) Char"/>
    <w:basedOn w:val="DefaultParagraphFont"/>
    <w:link w:val="Listnumbered"/>
    <w:uiPriority w:val="4"/>
    <w:rsid w:val="009B4DA7"/>
    <w:rPr>
      <w:rFonts w:ascii="Segoe UI" w:hAnsi="Segoe UI"/>
      <w:sz w:val="19"/>
      <w:lang w:val="en-AU"/>
    </w:rPr>
  </w:style>
  <w:style w:type="paragraph" w:styleId="EndnoteText">
    <w:name w:val="endnote text"/>
    <w:basedOn w:val="Normal"/>
    <w:link w:val="EndnoteTextChar"/>
    <w:uiPriority w:val="99"/>
    <w:unhideWhenUsed/>
    <w:rsid w:val="00CD251F"/>
    <w:pPr>
      <w:spacing w:after="0"/>
    </w:pPr>
    <w:rPr>
      <w:sz w:val="20"/>
      <w:szCs w:val="20"/>
    </w:rPr>
  </w:style>
  <w:style w:type="character" w:customStyle="1" w:styleId="EndnoteTextChar">
    <w:name w:val="Endnote Text Char"/>
    <w:basedOn w:val="DefaultParagraphFont"/>
    <w:link w:val="EndnoteText"/>
    <w:uiPriority w:val="99"/>
    <w:rsid w:val="00CD251F"/>
    <w:rPr>
      <w:rFonts w:ascii="Segoe UI" w:hAnsi="Segoe UI"/>
      <w:sz w:val="20"/>
      <w:szCs w:val="20"/>
      <w:lang w:val="en-AU"/>
    </w:rPr>
  </w:style>
  <w:style w:type="character" w:styleId="EndnoteReference">
    <w:name w:val="endnote reference"/>
    <w:basedOn w:val="DefaultParagraphFont"/>
    <w:uiPriority w:val="99"/>
    <w:semiHidden/>
    <w:unhideWhenUsed/>
    <w:rsid w:val="00CD251F"/>
    <w:rPr>
      <w:vertAlign w:val="superscript"/>
    </w:rPr>
  </w:style>
  <w:style w:type="paragraph" w:customStyle="1" w:styleId="Covertitle">
    <w:name w:val="Cover title"/>
    <w:basedOn w:val="Normal"/>
    <w:link w:val="CovertitleChar"/>
    <w:uiPriority w:val="99"/>
    <w:semiHidden/>
    <w:rsid w:val="008B732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B732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B732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B732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B732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B732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B7323"/>
    <w:rPr>
      <w:color w:val="808080"/>
    </w:rPr>
  </w:style>
  <w:style w:type="paragraph" w:styleId="TOCHeading">
    <w:name w:val="TOC Heading"/>
    <w:basedOn w:val="Heading1"/>
    <w:next w:val="Normal"/>
    <w:uiPriority w:val="39"/>
    <w:semiHidden/>
    <w:unhideWhenUsed/>
    <w:qFormat/>
    <w:rsid w:val="008B7323"/>
    <w:pPr>
      <w:keepLines/>
      <w:numPr>
        <w:numId w:val="0"/>
      </w:numPr>
      <w:spacing w:after="0" w:line="276" w:lineRule="auto"/>
      <w:outlineLvl w:val="9"/>
    </w:pPr>
    <w:rPr>
      <w:rFonts w:asciiTheme="majorHAnsi" w:eastAsiaTheme="majorEastAsia" w:hAnsiTheme="majorHAnsi" w:cstheme="majorBidi"/>
      <w:bCs/>
      <w:color w:val="EA0006" w:themeColor="accent1" w:themeShade="BF"/>
      <w:sz w:val="28"/>
      <w:szCs w:val="28"/>
      <w:lang w:val="en-US" w:eastAsia="ja-JP"/>
    </w:rPr>
  </w:style>
  <w:style w:type="paragraph" w:styleId="TOC1">
    <w:name w:val="toc 1"/>
    <w:basedOn w:val="Normal"/>
    <w:next w:val="Normal"/>
    <w:autoRedefine/>
    <w:uiPriority w:val="39"/>
    <w:unhideWhenUsed/>
    <w:rsid w:val="008B7323"/>
    <w:pPr>
      <w:spacing w:after="100"/>
    </w:pPr>
  </w:style>
  <w:style w:type="paragraph" w:styleId="TOC3">
    <w:name w:val="toc 3"/>
    <w:basedOn w:val="Normal"/>
    <w:next w:val="Normal"/>
    <w:autoRedefine/>
    <w:uiPriority w:val="39"/>
    <w:unhideWhenUsed/>
    <w:rsid w:val="008B7323"/>
    <w:pPr>
      <w:spacing w:after="100"/>
      <w:ind w:left="380"/>
    </w:pPr>
  </w:style>
  <w:style w:type="paragraph" w:styleId="TOC2">
    <w:name w:val="toc 2"/>
    <w:basedOn w:val="Normal"/>
    <w:next w:val="Normal"/>
    <w:autoRedefine/>
    <w:uiPriority w:val="39"/>
    <w:unhideWhenUsed/>
    <w:rsid w:val="008B7323"/>
    <w:pPr>
      <w:spacing w:after="100"/>
      <w:ind w:left="190"/>
    </w:pPr>
  </w:style>
  <w:style w:type="paragraph" w:customStyle="1" w:styleId="paragraph">
    <w:name w:val="paragraph"/>
    <w:basedOn w:val="Normal"/>
    <w:rsid w:val="006657B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24280"/>
    <w:rPr>
      <w:i/>
      <w:iCs/>
    </w:rPr>
  </w:style>
  <w:style w:type="character" w:customStyle="1" w:styleId="TableNTextChar">
    <w:name w:val="Table N Text Char"/>
    <w:basedOn w:val="DefaultParagraphFont"/>
    <w:link w:val="TableNText"/>
    <w:uiPriority w:val="2"/>
    <w:rsid w:val="007F2970"/>
    <w:rPr>
      <w:rFonts w:ascii="Segoe UI" w:eastAsia="Times New Roman" w:hAnsi="Segoe UI" w:cs="Times New Roman"/>
      <w:sz w:val="17"/>
      <w:szCs w:val="24"/>
      <w:lang w:val="en-AU" w:eastAsia="en-AU"/>
    </w:rPr>
  </w:style>
  <w:style w:type="paragraph" w:customStyle="1" w:styleId="NousFooter">
    <w:name w:val="Nous Footer"/>
    <w:basedOn w:val="Normal"/>
    <w:uiPriority w:val="96"/>
    <w:qFormat/>
    <w:rsid w:val="00C67A81"/>
    <w:pPr>
      <w:spacing w:after="0" w:line="259" w:lineRule="auto"/>
    </w:pPr>
    <w:rPr>
      <w:color w:val="808080" w:themeColor="background1" w:themeShade="80"/>
      <w:sz w:val="15"/>
      <w:szCs w:val="15"/>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085">
      <w:bodyDiv w:val="1"/>
      <w:marLeft w:val="0"/>
      <w:marRight w:val="0"/>
      <w:marTop w:val="0"/>
      <w:marBottom w:val="0"/>
      <w:divBdr>
        <w:top w:val="none" w:sz="0" w:space="0" w:color="auto"/>
        <w:left w:val="none" w:sz="0" w:space="0" w:color="auto"/>
        <w:bottom w:val="none" w:sz="0" w:space="0" w:color="auto"/>
        <w:right w:val="none" w:sz="0" w:space="0" w:color="auto"/>
      </w:divBdr>
    </w:div>
    <w:div w:id="161118093">
      <w:bodyDiv w:val="1"/>
      <w:marLeft w:val="0"/>
      <w:marRight w:val="0"/>
      <w:marTop w:val="0"/>
      <w:marBottom w:val="0"/>
      <w:divBdr>
        <w:top w:val="none" w:sz="0" w:space="0" w:color="auto"/>
        <w:left w:val="none" w:sz="0" w:space="0" w:color="auto"/>
        <w:bottom w:val="none" w:sz="0" w:space="0" w:color="auto"/>
        <w:right w:val="none" w:sz="0" w:space="0" w:color="auto"/>
      </w:divBdr>
      <w:divsChild>
        <w:div w:id="309554378">
          <w:marLeft w:val="0"/>
          <w:marRight w:val="0"/>
          <w:marTop w:val="0"/>
          <w:marBottom w:val="0"/>
          <w:divBdr>
            <w:top w:val="none" w:sz="0" w:space="0" w:color="auto"/>
            <w:left w:val="none" w:sz="0" w:space="0" w:color="auto"/>
            <w:bottom w:val="none" w:sz="0" w:space="0" w:color="auto"/>
            <w:right w:val="none" w:sz="0" w:space="0" w:color="auto"/>
          </w:divBdr>
          <w:divsChild>
            <w:div w:id="1079055222">
              <w:marLeft w:val="0"/>
              <w:marRight w:val="0"/>
              <w:marTop w:val="0"/>
              <w:marBottom w:val="0"/>
              <w:divBdr>
                <w:top w:val="none" w:sz="0" w:space="0" w:color="auto"/>
                <w:left w:val="none" w:sz="0" w:space="0" w:color="auto"/>
                <w:bottom w:val="none" w:sz="0" w:space="0" w:color="auto"/>
                <w:right w:val="none" w:sz="0" w:space="0" w:color="auto"/>
              </w:divBdr>
            </w:div>
          </w:divsChild>
        </w:div>
        <w:div w:id="291445036">
          <w:marLeft w:val="0"/>
          <w:marRight w:val="0"/>
          <w:marTop w:val="0"/>
          <w:marBottom w:val="0"/>
          <w:divBdr>
            <w:top w:val="none" w:sz="0" w:space="0" w:color="auto"/>
            <w:left w:val="none" w:sz="0" w:space="0" w:color="auto"/>
            <w:bottom w:val="none" w:sz="0" w:space="0" w:color="auto"/>
            <w:right w:val="none" w:sz="0" w:space="0" w:color="auto"/>
          </w:divBdr>
          <w:divsChild>
            <w:div w:id="6946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712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819140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585338">
      <w:bodyDiv w:val="1"/>
      <w:marLeft w:val="0"/>
      <w:marRight w:val="0"/>
      <w:marTop w:val="0"/>
      <w:marBottom w:val="0"/>
      <w:divBdr>
        <w:top w:val="none" w:sz="0" w:space="0" w:color="auto"/>
        <w:left w:val="none" w:sz="0" w:space="0" w:color="auto"/>
        <w:bottom w:val="none" w:sz="0" w:space="0" w:color="auto"/>
        <w:right w:val="none" w:sz="0" w:space="0" w:color="auto"/>
      </w:divBdr>
    </w:div>
    <w:div w:id="1221555936">
      <w:bodyDiv w:val="1"/>
      <w:marLeft w:val="0"/>
      <w:marRight w:val="0"/>
      <w:marTop w:val="0"/>
      <w:marBottom w:val="0"/>
      <w:divBdr>
        <w:top w:val="none" w:sz="0" w:space="0" w:color="auto"/>
        <w:left w:val="none" w:sz="0" w:space="0" w:color="auto"/>
        <w:bottom w:val="none" w:sz="0" w:space="0" w:color="auto"/>
        <w:right w:val="none" w:sz="0" w:space="0" w:color="auto"/>
      </w:divBdr>
    </w:div>
    <w:div w:id="1543636074">
      <w:bodyDiv w:val="1"/>
      <w:marLeft w:val="0"/>
      <w:marRight w:val="0"/>
      <w:marTop w:val="0"/>
      <w:marBottom w:val="0"/>
      <w:divBdr>
        <w:top w:val="none" w:sz="0" w:space="0" w:color="auto"/>
        <w:left w:val="none" w:sz="0" w:space="0" w:color="auto"/>
        <w:bottom w:val="none" w:sz="0" w:space="0" w:color="auto"/>
        <w:right w:val="none" w:sz="0" w:space="0" w:color="auto"/>
      </w:divBdr>
    </w:div>
    <w:div w:id="1561134644">
      <w:bodyDiv w:val="1"/>
      <w:marLeft w:val="0"/>
      <w:marRight w:val="0"/>
      <w:marTop w:val="0"/>
      <w:marBottom w:val="0"/>
      <w:divBdr>
        <w:top w:val="none" w:sz="0" w:space="0" w:color="auto"/>
        <w:left w:val="none" w:sz="0" w:space="0" w:color="auto"/>
        <w:bottom w:val="none" w:sz="0" w:space="0" w:color="auto"/>
        <w:right w:val="none" w:sz="0" w:space="0" w:color="auto"/>
      </w:divBdr>
    </w:div>
    <w:div w:id="1664118937">
      <w:bodyDiv w:val="1"/>
      <w:marLeft w:val="0"/>
      <w:marRight w:val="0"/>
      <w:marTop w:val="0"/>
      <w:marBottom w:val="0"/>
      <w:divBdr>
        <w:top w:val="none" w:sz="0" w:space="0" w:color="auto"/>
        <w:left w:val="none" w:sz="0" w:space="0" w:color="auto"/>
        <w:bottom w:val="none" w:sz="0" w:space="0" w:color="auto"/>
        <w:right w:val="none" w:sz="0" w:space="0" w:color="auto"/>
      </w:divBdr>
    </w:div>
    <w:div w:id="18352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arcgis.com/home/webmap/viewer.html?url=https://services2.arcgis.com/rzk7fNEt0xoEp3cX/ArcGIS/rest/services/NNTT_Custodial_AGOL/FeatureServer/6&amp;source=s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DOC22-48347</ShareHubID>
    <TaxCatchAll xmlns="166541c0-0594-4e6a-9105-c24d4b6de6f7">
      <Value>18</Value>
      <Value>29</Value>
      <Value>57</Value>
    </TaxCatchAll>
    <PMCNotes xmlns="166541c0-0594-4e6a-9105-c24d4b6de6f7"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terms/"/>
    <ds:schemaRef ds:uri="685f9fda-bd71-4433-b331-92feb9553089"/>
    <ds:schemaRef ds:uri="166541c0-0594-4e6a-9105-c24d4b6de6f7"/>
    <ds:schemaRef ds:uri="http://www.w3.org/XML/1998/namespace"/>
  </ds:schemaRefs>
</ds:datastoreItem>
</file>

<file path=customXml/itemProps3.xml><?xml version="1.0" encoding="utf-8"?>
<ds:datastoreItem xmlns:ds="http://schemas.openxmlformats.org/officeDocument/2006/customXml" ds:itemID="{5C58C61B-08CD-4F61-A5CB-634841420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3795CC68-1253-4511-8EBA-9FCB1EAC7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24</Pages>
  <Words>7076</Words>
  <Characters>40338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Review of Performance as a Native Title Representative Body: North Queensland Land Council</vt:lpstr>
    </vt:vector>
  </TitlesOfParts>
  <Company>The Nous Group</Company>
  <LinksUpToDate>false</LinksUpToDate>
  <CharactersWithSpaces>47320</CharactersWithSpaces>
  <SharedDoc>false</SharedDoc>
  <HLinks>
    <vt:vector size="54" baseType="variant">
      <vt:variant>
        <vt:i4>2031664</vt:i4>
      </vt:variant>
      <vt:variant>
        <vt:i4>44</vt:i4>
      </vt:variant>
      <vt:variant>
        <vt:i4>0</vt:i4>
      </vt:variant>
      <vt:variant>
        <vt:i4>5</vt:i4>
      </vt:variant>
      <vt:variant>
        <vt:lpwstr/>
      </vt:variant>
      <vt:variant>
        <vt:lpwstr>_Toc68003252</vt:lpwstr>
      </vt:variant>
      <vt:variant>
        <vt:i4>1835056</vt:i4>
      </vt:variant>
      <vt:variant>
        <vt:i4>38</vt:i4>
      </vt:variant>
      <vt:variant>
        <vt:i4>0</vt:i4>
      </vt:variant>
      <vt:variant>
        <vt:i4>5</vt:i4>
      </vt:variant>
      <vt:variant>
        <vt:lpwstr/>
      </vt:variant>
      <vt:variant>
        <vt:lpwstr>_Toc68003251</vt:lpwstr>
      </vt:variant>
      <vt:variant>
        <vt:i4>1900592</vt:i4>
      </vt:variant>
      <vt:variant>
        <vt:i4>32</vt:i4>
      </vt:variant>
      <vt:variant>
        <vt:i4>0</vt:i4>
      </vt:variant>
      <vt:variant>
        <vt:i4>5</vt:i4>
      </vt:variant>
      <vt:variant>
        <vt:lpwstr/>
      </vt:variant>
      <vt:variant>
        <vt:lpwstr>_Toc68003250</vt:lpwstr>
      </vt:variant>
      <vt:variant>
        <vt:i4>1310769</vt:i4>
      </vt:variant>
      <vt:variant>
        <vt:i4>26</vt:i4>
      </vt:variant>
      <vt:variant>
        <vt:i4>0</vt:i4>
      </vt:variant>
      <vt:variant>
        <vt:i4>5</vt:i4>
      </vt:variant>
      <vt:variant>
        <vt:lpwstr/>
      </vt:variant>
      <vt:variant>
        <vt:lpwstr>_Toc68003249</vt:lpwstr>
      </vt:variant>
      <vt:variant>
        <vt:i4>1376305</vt:i4>
      </vt:variant>
      <vt:variant>
        <vt:i4>20</vt:i4>
      </vt:variant>
      <vt:variant>
        <vt:i4>0</vt:i4>
      </vt:variant>
      <vt:variant>
        <vt:i4>5</vt:i4>
      </vt:variant>
      <vt:variant>
        <vt:lpwstr/>
      </vt:variant>
      <vt:variant>
        <vt:lpwstr>_Toc68003248</vt:lpwstr>
      </vt:variant>
      <vt:variant>
        <vt:i4>1703985</vt:i4>
      </vt:variant>
      <vt:variant>
        <vt:i4>14</vt:i4>
      </vt:variant>
      <vt:variant>
        <vt:i4>0</vt:i4>
      </vt:variant>
      <vt:variant>
        <vt:i4>5</vt:i4>
      </vt:variant>
      <vt:variant>
        <vt:lpwstr/>
      </vt:variant>
      <vt:variant>
        <vt:lpwstr>_Toc68003247</vt:lpwstr>
      </vt:variant>
      <vt:variant>
        <vt:i4>1769521</vt:i4>
      </vt:variant>
      <vt:variant>
        <vt:i4>8</vt:i4>
      </vt:variant>
      <vt:variant>
        <vt:i4>0</vt:i4>
      </vt:variant>
      <vt:variant>
        <vt:i4>5</vt:i4>
      </vt:variant>
      <vt:variant>
        <vt:lpwstr/>
      </vt:variant>
      <vt:variant>
        <vt:lpwstr>_Toc68003246</vt:lpwstr>
      </vt:variant>
      <vt:variant>
        <vt:i4>1572913</vt:i4>
      </vt:variant>
      <vt:variant>
        <vt:i4>2</vt:i4>
      </vt:variant>
      <vt:variant>
        <vt:i4>0</vt:i4>
      </vt:variant>
      <vt:variant>
        <vt:i4>5</vt:i4>
      </vt:variant>
      <vt:variant>
        <vt:lpwstr/>
      </vt:variant>
      <vt:variant>
        <vt:lpwstr>_Toc68003245</vt:lpwstr>
      </vt:variant>
      <vt:variant>
        <vt:i4>6881403</vt:i4>
      </vt:variant>
      <vt:variant>
        <vt:i4>0</vt:i4>
      </vt:variant>
      <vt:variant>
        <vt:i4>0</vt:i4>
      </vt:variant>
      <vt:variant>
        <vt:i4>5</vt:i4>
      </vt:variant>
      <vt:variant>
        <vt:lpwstr>http://www.arcgis.com/home/webmap/viewer.html?url=https://services2.arcgis.com/rzk7fNEt0xoEp3cX/ArcGIS/rest/services/NNTT_Custodial_AGOL/FeatureServer/6&amp;source=sd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Representative Body: North Queensland Land Council</dc:title>
  <dc:subject>Summary Report</dc:subject>
  <dc:creator>Nicholas Dillon</dc:creator>
  <cp:keywords/>
  <cp:lastModifiedBy>NTFM</cp:lastModifiedBy>
  <cp:revision>39</cp:revision>
  <cp:lastPrinted>2020-11-29T23:04:00Z</cp:lastPrinted>
  <dcterms:created xsi:type="dcterms:W3CDTF">2021-03-29T23:55:00Z</dcterms:created>
  <dcterms:modified xsi:type="dcterms:W3CDTF">2022-02-08T02:22:00Z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36;#Reports|2362088c-9416-420b-887a-88c6ccd422fb</vt:lpwstr>
  </property>
  <property fmtid="{D5CDD505-2E9C-101B-9397-08002B2CF9AE}" pid="5" name="HPRMSecurityLevel">
    <vt:lpwstr>57;#OFFICIAL|11463c70-78df-4e3b-b0ff-f66cd3cb26ec</vt:lpwstr>
  </property>
  <property fmtid="{D5CDD505-2E9C-101B-9397-08002B2CF9AE}" pid="6" name="ESearchTags">
    <vt:lpwstr>29;#Training|2f396fb6-baad-479d-8254-1550153bbe31;#18;#Cabinet|84cba657-17c1-4642-9e59-a0df180c2be5</vt:lpwstr>
  </property>
  <property fmtid="{D5CDD505-2E9C-101B-9397-08002B2CF9AE}" pid="7" name="PMC.ESearch.TagGeneratedTime">
    <vt:lpwstr>2022-03-01T09:52:48</vt:lpwstr>
  </property>
  <property fmtid="{D5CDD505-2E9C-101B-9397-08002B2CF9AE}" pid="8" name="HPRMSecurityCaveat">
    <vt:lpwstr/>
  </property>
</Properties>
</file>