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F21B82" w14:textId="27B22BA6" w:rsidR="000A7531" w:rsidRPr="00E36891" w:rsidRDefault="000A7531" w:rsidP="000A7531">
      <w:pPr>
        <w:pStyle w:val="Covertitle"/>
        <w:rPr>
          <w:rFonts w:cs="Segoe UI"/>
          <w:b/>
          <w:color w:val="FFFFFF" w:themeColor="background1"/>
          <w:sz w:val="64"/>
          <w:szCs w:val="64"/>
        </w:rPr>
      </w:pPr>
      <w:bookmarkStart w:id="0" w:name="_Hlk37147267"/>
      <w:bookmarkEnd w:id="0"/>
      <w:r>
        <w:rPr>
          <w:noProof/>
        </w:rPr>
        <w:drawing>
          <wp:anchor distT="0" distB="0" distL="114300" distR="114300" simplePos="0" relativeHeight="251658240" behindDoc="1" locked="0" layoutInCell="1" allowOverlap="1" wp14:anchorId="21BF928D" wp14:editId="6B4563C3">
            <wp:simplePos x="0" y="0"/>
            <wp:positionH relativeFrom="column">
              <wp:posOffset>-986922</wp:posOffset>
            </wp:positionH>
            <wp:positionV relativeFrom="paragraph">
              <wp:posOffset>-3060700</wp:posOffset>
            </wp:positionV>
            <wp:extent cx="7546602" cy="1067479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_blue murmuration1.png"/>
                    <pic:cNvPicPr/>
                  </pic:nvPicPr>
                  <pic:blipFill>
                    <a:blip r:embed="rId12">
                      <a:extLst>
                        <a:ext uri="{28A0092B-C50C-407E-A947-70E740481C1C}">
                          <a14:useLocalDpi xmlns:a14="http://schemas.microsoft.com/office/drawing/2010/main" val="0"/>
                        </a:ext>
                      </a:extLst>
                    </a:blip>
                    <a:stretch>
                      <a:fillRect/>
                    </a:stretch>
                  </pic:blipFill>
                  <pic:spPr>
                    <a:xfrm>
                      <a:off x="0" y="0"/>
                      <a:ext cx="7546602" cy="10674792"/>
                    </a:xfrm>
                    <a:prstGeom prst="rect">
                      <a:avLst/>
                    </a:prstGeom>
                  </pic:spPr>
                </pic:pic>
              </a:graphicData>
            </a:graphic>
            <wp14:sizeRelH relativeFrom="page">
              <wp14:pctWidth>0</wp14:pctWidth>
            </wp14:sizeRelH>
            <wp14:sizeRelV relativeFrom="page">
              <wp14:pctHeight>0</wp14:pctHeight>
            </wp14:sizeRelV>
          </wp:anchor>
        </w:drawing>
      </w:r>
      <w:bookmarkStart w:id="1" w:name="_Ref502845333"/>
      <w:bookmarkEnd w:id="1"/>
      <w:sdt>
        <w:sdtPr>
          <w:rPr>
            <w:rFonts w:cs="Segoe UI"/>
            <w:b/>
            <w:color w:val="FFFFFF" w:themeColor="background1"/>
            <w:sz w:val="64"/>
            <w:szCs w:val="64"/>
          </w:rPr>
          <w:id w:val="-403298040"/>
          <w:docPartObj>
            <w:docPartGallery w:val="Cover Pages"/>
            <w:docPartUnique/>
          </w:docPartObj>
        </w:sdtPr>
        <w:sdtEndPr>
          <w:rPr>
            <w:sz w:val="36"/>
            <w:szCs w:val="36"/>
          </w:rPr>
        </w:sdtEndPr>
        <w:sdtContent>
          <w:sdt>
            <w:sdtPr>
              <w:rPr>
                <w:rFonts w:cs="Segoe UI"/>
                <w:b/>
                <w:color w:val="FFFFFF" w:themeColor="background1"/>
                <w:sz w:val="64"/>
                <w:szCs w:val="64"/>
              </w:rPr>
              <w:alias w:val="Title"/>
              <w:tag w:val=""/>
              <w:id w:val="1842583531"/>
              <w:dataBinding w:prefixMappings="xmlns:ns0='http://purl.org/dc/elements/1.1/' xmlns:ns1='http://schemas.openxmlformats.org/package/2006/metadata/core-properties' " w:xpath="/ns1:coreProperties[1]/ns0:title[1]" w:storeItemID="{6C3C8BC8-F283-45AE-878A-BAB7291924A1}"/>
              <w:text/>
            </w:sdtPr>
            <w:sdtEndPr/>
            <w:sdtContent>
              <w:r w:rsidR="004D0D30">
                <w:rPr>
                  <w:rFonts w:cs="Segoe UI"/>
                  <w:b/>
                  <w:color w:val="FFFFFF" w:themeColor="background1"/>
                  <w:sz w:val="64"/>
                  <w:szCs w:val="64"/>
                </w:rPr>
                <w:t xml:space="preserve">Review of Performance as a Native Title Representative Body: </w:t>
              </w:r>
              <w:r w:rsidR="00AC5747">
                <w:rPr>
                  <w:rFonts w:cs="Segoe UI"/>
                  <w:b/>
                  <w:color w:val="FFFFFF" w:themeColor="background1"/>
                  <w:sz w:val="64"/>
                  <w:szCs w:val="64"/>
                </w:rPr>
                <w:t>Kimberley Land Council</w:t>
              </w:r>
            </w:sdtContent>
          </w:sdt>
        </w:sdtContent>
      </w:sdt>
    </w:p>
    <w:p w14:paraId="6215FE9A" w14:textId="39069E2D" w:rsidR="000A7531" w:rsidRPr="00F75386" w:rsidRDefault="003F4D05" w:rsidP="000A7531">
      <w:pPr>
        <w:pStyle w:val="CoverPage-Client"/>
        <w:spacing w:before="360"/>
        <w:rPr>
          <w:rFonts w:cs="Segoe UI"/>
          <w:color w:val="F8981D" w:themeColor="accent3"/>
        </w:rPr>
      </w:pPr>
      <w:sdt>
        <w:sdtPr>
          <w:rPr>
            <w:rStyle w:val="CoverPage-ClientChar"/>
            <w:rFonts w:cs="Segoe UI"/>
            <w:color w:val="F8981D" w:themeColor="accent3"/>
          </w:rPr>
          <w:alias w:val="Subject"/>
          <w:tag w:val=""/>
          <w:id w:val="1921753657"/>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256BB1">
            <w:rPr>
              <w:rStyle w:val="CoverPage-ClientChar"/>
              <w:rFonts w:cs="Segoe UI"/>
              <w:color w:val="F8981D" w:themeColor="accent3"/>
            </w:rPr>
            <w:t>Summary Report</w:t>
          </w:r>
        </w:sdtContent>
      </w:sdt>
    </w:p>
    <w:p w14:paraId="00D53284" w14:textId="32DB1B45" w:rsidR="000A7531" w:rsidRPr="00E36891" w:rsidRDefault="003E58E3" w:rsidP="000A7531">
      <w:pPr>
        <w:pStyle w:val="CoverPage-Date"/>
        <w:spacing w:before="240"/>
        <w:rPr>
          <w:color w:val="FFFFFF" w:themeColor="background1"/>
        </w:rPr>
      </w:pPr>
      <w:r>
        <w:rPr>
          <w:rStyle w:val="CoverPage-DateChar"/>
          <w:rFonts w:cs="Segoe UI"/>
          <w:color w:val="FFFFFF" w:themeColor="background1"/>
          <w:sz w:val="20"/>
          <w:szCs w:val="20"/>
        </w:rPr>
        <w:t>March 2021</w:t>
      </w:r>
    </w:p>
    <w:p w14:paraId="0DFF99E5" w14:textId="77777777" w:rsidR="000A7531" w:rsidRDefault="000A7531" w:rsidP="000A7531">
      <w:pPr>
        <w:suppressAutoHyphens/>
        <w:spacing w:after="0" w:line="680" w:lineRule="exact"/>
        <w:sectPr w:rsidR="000A7531" w:rsidSect="000A7531">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p>
    <w:sdt>
      <w:sdtPr>
        <w:id w:val="-422653185"/>
        <w:docPartObj>
          <w:docPartGallery w:val="Table of Contents"/>
          <w:docPartUnique/>
        </w:docPartObj>
      </w:sdtPr>
      <w:sdtEndPr>
        <w:rPr>
          <w:b/>
          <w:bCs/>
          <w:noProof/>
        </w:rPr>
      </w:sdtEndPr>
      <w:sdtContent>
        <w:p w14:paraId="1B882AF0" w14:textId="6FC30443" w:rsidR="00AA5FFB" w:rsidRDefault="00AA5FFB" w:rsidP="00AA5FFB"/>
        <w:p w14:paraId="51E3E758" w14:textId="77777777" w:rsidR="00AA5FFB" w:rsidRDefault="00AA5FFB" w:rsidP="00AA5FFB"/>
        <w:p w14:paraId="2F2EF09D" w14:textId="77777777" w:rsidR="00AA5FFB" w:rsidRDefault="00AA5FFB" w:rsidP="00AA5FFB"/>
        <w:p w14:paraId="36D1821D" w14:textId="77777777" w:rsidR="00AA5FFB" w:rsidRDefault="00AA5FFB" w:rsidP="00AA5FFB"/>
        <w:p w14:paraId="1E796C87" w14:textId="77777777" w:rsidR="00AA5FFB" w:rsidRDefault="00AA5FFB" w:rsidP="00AA5FFB"/>
        <w:p w14:paraId="3345304A" w14:textId="77777777" w:rsidR="00AA5FFB" w:rsidRDefault="00AA5FFB" w:rsidP="00AA5FFB"/>
        <w:p w14:paraId="005A5809" w14:textId="77777777" w:rsidR="00AA5FFB" w:rsidRDefault="00AA5FFB" w:rsidP="00AA5FFB"/>
        <w:p w14:paraId="24EFF9E2" w14:textId="77777777" w:rsidR="00AA5FFB" w:rsidRDefault="00AA5FFB" w:rsidP="00AA5FFB"/>
        <w:p w14:paraId="255217D0" w14:textId="77777777" w:rsidR="00AA5FFB" w:rsidRDefault="00AA5FFB" w:rsidP="00AA5FFB"/>
        <w:p w14:paraId="59685E14" w14:textId="77777777" w:rsidR="00AA5FFB" w:rsidRDefault="00AA5FFB" w:rsidP="00AA5FFB"/>
        <w:p w14:paraId="13EE051A" w14:textId="77777777" w:rsidR="00AA5FFB" w:rsidRDefault="00AA5FFB" w:rsidP="00AA5FFB">
          <w:pPr>
            <w:rPr>
              <w:i/>
            </w:rPr>
          </w:pPr>
        </w:p>
        <w:p w14:paraId="2D467623" w14:textId="77777777" w:rsidR="00AA5FFB" w:rsidRDefault="00AA5FFB" w:rsidP="00AA5FFB">
          <w:pPr>
            <w:rPr>
              <w:i/>
            </w:rPr>
          </w:pPr>
        </w:p>
        <w:p w14:paraId="032EDF55" w14:textId="77777777" w:rsidR="00AA5FFB" w:rsidRDefault="00AA5FFB" w:rsidP="00AA5FFB">
          <w:pPr>
            <w:rPr>
              <w:i/>
            </w:rPr>
          </w:pPr>
        </w:p>
        <w:p w14:paraId="383A5F59" w14:textId="77777777" w:rsidR="00AA5FFB" w:rsidRDefault="00AA5FFB" w:rsidP="00AA5FFB">
          <w:pPr>
            <w:rPr>
              <w:i/>
            </w:rPr>
          </w:pPr>
        </w:p>
        <w:p w14:paraId="3268BE44" w14:textId="77777777" w:rsidR="00AA5FFB" w:rsidRDefault="00AA5FFB" w:rsidP="00AA5FFB">
          <w:pPr>
            <w:rPr>
              <w:i/>
            </w:rPr>
          </w:pPr>
        </w:p>
        <w:p w14:paraId="7757F484" w14:textId="77777777" w:rsidR="00AA5FFB" w:rsidRDefault="00AA5FFB" w:rsidP="00AA5FFB">
          <w:pPr>
            <w:rPr>
              <w:i/>
            </w:rPr>
          </w:pPr>
        </w:p>
        <w:p w14:paraId="044C668A" w14:textId="77777777" w:rsidR="00AA5FFB" w:rsidRDefault="00AA5FFB" w:rsidP="00AA5FFB">
          <w:pPr>
            <w:rPr>
              <w:i/>
            </w:rPr>
          </w:pPr>
        </w:p>
        <w:p w14:paraId="020675E8" w14:textId="77777777" w:rsidR="00AA5FFB" w:rsidRDefault="00AA5FFB" w:rsidP="00AA5FFB">
          <w:pPr>
            <w:rPr>
              <w:i/>
            </w:rPr>
          </w:pPr>
        </w:p>
        <w:p w14:paraId="4CE5FA7B" w14:textId="77777777" w:rsidR="00AA5FFB" w:rsidRDefault="00AA5FFB" w:rsidP="00AA5FFB">
          <w:pPr>
            <w:rPr>
              <w:i/>
            </w:rPr>
          </w:pPr>
        </w:p>
        <w:p w14:paraId="2DC7192D" w14:textId="77777777" w:rsidR="00AA5FFB" w:rsidRDefault="00AA5FFB" w:rsidP="00AA5FFB">
          <w:pPr>
            <w:rPr>
              <w:i/>
            </w:rPr>
          </w:pPr>
        </w:p>
        <w:p w14:paraId="4A1DB1AF" w14:textId="77777777" w:rsidR="00AA5FFB" w:rsidRDefault="00AA5FFB" w:rsidP="00AA5FFB">
          <w:pPr>
            <w:rPr>
              <w:i/>
            </w:rPr>
          </w:pPr>
        </w:p>
        <w:p w14:paraId="70365459" w14:textId="77777777" w:rsidR="00AA5FFB" w:rsidRDefault="00AA5FFB" w:rsidP="00AA5FFB">
          <w:pPr>
            <w:rPr>
              <w:i/>
            </w:rPr>
          </w:pPr>
        </w:p>
        <w:p w14:paraId="6F4EC900" w14:textId="77777777" w:rsidR="00AA5FFB" w:rsidRDefault="00AA5FFB" w:rsidP="00AA5FFB">
          <w:pPr>
            <w:rPr>
              <w:i/>
            </w:rPr>
          </w:pPr>
        </w:p>
        <w:p w14:paraId="12E58298" w14:textId="77777777" w:rsidR="00AA5FFB" w:rsidRDefault="00AA5FFB" w:rsidP="00AA5FFB">
          <w:pPr>
            <w:rPr>
              <w:i/>
            </w:rPr>
          </w:pPr>
        </w:p>
        <w:p w14:paraId="006AE14E" w14:textId="77777777" w:rsidR="00AA5FFB" w:rsidRPr="00D55E77" w:rsidRDefault="00AA5FFB" w:rsidP="00AA5FFB">
          <w:pPr>
            <w:rPr>
              <w:i/>
            </w:rPr>
          </w:pPr>
        </w:p>
        <w:p w14:paraId="0D4EBA73" w14:textId="77777777" w:rsidR="00F64BB4" w:rsidRPr="00D55E77" w:rsidRDefault="00F64BB4" w:rsidP="00F64BB4">
          <w:pPr>
            <w:rPr>
              <w:b/>
              <w:i/>
            </w:rPr>
          </w:pPr>
          <w:r w:rsidRPr="00D55E77">
            <w:rPr>
              <w:b/>
              <w:i/>
            </w:rPr>
            <w:t xml:space="preserve">Disclaimer: </w:t>
          </w:r>
        </w:p>
        <w:p w14:paraId="763D571B" w14:textId="77777777" w:rsidR="00256BB1" w:rsidRDefault="00256BB1" w:rsidP="00256BB1">
          <w:pPr>
            <w:rPr>
              <w:i/>
            </w:rPr>
          </w:pPr>
          <w:r w:rsidRPr="00D55E77">
            <w:rPr>
              <w:i/>
            </w:rPr>
            <w:t>Nous Group (</w:t>
          </w:r>
          <w:r w:rsidRPr="008461BE">
            <w:rPr>
              <w:b/>
              <w:i/>
            </w:rPr>
            <w:t>Nous</w:t>
          </w:r>
          <w:r w:rsidRPr="00D55E77">
            <w:rPr>
              <w:i/>
            </w:rPr>
            <w:t>) has prepared this report for the benefit of</w:t>
          </w:r>
          <w:r>
            <w:rPr>
              <w:i/>
            </w:rPr>
            <w:t xml:space="preserve"> the</w:t>
          </w:r>
          <w:r w:rsidRPr="008B1C39">
            <w:rPr>
              <w:i/>
            </w:rPr>
            <w:t xml:space="preserve"> National Indigenous Australians Agenc</w:t>
          </w:r>
          <w:r>
            <w:rPr>
              <w:i/>
            </w:rPr>
            <w:t xml:space="preserve">y </w:t>
          </w:r>
          <w:r w:rsidRPr="00D55E77">
            <w:rPr>
              <w:i/>
            </w:rPr>
            <w:t xml:space="preserve">(the </w:t>
          </w:r>
          <w:r w:rsidRPr="00031684">
            <w:rPr>
              <w:b/>
              <w:i/>
            </w:rPr>
            <w:t>Client</w:t>
          </w:r>
          <w:r w:rsidRPr="00D55E77">
            <w:rPr>
              <w:i/>
            </w:rPr>
            <w:t>).</w:t>
          </w:r>
          <w:r>
            <w:rPr>
              <w:i/>
            </w:rPr>
            <w:t xml:space="preserve"> </w:t>
          </w:r>
        </w:p>
        <w:p w14:paraId="41D406C8" w14:textId="77777777" w:rsidR="00F64BB4" w:rsidRDefault="00F64BB4" w:rsidP="00F64BB4">
          <w:pPr>
            <w:rPr>
              <w:i/>
            </w:rPr>
          </w:pPr>
          <w:r w:rsidRPr="00D55E77">
            <w:rPr>
              <w:i/>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 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27B1F76D" w14:textId="77777777" w:rsidR="00256BB1" w:rsidRDefault="00256BB1" w:rsidP="00256BB1">
          <w:pPr>
            <w:rPr>
              <w:i/>
            </w:rPr>
          </w:pPr>
          <w:r>
            <w:rPr>
              <w:i/>
            </w:rPr>
            <w:t xml:space="preserve">This Review covered </w:t>
          </w:r>
          <w:r w:rsidRPr="00256BB1">
            <w:rPr>
              <w:i/>
            </w:rPr>
            <w:t>the period from July 2015 to June 2018. Findings relate to this time period unless otherwise stated. Nous conducted the Review between September 2018 and April 2019. This summary document was prepared in 2020 and includes responses to recommendations by the NTRB-</w:t>
          </w:r>
          <w:r>
            <w:rPr>
              <w:i/>
            </w:rPr>
            <w:t>SP in 2020.</w:t>
          </w:r>
        </w:p>
        <w:p w14:paraId="765D59D3" w14:textId="6C482B4C" w:rsidR="00AA5FFB" w:rsidRDefault="00AA5FFB" w:rsidP="00F64BB4">
          <w:pPr>
            <w:rPr>
              <w:i/>
            </w:rPr>
          </w:pPr>
          <w:r>
            <w:rPr>
              <w:i/>
            </w:rPr>
            <w:br w:type="page"/>
          </w:r>
        </w:p>
        <w:p w14:paraId="2B7211A7" w14:textId="2E7C6C8E" w:rsidR="000A7531" w:rsidRPr="000A7531" w:rsidRDefault="000A7531" w:rsidP="00AA5FFB">
          <w:pPr>
            <w:rPr>
              <w:rFonts w:ascii="Segoe UI Semibold" w:hAnsi="Segoe UI Semibold"/>
              <w:color w:val="00264D" w:themeColor="background2"/>
              <w:sz w:val="36"/>
              <w:szCs w:val="36"/>
            </w:rPr>
          </w:pPr>
          <w:r w:rsidRPr="00C846A6">
            <w:rPr>
              <w:rFonts w:ascii="Segoe UI Semibold" w:hAnsi="Segoe UI Semibold"/>
              <w:color w:val="00264D" w:themeColor="background2"/>
              <w:sz w:val="36"/>
              <w:szCs w:val="36"/>
            </w:rPr>
            <w:lastRenderedPageBreak/>
            <w:t>Contents</w:t>
          </w:r>
        </w:p>
        <w:p w14:paraId="15A1612A" w14:textId="50032AB7" w:rsidR="008E21A3" w:rsidRDefault="000A7531">
          <w:pPr>
            <w:pStyle w:val="TOC1"/>
            <w:tabs>
              <w:tab w:val="left" w:pos="380"/>
              <w:tab w:val="right" w:leader="dot" w:pos="8920"/>
            </w:tabs>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68071594" w:history="1">
            <w:r w:rsidR="008E21A3" w:rsidRPr="003C6F58">
              <w:rPr>
                <w:rStyle w:val="Hyperlink"/>
                <w:noProof/>
              </w:rPr>
              <w:t>1</w:t>
            </w:r>
            <w:r w:rsidR="008E21A3">
              <w:rPr>
                <w:rFonts w:asciiTheme="minorHAnsi" w:eastAsiaTheme="minorEastAsia" w:hAnsiTheme="minorHAnsi"/>
                <w:noProof/>
                <w:sz w:val="22"/>
                <w:lang w:eastAsia="en-AU"/>
              </w:rPr>
              <w:tab/>
            </w:r>
            <w:r w:rsidR="008E21A3" w:rsidRPr="003C6F58">
              <w:rPr>
                <w:rStyle w:val="Hyperlink"/>
                <w:noProof/>
              </w:rPr>
              <w:t>About the Review</w:t>
            </w:r>
            <w:r w:rsidR="008E21A3">
              <w:rPr>
                <w:noProof/>
                <w:webHidden/>
              </w:rPr>
              <w:tab/>
            </w:r>
            <w:r w:rsidR="008E21A3">
              <w:rPr>
                <w:noProof/>
                <w:webHidden/>
              </w:rPr>
              <w:fldChar w:fldCharType="begin"/>
            </w:r>
            <w:r w:rsidR="008E21A3">
              <w:rPr>
                <w:noProof/>
                <w:webHidden/>
              </w:rPr>
              <w:instrText xml:space="preserve"> PAGEREF _Toc68071594 \h </w:instrText>
            </w:r>
            <w:r w:rsidR="008E21A3">
              <w:rPr>
                <w:noProof/>
                <w:webHidden/>
              </w:rPr>
            </w:r>
            <w:r w:rsidR="008E21A3">
              <w:rPr>
                <w:noProof/>
                <w:webHidden/>
              </w:rPr>
              <w:fldChar w:fldCharType="separate"/>
            </w:r>
            <w:r w:rsidR="008E21A3">
              <w:rPr>
                <w:noProof/>
                <w:webHidden/>
              </w:rPr>
              <w:t>3</w:t>
            </w:r>
            <w:r w:rsidR="008E21A3">
              <w:rPr>
                <w:noProof/>
                <w:webHidden/>
              </w:rPr>
              <w:fldChar w:fldCharType="end"/>
            </w:r>
          </w:hyperlink>
        </w:p>
        <w:p w14:paraId="6B194E9D" w14:textId="3240CE00" w:rsidR="008E21A3" w:rsidRDefault="003F4D05">
          <w:pPr>
            <w:pStyle w:val="TOC1"/>
            <w:tabs>
              <w:tab w:val="left" w:pos="380"/>
              <w:tab w:val="right" w:leader="dot" w:pos="8920"/>
            </w:tabs>
            <w:rPr>
              <w:rFonts w:asciiTheme="minorHAnsi" w:eastAsiaTheme="minorEastAsia" w:hAnsiTheme="minorHAnsi"/>
              <w:noProof/>
              <w:sz w:val="22"/>
              <w:lang w:eastAsia="en-AU"/>
            </w:rPr>
          </w:pPr>
          <w:hyperlink w:anchor="_Toc68071595" w:history="1">
            <w:r w:rsidR="008E21A3" w:rsidRPr="003C6F58">
              <w:rPr>
                <w:rStyle w:val="Hyperlink"/>
                <w:noProof/>
              </w:rPr>
              <w:t>2</w:t>
            </w:r>
            <w:r w:rsidR="008E21A3">
              <w:rPr>
                <w:rFonts w:asciiTheme="minorHAnsi" w:eastAsiaTheme="minorEastAsia" w:hAnsiTheme="minorHAnsi"/>
                <w:noProof/>
                <w:sz w:val="22"/>
                <w:lang w:eastAsia="en-AU"/>
              </w:rPr>
              <w:tab/>
            </w:r>
            <w:r w:rsidR="008E21A3" w:rsidRPr="003C6F58">
              <w:rPr>
                <w:rStyle w:val="Hyperlink"/>
                <w:noProof/>
              </w:rPr>
              <w:t>Profile of the KLC at a glance</w:t>
            </w:r>
            <w:r w:rsidR="008E21A3">
              <w:rPr>
                <w:noProof/>
                <w:webHidden/>
              </w:rPr>
              <w:tab/>
            </w:r>
            <w:r w:rsidR="008E21A3">
              <w:rPr>
                <w:noProof/>
                <w:webHidden/>
              </w:rPr>
              <w:fldChar w:fldCharType="begin"/>
            </w:r>
            <w:r w:rsidR="008E21A3">
              <w:rPr>
                <w:noProof/>
                <w:webHidden/>
              </w:rPr>
              <w:instrText xml:space="preserve"> PAGEREF _Toc68071595 \h </w:instrText>
            </w:r>
            <w:r w:rsidR="008E21A3">
              <w:rPr>
                <w:noProof/>
                <w:webHidden/>
              </w:rPr>
            </w:r>
            <w:r w:rsidR="008E21A3">
              <w:rPr>
                <w:noProof/>
                <w:webHidden/>
              </w:rPr>
              <w:fldChar w:fldCharType="separate"/>
            </w:r>
            <w:r w:rsidR="008E21A3">
              <w:rPr>
                <w:noProof/>
                <w:webHidden/>
              </w:rPr>
              <w:t>4</w:t>
            </w:r>
            <w:r w:rsidR="008E21A3">
              <w:rPr>
                <w:noProof/>
                <w:webHidden/>
              </w:rPr>
              <w:fldChar w:fldCharType="end"/>
            </w:r>
          </w:hyperlink>
        </w:p>
        <w:p w14:paraId="44E9CC61" w14:textId="4B3B28A4" w:rsidR="008E21A3" w:rsidRDefault="003F4D05">
          <w:pPr>
            <w:pStyle w:val="TOC1"/>
            <w:tabs>
              <w:tab w:val="left" w:pos="380"/>
              <w:tab w:val="right" w:leader="dot" w:pos="8920"/>
            </w:tabs>
            <w:rPr>
              <w:rFonts w:asciiTheme="minorHAnsi" w:eastAsiaTheme="minorEastAsia" w:hAnsiTheme="minorHAnsi"/>
              <w:noProof/>
              <w:sz w:val="22"/>
              <w:lang w:eastAsia="en-AU"/>
            </w:rPr>
          </w:pPr>
          <w:hyperlink w:anchor="_Toc68071596" w:history="1">
            <w:r w:rsidR="008E21A3" w:rsidRPr="003C6F58">
              <w:rPr>
                <w:rStyle w:val="Hyperlink"/>
                <w:noProof/>
              </w:rPr>
              <w:t>3</w:t>
            </w:r>
            <w:r w:rsidR="008E21A3">
              <w:rPr>
                <w:rFonts w:asciiTheme="minorHAnsi" w:eastAsiaTheme="minorEastAsia" w:hAnsiTheme="minorHAnsi"/>
                <w:noProof/>
                <w:sz w:val="22"/>
                <w:lang w:eastAsia="en-AU"/>
              </w:rPr>
              <w:tab/>
            </w:r>
            <w:r w:rsidR="008E21A3" w:rsidRPr="003C6F58">
              <w:rPr>
                <w:rStyle w:val="Hyperlink"/>
                <w:noProof/>
              </w:rPr>
              <w:t>Findings and recommendations by Terms of Reference</w:t>
            </w:r>
            <w:r w:rsidR="008E21A3">
              <w:rPr>
                <w:noProof/>
                <w:webHidden/>
              </w:rPr>
              <w:tab/>
            </w:r>
            <w:r w:rsidR="008E21A3">
              <w:rPr>
                <w:noProof/>
                <w:webHidden/>
              </w:rPr>
              <w:fldChar w:fldCharType="begin"/>
            </w:r>
            <w:r w:rsidR="008E21A3">
              <w:rPr>
                <w:noProof/>
                <w:webHidden/>
              </w:rPr>
              <w:instrText xml:space="preserve"> PAGEREF _Toc68071596 \h </w:instrText>
            </w:r>
            <w:r w:rsidR="008E21A3">
              <w:rPr>
                <w:noProof/>
                <w:webHidden/>
              </w:rPr>
            </w:r>
            <w:r w:rsidR="008E21A3">
              <w:rPr>
                <w:noProof/>
                <w:webHidden/>
              </w:rPr>
              <w:fldChar w:fldCharType="separate"/>
            </w:r>
            <w:r w:rsidR="008E21A3">
              <w:rPr>
                <w:noProof/>
                <w:webHidden/>
              </w:rPr>
              <w:t>6</w:t>
            </w:r>
            <w:r w:rsidR="008E21A3">
              <w:rPr>
                <w:noProof/>
                <w:webHidden/>
              </w:rPr>
              <w:fldChar w:fldCharType="end"/>
            </w:r>
          </w:hyperlink>
        </w:p>
        <w:p w14:paraId="58527C14" w14:textId="64C6E46D" w:rsidR="008E21A3" w:rsidRDefault="003F4D05">
          <w:pPr>
            <w:pStyle w:val="TOC1"/>
            <w:tabs>
              <w:tab w:val="left" w:pos="1320"/>
              <w:tab w:val="right" w:leader="dot" w:pos="8920"/>
            </w:tabs>
            <w:rPr>
              <w:rFonts w:asciiTheme="minorHAnsi" w:eastAsiaTheme="minorEastAsia" w:hAnsiTheme="minorHAnsi"/>
              <w:noProof/>
              <w:sz w:val="22"/>
              <w:lang w:eastAsia="en-AU"/>
            </w:rPr>
          </w:pPr>
          <w:hyperlink w:anchor="_Toc68071597" w:history="1">
            <w:r w:rsidR="008E21A3" w:rsidRPr="003C6F58">
              <w:rPr>
                <w:rStyle w:val="Hyperlink"/>
                <w:noProof/>
              </w:rPr>
              <w:t>Appendix A</w:t>
            </w:r>
            <w:r w:rsidR="008E21A3">
              <w:rPr>
                <w:rFonts w:asciiTheme="minorHAnsi" w:eastAsiaTheme="minorEastAsia" w:hAnsiTheme="minorHAnsi"/>
                <w:noProof/>
                <w:sz w:val="22"/>
                <w:lang w:eastAsia="en-AU"/>
              </w:rPr>
              <w:tab/>
            </w:r>
            <w:r w:rsidR="008E21A3" w:rsidRPr="003C6F58">
              <w:rPr>
                <w:rStyle w:val="Hyperlink"/>
                <w:noProof/>
              </w:rPr>
              <w:t>Terms of Reference</w:t>
            </w:r>
            <w:r w:rsidR="008E21A3">
              <w:rPr>
                <w:noProof/>
                <w:webHidden/>
              </w:rPr>
              <w:tab/>
            </w:r>
            <w:r w:rsidR="008E21A3">
              <w:rPr>
                <w:noProof/>
                <w:webHidden/>
              </w:rPr>
              <w:fldChar w:fldCharType="begin"/>
            </w:r>
            <w:r w:rsidR="008E21A3">
              <w:rPr>
                <w:noProof/>
                <w:webHidden/>
              </w:rPr>
              <w:instrText xml:space="preserve"> PAGEREF _Toc68071597 \h </w:instrText>
            </w:r>
            <w:r w:rsidR="008E21A3">
              <w:rPr>
                <w:noProof/>
                <w:webHidden/>
              </w:rPr>
            </w:r>
            <w:r w:rsidR="008E21A3">
              <w:rPr>
                <w:noProof/>
                <w:webHidden/>
              </w:rPr>
              <w:fldChar w:fldCharType="separate"/>
            </w:r>
            <w:r w:rsidR="008E21A3">
              <w:rPr>
                <w:noProof/>
                <w:webHidden/>
              </w:rPr>
              <w:t>20</w:t>
            </w:r>
            <w:r w:rsidR="008E21A3">
              <w:rPr>
                <w:noProof/>
                <w:webHidden/>
              </w:rPr>
              <w:fldChar w:fldCharType="end"/>
            </w:r>
          </w:hyperlink>
        </w:p>
        <w:p w14:paraId="6F6EF91C" w14:textId="612D6676" w:rsidR="008E21A3" w:rsidRDefault="003F4D05">
          <w:pPr>
            <w:pStyle w:val="TOC1"/>
            <w:tabs>
              <w:tab w:val="left" w:pos="1320"/>
              <w:tab w:val="right" w:leader="dot" w:pos="8920"/>
            </w:tabs>
            <w:rPr>
              <w:rFonts w:asciiTheme="minorHAnsi" w:eastAsiaTheme="minorEastAsia" w:hAnsiTheme="minorHAnsi"/>
              <w:noProof/>
              <w:sz w:val="22"/>
              <w:lang w:eastAsia="en-AU"/>
            </w:rPr>
          </w:pPr>
          <w:hyperlink w:anchor="_Toc68071598" w:history="1">
            <w:r w:rsidR="008E21A3" w:rsidRPr="003C6F58">
              <w:rPr>
                <w:rStyle w:val="Hyperlink"/>
                <w:noProof/>
              </w:rPr>
              <w:t>Appendix B</w:t>
            </w:r>
            <w:r w:rsidR="008E21A3">
              <w:rPr>
                <w:rFonts w:asciiTheme="minorHAnsi" w:eastAsiaTheme="minorEastAsia" w:hAnsiTheme="minorHAnsi"/>
                <w:noProof/>
                <w:sz w:val="22"/>
                <w:lang w:eastAsia="en-AU"/>
              </w:rPr>
              <w:tab/>
            </w:r>
            <w:r w:rsidR="008E21A3" w:rsidRPr="003C6F58">
              <w:rPr>
                <w:rStyle w:val="Hyperlink"/>
                <w:noProof/>
              </w:rPr>
              <w:t>NTRB-SPs under review</w:t>
            </w:r>
            <w:r w:rsidR="008E21A3">
              <w:rPr>
                <w:noProof/>
                <w:webHidden/>
              </w:rPr>
              <w:tab/>
            </w:r>
            <w:r w:rsidR="008E21A3">
              <w:rPr>
                <w:noProof/>
                <w:webHidden/>
              </w:rPr>
              <w:fldChar w:fldCharType="begin"/>
            </w:r>
            <w:r w:rsidR="008E21A3">
              <w:rPr>
                <w:noProof/>
                <w:webHidden/>
              </w:rPr>
              <w:instrText xml:space="preserve"> PAGEREF _Toc68071598 \h </w:instrText>
            </w:r>
            <w:r w:rsidR="008E21A3">
              <w:rPr>
                <w:noProof/>
                <w:webHidden/>
              </w:rPr>
            </w:r>
            <w:r w:rsidR="008E21A3">
              <w:rPr>
                <w:noProof/>
                <w:webHidden/>
              </w:rPr>
              <w:fldChar w:fldCharType="separate"/>
            </w:r>
            <w:r w:rsidR="008E21A3">
              <w:rPr>
                <w:noProof/>
                <w:webHidden/>
              </w:rPr>
              <w:t>21</w:t>
            </w:r>
            <w:r w:rsidR="008E21A3">
              <w:rPr>
                <w:noProof/>
                <w:webHidden/>
              </w:rPr>
              <w:fldChar w:fldCharType="end"/>
            </w:r>
          </w:hyperlink>
        </w:p>
        <w:p w14:paraId="0F578BF4" w14:textId="7D81F79B" w:rsidR="008E21A3" w:rsidRDefault="003F4D05">
          <w:pPr>
            <w:pStyle w:val="TOC1"/>
            <w:tabs>
              <w:tab w:val="left" w:pos="1320"/>
              <w:tab w:val="right" w:leader="dot" w:pos="8920"/>
            </w:tabs>
            <w:rPr>
              <w:rFonts w:asciiTheme="minorHAnsi" w:eastAsiaTheme="minorEastAsia" w:hAnsiTheme="minorHAnsi"/>
              <w:noProof/>
              <w:sz w:val="22"/>
              <w:lang w:eastAsia="en-AU"/>
            </w:rPr>
          </w:pPr>
          <w:hyperlink w:anchor="_Toc68071599" w:history="1">
            <w:r w:rsidR="008E21A3" w:rsidRPr="003C6F58">
              <w:rPr>
                <w:rStyle w:val="Hyperlink"/>
                <w:noProof/>
              </w:rPr>
              <w:t>Appendix C</w:t>
            </w:r>
            <w:r w:rsidR="008E21A3">
              <w:rPr>
                <w:rFonts w:asciiTheme="minorHAnsi" w:eastAsiaTheme="minorEastAsia" w:hAnsiTheme="minorHAnsi"/>
                <w:noProof/>
                <w:sz w:val="22"/>
                <w:lang w:eastAsia="en-AU"/>
              </w:rPr>
              <w:tab/>
            </w:r>
            <w:r w:rsidR="008E21A3" w:rsidRPr="003C6F58">
              <w:rPr>
                <w:rStyle w:val="Hyperlink"/>
                <w:noProof/>
              </w:rPr>
              <w:t>Stakeholders consulted</w:t>
            </w:r>
            <w:r w:rsidR="008E21A3">
              <w:rPr>
                <w:noProof/>
                <w:webHidden/>
              </w:rPr>
              <w:tab/>
            </w:r>
            <w:r w:rsidR="008E21A3">
              <w:rPr>
                <w:noProof/>
                <w:webHidden/>
              </w:rPr>
              <w:fldChar w:fldCharType="begin"/>
            </w:r>
            <w:r w:rsidR="008E21A3">
              <w:rPr>
                <w:noProof/>
                <w:webHidden/>
              </w:rPr>
              <w:instrText xml:space="preserve"> PAGEREF _Toc68071599 \h </w:instrText>
            </w:r>
            <w:r w:rsidR="008E21A3">
              <w:rPr>
                <w:noProof/>
                <w:webHidden/>
              </w:rPr>
            </w:r>
            <w:r w:rsidR="008E21A3">
              <w:rPr>
                <w:noProof/>
                <w:webHidden/>
              </w:rPr>
              <w:fldChar w:fldCharType="separate"/>
            </w:r>
            <w:r w:rsidR="008E21A3">
              <w:rPr>
                <w:noProof/>
                <w:webHidden/>
              </w:rPr>
              <w:t>22</w:t>
            </w:r>
            <w:r w:rsidR="008E21A3">
              <w:rPr>
                <w:noProof/>
                <w:webHidden/>
              </w:rPr>
              <w:fldChar w:fldCharType="end"/>
            </w:r>
          </w:hyperlink>
        </w:p>
        <w:p w14:paraId="2CA0CEF5" w14:textId="4FCF6693" w:rsidR="008E21A3" w:rsidRDefault="003F4D05">
          <w:pPr>
            <w:pStyle w:val="TOC1"/>
            <w:tabs>
              <w:tab w:val="left" w:pos="1320"/>
              <w:tab w:val="right" w:leader="dot" w:pos="8920"/>
            </w:tabs>
            <w:rPr>
              <w:rFonts w:asciiTheme="minorHAnsi" w:eastAsiaTheme="minorEastAsia" w:hAnsiTheme="minorHAnsi"/>
              <w:noProof/>
              <w:sz w:val="22"/>
              <w:lang w:eastAsia="en-AU"/>
            </w:rPr>
          </w:pPr>
          <w:hyperlink w:anchor="_Toc68071600" w:history="1">
            <w:r w:rsidR="008E21A3" w:rsidRPr="003C6F58">
              <w:rPr>
                <w:rStyle w:val="Hyperlink"/>
                <w:noProof/>
              </w:rPr>
              <w:t>Appendix D</w:t>
            </w:r>
            <w:r w:rsidR="008E21A3">
              <w:rPr>
                <w:rFonts w:asciiTheme="minorHAnsi" w:eastAsiaTheme="minorEastAsia" w:hAnsiTheme="minorHAnsi"/>
                <w:noProof/>
                <w:sz w:val="22"/>
                <w:lang w:eastAsia="en-AU"/>
              </w:rPr>
              <w:tab/>
            </w:r>
            <w:r w:rsidR="008E21A3" w:rsidRPr="003C6F58">
              <w:rPr>
                <w:rStyle w:val="Hyperlink"/>
                <w:noProof/>
              </w:rPr>
              <w:t>Methodology</w:t>
            </w:r>
            <w:r w:rsidR="008E21A3">
              <w:rPr>
                <w:noProof/>
                <w:webHidden/>
              </w:rPr>
              <w:tab/>
            </w:r>
            <w:r w:rsidR="008E21A3">
              <w:rPr>
                <w:noProof/>
                <w:webHidden/>
              </w:rPr>
              <w:fldChar w:fldCharType="begin"/>
            </w:r>
            <w:r w:rsidR="008E21A3">
              <w:rPr>
                <w:noProof/>
                <w:webHidden/>
              </w:rPr>
              <w:instrText xml:space="preserve"> PAGEREF _Toc68071600 \h </w:instrText>
            </w:r>
            <w:r w:rsidR="008E21A3">
              <w:rPr>
                <w:noProof/>
                <w:webHidden/>
              </w:rPr>
            </w:r>
            <w:r w:rsidR="008E21A3">
              <w:rPr>
                <w:noProof/>
                <w:webHidden/>
              </w:rPr>
              <w:fldChar w:fldCharType="separate"/>
            </w:r>
            <w:r w:rsidR="008E21A3">
              <w:rPr>
                <w:noProof/>
                <w:webHidden/>
              </w:rPr>
              <w:t>23</w:t>
            </w:r>
            <w:r w:rsidR="008E21A3">
              <w:rPr>
                <w:noProof/>
                <w:webHidden/>
              </w:rPr>
              <w:fldChar w:fldCharType="end"/>
            </w:r>
          </w:hyperlink>
        </w:p>
        <w:p w14:paraId="30305323" w14:textId="76393912" w:rsidR="008E21A3" w:rsidRDefault="003F4D05">
          <w:pPr>
            <w:pStyle w:val="TOC1"/>
            <w:tabs>
              <w:tab w:val="left" w:pos="1320"/>
              <w:tab w:val="right" w:leader="dot" w:pos="8920"/>
            </w:tabs>
            <w:rPr>
              <w:rFonts w:asciiTheme="minorHAnsi" w:eastAsiaTheme="minorEastAsia" w:hAnsiTheme="minorHAnsi"/>
              <w:noProof/>
              <w:sz w:val="22"/>
              <w:lang w:eastAsia="en-AU"/>
            </w:rPr>
          </w:pPr>
          <w:hyperlink w:anchor="_Toc68071601" w:history="1">
            <w:r w:rsidR="008E21A3" w:rsidRPr="003C6F58">
              <w:rPr>
                <w:rStyle w:val="Hyperlink"/>
                <w:noProof/>
              </w:rPr>
              <w:t>Appendix E</w:t>
            </w:r>
            <w:r w:rsidR="008E21A3">
              <w:rPr>
                <w:rFonts w:asciiTheme="minorHAnsi" w:eastAsiaTheme="minorEastAsia" w:hAnsiTheme="minorHAnsi"/>
                <w:noProof/>
                <w:sz w:val="22"/>
                <w:lang w:eastAsia="en-AU"/>
              </w:rPr>
              <w:tab/>
            </w:r>
            <w:r w:rsidR="008E21A3" w:rsidRPr="003C6F58">
              <w:rPr>
                <w:rStyle w:val="Hyperlink"/>
                <w:noProof/>
              </w:rPr>
              <w:t>Glossary</w:t>
            </w:r>
            <w:r w:rsidR="008E21A3">
              <w:rPr>
                <w:noProof/>
                <w:webHidden/>
              </w:rPr>
              <w:tab/>
            </w:r>
            <w:r w:rsidR="008E21A3">
              <w:rPr>
                <w:noProof/>
                <w:webHidden/>
              </w:rPr>
              <w:fldChar w:fldCharType="begin"/>
            </w:r>
            <w:r w:rsidR="008E21A3">
              <w:rPr>
                <w:noProof/>
                <w:webHidden/>
              </w:rPr>
              <w:instrText xml:space="preserve"> PAGEREF _Toc68071601 \h </w:instrText>
            </w:r>
            <w:r w:rsidR="008E21A3">
              <w:rPr>
                <w:noProof/>
                <w:webHidden/>
              </w:rPr>
            </w:r>
            <w:r w:rsidR="008E21A3">
              <w:rPr>
                <w:noProof/>
                <w:webHidden/>
              </w:rPr>
              <w:fldChar w:fldCharType="separate"/>
            </w:r>
            <w:r w:rsidR="008E21A3">
              <w:rPr>
                <w:noProof/>
                <w:webHidden/>
              </w:rPr>
              <w:t>24</w:t>
            </w:r>
            <w:r w:rsidR="008E21A3">
              <w:rPr>
                <w:noProof/>
                <w:webHidden/>
              </w:rPr>
              <w:fldChar w:fldCharType="end"/>
            </w:r>
          </w:hyperlink>
        </w:p>
        <w:p w14:paraId="521BFFDF" w14:textId="48F24027" w:rsidR="000A7531" w:rsidRDefault="000A7531">
          <w:r>
            <w:rPr>
              <w:b/>
              <w:bCs/>
              <w:noProof/>
            </w:rPr>
            <w:fldChar w:fldCharType="end"/>
          </w:r>
        </w:p>
      </w:sdtContent>
    </w:sdt>
    <w:p w14:paraId="12FB0C8D" w14:textId="77777777" w:rsidR="000A7531" w:rsidRDefault="000A7531" w:rsidP="000A7531">
      <w:pPr>
        <w:rPr>
          <w:rFonts w:eastAsia="Times New Roman" w:cs="Times New Roman"/>
          <w:b/>
          <w:color w:val="00264D"/>
          <w:sz w:val="36"/>
          <w:szCs w:val="19"/>
          <w:lang w:eastAsia="en-AU"/>
        </w:rPr>
      </w:pPr>
      <w:r>
        <w:br w:type="page"/>
      </w:r>
    </w:p>
    <w:p w14:paraId="0381B7F5" w14:textId="7B3F4F7B" w:rsidR="00525012" w:rsidRDefault="00E5318B" w:rsidP="006E61CD">
      <w:pPr>
        <w:pStyle w:val="Heading1"/>
        <w:numPr>
          <w:ilvl w:val="0"/>
          <w:numId w:val="7"/>
        </w:numPr>
      </w:pPr>
      <w:bookmarkStart w:id="2" w:name="_Toc68071594"/>
      <w:r>
        <w:lastRenderedPageBreak/>
        <w:t>About the Review</w:t>
      </w:r>
      <w:bookmarkEnd w:id="2"/>
    </w:p>
    <w:p w14:paraId="2C060C70" w14:textId="677A461C" w:rsidR="004D0D30" w:rsidRDefault="004D0D30" w:rsidP="004D0D30">
      <w:pPr>
        <w:rPr>
          <w:lang w:eastAsia="en-AU"/>
        </w:rPr>
      </w:pPr>
      <w:bookmarkStart w:id="3" w:name="_Hlk41335110"/>
      <w:bookmarkStart w:id="4" w:name="_Toc502668013"/>
      <w:bookmarkStart w:id="5" w:name="_Toc502839775"/>
      <w:bookmarkStart w:id="6" w:name="_Toc502843251"/>
      <w:bookmarkStart w:id="7" w:name="_Toc502847614"/>
      <w:bookmarkStart w:id="8" w:name="_Toc502850758"/>
      <w:bookmarkStart w:id="9" w:name="_Toc502855190"/>
      <w:bookmarkStart w:id="10" w:name="_Toc503117089"/>
      <w:bookmarkStart w:id="11" w:name="_Toc505259166"/>
      <w:bookmarkStart w:id="12" w:name="_Toc505256233"/>
      <w:bookmarkStart w:id="13" w:name="_Toc505618276"/>
      <w:r>
        <w:rPr>
          <w:lang w:eastAsia="en-AU"/>
        </w:rPr>
        <w:t>The Department of the Prime Minister and Cabinet</w:t>
      </w:r>
      <w:r>
        <w:rPr>
          <w:rStyle w:val="FootnoteReference"/>
          <w:lang w:eastAsia="en-AU"/>
        </w:rPr>
        <w:footnoteReference w:id="2"/>
      </w:r>
      <w:r>
        <w:rPr>
          <w:lang w:eastAsia="en-AU"/>
        </w:rPr>
        <w:t xml:space="preserve"> commissioned this Review as part of a series of reviews to assess the efficiency and effectiveness of </w:t>
      </w:r>
      <w:r w:rsidR="00790E29">
        <w:rPr>
          <w:lang w:eastAsia="en-AU"/>
        </w:rPr>
        <w:t>14</w:t>
      </w:r>
      <w:r>
        <w:rPr>
          <w:lang w:eastAsia="en-AU"/>
        </w:rPr>
        <w:t xml:space="preserve"> Native Title Representative Bodies and Service Providers (NTRB-SPs) in carrying out their functions under the </w:t>
      </w:r>
      <w:r w:rsidRPr="00EA47FA">
        <w:rPr>
          <w:i/>
          <w:iCs/>
          <w:lang w:eastAsia="en-AU"/>
        </w:rPr>
        <w:t>Native Title Act 1993</w:t>
      </w:r>
      <w:r>
        <w:rPr>
          <w:i/>
          <w:iCs/>
          <w:lang w:eastAsia="en-AU"/>
        </w:rPr>
        <w:t xml:space="preserve"> (Cth) </w:t>
      </w:r>
      <w:r w:rsidRPr="00BB7B00">
        <w:t>(</w:t>
      </w:r>
      <w:r w:rsidRPr="005124CF">
        <w:t>her</w:t>
      </w:r>
      <w:r>
        <w:t>e</w:t>
      </w:r>
      <w:r w:rsidRPr="005124CF">
        <w:t>in</w:t>
      </w:r>
      <w:r>
        <w:rPr>
          <w:i/>
        </w:rPr>
        <w:t xml:space="preserve"> </w:t>
      </w:r>
      <w:r w:rsidRPr="002A6491">
        <w:rPr>
          <w:iCs/>
        </w:rPr>
        <w:t>NTA</w:t>
      </w:r>
      <w:r w:rsidRPr="00BB7B00">
        <w:t>)</w:t>
      </w:r>
      <w:r>
        <w:rPr>
          <w:lang w:eastAsia="en-AU"/>
        </w:rPr>
        <w:t xml:space="preserve">. </w:t>
      </w:r>
      <w:r w:rsidRPr="00AC1574">
        <w:rPr>
          <w:lang w:eastAsia="en-AU"/>
        </w:rPr>
        <w:t xml:space="preserve">The </w:t>
      </w:r>
      <w:r>
        <w:rPr>
          <w:lang w:eastAsia="en-AU"/>
        </w:rPr>
        <w:t xml:space="preserve">complete </w:t>
      </w:r>
      <w:r w:rsidRPr="00AC1574">
        <w:rPr>
          <w:lang w:eastAsia="en-AU"/>
        </w:rPr>
        <w:t>Terms of Reference</w:t>
      </w:r>
      <w:r>
        <w:rPr>
          <w:lang w:eastAsia="en-AU"/>
        </w:rPr>
        <w:t xml:space="preserve"> (TOR)</w:t>
      </w:r>
      <w:r w:rsidRPr="00AC1574">
        <w:rPr>
          <w:lang w:eastAsia="en-AU"/>
        </w:rPr>
        <w:t xml:space="preserve"> provided </w:t>
      </w:r>
      <w:r>
        <w:rPr>
          <w:lang w:eastAsia="en-AU"/>
        </w:rPr>
        <w:t>f</w:t>
      </w:r>
      <w:r w:rsidRPr="00AC1574">
        <w:rPr>
          <w:lang w:eastAsia="en-AU"/>
        </w:rPr>
        <w:t>or the Review are</w:t>
      </w:r>
      <w:r>
        <w:rPr>
          <w:lang w:eastAsia="en-AU"/>
        </w:rPr>
        <w:t xml:space="preserve"> included in </w:t>
      </w:r>
      <w:r>
        <w:rPr>
          <w:lang w:eastAsia="en-AU"/>
        </w:rPr>
        <w:fldChar w:fldCharType="begin"/>
      </w:r>
      <w:r>
        <w:rPr>
          <w:lang w:eastAsia="en-AU"/>
        </w:rPr>
        <w:instrText xml:space="preserve"> REF _Ref500494833 \r \h </w:instrText>
      </w:r>
      <w:r>
        <w:rPr>
          <w:lang w:eastAsia="en-AU"/>
        </w:rPr>
      </w:r>
      <w:r>
        <w:rPr>
          <w:lang w:eastAsia="en-AU"/>
        </w:rPr>
        <w:fldChar w:fldCharType="separate"/>
      </w:r>
      <w:r w:rsidR="008E21A3">
        <w:rPr>
          <w:lang w:eastAsia="en-AU"/>
        </w:rPr>
        <w:t>Appendix A</w:t>
      </w:r>
      <w:r>
        <w:rPr>
          <w:lang w:eastAsia="en-AU"/>
        </w:rPr>
        <w:fldChar w:fldCharType="end"/>
      </w:r>
      <w:r>
        <w:rPr>
          <w:lang w:eastAsia="en-AU"/>
        </w:rPr>
        <w:t xml:space="preserve">. The </w:t>
      </w:r>
      <w:r w:rsidR="00790E29">
        <w:rPr>
          <w:lang w:eastAsia="en-AU"/>
        </w:rPr>
        <w:t>14</w:t>
      </w:r>
      <w:r>
        <w:rPr>
          <w:lang w:eastAsia="en-AU"/>
        </w:rPr>
        <w:t xml:space="preserve"> organisations reviewed are listed in </w:t>
      </w:r>
      <w:r w:rsidR="00C35132">
        <w:rPr>
          <w:lang w:eastAsia="en-AU"/>
        </w:rPr>
        <w:fldChar w:fldCharType="begin"/>
      </w:r>
      <w:r w:rsidR="00C35132">
        <w:rPr>
          <w:lang w:eastAsia="en-AU"/>
        </w:rPr>
        <w:instrText xml:space="preserve"> REF _Ref37158564 \n \h </w:instrText>
      </w:r>
      <w:r w:rsidR="00C35132">
        <w:rPr>
          <w:lang w:eastAsia="en-AU"/>
        </w:rPr>
      </w:r>
      <w:r w:rsidR="00C35132">
        <w:rPr>
          <w:lang w:eastAsia="en-AU"/>
        </w:rPr>
        <w:fldChar w:fldCharType="separate"/>
      </w:r>
      <w:r w:rsidR="008E21A3">
        <w:rPr>
          <w:lang w:eastAsia="en-AU"/>
        </w:rPr>
        <w:t>Appendix B</w:t>
      </w:r>
      <w:r w:rsidR="00C35132">
        <w:rPr>
          <w:lang w:eastAsia="en-AU"/>
        </w:rPr>
        <w:fldChar w:fldCharType="end"/>
      </w:r>
      <w:r>
        <w:rPr>
          <w:lang w:eastAsia="en-AU"/>
        </w:rPr>
        <w:t xml:space="preserve">. </w:t>
      </w:r>
    </w:p>
    <w:bookmarkEnd w:id="3"/>
    <w:p w14:paraId="49148D9B" w14:textId="6EA41B25" w:rsidR="00F27BA5" w:rsidRDefault="000A077A" w:rsidP="00BB5C42">
      <w:pPr>
        <w:rPr>
          <w:lang w:eastAsia="en-AU"/>
        </w:rPr>
      </w:pPr>
      <w:r w:rsidRPr="009C5F2C">
        <w:rPr>
          <w:lang w:eastAsia="en-AU"/>
        </w:rPr>
        <w:t>The Kimberly Land Council (KLC</w:t>
      </w:r>
      <w:r w:rsidR="00FA4902" w:rsidRPr="009C5F2C">
        <w:rPr>
          <w:lang w:eastAsia="en-AU"/>
        </w:rPr>
        <w:t>)</w:t>
      </w:r>
      <w:r w:rsidR="00FA4902">
        <w:rPr>
          <w:lang w:eastAsia="en-AU"/>
        </w:rPr>
        <w:t xml:space="preserve"> </w:t>
      </w:r>
      <w:r w:rsidR="0070030A">
        <w:rPr>
          <w:lang w:eastAsia="en-AU"/>
        </w:rPr>
        <w:t xml:space="preserve">was </w:t>
      </w:r>
      <w:r w:rsidR="000F6ED7">
        <w:rPr>
          <w:lang w:eastAsia="en-AU"/>
        </w:rPr>
        <w:t xml:space="preserve">reviewed </w:t>
      </w:r>
      <w:r w:rsidR="00256BB1">
        <w:rPr>
          <w:lang w:eastAsia="en-AU"/>
        </w:rPr>
        <w:t>from</w:t>
      </w:r>
      <w:r w:rsidR="006A40AF" w:rsidRPr="009C5F2C">
        <w:rPr>
          <w:lang w:eastAsia="en-AU"/>
        </w:rPr>
        <w:t xml:space="preserve"> </w:t>
      </w:r>
      <w:r w:rsidRPr="009C5F2C">
        <w:rPr>
          <w:lang w:eastAsia="en-AU"/>
        </w:rPr>
        <w:t>September 2018</w:t>
      </w:r>
      <w:r w:rsidR="006A40AF" w:rsidRPr="009C5F2C">
        <w:rPr>
          <w:lang w:eastAsia="en-AU"/>
        </w:rPr>
        <w:t xml:space="preserve"> to </w:t>
      </w:r>
      <w:r w:rsidRPr="009C5F2C">
        <w:rPr>
          <w:lang w:eastAsia="en-AU"/>
        </w:rPr>
        <w:t>April</w:t>
      </w:r>
      <w:r w:rsidR="006A40AF" w:rsidRPr="009C5F2C">
        <w:rPr>
          <w:lang w:eastAsia="en-AU"/>
        </w:rPr>
        <w:t xml:space="preserve"> 201</w:t>
      </w:r>
      <w:r w:rsidR="00256BB1" w:rsidRPr="009C5F2C">
        <w:rPr>
          <w:lang w:eastAsia="en-AU"/>
        </w:rPr>
        <w:t>9</w:t>
      </w:r>
      <w:r w:rsidR="00AA3B63" w:rsidRPr="009C5F2C">
        <w:rPr>
          <w:lang w:eastAsia="en-AU"/>
        </w:rPr>
        <w:t xml:space="preserve"> in relation to the previous three-year period (</w:t>
      </w:r>
      <w:r w:rsidR="00C0422E" w:rsidRPr="009C5F2C">
        <w:rPr>
          <w:lang w:eastAsia="en-AU"/>
        </w:rPr>
        <w:t>Ju</w:t>
      </w:r>
      <w:r w:rsidRPr="009C5F2C">
        <w:rPr>
          <w:lang w:eastAsia="en-AU"/>
        </w:rPr>
        <w:t>ly</w:t>
      </w:r>
      <w:r w:rsidR="00C0422E" w:rsidRPr="009C5F2C">
        <w:rPr>
          <w:lang w:eastAsia="en-AU"/>
        </w:rPr>
        <w:t xml:space="preserve"> 201</w:t>
      </w:r>
      <w:r w:rsidRPr="009C5F2C">
        <w:rPr>
          <w:lang w:eastAsia="en-AU"/>
        </w:rPr>
        <w:t>5</w:t>
      </w:r>
      <w:r w:rsidR="00C0422E" w:rsidRPr="009C5F2C">
        <w:rPr>
          <w:lang w:eastAsia="en-AU"/>
        </w:rPr>
        <w:t xml:space="preserve"> to June 201</w:t>
      </w:r>
      <w:r w:rsidRPr="009C5F2C">
        <w:rPr>
          <w:lang w:eastAsia="en-AU"/>
        </w:rPr>
        <w:t>8</w:t>
      </w:r>
      <w:r w:rsidR="00AA3B63" w:rsidRPr="009C5F2C">
        <w:rPr>
          <w:lang w:eastAsia="en-AU"/>
        </w:rPr>
        <w:t>)</w:t>
      </w:r>
      <w:r w:rsidR="00C0422E" w:rsidRPr="009C5F2C">
        <w:rPr>
          <w:lang w:eastAsia="en-AU"/>
        </w:rPr>
        <w:t>.</w:t>
      </w:r>
      <w:r w:rsidR="00AA3B63" w:rsidRPr="009C5F2C">
        <w:rPr>
          <w:lang w:eastAsia="en-AU"/>
        </w:rPr>
        <w:t xml:space="preserve"> This document contains a summary of the Review’s overarching findings and recommendations for KLC. It also includes KLC</w:t>
      </w:r>
      <w:r w:rsidR="005A1B73" w:rsidRPr="009C5F2C">
        <w:rPr>
          <w:lang w:eastAsia="en-AU"/>
        </w:rPr>
        <w:t>’s</w:t>
      </w:r>
      <w:r w:rsidR="00AA3B63" w:rsidRPr="009C5F2C">
        <w:rPr>
          <w:lang w:eastAsia="en-AU"/>
        </w:rPr>
        <w:t xml:space="preserve"> responses to the recommendations made by the Review.</w:t>
      </w:r>
    </w:p>
    <w:p w14:paraId="34895A09" w14:textId="7E47482F" w:rsidR="00F27BA5" w:rsidRPr="00E56D7A" w:rsidRDefault="00F27BA5" w:rsidP="00F27BA5">
      <w:pPr>
        <w:rPr>
          <w:lang w:eastAsia="en-AU"/>
        </w:rPr>
      </w:pPr>
      <w:r w:rsidRPr="009C5F2C">
        <w:rPr>
          <w:lang w:eastAsia="en-AU"/>
        </w:rPr>
        <w:t>Findings and recommendations represent an assessment of performance at the time of the Review and have not been subsequently amended or updated.</w:t>
      </w:r>
    </w:p>
    <w:p w14:paraId="5A9F9666" w14:textId="57DCB4E5" w:rsidR="00F64BB4" w:rsidRDefault="00FA1EB1" w:rsidP="00BB5C42">
      <w:pPr>
        <w:rPr>
          <w:lang w:eastAsia="en-AU"/>
        </w:rPr>
      </w:pPr>
      <w:r w:rsidRPr="00FA1EB1">
        <w:rPr>
          <w:lang w:eastAsia="en-AU"/>
        </w:rPr>
        <w:t xml:space="preserve">In addition to the individual reports, Nous </w:t>
      </w:r>
      <w:r w:rsidR="00C918F9">
        <w:rPr>
          <w:lang w:eastAsia="en-AU"/>
        </w:rPr>
        <w:t xml:space="preserve">Group (Nous) </w:t>
      </w:r>
      <w:r w:rsidRPr="00FA1EB1">
        <w:rPr>
          <w:lang w:eastAsia="en-AU"/>
        </w:rPr>
        <w:t xml:space="preserve">has developed a de-identified comparative report which considers the performance of </w:t>
      </w:r>
      <w:r w:rsidR="005A1B73">
        <w:rPr>
          <w:lang w:eastAsia="en-AU"/>
        </w:rPr>
        <w:t xml:space="preserve">all </w:t>
      </w:r>
      <w:r w:rsidRPr="00FA1EB1">
        <w:rPr>
          <w:lang w:eastAsia="en-AU"/>
        </w:rPr>
        <w:t>the organisations across the TORs</w:t>
      </w:r>
      <w:r w:rsidR="00CD3774">
        <w:rPr>
          <w:lang w:eastAsia="en-AU"/>
        </w:rPr>
        <w:t xml:space="preserve">. The report presents </w:t>
      </w:r>
      <w:r w:rsidR="002D067D" w:rsidRPr="00C4471D">
        <w:t xml:space="preserve">a discussion of </w:t>
      </w:r>
      <w:r w:rsidR="002D067D">
        <w:t xml:space="preserve">systemic issues within each TOR </w:t>
      </w:r>
      <w:r w:rsidR="002D067D" w:rsidRPr="00C4471D">
        <w:t xml:space="preserve">that </w:t>
      </w:r>
      <w:r w:rsidR="002D067D">
        <w:t xml:space="preserve">arose in all or most of the organisations across </w:t>
      </w:r>
      <w:r w:rsidR="00351DEB">
        <w:t>all</w:t>
      </w:r>
      <w:r w:rsidR="002D067D">
        <w:t xml:space="preserve"> tranches of the Review and that are pertinent to the broader native title system.</w:t>
      </w:r>
    </w:p>
    <w:p w14:paraId="35EBEAD0" w14:textId="3902DC40" w:rsidR="00256BB1" w:rsidRDefault="00F64BB4" w:rsidP="00F64BB4">
      <w:pPr>
        <w:rPr>
          <w:lang w:eastAsia="en-AU"/>
        </w:rPr>
      </w:pPr>
      <w:r>
        <w:rPr>
          <w:lang w:eastAsia="en-AU"/>
        </w:rPr>
        <w:t xml:space="preserve">Nous has used a consistent </w:t>
      </w:r>
      <w:r w:rsidRPr="00537AF0">
        <w:rPr>
          <w:lang w:eastAsia="en-AU"/>
        </w:rPr>
        <w:t>methodology</w:t>
      </w:r>
      <w:r w:rsidRPr="00D47620">
        <w:rPr>
          <w:lang w:eastAsia="en-AU"/>
        </w:rPr>
        <w:t xml:space="preserve"> </w:t>
      </w:r>
      <w:r w:rsidR="00F27BA5">
        <w:rPr>
          <w:lang w:eastAsia="en-AU"/>
        </w:rPr>
        <w:t xml:space="preserve">for all the Reviews </w:t>
      </w:r>
      <w:r w:rsidRPr="00D47620">
        <w:rPr>
          <w:lang w:eastAsia="en-AU"/>
        </w:rPr>
        <w:t xml:space="preserve">to support a comparative and transparent assessment of </w:t>
      </w:r>
      <w:r w:rsidR="00C7585B">
        <w:rPr>
          <w:lang w:eastAsia="en-AU"/>
        </w:rPr>
        <w:t xml:space="preserve">the </w:t>
      </w:r>
      <w:r w:rsidR="000A077A">
        <w:rPr>
          <w:lang w:eastAsia="en-AU"/>
        </w:rPr>
        <w:t>KLC</w:t>
      </w:r>
      <w:r w:rsidR="00F27BA5">
        <w:rPr>
          <w:lang w:eastAsia="en-AU"/>
        </w:rPr>
        <w:t xml:space="preserve"> and the other NTRB-SPs</w:t>
      </w:r>
      <w:r w:rsidRPr="00D47620">
        <w:rPr>
          <w:lang w:eastAsia="en-AU"/>
        </w:rPr>
        <w:t>.</w:t>
      </w:r>
      <w:r>
        <w:rPr>
          <w:lang w:eastAsia="en-AU"/>
        </w:rPr>
        <w:t xml:space="preserve"> </w:t>
      </w:r>
      <w:r w:rsidR="00F27BA5">
        <w:rPr>
          <w:lang w:eastAsia="en-AU"/>
        </w:rPr>
        <w:t>The methodology</w:t>
      </w:r>
      <w:r>
        <w:rPr>
          <w:lang w:eastAsia="en-AU"/>
        </w:rPr>
        <w:t xml:space="preserve"> used a mixed method approach including quantitative data on the progress of claims, future acts and Indigenous Land Use Agreements (ILUAs), performance against milestones, budgetary performance, staffing, and broader social and geographical factors that impact performance. The quantitative analytics was complemented by </w:t>
      </w:r>
      <w:r w:rsidR="008D7D81">
        <w:rPr>
          <w:lang w:eastAsia="en-AU"/>
        </w:rPr>
        <w:t>interviews with clients, potential clients, staff, the KLC’s Board Directors, the Federal Court, the National Native Title Tribunal (NNTT), and the Western Australian (WA) Government.</w:t>
      </w:r>
      <w:r>
        <w:rPr>
          <w:lang w:eastAsia="en-AU"/>
        </w:rPr>
        <w:t xml:space="preserve"> </w:t>
      </w:r>
      <w:r w:rsidR="0034079F">
        <w:rPr>
          <w:lang w:eastAsia="en-AU"/>
        </w:rPr>
        <w:t xml:space="preserve">A list of stakeholders consulted is included in </w:t>
      </w:r>
      <w:r w:rsidR="0034079F">
        <w:rPr>
          <w:lang w:eastAsia="en-AU"/>
        </w:rPr>
        <w:fldChar w:fldCharType="begin"/>
      </w:r>
      <w:r w:rsidR="0034079F">
        <w:rPr>
          <w:lang w:eastAsia="en-AU"/>
        </w:rPr>
        <w:instrText xml:space="preserve"> REF _Ref37158591 \r \h </w:instrText>
      </w:r>
      <w:r w:rsidR="0034079F">
        <w:rPr>
          <w:lang w:eastAsia="en-AU"/>
        </w:rPr>
      </w:r>
      <w:r w:rsidR="0034079F">
        <w:rPr>
          <w:lang w:eastAsia="en-AU"/>
        </w:rPr>
        <w:fldChar w:fldCharType="separate"/>
      </w:r>
      <w:r w:rsidR="008E21A3">
        <w:rPr>
          <w:lang w:eastAsia="en-AU"/>
        </w:rPr>
        <w:t>Appendix C</w:t>
      </w:r>
      <w:r w:rsidR="0034079F">
        <w:rPr>
          <w:lang w:eastAsia="en-AU"/>
        </w:rPr>
        <w:fldChar w:fldCharType="end"/>
      </w:r>
      <w:r w:rsidR="0034079F">
        <w:rPr>
          <w:lang w:eastAsia="en-AU"/>
        </w:rPr>
        <w:t xml:space="preserve">. </w:t>
      </w:r>
    </w:p>
    <w:p w14:paraId="0621EFFC" w14:textId="4A772F3A" w:rsidR="00F64BB4" w:rsidRDefault="00256BB1" w:rsidP="00F64BB4">
      <w:r w:rsidRPr="00256BB1">
        <w:t xml:space="preserve">KLC </w:t>
      </w:r>
      <w:r>
        <w:t xml:space="preserve">was given the opportunity to review the full report in 2019 and has also provided written responses on actions they are taking in response to recommendations made by the Review, which </w:t>
      </w:r>
      <w:r w:rsidR="004D0D30">
        <w:t>are</w:t>
      </w:r>
      <w:r>
        <w:t xml:space="preserve"> included in this summary document. </w:t>
      </w:r>
      <w:r w:rsidR="002770F2">
        <w:t xml:space="preserve">A </w:t>
      </w:r>
      <w:r w:rsidR="00F27BA5">
        <w:t xml:space="preserve">complete </w:t>
      </w:r>
      <w:r w:rsidR="002770F2">
        <w:t xml:space="preserve">description of the methodology is included in </w:t>
      </w:r>
      <w:r w:rsidR="0034079F">
        <w:fldChar w:fldCharType="begin"/>
      </w:r>
      <w:r w:rsidR="0034079F">
        <w:instrText xml:space="preserve"> REF _Ref37158604 \r \h </w:instrText>
      </w:r>
      <w:r w:rsidR="0034079F">
        <w:fldChar w:fldCharType="separate"/>
      </w:r>
      <w:r w:rsidR="008E21A3">
        <w:t>Appendix D</w:t>
      </w:r>
      <w:r w:rsidR="0034079F">
        <w:fldChar w:fldCharType="end"/>
      </w:r>
      <w:r w:rsidR="002770F2">
        <w:t>.</w:t>
      </w:r>
    </w:p>
    <w:p w14:paraId="13E1A03E" w14:textId="7448D7E7" w:rsidR="00041056" w:rsidRDefault="00041056" w:rsidP="00F64BB4">
      <w:pPr>
        <w:rPr>
          <w:lang w:eastAsia="en-AU"/>
        </w:rPr>
      </w:pPr>
      <w:r>
        <w:rPr>
          <w:lang w:eastAsia="en-AU"/>
        </w:rPr>
        <w:br w:type="page"/>
      </w:r>
    </w:p>
    <w:p w14:paraId="6034A7EF" w14:textId="31458E07" w:rsidR="00525012" w:rsidRDefault="00525012" w:rsidP="00525012">
      <w:pPr>
        <w:pStyle w:val="Heading1"/>
      </w:pPr>
      <w:bookmarkStart w:id="14" w:name="_Toc68071595"/>
      <w:r>
        <w:lastRenderedPageBreak/>
        <w:t xml:space="preserve">Profile of </w:t>
      </w:r>
      <w:r w:rsidR="00A4397B">
        <w:t>the KLC</w:t>
      </w:r>
      <w:r>
        <w:t xml:space="preserve"> at a glance</w:t>
      </w:r>
      <w:bookmarkEnd w:id="4"/>
      <w:bookmarkEnd w:id="5"/>
      <w:bookmarkEnd w:id="6"/>
      <w:bookmarkEnd w:id="7"/>
      <w:bookmarkEnd w:id="8"/>
      <w:bookmarkEnd w:id="9"/>
      <w:bookmarkEnd w:id="10"/>
      <w:bookmarkEnd w:id="11"/>
      <w:bookmarkEnd w:id="12"/>
      <w:bookmarkEnd w:id="13"/>
      <w:bookmarkEnd w:id="14"/>
    </w:p>
    <w:p w14:paraId="66E2E3AE" w14:textId="77777777" w:rsidR="00A50E1C" w:rsidRPr="00B044C1" w:rsidRDefault="00A50E1C" w:rsidP="00B044C1">
      <w:pPr>
        <w:rPr>
          <w:b/>
          <w:bCs/>
          <w:i/>
          <w:iCs/>
        </w:rPr>
      </w:pPr>
      <w:bookmarkStart w:id="15" w:name="_Toc502668014"/>
      <w:bookmarkStart w:id="16" w:name="_Toc502839776"/>
      <w:bookmarkStart w:id="17" w:name="_Toc502843252"/>
      <w:bookmarkStart w:id="18" w:name="_Toc502847615"/>
      <w:bookmarkStart w:id="19" w:name="_Toc502850759"/>
      <w:bookmarkStart w:id="20" w:name="_Toc502855191"/>
      <w:bookmarkStart w:id="21" w:name="_Toc503117090"/>
      <w:bookmarkStart w:id="22" w:name="_Toc505259167"/>
      <w:bookmarkStart w:id="23" w:name="_Toc505256234"/>
      <w:bookmarkStart w:id="24" w:name="_Toc505618277"/>
      <w:r w:rsidRPr="00B044C1">
        <w:rPr>
          <w:b/>
          <w:bCs/>
          <w:i/>
          <w:iCs/>
        </w:rPr>
        <w:t>The Kimberley Land Council (the KLC) is based in Broome, Kununurra and Derby, and provides services in the Kimberley region of Western Australia.</w:t>
      </w:r>
    </w:p>
    <w:p w14:paraId="29458026" w14:textId="77777777" w:rsidR="00A50E1C" w:rsidRDefault="00A50E1C" w:rsidP="00A50E1C">
      <w:pPr>
        <w:rPr>
          <w:lang w:eastAsia="en-AU"/>
        </w:rPr>
      </w:pPr>
      <w:r w:rsidRPr="004B11FE">
        <w:rPr>
          <w:noProof/>
          <w:lang w:eastAsia="en-AU"/>
        </w:rPr>
        <w:drawing>
          <wp:anchor distT="0" distB="0" distL="114300" distR="114300" simplePos="0" relativeHeight="251658241" behindDoc="0" locked="0" layoutInCell="1" allowOverlap="1" wp14:anchorId="4AAF6D4D" wp14:editId="31F10702">
            <wp:simplePos x="0" y="0"/>
            <wp:positionH relativeFrom="column">
              <wp:posOffset>3938905</wp:posOffset>
            </wp:positionH>
            <wp:positionV relativeFrom="paragraph">
              <wp:posOffset>697230</wp:posOffset>
            </wp:positionV>
            <wp:extent cx="1757045" cy="2401570"/>
            <wp:effectExtent l="0" t="0" r="5080" b="8890"/>
            <wp:wrapSquare wrapText="bothSides"/>
            <wp:docPr id="1" name="Picture 1" descr="Map&#10;&#10;The KLC’s RATSIB area is pictured right. The land area covered approximately 423,000 square kilometres of land , accounting for 16% of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The KLC’s RATSIB area is pictured right. The land area covered approximately 423,000 square kilometres of land , accounting for 16% of Western Austral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704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AU"/>
        </w:rPr>
        <w:t>The KLC</w:t>
      </w:r>
      <w:r w:rsidRPr="04F3A72A">
        <w:rPr>
          <w:lang w:eastAsia="en-AU"/>
        </w:rPr>
        <w:t>,</w:t>
      </w:r>
      <w:r>
        <w:rPr>
          <w:lang w:eastAsia="en-AU"/>
        </w:rPr>
        <w:t xml:space="preserve"> established in 1978 and</w:t>
      </w:r>
      <w:r w:rsidRPr="04F3A72A">
        <w:rPr>
          <w:lang w:eastAsia="en-AU"/>
        </w:rPr>
        <w:t xml:space="preserve"> </w:t>
      </w:r>
      <w:r>
        <w:rPr>
          <w:lang w:eastAsia="en-AU"/>
        </w:rPr>
        <w:t>registered</w:t>
      </w:r>
      <w:r w:rsidRPr="04F3A72A">
        <w:rPr>
          <w:lang w:eastAsia="en-AU"/>
        </w:rPr>
        <w:t xml:space="preserve"> </w:t>
      </w:r>
      <w:r>
        <w:rPr>
          <w:lang w:eastAsia="en-AU"/>
        </w:rPr>
        <w:t>in July 1979</w:t>
      </w:r>
      <w:r w:rsidRPr="04F3A72A">
        <w:rPr>
          <w:lang w:eastAsia="en-AU"/>
        </w:rPr>
        <w:t xml:space="preserve">, is </w:t>
      </w:r>
      <w:r>
        <w:rPr>
          <w:lang w:eastAsia="en-AU"/>
        </w:rPr>
        <w:t>the</w:t>
      </w:r>
      <w:r w:rsidRPr="04F3A72A">
        <w:rPr>
          <w:lang w:eastAsia="en-AU"/>
        </w:rPr>
        <w:t xml:space="preserve"> Native Title </w:t>
      </w:r>
      <w:r>
        <w:rPr>
          <w:lang w:eastAsia="en-AU"/>
        </w:rPr>
        <w:t xml:space="preserve">Representative Body for the Kimberley </w:t>
      </w:r>
      <w:r w:rsidRPr="04F3A72A">
        <w:rPr>
          <w:lang w:eastAsia="en-AU"/>
        </w:rPr>
        <w:t>Representative Aboriginal/Torres Strait Islander Body (RATSIB) Area in WA.</w:t>
      </w:r>
      <w:r>
        <w:rPr>
          <w:lang w:eastAsia="en-AU"/>
        </w:rPr>
        <w:t xml:space="preserve"> The KLC has been providing native title services since the passing of the </w:t>
      </w:r>
      <w:r w:rsidRPr="009A64F6">
        <w:rPr>
          <w:i/>
          <w:lang w:eastAsia="en-AU"/>
        </w:rPr>
        <w:t>Native Title Act 1993 (NTA)</w:t>
      </w:r>
      <w:r>
        <w:rPr>
          <w:lang w:eastAsia="en-AU"/>
        </w:rPr>
        <w:t xml:space="preserve"> but was officially recognised as the region’s native title representative body in 2000.</w:t>
      </w:r>
    </w:p>
    <w:p w14:paraId="6A5207E5" w14:textId="7B4B962E" w:rsidR="00A50E1C" w:rsidRDefault="00A50E1C" w:rsidP="00A50E1C">
      <w:pPr>
        <w:rPr>
          <w:lang w:eastAsia="en-AU"/>
        </w:rPr>
      </w:pPr>
      <w:r>
        <w:rPr>
          <w:lang w:eastAsia="en-AU"/>
        </w:rPr>
        <w:t>The KLC’s RATSIB area</w:t>
      </w:r>
      <w:r w:rsidR="00CB78AB">
        <w:rPr>
          <w:lang w:eastAsia="en-AU"/>
        </w:rPr>
        <w:t xml:space="preserve"> </w:t>
      </w:r>
      <w:r>
        <w:rPr>
          <w:lang w:eastAsia="en-AU"/>
        </w:rPr>
        <w:t>is pictured right. The land area</w:t>
      </w:r>
      <w:r w:rsidDel="00396616">
        <w:rPr>
          <w:lang w:eastAsia="en-AU"/>
        </w:rPr>
        <w:t xml:space="preserve"> </w:t>
      </w:r>
      <w:r>
        <w:rPr>
          <w:lang w:eastAsia="en-AU"/>
        </w:rPr>
        <w:t>cover</w:t>
      </w:r>
      <w:r w:rsidR="00CB78AB">
        <w:rPr>
          <w:lang w:eastAsia="en-AU"/>
        </w:rPr>
        <w:t>ed</w:t>
      </w:r>
      <w:r>
        <w:rPr>
          <w:lang w:eastAsia="en-AU"/>
        </w:rPr>
        <w:t xml:space="preserve"> approximately 423,000 square kilometres of land</w:t>
      </w:r>
      <w:r>
        <w:rPr>
          <w:rStyle w:val="FootnoteReference"/>
          <w:lang w:eastAsia="en-AU"/>
        </w:rPr>
        <w:footnoteReference w:id="3"/>
      </w:r>
      <w:r>
        <w:rPr>
          <w:lang w:eastAsia="en-AU"/>
        </w:rPr>
        <w:t>, accounting for 16</w:t>
      </w:r>
      <w:r w:rsidRPr="00922BB5">
        <w:rPr>
          <w:lang w:eastAsia="en-AU"/>
        </w:rPr>
        <w:t xml:space="preserve">% of </w:t>
      </w:r>
      <w:r>
        <w:rPr>
          <w:lang w:eastAsia="en-AU"/>
        </w:rPr>
        <w:t>Western Australia.</w:t>
      </w:r>
    </w:p>
    <w:p w14:paraId="6805D114" w14:textId="1D4FBE5B" w:rsidR="00A50E1C" w:rsidRDefault="005D4942" w:rsidP="00A50E1C">
      <w:r>
        <w:t xml:space="preserve">At </w:t>
      </w:r>
      <w:r w:rsidR="00256BB1">
        <w:t xml:space="preserve">the time of the </w:t>
      </w:r>
      <w:r w:rsidR="00F27BA5">
        <w:t>R</w:t>
      </w:r>
      <w:r w:rsidR="00256BB1">
        <w:t>eview,</w:t>
      </w:r>
      <w:r>
        <w:t xml:space="preserve"> there had</w:t>
      </w:r>
      <w:r w:rsidR="00A50E1C">
        <w:t xml:space="preserve"> been </w:t>
      </w:r>
      <w:r w:rsidR="00A50E1C" w:rsidRPr="00BC287A">
        <w:t>4</w:t>
      </w:r>
      <w:r w:rsidR="00AD3FC3" w:rsidRPr="00BC287A">
        <w:t>1</w:t>
      </w:r>
      <w:r w:rsidR="00A50E1C" w:rsidRPr="00BC287A">
        <w:t xml:space="preserve"> determinations</w:t>
      </w:r>
      <w:r w:rsidR="00A50E1C">
        <w:t xml:space="preserve"> of native title within the Kimberley region since the passage of the </w:t>
      </w:r>
      <w:r w:rsidR="00A50E1C" w:rsidRPr="7E6A3691">
        <w:rPr>
          <w:i/>
          <w:iCs/>
        </w:rPr>
        <w:t>Native Title Act</w:t>
      </w:r>
      <w:r w:rsidR="00A50E1C">
        <w:t xml:space="preserve"> </w:t>
      </w:r>
      <w:r w:rsidR="00A50E1C" w:rsidRPr="7E6A3691">
        <w:rPr>
          <w:i/>
          <w:iCs/>
        </w:rPr>
        <w:t>1993</w:t>
      </w:r>
      <w:r w:rsidR="00A50E1C">
        <w:rPr>
          <w:i/>
          <w:iCs/>
        </w:rPr>
        <w:t xml:space="preserve"> (NTA)</w:t>
      </w:r>
      <w:r w:rsidR="00A50E1C">
        <w:t xml:space="preserve">, </w:t>
      </w:r>
      <w:r w:rsidR="00A50E1C" w:rsidRPr="00BC287A">
        <w:t>1</w:t>
      </w:r>
      <w:r w:rsidR="00AD3FC3">
        <w:t>5</w:t>
      </w:r>
      <w:r w:rsidR="00A50E1C">
        <w:t xml:space="preserve"> of which have occurred since 1 July 2015. The KLC represented </w:t>
      </w:r>
      <w:r w:rsidR="00A50E1C" w:rsidRPr="00BC287A">
        <w:t>1</w:t>
      </w:r>
      <w:r w:rsidR="00AD3FC3">
        <w:t>3</w:t>
      </w:r>
      <w:r w:rsidR="00A50E1C">
        <w:t xml:space="preserve"> of these </w:t>
      </w:r>
      <w:r w:rsidR="00A50E1C" w:rsidRPr="00BC287A">
        <w:t>1</w:t>
      </w:r>
      <w:r w:rsidR="003F4D05">
        <w:t>5</w:t>
      </w:r>
      <w:r w:rsidR="00A50E1C">
        <w:t xml:space="preserve"> determinations</w:t>
      </w:r>
      <w:r w:rsidR="00A50E1C" w:rsidRPr="00BC287A">
        <w:t>; acting as the solicitor on record for</w:t>
      </w:r>
      <w:r w:rsidR="00A50E1C">
        <w:t xml:space="preserve"> </w:t>
      </w:r>
      <w:r w:rsidR="00715AC2">
        <w:t>all 13</w:t>
      </w:r>
      <w:r w:rsidR="00311EE2">
        <w:t>. They</w:t>
      </w:r>
      <w:r w:rsidR="00A50E1C">
        <w:t xml:space="preserve"> </w:t>
      </w:r>
      <w:r w:rsidR="00A50E1C" w:rsidRPr="00BC287A">
        <w:t>brief</w:t>
      </w:r>
      <w:r w:rsidR="00311EE2" w:rsidRPr="00BC287A">
        <w:t>ed</w:t>
      </w:r>
      <w:r w:rsidR="00A50E1C" w:rsidRPr="00BC287A">
        <w:t xml:space="preserve"> out one native title matter</w:t>
      </w:r>
      <w:r w:rsidR="00A50E1C">
        <w:t xml:space="preserve"> that was litigated </w:t>
      </w:r>
      <w:r w:rsidR="00A50E1C" w:rsidRPr="00BC287A">
        <w:t xml:space="preserve">and </w:t>
      </w:r>
      <w:r w:rsidR="003F4D05">
        <w:t>acted</w:t>
      </w:r>
      <w:r w:rsidR="00A50E1C" w:rsidRPr="00BC287A">
        <w:t xml:space="preserve"> for the applicant in another litigated matter</w:t>
      </w:r>
      <w:r w:rsidR="00A50E1C">
        <w:t xml:space="preserve">. These litigated matters resulted in the first litigated determinations in the Kimberley in over a decade. </w:t>
      </w:r>
    </w:p>
    <w:p w14:paraId="4232D3E4" w14:textId="373D5233" w:rsidR="00A50E1C" w:rsidRDefault="00A50E1C" w:rsidP="00A50E1C">
      <w:r>
        <w:t xml:space="preserve">As of June 2018, there were 24 active claims in the KLC’s RATSIB area, with 20 of them being represented by the KLC. </w:t>
      </w:r>
      <w:r w:rsidR="00256BB1">
        <w:t>A</w:t>
      </w:r>
      <w:r w:rsidR="00867811">
        <w:t xml:space="preserve"> </w:t>
      </w:r>
      <w:r>
        <w:t xml:space="preserve">further five new claims </w:t>
      </w:r>
      <w:r w:rsidR="00867811">
        <w:t>were</w:t>
      </w:r>
      <w:r>
        <w:t xml:space="preserve"> filed</w:t>
      </w:r>
      <w:r w:rsidR="00867811">
        <w:t xml:space="preserve"> after 1 July 2018</w:t>
      </w:r>
      <w:r w:rsidR="00256BB1">
        <w:t xml:space="preserve"> up to the time the </w:t>
      </w:r>
      <w:r w:rsidR="00F27BA5">
        <w:t>R</w:t>
      </w:r>
      <w:r w:rsidR="00256BB1">
        <w:t>eview took place. Four</w:t>
      </w:r>
      <w:r>
        <w:t xml:space="preserve"> of </w:t>
      </w:r>
      <w:r w:rsidR="00256BB1">
        <w:t>these</w:t>
      </w:r>
      <w:r>
        <w:t xml:space="preserve"> </w:t>
      </w:r>
      <w:r w:rsidR="00867811">
        <w:t>we</w:t>
      </w:r>
      <w:r>
        <w:t>re represented by the KLC</w:t>
      </w:r>
      <w:r w:rsidR="00001C9A">
        <w:t>.</w:t>
      </w:r>
    </w:p>
    <w:p w14:paraId="32F7B3B0" w14:textId="4F279E85" w:rsidR="00A50E1C" w:rsidRDefault="00A50E1C" w:rsidP="00A50E1C">
      <w:pPr>
        <w:rPr>
          <w:lang w:eastAsia="en-AU"/>
        </w:rPr>
      </w:pPr>
      <w:r>
        <w:rPr>
          <w:lang w:eastAsia="en-AU"/>
        </w:rPr>
        <w:t xml:space="preserve">There </w:t>
      </w:r>
      <w:r w:rsidR="00867811">
        <w:rPr>
          <w:lang w:eastAsia="en-AU"/>
        </w:rPr>
        <w:t>we</w:t>
      </w:r>
      <w:r>
        <w:rPr>
          <w:lang w:eastAsia="en-AU"/>
        </w:rPr>
        <w:t>re 16 P</w:t>
      </w:r>
      <w:r w:rsidR="00214397">
        <w:rPr>
          <w:lang w:eastAsia="en-AU"/>
        </w:rPr>
        <w:t xml:space="preserve">rescribed </w:t>
      </w:r>
      <w:r>
        <w:rPr>
          <w:lang w:eastAsia="en-AU"/>
        </w:rPr>
        <w:t>B</w:t>
      </w:r>
      <w:r w:rsidR="00214397">
        <w:rPr>
          <w:lang w:eastAsia="en-AU"/>
        </w:rPr>
        <w:t xml:space="preserve">odies </w:t>
      </w:r>
      <w:r>
        <w:rPr>
          <w:lang w:eastAsia="en-AU"/>
        </w:rPr>
        <w:t>C</w:t>
      </w:r>
      <w:r w:rsidR="00214397">
        <w:rPr>
          <w:lang w:eastAsia="en-AU"/>
        </w:rPr>
        <w:t>orporate (PBC</w:t>
      </w:r>
      <w:r>
        <w:rPr>
          <w:lang w:eastAsia="en-AU"/>
        </w:rPr>
        <w:t>s</w:t>
      </w:r>
      <w:r w:rsidR="00214397">
        <w:rPr>
          <w:lang w:eastAsia="en-AU"/>
        </w:rPr>
        <w:t>)</w:t>
      </w:r>
      <w:r>
        <w:rPr>
          <w:lang w:eastAsia="en-AU"/>
        </w:rPr>
        <w:t xml:space="preserve"> within the RATSIB area</w:t>
      </w:r>
      <w:r w:rsidR="00867811">
        <w:rPr>
          <w:lang w:eastAsia="en-AU"/>
        </w:rPr>
        <w:t xml:space="preserve"> at </w:t>
      </w:r>
      <w:r w:rsidR="00256BB1">
        <w:rPr>
          <w:lang w:eastAsia="en-AU"/>
        </w:rPr>
        <w:t xml:space="preserve">the time of the </w:t>
      </w:r>
      <w:r w:rsidR="00F27BA5">
        <w:rPr>
          <w:lang w:eastAsia="en-AU"/>
        </w:rPr>
        <w:t>R</w:t>
      </w:r>
      <w:r w:rsidR="00256BB1">
        <w:rPr>
          <w:lang w:eastAsia="en-AU"/>
        </w:rPr>
        <w:t>eview</w:t>
      </w:r>
      <w:r>
        <w:rPr>
          <w:lang w:eastAsia="en-AU"/>
        </w:rPr>
        <w:t>, and four yet to be established after achieving determinations in late-2018. The KLC secured funding to support 13 PBCs for the year ending 30 June 2018.</w:t>
      </w:r>
      <w:r>
        <w:rPr>
          <w:rStyle w:val="FootnoteReference"/>
          <w:lang w:eastAsia="en-AU"/>
        </w:rPr>
        <w:footnoteReference w:id="4"/>
      </w:r>
    </w:p>
    <w:p w14:paraId="63B522F4" w14:textId="1A30ECD2" w:rsidR="00A50E1C" w:rsidRDefault="00A50E1C" w:rsidP="00A50E1C">
      <w:pPr>
        <w:rPr>
          <w:lang w:eastAsia="en-AU"/>
        </w:rPr>
      </w:pPr>
      <w:r>
        <w:rPr>
          <w:lang w:eastAsia="en-AU"/>
        </w:rPr>
        <w:t xml:space="preserve">The KLC’s grant funding fluctuated over the review period with a slightly upward trend. In 2015/16 the organisation received $11,165,574 in </w:t>
      </w:r>
      <w:r w:rsidR="00DF4DB5">
        <w:rPr>
          <w:lang w:eastAsia="en-AU"/>
        </w:rPr>
        <w:t>NIAA</w:t>
      </w:r>
      <w:r>
        <w:rPr>
          <w:lang w:eastAsia="en-AU"/>
        </w:rPr>
        <w:t xml:space="preserve"> </w:t>
      </w:r>
      <w:r w:rsidRPr="002A6491">
        <w:rPr>
          <w:iCs/>
          <w:lang w:eastAsia="en-AU"/>
        </w:rPr>
        <w:t>NTA</w:t>
      </w:r>
      <w:r>
        <w:rPr>
          <w:lang w:eastAsia="en-AU"/>
        </w:rPr>
        <w:t xml:space="preserve"> grant funding, which increased to $12,339,972 in 2016/17 (largely due to a variation which granted a large early milestone payment). This amount fell again to $11,306,288 in 2017/18.</w:t>
      </w:r>
      <w:r>
        <w:rPr>
          <w:rStyle w:val="FootnoteReference"/>
          <w:lang w:eastAsia="en-AU"/>
        </w:rPr>
        <w:footnoteReference w:id="5"/>
      </w:r>
    </w:p>
    <w:p w14:paraId="370AD770" w14:textId="026A3FC4" w:rsidR="00A50E1C" w:rsidRDefault="00A50E1C" w:rsidP="00A50E1C">
      <w:r>
        <w:t>The KLC holds one share representing 100% ownership in the company Kimberley Sustainable Development Pty Ltd, which acts solely as a trustee for the Kimberley Sustainable Development Charitable Trust. The KLC has no rights to income or capital held by this trust fund</w:t>
      </w:r>
      <w:r>
        <w:rPr>
          <w:rStyle w:val="FootnoteReference"/>
        </w:rPr>
        <w:footnoteReference w:id="6"/>
      </w:r>
      <w:r>
        <w:t xml:space="preserve">. </w:t>
      </w:r>
      <w:r w:rsidRPr="00BC287A">
        <w:t>The KLC also maintains informal relationships with the Ambooriny Burru Foundation, which owns Kimberley Regional Economic Development (KRED) Enterprises and its three subsidiary companies; Environmental Heritage Social Impact Services (EHSIS), Arma Legal (formerly KRED Legal) and the Kimberley Agriculture and Pastoral Company.</w:t>
      </w:r>
      <w:r>
        <w:t xml:space="preserve"> The partnership for the Ambooriny Burru Foundation was originally facilitated by KLC through bringing together Traditional Owners from </w:t>
      </w:r>
      <w:r w:rsidR="00323462">
        <w:t>various</w:t>
      </w:r>
      <w:r>
        <w:t xml:space="preserve"> native title claim groups.</w:t>
      </w:r>
    </w:p>
    <w:p w14:paraId="35F7B3A3" w14:textId="1DE7C9A0" w:rsidR="00A50E1C" w:rsidRDefault="001A447C" w:rsidP="00A50E1C">
      <w:pPr>
        <w:rPr>
          <w:lang w:eastAsia="en-AU"/>
        </w:rPr>
      </w:pPr>
      <w:r>
        <w:rPr>
          <w:lang w:eastAsia="en-AU"/>
        </w:rPr>
        <w:t xml:space="preserve">At </w:t>
      </w:r>
      <w:r w:rsidR="00256BB1">
        <w:rPr>
          <w:lang w:eastAsia="en-AU"/>
        </w:rPr>
        <w:t xml:space="preserve">the time of the </w:t>
      </w:r>
      <w:r w:rsidR="00F27BA5">
        <w:rPr>
          <w:lang w:eastAsia="en-AU"/>
        </w:rPr>
        <w:t>R</w:t>
      </w:r>
      <w:r w:rsidR="00256BB1">
        <w:rPr>
          <w:lang w:eastAsia="en-AU"/>
        </w:rPr>
        <w:t>eview,</w:t>
      </w:r>
      <w:r>
        <w:rPr>
          <w:lang w:eastAsia="en-AU"/>
        </w:rPr>
        <w:t xml:space="preserve"> t</w:t>
      </w:r>
      <w:r w:rsidR="00A50E1C">
        <w:rPr>
          <w:lang w:eastAsia="en-AU"/>
        </w:rPr>
        <w:t>he KLC ha</w:t>
      </w:r>
      <w:r>
        <w:rPr>
          <w:lang w:eastAsia="en-AU"/>
        </w:rPr>
        <w:t>d</w:t>
      </w:r>
      <w:r w:rsidR="00A50E1C">
        <w:rPr>
          <w:lang w:eastAsia="en-AU"/>
        </w:rPr>
        <w:t xml:space="preserve"> three offices: their headquarters in Broome and two site offices in Kununurra and Derby. The KLC’s board is member based, with two-year terms. The board of Directors can have a maximum of 32 members, including four cultural advisors who are responsible for working with Directors, members and Traditional Owners to provide expert cultural advice and support. As of </w:t>
      </w:r>
      <w:r w:rsidR="00323462">
        <w:rPr>
          <w:lang w:eastAsia="en-AU"/>
        </w:rPr>
        <w:t xml:space="preserve">30 June </w:t>
      </w:r>
      <w:r w:rsidR="00323462">
        <w:rPr>
          <w:lang w:eastAsia="en-AU"/>
        </w:rPr>
        <w:lastRenderedPageBreak/>
        <w:t>2018,</w:t>
      </w:r>
      <w:r w:rsidR="00A50E1C">
        <w:rPr>
          <w:lang w:eastAsia="en-AU"/>
        </w:rPr>
        <w:t xml:space="preserve"> the KLC board had 26 Directors, including four cultural advisors. In September 2018, three new members were elected to the board at the KLC annual general meeting.</w:t>
      </w:r>
    </w:p>
    <w:p w14:paraId="7AB346C8" w14:textId="0A8F702D" w:rsidR="00A50E1C" w:rsidRDefault="00A50E1C" w:rsidP="00A50E1C">
      <w:pPr>
        <w:rPr>
          <w:lang w:eastAsia="en-AU"/>
        </w:rPr>
      </w:pPr>
      <w:r>
        <w:rPr>
          <w:lang w:eastAsia="en-AU"/>
        </w:rPr>
        <w:t>The KLC ha</w:t>
      </w:r>
      <w:r w:rsidR="00C17470">
        <w:rPr>
          <w:lang w:eastAsia="en-AU"/>
        </w:rPr>
        <w:t>d</w:t>
      </w:r>
      <w:r>
        <w:rPr>
          <w:lang w:eastAsia="en-AU"/>
        </w:rPr>
        <w:t xml:space="preserve"> an unusual organisational structure, with the heads of all six of its business unit reporting to the Deputy CEO, who reports to the CEO. The CEO then reports to the Board. The KLC employed 65 staff (excluding those in the Land and Sea Management Unit and Indigenous rangers) as at 30 June 2018; of these 45</w:t>
      </w:r>
      <w:r w:rsidR="00817947">
        <w:rPr>
          <w:lang w:eastAsia="en-AU"/>
        </w:rPr>
        <w:t>%</w:t>
      </w:r>
      <w:r>
        <w:rPr>
          <w:lang w:eastAsia="en-AU"/>
        </w:rPr>
        <w:t xml:space="preserve"> are Indigenous. This is an increase from the 51 staff they employed in 2015/16.</w:t>
      </w:r>
      <w:r>
        <w:rPr>
          <w:rStyle w:val="FootnoteReference"/>
          <w:lang w:eastAsia="en-AU"/>
        </w:rPr>
        <w:footnoteReference w:id="7"/>
      </w:r>
      <w:r>
        <w:rPr>
          <w:lang w:eastAsia="en-AU"/>
        </w:rPr>
        <w:t xml:space="preserve"> Of the total of 65 staff</w:t>
      </w:r>
      <w:r w:rsidR="00041056">
        <w:rPr>
          <w:lang w:eastAsia="en-AU"/>
        </w:rPr>
        <w:t>,</w:t>
      </w:r>
      <w:r>
        <w:rPr>
          <w:lang w:eastAsia="en-AU"/>
        </w:rPr>
        <w:t xml:space="preserve"> 37 (57%) work directly on native title issues and 28 (43%) are executive, corporate and financial staff. The KLC report that part of the increase since 2015 is due to a number of staff on maternity leave who have been replaced by temporary staff, and this raises their total number of staff employed.</w:t>
      </w:r>
    </w:p>
    <w:p w14:paraId="36854BB8" w14:textId="48EE1F50" w:rsidR="00041056" w:rsidRDefault="00041056" w:rsidP="00A50E1C">
      <w:pPr>
        <w:rPr>
          <w:lang w:eastAsia="en-AU"/>
        </w:rPr>
      </w:pPr>
      <w:r>
        <w:rPr>
          <w:lang w:eastAsia="en-AU"/>
        </w:rPr>
        <w:br w:type="page"/>
      </w:r>
    </w:p>
    <w:p w14:paraId="5FE8A568" w14:textId="432BEBB2" w:rsidR="00525012" w:rsidRPr="009958DC" w:rsidRDefault="00E5318B" w:rsidP="00525012">
      <w:pPr>
        <w:pStyle w:val="Heading1"/>
      </w:pPr>
      <w:bookmarkStart w:id="25" w:name="_Toc68071596"/>
      <w:bookmarkEnd w:id="15"/>
      <w:bookmarkEnd w:id="16"/>
      <w:bookmarkEnd w:id="17"/>
      <w:bookmarkEnd w:id="18"/>
      <w:bookmarkEnd w:id="19"/>
      <w:bookmarkEnd w:id="20"/>
      <w:bookmarkEnd w:id="21"/>
      <w:bookmarkEnd w:id="22"/>
      <w:bookmarkEnd w:id="23"/>
      <w:bookmarkEnd w:id="24"/>
      <w:r>
        <w:lastRenderedPageBreak/>
        <w:t>Findings and recommendations by Terms of Reference</w:t>
      </w:r>
      <w:bookmarkEnd w:id="25"/>
    </w:p>
    <w:p w14:paraId="734BDD14" w14:textId="66D22770" w:rsidR="00E7728A" w:rsidRPr="009958DC" w:rsidRDefault="00E7728A" w:rsidP="00E7728A">
      <w:r w:rsidRPr="009958DC">
        <w:rPr>
          <w:lang w:eastAsia="en-AU"/>
        </w:rPr>
        <w:t xml:space="preserve">The following sections of the report provide a </w:t>
      </w:r>
      <w:r w:rsidR="009958DC" w:rsidRPr="009958DC">
        <w:rPr>
          <w:lang w:eastAsia="en-AU"/>
        </w:rPr>
        <w:t>summary</w:t>
      </w:r>
      <w:r w:rsidRPr="009958DC">
        <w:rPr>
          <w:lang w:eastAsia="en-AU"/>
        </w:rPr>
        <w:t xml:space="preserve"> of</w:t>
      </w:r>
      <w:r w:rsidR="007E751B">
        <w:rPr>
          <w:lang w:eastAsia="en-AU"/>
        </w:rPr>
        <w:t xml:space="preserve"> the KLC</w:t>
      </w:r>
      <w:r w:rsidR="0039690F" w:rsidRPr="009958DC">
        <w:rPr>
          <w:lang w:eastAsia="en-AU"/>
        </w:rPr>
        <w:t>’</w:t>
      </w:r>
      <w:r w:rsidR="007E751B">
        <w:rPr>
          <w:lang w:eastAsia="en-AU"/>
        </w:rPr>
        <w:t>s</w:t>
      </w:r>
      <w:r w:rsidR="0039690F" w:rsidRPr="009958DC">
        <w:rPr>
          <w:lang w:eastAsia="en-AU"/>
        </w:rPr>
        <w:t xml:space="preserve"> performance against the T</w:t>
      </w:r>
      <w:r w:rsidRPr="009958DC">
        <w:rPr>
          <w:lang w:eastAsia="en-AU"/>
        </w:rPr>
        <w:t xml:space="preserve">erms of </w:t>
      </w:r>
      <w:r w:rsidR="0039690F" w:rsidRPr="009958DC">
        <w:rPr>
          <w:lang w:eastAsia="en-AU"/>
        </w:rPr>
        <w:t>R</w:t>
      </w:r>
      <w:r w:rsidRPr="009958DC">
        <w:rPr>
          <w:lang w:eastAsia="en-AU"/>
        </w:rPr>
        <w:t>eference for the Review</w:t>
      </w:r>
      <w:r w:rsidR="008F436A">
        <w:rPr>
          <w:lang w:eastAsia="en-AU"/>
        </w:rPr>
        <w:t>.</w:t>
      </w:r>
    </w:p>
    <w:p w14:paraId="1F9E353F" w14:textId="0EB703F9" w:rsidR="00416856" w:rsidRPr="0084761C" w:rsidRDefault="00DA55FF" w:rsidP="00CC391E">
      <w:pPr>
        <w:pStyle w:val="Heading2"/>
      </w:pPr>
      <w:bookmarkStart w:id="26" w:name="_Ref501893080"/>
      <w:bookmarkStart w:id="27" w:name="_Toc502839777"/>
      <w:bookmarkStart w:id="28" w:name="_Toc502843253"/>
      <w:bookmarkStart w:id="29" w:name="_Toc502847616"/>
      <w:bookmarkStart w:id="30" w:name="_Toc502850760"/>
      <w:bookmarkStart w:id="31" w:name="_Toc502855192"/>
      <w:bookmarkStart w:id="32" w:name="_Toc503117091"/>
      <w:bookmarkStart w:id="33" w:name="_Toc505259168"/>
      <w:bookmarkStart w:id="34" w:name="_Toc505256235"/>
      <w:bookmarkStart w:id="35" w:name="_Toc505618278"/>
      <w:r w:rsidRPr="0084761C">
        <w:t>T</w:t>
      </w:r>
      <w:r w:rsidR="00F64BB4" w:rsidRPr="0084761C">
        <w:t>OR</w:t>
      </w:r>
      <w:r w:rsidRPr="0084761C">
        <w:t xml:space="preserve"> 1.1 </w:t>
      </w:r>
      <w:r w:rsidR="00E87CBE" w:rsidRPr="0084761C">
        <w:t xml:space="preserve">| </w:t>
      </w:r>
      <w:r w:rsidR="00EB1298" w:rsidRPr="0084761C">
        <w:t xml:space="preserve">Review and assess each organisation’s efficiency and effectiveness in performing the functions of a native title representative body over the past 3 years (with the main focus on recent performance) including: native title claim outcomes achieved for clients. </w:t>
      </w:r>
      <w:bookmarkEnd w:id="26"/>
      <w:bookmarkEnd w:id="27"/>
      <w:bookmarkEnd w:id="28"/>
      <w:bookmarkEnd w:id="29"/>
      <w:bookmarkEnd w:id="30"/>
      <w:bookmarkEnd w:id="31"/>
      <w:bookmarkEnd w:id="32"/>
      <w:bookmarkEnd w:id="33"/>
      <w:bookmarkEnd w:id="34"/>
      <w:bookmarkEnd w:id="35"/>
    </w:p>
    <w:p w14:paraId="1E202A25" w14:textId="77777777" w:rsidR="00F64BB4" w:rsidRPr="00F64BB4" w:rsidRDefault="00F64BB4" w:rsidP="00F64BB4">
      <w:pPr>
        <w:rPr>
          <w:lang w:eastAsia="en-AU"/>
        </w:rPr>
      </w:pPr>
    </w:p>
    <w:p w14:paraId="4ADA2063" w14:textId="77777777" w:rsidR="00A5790A" w:rsidRPr="00943C07" w:rsidRDefault="00A5790A" w:rsidP="00A5790A">
      <w:pPr>
        <w:shd w:val="clear" w:color="auto" w:fill="E6E6E1" w:themeFill="accent5"/>
        <w:spacing w:after="165" w:line="259" w:lineRule="auto"/>
        <w:rPr>
          <w:rFonts w:eastAsia="Times New Roman"/>
          <w:b/>
          <w:bCs/>
          <w:color w:val="00264D" w:themeColor="background2"/>
          <w:lang w:eastAsia="en-AU"/>
        </w:rPr>
      </w:pPr>
      <w:r w:rsidRPr="00943C07">
        <w:rPr>
          <w:rFonts w:eastAsia="Times New Roman"/>
          <w:b/>
          <w:color w:val="00264D" w:themeColor="background2"/>
          <w:lang w:eastAsia="en-AU"/>
        </w:rPr>
        <w:t>The KLC has a history of achieving native title outcomes for clients, representing 15  determinations since 1 July 2015, briefing out one native title matter that was litigated and acting for the applicant in another litigated matter.</w:t>
      </w:r>
      <w:r w:rsidRPr="00943C07">
        <w:rPr>
          <w:rFonts w:eastAsia="Times New Roman"/>
          <w:bCs/>
          <w:color w:val="00264D" w:themeColor="background2"/>
          <w:lang w:eastAsia="en-AU"/>
        </w:rPr>
        <w:t xml:space="preserve"> This success is the result of strong and collaborative internal legal and anthropological capability and effective management of native title matters.  The KLC takes a proactive and forceful approach in initiating actions to protect clients’ rights and interests. </w:t>
      </w:r>
    </w:p>
    <w:p w14:paraId="2D195E7E" w14:textId="77777777" w:rsidR="00A5790A" w:rsidRPr="00943C07" w:rsidRDefault="00A5790A" w:rsidP="00A5790A">
      <w:pPr>
        <w:shd w:val="clear" w:color="auto" w:fill="E6E6E1" w:themeFill="accent5"/>
        <w:spacing w:after="165" w:line="259" w:lineRule="auto"/>
        <w:rPr>
          <w:rFonts w:eastAsia="Times New Roman"/>
          <w:b/>
          <w:bCs/>
          <w:color w:val="00264D" w:themeColor="background2"/>
          <w:lang w:eastAsia="en-AU"/>
        </w:rPr>
      </w:pPr>
      <w:r w:rsidRPr="00943C07">
        <w:rPr>
          <w:rFonts w:eastAsia="Times New Roman"/>
          <w:bCs/>
          <w:color w:val="00264D" w:themeColor="background2"/>
          <w:lang w:eastAsia="en-AU"/>
        </w:rPr>
        <w:t xml:space="preserve">The management of successful outcomes has occurred in a challenging environment with external impacts including court pressures and high levels of future act workload. </w:t>
      </w:r>
    </w:p>
    <w:p w14:paraId="414ACA29" w14:textId="77777777" w:rsidR="00A5790A" w:rsidRPr="00943C07" w:rsidRDefault="00A5790A" w:rsidP="00A5790A">
      <w:pPr>
        <w:shd w:val="clear" w:color="auto" w:fill="E6E6E1" w:themeFill="accent5"/>
        <w:spacing w:after="0" w:line="259" w:lineRule="auto"/>
        <w:rPr>
          <w:b/>
          <w:color w:val="00264D" w:themeColor="background2"/>
        </w:rPr>
      </w:pPr>
      <w:r w:rsidRPr="00943C07">
        <w:rPr>
          <w:rFonts w:eastAsia="Times New Roman"/>
          <w:bCs/>
          <w:color w:val="00264D" w:themeColor="background2"/>
          <w:lang w:eastAsia="en-AU"/>
        </w:rPr>
        <w:t>There is some mixed feedback from clients about their satisfaction with native title outcomes. While many perceive the KLC as an organisation that has a strong focus on land rights and highly representative of the community there were others, particularly in the East Kimberley region, who believed they could improve their communication and approach to resolving intra-Indigenous disputes.</w:t>
      </w:r>
    </w:p>
    <w:p w14:paraId="08CB3F05" w14:textId="77777777" w:rsidR="00240113" w:rsidRPr="008F436A" w:rsidRDefault="00240113" w:rsidP="008F436A">
      <w:pPr>
        <w:rPr>
          <w:lang w:eastAsia="en-AU"/>
        </w:rPr>
      </w:pPr>
    </w:p>
    <w:p w14:paraId="579C6769" w14:textId="77777777" w:rsidR="007E751B" w:rsidRPr="00943C07" w:rsidRDefault="007E751B" w:rsidP="00B22FD9">
      <w:pPr>
        <w:outlineLvl w:val="2"/>
        <w:rPr>
          <w:b/>
          <w:bCs/>
          <w:i/>
          <w:iCs/>
          <w:color w:val="00264D" w:themeColor="background2"/>
        </w:rPr>
      </w:pPr>
      <w:r w:rsidRPr="00943C07">
        <w:rPr>
          <w:b/>
          <w:bCs/>
          <w:i/>
          <w:iCs/>
          <w:color w:val="00264D" w:themeColor="background2"/>
        </w:rPr>
        <w:t>The KLC has been successful in delivering native title outcomes for clients during the review period.</w:t>
      </w:r>
    </w:p>
    <w:p w14:paraId="51B56CE8" w14:textId="60B3EFF2" w:rsidR="007E751B" w:rsidRPr="005C4334" w:rsidRDefault="007E751B" w:rsidP="007E751B">
      <w:r w:rsidRPr="00F971A7">
        <w:t>There have been 4</w:t>
      </w:r>
      <w:r w:rsidR="005328CF" w:rsidRPr="00F971A7">
        <w:t>1</w:t>
      </w:r>
      <w:r w:rsidRPr="00F971A7">
        <w:t xml:space="preserve"> determinations of native title within the Kimberley region since the passage of the </w:t>
      </w:r>
      <w:r w:rsidRPr="00F971A7">
        <w:rPr>
          <w:i/>
          <w:iCs/>
        </w:rPr>
        <w:t>Native Title Act</w:t>
      </w:r>
      <w:r w:rsidRPr="00F971A7">
        <w:t xml:space="preserve"> </w:t>
      </w:r>
      <w:r w:rsidRPr="00F971A7">
        <w:rPr>
          <w:i/>
          <w:iCs/>
        </w:rPr>
        <w:t>1993 (NTA)</w:t>
      </w:r>
      <w:r w:rsidRPr="00F971A7">
        <w:t>, 1</w:t>
      </w:r>
      <w:r w:rsidR="005328CF" w:rsidRPr="00F971A7">
        <w:t>5</w:t>
      </w:r>
      <w:r w:rsidRPr="00F971A7">
        <w:t xml:space="preserve"> of which have occurred since 1 July 2015. As described above the KLC represented </w:t>
      </w:r>
      <w:r w:rsidRPr="00084EE5">
        <w:t>1</w:t>
      </w:r>
      <w:r w:rsidR="00AA59E7" w:rsidRPr="00084EE5">
        <w:t>3</w:t>
      </w:r>
      <w:r w:rsidRPr="00F971A7">
        <w:t xml:space="preserve"> of these 1</w:t>
      </w:r>
      <w:r w:rsidR="005328CF" w:rsidRPr="00F971A7">
        <w:t>5</w:t>
      </w:r>
      <w:r w:rsidRPr="00F971A7">
        <w:t xml:space="preserve"> determinations; acting as the solicitor on record for </w:t>
      </w:r>
      <w:r w:rsidR="005708AC" w:rsidRPr="00F971A7">
        <w:t>13</w:t>
      </w:r>
      <w:r w:rsidRPr="00F971A7">
        <w:t xml:space="preserve"> of them, briefed out one native title matter that was litigated and acted for the applicant in another litigated matter. These litigated matters resulted in the first litigated determinations in the Kimberley in over a decade.</w:t>
      </w:r>
      <w:r w:rsidRPr="005C4334">
        <w:t xml:space="preserve"> </w:t>
      </w:r>
    </w:p>
    <w:p w14:paraId="381FF086" w14:textId="7B3DFC1D" w:rsidR="007E751B" w:rsidRDefault="007E751B" w:rsidP="007E751B">
      <w:r w:rsidRPr="005C4334">
        <w:t xml:space="preserve">Five of the </w:t>
      </w:r>
      <w:r w:rsidR="005C4334" w:rsidRPr="005C4334">
        <w:t>15</w:t>
      </w:r>
      <w:r w:rsidRPr="005C4334">
        <w:t xml:space="preserve"> claims which have occurred since July 1, 2015 have been determined in the final few months of 2018 and early in 2019</w:t>
      </w:r>
      <w:r>
        <w:t>. These claim groups do not yet have PBCs.</w:t>
      </w:r>
    </w:p>
    <w:p w14:paraId="3C5B2244" w14:textId="6919AE7A" w:rsidR="007E751B" w:rsidRPr="006C3821" w:rsidRDefault="007E751B" w:rsidP="007E751B">
      <w:r>
        <w:t xml:space="preserve">The KLC’s average time from filing </w:t>
      </w:r>
      <w:r w:rsidRPr="006C3821">
        <w:t xml:space="preserve">to determination for the </w:t>
      </w:r>
      <w:r w:rsidRPr="00084EE5">
        <w:t>1</w:t>
      </w:r>
      <w:r w:rsidR="00084EE5" w:rsidRPr="00084EE5">
        <w:t>5</w:t>
      </w:r>
      <w:r w:rsidRPr="006C3821">
        <w:t xml:space="preserve"> determined claims it has represented since 1 July 2015</w:t>
      </w:r>
      <w:r w:rsidRPr="006C3821">
        <w:rPr>
          <w:rStyle w:val="FootnoteReference"/>
        </w:rPr>
        <w:footnoteReference w:id="8"/>
      </w:r>
      <w:r w:rsidRPr="006C3821">
        <w:t xml:space="preserve"> was 6 years, 46 weeks. The KLC also progressed a varied mix of new and old claims to determination since 1 July 2015, with its longest claim taking 20 years, 17 weeks to reach determination and its shortest taking only 39 weeks.</w:t>
      </w:r>
    </w:p>
    <w:p w14:paraId="0F3E5F86" w14:textId="77777777" w:rsidR="007E751B" w:rsidRPr="006C3821" w:rsidRDefault="007E751B" w:rsidP="007E751B">
      <w:r w:rsidRPr="006C3821">
        <w:t xml:space="preserve">Both internal and external stakeholders expressed a view that the KLC has made a significant contribution to achieving native title outcomes. This includes playing a facilitative role for claimants that were not formally represented by the KLC. </w:t>
      </w:r>
    </w:p>
    <w:p w14:paraId="740D2BA2" w14:textId="67B25C92" w:rsidR="002A0F77" w:rsidRDefault="002A0F77" w:rsidP="002A0F77">
      <w:r w:rsidRPr="006C3821">
        <w:lastRenderedPageBreak/>
        <w:t>As of June 2018, there were 24 active claims in the KLC’s RATSIB area, with 18 of them being represented by the KLC. Since 1 July 2018 a further five new claims have been filed, four of which are represented by the KLC and one of which has been briefed out.</w:t>
      </w:r>
      <w:r w:rsidRPr="006C3821" w:rsidDel="00D54298">
        <w:t xml:space="preserve"> </w:t>
      </w:r>
      <w:r w:rsidRPr="006C3821">
        <w:t>Furthermore, there have been five additional determinations in that time. This brings the KLC’s current total of active</w:t>
      </w:r>
      <w:r>
        <w:t xml:space="preserve"> claims to 17. </w:t>
      </w:r>
    </w:p>
    <w:p w14:paraId="42C89384" w14:textId="47BCB532" w:rsidR="003E1C68" w:rsidRDefault="003E1C68" w:rsidP="003E1C68">
      <w:pPr>
        <w:rPr>
          <w:lang w:eastAsia="en-AU"/>
        </w:rPr>
      </w:pPr>
      <w:r>
        <w:rPr>
          <w:lang w:eastAsia="en-AU"/>
        </w:rPr>
        <w:t>Much of the Kimberley is now determined (approximately 80-85</w:t>
      </w:r>
      <w:r w:rsidR="00817947">
        <w:rPr>
          <w:lang w:eastAsia="en-AU"/>
        </w:rPr>
        <w:t>%</w:t>
      </w:r>
      <w:r>
        <w:rPr>
          <w:lang w:eastAsia="en-AU"/>
        </w:rPr>
        <w:t xml:space="preserve">) as is shown in </w:t>
      </w:r>
      <w:r>
        <w:t>the figure above</w:t>
      </w:r>
      <w:r>
        <w:rPr>
          <w:lang w:eastAsia="en-AU"/>
        </w:rPr>
        <w:t>. The undetermined areas (and many of the active claims) are boundary areas. These claims generally require more extensive research and carry a higher risk of intra-group conflict than those already determined.</w:t>
      </w:r>
    </w:p>
    <w:p w14:paraId="23D0081F" w14:textId="77777777" w:rsidR="003E1C68" w:rsidRDefault="003E1C68" w:rsidP="003E1C68">
      <w:pPr>
        <w:rPr>
          <w:lang w:eastAsia="en-AU"/>
        </w:rPr>
      </w:pPr>
      <w:r>
        <w:rPr>
          <w:lang w:eastAsia="en-AU"/>
        </w:rPr>
        <w:t>Stakeholders acknowledged that achieving high quality native title outcomes will become increasingly difficult. The KLC’s approach to progressing claims and other matters has always been to prioritise matters with the least complexity first to achieve native title outcomes quickly and establish favourable legal precedent. This is not unlike other NTRB-SPs as is discussed in detail in TOR 1.2 below.</w:t>
      </w:r>
    </w:p>
    <w:p w14:paraId="1A6228EC" w14:textId="3331ACC1" w:rsidR="003E1C68" w:rsidRDefault="003E1C68" w:rsidP="002A0F77">
      <w:pPr>
        <w:rPr>
          <w:lang w:eastAsia="en-AU"/>
        </w:rPr>
      </w:pPr>
      <w:r>
        <w:rPr>
          <w:lang w:eastAsia="en-AU"/>
        </w:rPr>
        <w:t>The KLC has very clear policies and procedures for managing each step of the claim process. These are described in the Guidelines for Assistance in Native Title Claims.</w:t>
      </w:r>
      <w:r>
        <w:rPr>
          <w:rStyle w:val="FootnoteReference"/>
          <w:lang w:eastAsia="en-AU"/>
        </w:rPr>
        <w:footnoteReference w:id="9"/>
      </w:r>
      <w:r>
        <w:rPr>
          <w:lang w:eastAsia="en-AU"/>
        </w:rPr>
        <w:t xml:space="preserve"> Staff follow these closely so that their process is predictable and defensible to their community. This is done primarily as good practice, but also to provide a solid basis for managing any real or perceived conflicts of interest. </w:t>
      </w:r>
    </w:p>
    <w:p w14:paraId="66E362D5" w14:textId="22113C61" w:rsidR="007E751B" w:rsidRDefault="009759FE" w:rsidP="007E751B">
      <w:pPr>
        <w:rPr>
          <w:lang w:eastAsia="en-AU"/>
        </w:rPr>
      </w:pPr>
      <w:r>
        <w:rPr>
          <w:lang w:eastAsia="en-AU"/>
        </w:rPr>
        <w:t xml:space="preserve">Nine of the </w:t>
      </w:r>
      <w:r w:rsidR="005C4334">
        <w:rPr>
          <w:lang w:eastAsia="en-AU"/>
        </w:rPr>
        <w:t>thirteen</w:t>
      </w:r>
      <w:r>
        <w:rPr>
          <w:lang w:eastAsia="en-AU"/>
        </w:rPr>
        <w:t xml:space="preserve"> claims represented by the KLC since 1 July 2015 have been determined by consent.</w:t>
      </w:r>
    </w:p>
    <w:p w14:paraId="3C536656" w14:textId="020E95E4" w:rsidR="007E751B" w:rsidRPr="005113B7" w:rsidRDefault="007E751B" w:rsidP="007E751B">
      <w:pPr>
        <w:pStyle w:val="Caption"/>
        <w:keepNext/>
        <w:tabs>
          <w:tab w:val="left" w:pos="4536"/>
        </w:tabs>
      </w:pPr>
      <w:r w:rsidRPr="005113B7">
        <w:lastRenderedPageBreak/>
        <w:t xml:space="preserve">Figure </w:t>
      </w:r>
      <w:r w:rsidRPr="005113B7">
        <w:fldChar w:fldCharType="begin"/>
      </w:r>
      <w:r w:rsidRPr="005113B7">
        <w:instrText xml:space="preserve"> SEQ Figure \* ARABIC </w:instrText>
      </w:r>
      <w:r w:rsidRPr="005113B7">
        <w:fldChar w:fldCharType="separate"/>
      </w:r>
      <w:r w:rsidR="008E21A3">
        <w:rPr>
          <w:noProof/>
        </w:rPr>
        <w:t>1</w:t>
      </w:r>
      <w:r w:rsidRPr="005113B7">
        <w:fldChar w:fldCharType="end"/>
      </w:r>
      <w:r w:rsidRPr="005113B7">
        <w:t xml:space="preserve"> | Kimberley region </w:t>
      </w:r>
      <w:r w:rsidRPr="002A6491">
        <w:t>NTA</w:t>
      </w:r>
      <w:r w:rsidRPr="005113B7">
        <w:rPr>
          <w:i/>
          <w:iCs/>
        </w:rPr>
        <w:t xml:space="preserve"> </w:t>
      </w:r>
      <w:r w:rsidRPr="005113B7">
        <w:t>determinations as at 30 June 2018</w:t>
      </w:r>
      <w:r w:rsidRPr="005113B7">
        <w:rPr>
          <w:rStyle w:val="FootnoteReference"/>
        </w:rPr>
        <w:footnoteReference w:id="10"/>
      </w:r>
    </w:p>
    <w:p w14:paraId="6689CCBA" w14:textId="77777777" w:rsidR="007E751B" w:rsidRPr="00A47E18" w:rsidRDefault="007E751B" w:rsidP="007E751B">
      <w:r w:rsidRPr="005113B7">
        <w:rPr>
          <w:noProof/>
          <w:lang w:eastAsia="en-AU"/>
        </w:rPr>
        <w:drawing>
          <wp:inline distT="0" distB="0" distL="0" distR="0" wp14:anchorId="24647F79" wp14:editId="72650F96">
            <wp:extent cx="5454595" cy="4631465"/>
            <wp:effectExtent l="0" t="0" r="0" b="0"/>
            <wp:docPr id="3" name="Picture 3" descr="Map&#10;&#10;Kimberley region NTA determinations as at 30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Kimberley region NTA determinations as at 30 June 2018"/>
                    <pic:cNvPicPr/>
                  </pic:nvPicPr>
                  <pic:blipFill rotWithShape="1">
                    <a:blip r:embed="rId17"/>
                    <a:srcRect l="14445" t="23447" r="65225" b="15186"/>
                    <a:stretch/>
                  </pic:blipFill>
                  <pic:spPr bwMode="auto">
                    <a:xfrm>
                      <a:off x="0" y="0"/>
                      <a:ext cx="5474576" cy="4648431"/>
                    </a:xfrm>
                    <a:prstGeom prst="rect">
                      <a:avLst/>
                    </a:prstGeom>
                    <a:ln>
                      <a:noFill/>
                    </a:ln>
                    <a:extLst>
                      <a:ext uri="{53640926-AAD7-44D8-BBD7-CCE9431645EC}">
                        <a14:shadowObscured xmlns:a14="http://schemas.microsoft.com/office/drawing/2010/main"/>
                      </a:ext>
                    </a:extLst>
                  </pic:spPr>
                </pic:pic>
              </a:graphicData>
            </a:graphic>
          </wp:inline>
        </w:drawing>
      </w:r>
    </w:p>
    <w:p w14:paraId="16B695B2" w14:textId="77777777" w:rsidR="00F64BB4" w:rsidRDefault="00F64BB4" w:rsidP="00943C07"/>
    <w:p w14:paraId="7A093DEE" w14:textId="7ED04366" w:rsidR="0060147F" w:rsidRPr="00567DB2" w:rsidRDefault="0073695E" w:rsidP="00B22FD9">
      <w:pPr>
        <w:outlineLvl w:val="2"/>
        <w:rPr>
          <w:b/>
          <w:bCs/>
          <w:i/>
          <w:iCs/>
          <w:color w:val="00264D" w:themeColor="background2"/>
        </w:rPr>
      </w:pPr>
      <w:r w:rsidRPr="00567DB2">
        <w:rPr>
          <w:b/>
          <w:bCs/>
          <w:i/>
          <w:iCs/>
          <w:color w:val="00264D" w:themeColor="background2"/>
        </w:rPr>
        <w:t>Recommendations for TOR 1.1</w:t>
      </w:r>
    </w:p>
    <w:p w14:paraId="4E42B341" w14:textId="433885CC" w:rsidR="00F64BB4" w:rsidRDefault="00F64BB4" w:rsidP="0073695E">
      <w:pPr>
        <w:rPr>
          <w:lang w:eastAsia="en-AU"/>
        </w:rPr>
      </w:pPr>
      <w:r>
        <w:rPr>
          <w:lang w:eastAsia="en-AU"/>
        </w:rPr>
        <w:t>The Review made t</w:t>
      </w:r>
      <w:r w:rsidR="0031772E">
        <w:rPr>
          <w:lang w:eastAsia="en-AU"/>
        </w:rPr>
        <w:t>wo</w:t>
      </w:r>
      <w:r>
        <w:rPr>
          <w:lang w:eastAsia="en-AU"/>
        </w:rPr>
        <w:t xml:space="preserve"> recommendations for TOR 1.1 on native title outcomes achieved by clients. These are outlined below, as well as </w:t>
      </w:r>
      <w:r w:rsidR="004E40C2">
        <w:rPr>
          <w:lang w:eastAsia="en-AU"/>
        </w:rPr>
        <w:t>the KLC</w:t>
      </w:r>
      <w:r>
        <w:rPr>
          <w:lang w:eastAsia="en-AU"/>
        </w:rPr>
        <w:t>’</w:t>
      </w:r>
      <w:r w:rsidR="004E40C2">
        <w:rPr>
          <w:lang w:eastAsia="en-AU"/>
        </w:rPr>
        <w:t>s</w:t>
      </w:r>
      <w:r>
        <w:rPr>
          <w:lang w:eastAsia="en-AU"/>
        </w:rPr>
        <w:t xml:space="preserve"> response to these recommendations. </w:t>
      </w:r>
    </w:p>
    <w:p w14:paraId="6D554C46" w14:textId="77777777" w:rsidR="00567DB2" w:rsidRPr="00567DB2" w:rsidRDefault="00567DB2" w:rsidP="00B22FD9">
      <w:pPr>
        <w:shd w:val="clear" w:color="auto" w:fill="E6E6E1" w:themeFill="accent5"/>
        <w:outlineLvl w:val="3"/>
        <w:rPr>
          <w:b/>
          <w:bCs/>
          <w:color w:val="00264D" w:themeColor="background2"/>
          <w:sz w:val="20"/>
          <w:szCs w:val="20"/>
        </w:rPr>
      </w:pPr>
      <w:r w:rsidRPr="00567DB2">
        <w:rPr>
          <w:b/>
          <w:bCs/>
          <w:color w:val="00264D" w:themeColor="background2"/>
          <w:sz w:val="20"/>
          <w:szCs w:val="20"/>
        </w:rPr>
        <w:t>Recommendation 1</w:t>
      </w:r>
    </w:p>
    <w:p w14:paraId="7969DD22" w14:textId="7C5BFB0F" w:rsidR="00567DB2" w:rsidRDefault="00567DB2" w:rsidP="00567DB2">
      <w:pPr>
        <w:shd w:val="clear" w:color="auto" w:fill="E6E6E1" w:themeFill="accent5"/>
        <w:rPr>
          <w:color w:val="00264D" w:themeColor="background2"/>
          <w:sz w:val="20"/>
          <w:szCs w:val="20"/>
        </w:rPr>
      </w:pPr>
      <w:r w:rsidRPr="00567DB2">
        <w:rPr>
          <w:color w:val="00264D" w:themeColor="background2"/>
          <w:sz w:val="20"/>
          <w:szCs w:val="20"/>
        </w:rPr>
        <w:t>The KLC should continue to communicate with all its stakeholders on the nature of its relationships with Arma Legal and KRED.</w:t>
      </w:r>
    </w:p>
    <w:p w14:paraId="01CCFCFF" w14:textId="77777777" w:rsidR="00567DB2" w:rsidRPr="00567DB2" w:rsidRDefault="00567DB2" w:rsidP="00B22FD9">
      <w:pPr>
        <w:shd w:val="clear" w:color="auto" w:fill="FFFFFF" w:themeFill="background1"/>
        <w:outlineLvl w:val="4"/>
        <w:rPr>
          <w:b/>
          <w:bCs/>
          <w:color w:val="00264D" w:themeColor="background2"/>
          <w:lang w:eastAsia="en-AU"/>
        </w:rPr>
      </w:pPr>
      <w:r w:rsidRPr="00567DB2">
        <w:rPr>
          <w:b/>
          <w:bCs/>
          <w:color w:val="00264D" w:themeColor="background2"/>
          <w:lang w:eastAsia="en-AU"/>
        </w:rPr>
        <w:t xml:space="preserve">KLC response. </w:t>
      </w:r>
    </w:p>
    <w:p w14:paraId="30126C99" w14:textId="77777777" w:rsidR="00567DB2" w:rsidRPr="00567DB2" w:rsidRDefault="00567DB2" w:rsidP="00567DB2">
      <w:pPr>
        <w:shd w:val="clear" w:color="auto" w:fill="FFFFFF" w:themeFill="background1"/>
        <w:rPr>
          <w:lang w:eastAsia="en-AU"/>
        </w:rPr>
      </w:pPr>
      <w:r w:rsidRPr="00567DB2">
        <w:rPr>
          <w:lang w:eastAsia="en-AU"/>
        </w:rPr>
        <w:t xml:space="preserve">KLC’s annual reports for the past two years have included the following information. </w:t>
      </w:r>
    </w:p>
    <w:p w14:paraId="4DDCF8A2" w14:textId="77777777" w:rsidR="00567DB2" w:rsidRPr="00567DB2" w:rsidRDefault="00567DB2" w:rsidP="00567DB2">
      <w:pPr>
        <w:shd w:val="clear" w:color="auto" w:fill="FFFFFF" w:themeFill="background1"/>
        <w:rPr>
          <w:lang w:eastAsia="en-AU"/>
        </w:rPr>
      </w:pPr>
      <w:r w:rsidRPr="00567DB2">
        <w:rPr>
          <w:lang w:eastAsia="en-AU"/>
        </w:rPr>
        <w:t>a)</w:t>
      </w:r>
      <w:r w:rsidRPr="00567DB2">
        <w:rPr>
          <w:lang w:eastAsia="en-AU"/>
        </w:rPr>
        <w:tab/>
        <w:t xml:space="preserve">Identification and explanation of the relationship between KLC and KRED. </w:t>
      </w:r>
    </w:p>
    <w:p w14:paraId="313B4189" w14:textId="77777777" w:rsidR="00567DB2" w:rsidRPr="00567DB2" w:rsidRDefault="00567DB2" w:rsidP="00567DB2">
      <w:pPr>
        <w:shd w:val="clear" w:color="auto" w:fill="FFFFFF" w:themeFill="background1"/>
        <w:rPr>
          <w:lang w:eastAsia="en-AU"/>
        </w:rPr>
      </w:pPr>
      <w:r w:rsidRPr="00567DB2">
        <w:rPr>
          <w:lang w:eastAsia="en-AU"/>
        </w:rPr>
        <w:t>b)</w:t>
      </w:r>
      <w:r w:rsidRPr="00567DB2">
        <w:rPr>
          <w:lang w:eastAsia="en-AU"/>
        </w:rPr>
        <w:tab/>
        <w:t xml:space="preserve">Identification of Arma Legal as KLC’s preferred external advisor on commercial matters, and the reasons for that (expertise, cost-competitiveness, and superior outcomes for native title parties). </w:t>
      </w:r>
    </w:p>
    <w:p w14:paraId="494DE0B6" w14:textId="77777777" w:rsidR="00567DB2" w:rsidRPr="00567DB2" w:rsidRDefault="00567DB2" w:rsidP="00567DB2">
      <w:pPr>
        <w:shd w:val="clear" w:color="auto" w:fill="FFFFFF" w:themeFill="background1"/>
        <w:rPr>
          <w:lang w:eastAsia="en-AU"/>
        </w:rPr>
      </w:pPr>
      <w:r w:rsidRPr="00567DB2">
        <w:rPr>
          <w:lang w:eastAsia="en-AU"/>
        </w:rPr>
        <w:lastRenderedPageBreak/>
        <w:t xml:space="preserve">When engaging Arma Legal or KRED as its agent or external advisor on matters, KLC also ensures that the native title party client is aware of the reasons for the engagement. The exception to this is a small number of minor scale future act matters where either: </w:t>
      </w:r>
    </w:p>
    <w:p w14:paraId="4BB28BF2" w14:textId="77777777" w:rsidR="00567DB2" w:rsidRPr="00567DB2" w:rsidRDefault="00567DB2" w:rsidP="00567DB2">
      <w:pPr>
        <w:shd w:val="clear" w:color="auto" w:fill="FFFFFF" w:themeFill="background1"/>
        <w:rPr>
          <w:lang w:eastAsia="en-AU"/>
        </w:rPr>
      </w:pPr>
      <w:r w:rsidRPr="00567DB2">
        <w:rPr>
          <w:lang w:eastAsia="en-AU"/>
        </w:rPr>
        <w:t>a)</w:t>
      </w:r>
      <w:r w:rsidRPr="00567DB2">
        <w:rPr>
          <w:lang w:eastAsia="en-AU"/>
        </w:rPr>
        <w:tab/>
        <w:t xml:space="preserve">KLC historically engaged Arma Legal as its agent in late 2017 during a period when KLC was significantly short staffed; or </w:t>
      </w:r>
    </w:p>
    <w:p w14:paraId="1BAF96FC" w14:textId="77777777" w:rsidR="00567DB2" w:rsidRPr="00567DB2" w:rsidRDefault="00567DB2" w:rsidP="00567DB2">
      <w:pPr>
        <w:shd w:val="clear" w:color="auto" w:fill="FFFFFF" w:themeFill="background1"/>
        <w:rPr>
          <w:lang w:eastAsia="en-AU"/>
        </w:rPr>
      </w:pPr>
      <w:r w:rsidRPr="00567DB2">
        <w:rPr>
          <w:lang w:eastAsia="en-AU"/>
        </w:rPr>
        <w:t>b)</w:t>
      </w:r>
      <w:r w:rsidRPr="00567DB2">
        <w:rPr>
          <w:lang w:eastAsia="en-AU"/>
        </w:rPr>
        <w:tab/>
        <w:t xml:space="preserve">where a strategic, region-wide approach is taken to particular tranches of future acts and Arma Legal may already be acting on some of the matters within the tranche by direct appointment from the affected native title party. In such cases, it is reasonable, expedient, cost-effective, and strategic to ensure consistent representation occurs across all matters in the tranche. </w:t>
      </w:r>
    </w:p>
    <w:p w14:paraId="3A4013BE" w14:textId="77777777" w:rsidR="00567DB2" w:rsidRPr="00567DB2" w:rsidRDefault="00567DB2" w:rsidP="00567DB2">
      <w:pPr>
        <w:shd w:val="clear" w:color="auto" w:fill="FFFFFF" w:themeFill="background1"/>
        <w:rPr>
          <w:lang w:eastAsia="en-AU"/>
        </w:rPr>
      </w:pPr>
      <w:r w:rsidRPr="00567DB2">
        <w:rPr>
          <w:lang w:eastAsia="en-AU"/>
        </w:rPr>
        <w:t xml:space="preserve">KLC also engages EHSIS (a subsidiary of KRED) for heritage clearance activities because the cost of KLC undertaking this activity inhouse is prohibitive for both the KLC and proponents. </w:t>
      </w:r>
    </w:p>
    <w:p w14:paraId="474243D4" w14:textId="77777777" w:rsidR="00567DB2" w:rsidRPr="00567DB2" w:rsidRDefault="00567DB2" w:rsidP="00567DB2">
      <w:pPr>
        <w:shd w:val="clear" w:color="auto" w:fill="FFFFFF" w:themeFill="background1"/>
        <w:rPr>
          <w:lang w:eastAsia="en-AU"/>
        </w:rPr>
      </w:pPr>
      <w:r w:rsidRPr="00567DB2">
        <w:rPr>
          <w:lang w:eastAsia="en-AU"/>
        </w:rPr>
        <w:t xml:space="preserve">KLC continues to be aware of the need to provide clarity to its members, clients, constituents and other stakeholders about the relationship (structural and working), between KLC, KRED, and Arma Legal. KLC takes every opportunity to provide clarity </w:t>
      </w:r>
    </w:p>
    <w:p w14:paraId="4A82D121" w14:textId="3CD5876A" w:rsidR="00567DB2" w:rsidRDefault="00567DB2" w:rsidP="00567DB2">
      <w:pPr>
        <w:shd w:val="clear" w:color="auto" w:fill="FFFFFF" w:themeFill="background1"/>
        <w:rPr>
          <w:lang w:eastAsia="en-AU"/>
        </w:rPr>
      </w:pPr>
      <w:r w:rsidRPr="00567DB2">
        <w:rPr>
          <w:lang w:eastAsia="en-AU"/>
        </w:rPr>
        <w:t>and correct misconceptions, misunderstandings, and incorrect information.</w:t>
      </w:r>
    </w:p>
    <w:p w14:paraId="6478A1DE" w14:textId="77777777" w:rsidR="00567DB2" w:rsidRPr="00567DB2" w:rsidRDefault="00567DB2" w:rsidP="00B22FD9">
      <w:pPr>
        <w:shd w:val="clear" w:color="auto" w:fill="E6E6E1" w:themeFill="accent5"/>
        <w:outlineLvl w:val="3"/>
        <w:rPr>
          <w:b/>
          <w:bCs/>
          <w:color w:val="00264D" w:themeColor="background2"/>
          <w:lang w:eastAsia="en-AU"/>
        </w:rPr>
      </w:pPr>
      <w:r w:rsidRPr="00567DB2">
        <w:rPr>
          <w:b/>
          <w:bCs/>
          <w:color w:val="00264D" w:themeColor="background2"/>
          <w:lang w:eastAsia="en-AU"/>
        </w:rPr>
        <w:t>Recommendation 2</w:t>
      </w:r>
    </w:p>
    <w:p w14:paraId="18DC8DC9" w14:textId="02E6B411" w:rsidR="00567DB2" w:rsidRPr="00567DB2" w:rsidRDefault="00567DB2" w:rsidP="00567DB2">
      <w:pPr>
        <w:shd w:val="clear" w:color="auto" w:fill="E6E6E1" w:themeFill="accent5"/>
        <w:rPr>
          <w:color w:val="00264D" w:themeColor="background2"/>
          <w:lang w:eastAsia="en-AU"/>
        </w:rPr>
      </w:pPr>
      <w:r w:rsidRPr="00567DB2">
        <w:rPr>
          <w:color w:val="00264D" w:themeColor="background2"/>
          <w:lang w:eastAsia="en-AU"/>
        </w:rPr>
        <w:t>Wherever possible the KLC should prioritise taking a pro-active stance to deliver mediation as early as possible in conflict situations.</w:t>
      </w:r>
    </w:p>
    <w:p w14:paraId="58DD5178" w14:textId="77777777" w:rsidR="00567DB2" w:rsidRPr="00567DB2" w:rsidRDefault="00567DB2" w:rsidP="00B22FD9">
      <w:pPr>
        <w:outlineLvl w:val="4"/>
        <w:rPr>
          <w:b/>
          <w:bCs/>
        </w:rPr>
      </w:pPr>
      <w:r w:rsidRPr="00567DB2">
        <w:rPr>
          <w:b/>
          <w:bCs/>
        </w:rPr>
        <w:t xml:space="preserve">KLC response. </w:t>
      </w:r>
    </w:p>
    <w:p w14:paraId="3D8B56BD" w14:textId="77777777" w:rsidR="00567DB2" w:rsidRDefault="00567DB2" w:rsidP="00567DB2">
      <w:r>
        <w:t xml:space="preserve">KLC strongly supports mechanisms for mediation of disputes, and recognises its obligations, both cultural and under the NTA. In the period since the review, KLC has: </w:t>
      </w:r>
    </w:p>
    <w:p w14:paraId="258B6AF3" w14:textId="77777777" w:rsidR="00567DB2" w:rsidRDefault="00567DB2" w:rsidP="00567DB2">
      <w:r>
        <w:t>a)</w:t>
      </w:r>
      <w:r>
        <w:tab/>
        <w:t xml:space="preserve">continued to apply and support culturally appropriate mechanisms for dispute resolution and management, which may include separate meetings for disputants arranged on the basis of country, family, gender, or cultural authority; </w:t>
      </w:r>
    </w:p>
    <w:p w14:paraId="7092C165" w14:textId="77777777" w:rsidR="00567DB2" w:rsidRDefault="00567DB2" w:rsidP="00567DB2">
      <w:r>
        <w:t>b)</w:t>
      </w:r>
      <w:r>
        <w:tab/>
        <w:t xml:space="preserve">used alternative and novel arrangements for dispute resolution; </w:t>
      </w:r>
    </w:p>
    <w:p w14:paraId="491226B8" w14:textId="77777777" w:rsidR="00567DB2" w:rsidRDefault="00567DB2" w:rsidP="00567DB2">
      <w:r>
        <w:t>c)</w:t>
      </w:r>
      <w:r>
        <w:tab/>
        <w:t xml:space="preserve">supported PBCs with developing their own capacity for dispute management; and </w:t>
      </w:r>
    </w:p>
    <w:p w14:paraId="58643164" w14:textId="77777777" w:rsidR="00567DB2" w:rsidRDefault="00567DB2" w:rsidP="00567DB2">
      <w:r>
        <w:t>d)</w:t>
      </w:r>
      <w:r>
        <w:tab/>
        <w:t xml:space="preserve">increasingly relied on formal mediation mechanisms provided under the NTA and through the Federal Court of Australia. </w:t>
      </w:r>
    </w:p>
    <w:p w14:paraId="16C7AD49" w14:textId="77777777" w:rsidR="00567DB2" w:rsidRDefault="00567DB2" w:rsidP="00567DB2">
      <w:r>
        <w:t xml:space="preserve">In the context of native title, in particular and increasingly within the internal operations of PBCs, it is important to acknowledge that native title as recognised and implemented under the NTA is an external system which is, in part, coercive and controlling in the everyday lives of Aboriginal people in the Kimberley. Furthermore, in operates within a subject matter that is inherently subject to strongly held competing perspectives (country, home, family, history, identity). Mediation is but one mechanism for assisting Traditional Owners to manage and live with the disputes and differences which will continue arise over time. KLC is committed to continuing to provide assistance to Traditional Owners in this regard. </w:t>
      </w:r>
    </w:p>
    <w:p w14:paraId="26503992" w14:textId="054F88D6" w:rsidR="00F64BB4" w:rsidRDefault="00567DB2" w:rsidP="00567DB2">
      <w:r>
        <w:t>The KLC continues to advocate strongly to Federal and State governments on initiatives and opportunities to invest and support Traditional Owners to manage, live with and transform the trauma that exists for Aboriginal people. Including from the lateral violence experienced through the system of Native Title and the socio-economic impact from intergenerational trauma and disadvantage. The KLC’s continuing recognition and support of informed systems and practices conducive to self-determination of Traditional Owners and Aboriginal communities is central and fundamental to the values, membership and governance of the KLC.</w:t>
      </w:r>
    </w:p>
    <w:p w14:paraId="0C6A844B" w14:textId="76878D8A" w:rsidR="0060147F" w:rsidRDefault="0060147F">
      <w:pPr>
        <w:spacing w:after="160" w:line="259" w:lineRule="auto"/>
        <w:rPr>
          <w:rFonts w:ascii="Segoe UI Semibold" w:eastAsia="Times New Roman" w:hAnsi="Segoe UI Semibold" w:cs="Times New Roman"/>
          <w:color w:val="00264D" w:themeColor="background2"/>
          <w:sz w:val="25"/>
          <w:szCs w:val="19"/>
          <w:lang w:eastAsia="en-AU"/>
        </w:rPr>
      </w:pPr>
    </w:p>
    <w:p w14:paraId="494DE03C" w14:textId="25B57D49" w:rsidR="007F6CBC" w:rsidRDefault="007F6CBC">
      <w:pPr>
        <w:spacing w:after="160" w:line="259" w:lineRule="auto"/>
        <w:rPr>
          <w:rFonts w:ascii="Segoe UI Semibold" w:eastAsia="Times New Roman" w:hAnsi="Segoe UI Semibold" w:cs="Times New Roman"/>
          <w:color w:val="00264D" w:themeColor="background2"/>
          <w:sz w:val="25"/>
          <w:szCs w:val="19"/>
          <w:lang w:eastAsia="en-AU"/>
        </w:rPr>
      </w:pPr>
      <w:r>
        <w:rPr>
          <w:rFonts w:ascii="Segoe UI Semibold" w:eastAsia="Times New Roman" w:hAnsi="Segoe UI Semibold" w:cs="Times New Roman"/>
          <w:color w:val="00264D" w:themeColor="background2"/>
          <w:sz w:val="25"/>
          <w:szCs w:val="19"/>
          <w:lang w:eastAsia="en-AU"/>
        </w:rPr>
        <w:br w:type="page"/>
      </w:r>
    </w:p>
    <w:p w14:paraId="2B7EEA2A" w14:textId="4AB32EF1" w:rsidR="001C35F2" w:rsidRPr="0084761C" w:rsidRDefault="002E4BA7" w:rsidP="00943C07">
      <w:pPr>
        <w:pStyle w:val="Heading2"/>
      </w:pPr>
      <w:bookmarkStart w:id="36" w:name="_Ref500337912"/>
      <w:bookmarkStart w:id="37" w:name="_Toc502839778"/>
      <w:bookmarkStart w:id="38" w:name="_Toc502843254"/>
      <w:bookmarkStart w:id="39" w:name="_Toc502847617"/>
      <w:bookmarkStart w:id="40" w:name="_Toc502850761"/>
      <w:bookmarkStart w:id="41" w:name="_Toc502855193"/>
      <w:bookmarkStart w:id="42" w:name="_Ref502867954"/>
      <w:bookmarkStart w:id="43" w:name="_Ref502868502"/>
      <w:bookmarkStart w:id="44" w:name="_Toc503117092"/>
      <w:bookmarkStart w:id="45" w:name="_Toc505259169"/>
      <w:bookmarkStart w:id="46" w:name="_Toc505256236"/>
      <w:bookmarkStart w:id="47" w:name="_Toc505618279"/>
      <w:r w:rsidRPr="0084761C">
        <w:lastRenderedPageBreak/>
        <w:t xml:space="preserve">TOR 1.2 | </w:t>
      </w:r>
      <w:r w:rsidR="00EB1298" w:rsidRPr="0084761C">
        <w:t>Review and assess each organisation’s efficiency and effectiveness in performing the functions of a native title representative body over the past 3 years (with the main focus on recent performance) including: whether the organisation’s assessment and prioritisation of applications are equitable, transparent and robust.</w:t>
      </w:r>
      <w:bookmarkEnd w:id="36"/>
      <w:bookmarkEnd w:id="37"/>
      <w:bookmarkEnd w:id="38"/>
      <w:bookmarkEnd w:id="39"/>
      <w:bookmarkEnd w:id="40"/>
      <w:bookmarkEnd w:id="41"/>
      <w:bookmarkEnd w:id="42"/>
      <w:bookmarkEnd w:id="43"/>
      <w:bookmarkEnd w:id="44"/>
      <w:bookmarkEnd w:id="45"/>
      <w:bookmarkEnd w:id="46"/>
      <w:bookmarkEnd w:id="47"/>
    </w:p>
    <w:p w14:paraId="571CB76E" w14:textId="77777777" w:rsidR="00CD6900" w:rsidRPr="00CD6900" w:rsidRDefault="00CD6900" w:rsidP="00CD6900">
      <w:pPr>
        <w:rPr>
          <w:lang w:eastAsia="en-AU"/>
        </w:rPr>
      </w:pPr>
    </w:p>
    <w:p w14:paraId="0BBC37AE" w14:textId="77777777" w:rsidR="00E03F1A" w:rsidRPr="00E03F1A" w:rsidRDefault="00E03F1A" w:rsidP="00E03F1A">
      <w:pPr>
        <w:shd w:val="clear" w:color="auto" w:fill="E6E6E1" w:themeFill="accent5"/>
        <w:spacing w:line="259" w:lineRule="auto"/>
        <w:rPr>
          <w:rFonts w:eastAsia="Times New Roman"/>
          <w:b/>
          <w:bCs/>
          <w:color w:val="00264D" w:themeColor="background2"/>
          <w:lang w:eastAsia="en-AU"/>
        </w:rPr>
      </w:pPr>
      <w:r w:rsidRPr="00E03F1A">
        <w:rPr>
          <w:rFonts w:eastAsia="Times New Roman"/>
          <w:b/>
          <w:color w:val="00264D" w:themeColor="background2"/>
          <w:lang w:eastAsia="en-AU"/>
        </w:rPr>
        <w:t>The KLC has a clear and documented policy and process in place for assessing and prioritising applications for assistance.</w:t>
      </w:r>
      <w:r w:rsidRPr="00E03F1A">
        <w:rPr>
          <w:rFonts w:eastAsia="Times New Roman"/>
          <w:bCs/>
          <w:color w:val="00264D" w:themeColor="background2"/>
          <w:lang w:eastAsia="en-AU"/>
        </w:rPr>
        <w:t xml:space="preserve"> The policy and processes are made publicly available through several channels.</w:t>
      </w:r>
    </w:p>
    <w:p w14:paraId="4EB0CF9F" w14:textId="77777777" w:rsidR="00E03F1A" w:rsidRPr="00E03F1A" w:rsidRDefault="00E03F1A" w:rsidP="00E03F1A">
      <w:pPr>
        <w:shd w:val="clear" w:color="auto" w:fill="E6E6E1" w:themeFill="accent5"/>
        <w:spacing w:line="259" w:lineRule="auto"/>
        <w:rPr>
          <w:rFonts w:eastAsia="Times New Roman"/>
          <w:b/>
          <w:bCs/>
          <w:color w:val="00264D" w:themeColor="background2"/>
          <w:lang w:eastAsia="en-AU"/>
        </w:rPr>
      </w:pPr>
      <w:r w:rsidRPr="00E03F1A">
        <w:rPr>
          <w:rFonts w:eastAsia="Times New Roman"/>
          <w:bCs/>
          <w:color w:val="00264D" w:themeColor="background2"/>
          <w:lang w:eastAsia="en-AU"/>
        </w:rPr>
        <w:t>All but one application for assistance received funding over the review period. The one application that was denied was funded through private sources. This is a direct consequence of the KLC’s overarching philosophy that it is the responsibility of the Federal Court rather than the NTRB-SP to determine who has a right to native title. The KLC therefore accepts applications for assistance unless they directly contravene the guidelines. Its success rate indicates that the guidelines are working appropriately in the context of the Kimberley region. Priorities are determined on the basis of resource availability.</w:t>
      </w:r>
    </w:p>
    <w:p w14:paraId="7019F68D" w14:textId="77777777" w:rsidR="00E03F1A" w:rsidRPr="00E03F1A" w:rsidRDefault="00E03F1A" w:rsidP="00E03F1A">
      <w:pPr>
        <w:shd w:val="clear" w:color="auto" w:fill="E6E6E1" w:themeFill="accent5"/>
        <w:spacing w:line="259" w:lineRule="auto"/>
        <w:rPr>
          <w:b/>
          <w:color w:val="00264D" w:themeColor="background2"/>
        </w:rPr>
      </w:pPr>
      <w:r w:rsidRPr="00E03F1A">
        <w:rPr>
          <w:rFonts w:eastAsia="Times New Roman"/>
          <w:bCs/>
          <w:color w:val="00264D" w:themeColor="background2"/>
          <w:lang w:eastAsia="en-AU"/>
        </w:rPr>
        <w:t>Clients report awareness within the community of how to lodge a claim and exhibited a strong understanding of the KLC’s process for assessing and prioritising applications for assistance.</w:t>
      </w:r>
    </w:p>
    <w:p w14:paraId="36F386E0" w14:textId="5ECABFDB" w:rsidR="001C35F2" w:rsidRDefault="001C35F2" w:rsidP="008F436A">
      <w:pPr>
        <w:rPr>
          <w:lang w:eastAsia="en-AU"/>
        </w:rPr>
      </w:pPr>
    </w:p>
    <w:p w14:paraId="1608CB9A" w14:textId="7099E66C" w:rsidR="00F64BB4" w:rsidRPr="00567DB2" w:rsidRDefault="005F47E0" w:rsidP="00567DB2">
      <w:pPr>
        <w:rPr>
          <w:b/>
          <w:bCs/>
          <w:i/>
          <w:iCs/>
          <w:color w:val="00264D" w:themeColor="background2"/>
        </w:rPr>
      </w:pPr>
      <w:r w:rsidRPr="00567DB2">
        <w:rPr>
          <w:b/>
          <w:bCs/>
          <w:i/>
          <w:iCs/>
          <w:color w:val="00264D" w:themeColor="background2"/>
        </w:rPr>
        <w:t>No r</w:t>
      </w:r>
      <w:r w:rsidR="00F64BB4" w:rsidRPr="00567DB2">
        <w:rPr>
          <w:b/>
          <w:bCs/>
          <w:i/>
          <w:iCs/>
          <w:color w:val="00264D" w:themeColor="background2"/>
        </w:rPr>
        <w:t>ecommendations</w:t>
      </w:r>
      <w:r w:rsidRPr="00567DB2">
        <w:rPr>
          <w:b/>
          <w:bCs/>
          <w:i/>
          <w:iCs/>
          <w:color w:val="00264D" w:themeColor="background2"/>
        </w:rPr>
        <w:t xml:space="preserve"> were made</w:t>
      </w:r>
      <w:r w:rsidR="00F64BB4" w:rsidRPr="00567DB2">
        <w:rPr>
          <w:b/>
          <w:bCs/>
          <w:i/>
          <w:iCs/>
          <w:color w:val="00264D" w:themeColor="background2"/>
        </w:rPr>
        <w:t xml:space="preserve"> for TOR 1.</w:t>
      </w:r>
      <w:r w:rsidR="00B66147" w:rsidRPr="00567DB2">
        <w:rPr>
          <w:b/>
          <w:bCs/>
          <w:i/>
          <w:iCs/>
          <w:color w:val="00264D" w:themeColor="background2"/>
        </w:rPr>
        <w:t>2</w:t>
      </w:r>
      <w:r w:rsidRPr="00567DB2">
        <w:rPr>
          <w:b/>
          <w:bCs/>
          <w:i/>
          <w:iCs/>
          <w:color w:val="00264D" w:themeColor="background2"/>
        </w:rPr>
        <w:t>.</w:t>
      </w:r>
    </w:p>
    <w:p w14:paraId="7042DD36" w14:textId="5C76A2D9" w:rsidR="00F64BB4" w:rsidRDefault="00F64BB4" w:rsidP="00567DB2">
      <w:pPr>
        <w:rPr>
          <w:lang w:eastAsia="en-AU"/>
        </w:rPr>
      </w:pPr>
    </w:p>
    <w:p w14:paraId="4E524050" w14:textId="303AABA5" w:rsidR="007F6CBC" w:rsidRDefault="007F6CBC">
      <w:pPr>
        <w:spacing w:after="160" w:line="259" w:lineRule="auto"/>
        <w:rPr>
          <w:lang w:eastAsia="en-AU"/>
        </w:rPr>
      </w:pPr>
      <w:r>
        <w:rPr>
          <w:lang w:eastAsia="en-AU"/>
        </w:rPr>
        <w:br w:type="page"/>
      </w:r>
    </w:p>
    <w:p w14:paraId="4D30DDA5" w14:textId="7AC4150F" w:rsidR="00EB1298" w:rsidRPr="0084761C" w:rsidRDefault="002E4BA7" w:rsidP="00E03F1A">
      <w:pPr>
        <w:pStyle w:val="Heading2"/>
      </w:pPr>
      <w:bookmarkStart w:id="48" w:name="_Ref502726666"/>
      <w:bookmarkStart w:id="49" w:name="_Toc502839779"/>
      <w:bookmarkStart w:id="50" w:name="_Toc502843255"/>
      <w:bookmarkStart w:id="51" w:name="_Toc502847618"/>
      <w:bookmarkStart w:id="52" w:name="_Toc502850762"/>
      <w:bookmarkStart w:id="53" w:name="_Toc502855194"/>
      <w:bookmarkStart w:id="54" w:name="_Toc503117093"/>
      <w:bookmarkStart w:id="55" w:name="_Toc505259170"/>
      <w:bookmarkStart w:id="56" w:name="_Toc505256237"/>
      <w:bookmarkStart w:id="57" w:name="_Toc505618280"/>
      <w:r w:rsidRPr="0084761C">
        <w:lastRenderedPageBreak/>
        <w:t xml:space="preserve">TOR 1.3 | </w:t>
      </w:r>
      <w:r w:rsidR="00EB1298" w:rsidRPr="0084761C">
        <w:t>Review and assess each organisations’ efficiency and effectiveness in performing the functions of a native title representative body over the past 3 years (with the main focus on recent performance) including: whether the organisation deals respectfully, equitably, transparently and in a culturally appropriate manner with clients, persons seeking assistance, and persons refused assistance.</w:t>
      </w:r>
      <w:bookmarkEnd w:id="48"/>
      <w:bookmarkEnd w:id="49"/>
      <w:bookmarkEnd w:id="50"/>
      <w:bookmarkEnd w:id="51"/>
      <w:bookmarkEnd w:id="52"/>
      <w:bookmarkEnd w:id="53"/>
      <w:bookmarkEnd w:id="54"/>
      <w:bookmarkEnd w:id="55"/>
      <w:bookmarkEnd w:id="56"/>
      <w:bookmarkEnd w:id="57"/>
    </w:p>
    <w:p w14:paraId="4F68E0A7" w14:textId="77777777" w:rsidR="000B7985" w:rsidRPr="000B7985" w:rsidRDefault="000B7985" w:rsidP="000B7985">
      <w:pPr>
        <w:rPr>
          <w:lang w:eastAsia="en-AU"/>
        </w:rPr>
      </w:pPr>
    </w:p>
    <w:p w14:paraId="7C74249C" w14:textId="77777777" w:rsidR="00E03F1A" w:rsidRPr="00E03F1A" w:rsidRDefault="00E03F1A" w:rsidP="00E03F1A">
      <w:pPr>
        <w:shd w:val="clear" w:color="auto" w:fill="E6E6E1" w:themeFill="accent5"/>
        <w:spacing w:line="259" w:lineRule="auto"/>
        <w:rPr>
          <w:rFonts w:eastAsia="Times New Roman"/>
          <w:b/>
          <w:bCs/>
          <w:color w:val="00264D" w:themeColor="background2"/>
          <w:lang w:eastAsia="en-AU"/>
        </w:rPr>
      </w:pPr>
      <w:r w:rsidRPr="00E03F1A">
        <w:rPr>
          <w:rFonts w:eastAsia="Times New Roman"/>
          <w:b/>
          <w:color w:val="00264D" w:themeColor="background2"/>
          <w:lang w:eastAsia="en-AU"/>
        </w:rPr>
        <w:t xml:space="preserve">The KLC is closely connected to its community. </w:t>
      </w:r>
      <w:r w:rsidRPr="00E03F1A">
        <w:rPr>
          <w:rFonts w:eastAsia="Times New Roman"/>
          <w:bCs/>
          <w:color w:val="00264D" w:themeColor="background2"/>
          <w:lang w:eastAsia="en-AU"/>
        </w:rPr>
        <w:t xml:space="preserve">Its mandate is to support community and ensure that clients enjoy their native title rights and interests above all else. This guiding philosophy, together with the KLC’s history in advocating for the community, translates to a largely respectful and culturally appropriate relationships with clients. </w:t>
      </w:r>
    </w:p>
    <w:p w14:paraId="0EAD80DE" w14:textId="77777777" w:rsidR="00E03F1A" w:rsidRPr="00E03F1A" w:rsidRDefault="00E03F1A" w:rsidP="00E03F1A">
      <w:pPr>
        <w:shd w:val="clear" w:color="auto" w:fill="E6E6E1" w:themeFill="accent5"/>
        <w:spacing w:line="259" w:lineRule="auto"/>
        <w:rPr>
          <w:rFonts w:eastAsia="Times New Roman"/>
          <w:b/>
          <w:bCs/>
          <w:color w:val="00264D" w:themeColor="background2"/>
          <w:lang w:eastAsia="en-AU"/>
        </w:rPr>
      </w:pPr>
      <w:r w:rsidRPr="00E03F1A">
        <w:rPr>
          <w:rFonts w:eastAsia="Times New Roman"/>
          <w:bCs/>
          <w:color w:val="00264D" w:themeColor="background2"/>
          <w:lang w:eastAsia="en-AU"/>
        </w:rPr>
        <w:t>Feedback from clients suggests that the KLC is mostly seen as dealing equitably and transparently. Most clients appear to be confident that the KLC has their best interests at heart. The Review received no complaints from clients that they had been excluded from receiving support from the KLC.</w:t>
      </w:r>
    </w:p>
    <w:p w14:paraId="3135726E" w14:textId="01BDBFC4" w:rsidR="00E03F1A" w:rsidRPr="00E03F1A" w:rsidRDefault="00E03F1A" w:rsidP="00E03F1A">
      <w:pPr>
        <w:shd w:val="clear" w:color="auto" w:fill="E6E6E1" w:themeFill="accent5"/>
        <w:spacing w:line="259" w:lineRule="auto"/>
        <w:rPr>
          <w:b/>
          <w:color w:val="00264D" w:themeColor="background2"/>
        </w:rPr>
      </w:pPr>
      <w:r w:rsidRPr="00E03F1A">
        <w:rPr>
          <w:rFonts w:eastAsia="Times New Roman"/>
          <w:bCs/>
          <w:color w:val="00264D" w:themeColor="background2"/>
          <w:lang w:eastAsia="en-AU"/>
        </w:rPr>
        <w:t xml:space="preserve">The perception of respect, cultural appropriateness, equity and transparency is more pronounced in the western area of the RATSIB. In the eastern region around Halls Creek and Kununurra relationships are more contentious. The </w:t>
      </w:r>
      <w:r w:rsidR="003F4D05">
        <w:rPr>
          <w:rFonts w:eastAsia="Times New Roman"/>
          <w:bCs/>
          <w:color w:val="00264D" w:themeColor="background2"/>
          <w:lang w:eastAsia="en-AU"/>
        </w:rPr>
        <w:t xml:space="preserve">relationship </w:t>
      </w:r>
      <w:bookmarkStart w:id="58" w:name="_GoBack"/>
      <w:bookmarkEnd w:id="58"/>
      <w:r w:rsidRPr="00E03F1A">
        <w:rPr>
          <w:rFonts w:eastAsia="Times New Roman"/>
          <w:color w:val="00264D" w:themeColor="background2"/>
          <w:lang w:eastAsia="en-AU"/>
        </w:rPr>
        <w:t>between clients and the KLC is less cohesive</w:t>
      </w:r>
      <w:r w:rsidRPr="00E03F1A">
        <w:rPr>
          <w:rFonts w:eastAsia="Times New Roman"/>
          <w:bCs/>
          <w:color w:val="00264D" w:themeColor="background2"/>
          <w:lang w:eastAsia="en-AU"/>
        </w:rPr>
        <w:t>, and there is a higher level of criticism of the KLC’s conduct.</w:t>
      </w:r>
    </w:p>
    <w:p w14:paraId="04336A15" w14:textId="77777777" w:rsidR="00D56755" w:rsidRDefault="00D56755" w:rsidP="00D56755">
      <w:pPr>
        <w:rPr>
          <w:lang w:eastAsia="en-AU"/>
        </w:rPr>
      </w:pPr>
    </w:p>
    <w:p w14:paraId="4379612D" w14:textId="6E8F371A" w:rsidR="00D56755" w:rsidRPr="00567DB2" w:rsidRDefault="00D56755" w:rsidP="00B22FD9">
      <w:pPr>
        <w:outlineLvl w:val="2"/>
        <w:rPr>
          <w:b/>
          <w:bCs/>
          <w:i/>
          <w:iCs/>
          <w:color w:val="00264D" w:themeColor="background2"/>
        </w:rPr>
      </w:pPr>
      <w:r w:rsidRPr="00567DB2">
        <w:rPr>
          <w:b/>
          <w:bCs/>
          <w:i/>
          <w:iCs/>
          <w:color w:val="00264D" w:themeColor="background2"/>
        </w:rPr>
        <w:t>Recommendations</w:t>
      </w:r>
      <w:r w:rsidR="00274A34" w:rsidRPr="00567DB2">
        <w:rPr>
          <w:b/>
          <w:bCs/>
          <w:i/>
          <w:iCs/>
          <w:color w:val="00264D" w:themeColor="background2"/>
        </w:rPr>
        <w:t xml:space="preserve"> for TOR 1.3</w:t>
      </w:r>
    </w:p>
    <w:p w14:paraId="0741CF6B" w14:textId="4F33E040" w:rsidR="008946FB" w:rsidRPr="008946FB" w:rsidRDefault="008946FB" w:rsidP="008946FB">
      <w:pPr>
        <w:rPr>
          <w:lang w:eastAsia="en-AU"/>
        </w:rPr>
      </w:pPr>
      <w:r>
        <w:rPr>
          <w:lang w:eastAsia="en-AU"/>
        </w:rPr>
        <w:t xml:space="preserve">The Review made one recommendation for TOR 1.3 on the organisation’s </w:t>
      </w:r>
      <w:r w:rsidR="005766CF">
        <w:rPr>
          <w:lang w:eastAsia="en-AU"/>
        </w:rPr>
        <w:t xml:space="preserve">approach to clients. </w:t>
      </w:r>
      <w:r>
        <w:rPr>
          <w:lang w:eastAsia="en-AU"/>
        </w:rPr>
        <w:t xml:space="preserve">This is outlined below, as well as </w:t>
      </w:r>
      <w:r w:rsidR="00312C68">
        <w:rPr>
          <w:lang w:eastAsia="en-AU"/>
        </w:rPr>
        <w:t>KLC</w:t>
      </w:r>
      <w:r>
        <w:rPr>
          <w:lang w:eastAsia="en-AU"/>
        </w:rPr>
        <w:t xml:space="preserve">’s response to this recommendation. </w:t>
      </w:r>
    </w:p>
    <w:p w14:paraId="394E3DB8" w14:textId="77777777" w:rsidR="00567DB2" w:rsidRPr="00567DB2" w:rsidRDefault="00567DB2" w:rsidP="00B22FD9">
      <w:pPr>
        <w:shd w:val="clear" w:color="auto" w:fill="E6E6E1" w:themeFill="accent5"/>
        <w:outlineLvl w:val="3"/>
        <w:rPr>
          <w:b/>
          <w:bCs/>
          <w:color w:val="00264D" w:themeColor="background2"/>
        </w:rPr>
      </w:pPr>
      <w:r w:rsidRPr="00567DB2">
        <w:rPr>
          <w:b/>
          <w:bCs/>
          <w:color w:val="00264D" w:themeColor="background2"/>
        </w:rPr>
        <w:t>Recommendation 3</w:t>
      </w:r>
    </w:p>
    <w:p w14:paraId="09A292EA" w14:textId="77777777" w:rsidR="00567DB2" w:rsidRPr="00567DB2" w:rsidRDefault="00567DB2" w:rsidP="00567DB2">
      <w:pPr>
        <w:shd w:val="clear" w:color="auto" w:fill="E6E6E1" w:themeFill="accent5"/>
        <w:rPr>
          <w:b/>
          <w:color w:val="00264D" w:themeColor="background2"/>
        </w:rPr>
      </w:pPr>
      <w:r w:rsidRPr="00567DB2">
        <w:rPr>
          <w:color w:val="00264D" w:themeColor="background2"/>
        </w:rPr>
        <w:t>The KLC should continue to improve its communication with the eastern part of its RATSIB area, including through the implementation of the East Kimberley Engagement Strategy.</w:t>
      </w:r>
    </w:p>
    <w:p w14:paraId="3CEAD108" w14:textId="77777777" w:rsidR="00567DB2" w:rsidRPr="00567DB2" w:rsidRDefault="00567DB2" w:rsidP="00B22FD9">
      <w:pPr>
        <w:outlineLvl w:val="4"/>
        <w:rPr>
          <w:b/>
          <w:bCs/>
        </w:rPr>
      </w:pPr>
      <w:r w:rsidRPr="00567DB2">
        <w:rPr>
          <w:b/>
          <w:bCs/>
        </w:rPr>
        <w:t xml:space="preserve">KLC response. </w:t>
      </w:r>
    </w:p>
    <w:p w14:paraId="1761F853" w14:textId="77777777" w:rsidR="00567DB2" w:rsidRPr="006223F6" w:rsidRDefault="00567DB2" w:rsidP="00567DB2">
      <w:pPr>
        <w:rPr>
          <w:rFonts w:cs="Segoe UI"/>
          <w:color w:val="000000"/>
          <w:szCs w:val="19"/>
        </w:rPr>
      </w:pPr>
      <w:r w:rsidRPr="00F974CE">
        <w:rPr>
          <w:rFonts w:cs="Segoe UI"/>
          <w:color w:val="000000"/>
          <w:szCs w:val="19"/>
        </w:rPr>
        <w:t>KLC endors</w:t>
      </w:r>
      <w:r w:rsidRPr="006223F6">
        <w:rPr>
          <w:rFonts w:cs="Segoe UI"/>
          <w:color w:val="000000"/>
          <w:szCs w:val="19"/>
        </w:rPr>
        <w:t xml:space="preserve">es and supports this recommendation and has undertaken a comprehensive survey to better inform the extent and nature of the views and opinions of the KLC from Kimberley Aboriginal people on the work we do and how we do it The survey was initiated in the East Kimberley during the AGM’s of KLC, Kimberley Language Resource Centre, Kimberley Law and Culture Centre and Aarnja with a further 8 weeks on the ground in communities along with social media promotion and participation in the survey face to face and on-line. The survey participation rate provided statistically reliable data capturing approximately 10% of KLC’s membership participating in the survey which comprised approximately 75% of the survey responses. Survey results were published in KLC’s newsletter and are available on KLC’s website. The results have informed the KLC on the strategies and extent of resources needed for managing client and member relationships. And has also been an important source informing the KLC board in developing KLC’s Strategic Plan 2020-2024. </w:t>
      </w:r>
    </w:p>
    <w:p w14:paraId="24804885" w14:textId="77777777" w:rsidR="00567DB2" w:rsidRPr="006223F6" w:rsidRDefault="00567DB2" w:rsidP="00567DB2">
      <w:pPr>
        <w:rPr>
          <w:rFonts w:cs="Segoe UI"/>
          <w:color w:val="000000"/>
          <w:szCs w:val="19"/>
        </w:rPr>
      </w:pPr>
      <w:r w:rsidRPr="001D6FB0">
        <w:rPr>
          <w:rFonts w:cs="Segoe UI"/>
          <w:color w:val="000000"/>
          <w:szCs w:val="19"/>
        </w:rPr>
        <w:t>The implementation of the East Kimb</w:t>
      </w:r>
      <w:r w:rsidRPr="006223F6">
        <w:rPr>
          <w:rFonts w:cs="Segoe UI"/>
          <w:color w:val="000000"/>
          <w:szCs w:val="19"/>
        </w:rPr>
        <w:t xml:space="preserve">erley Engagement Strategy was significantly impacted by the restrictions on movement that apply in the Kimberley region as a response to the COVID pandemic. KLC has continued to work with its members, constituents and clients in the region, relying in particular on resources such as the publication The Native Title Story and communications via social media. KLC also continued to engage with native title applicants and PBC boards via technology during the early stage of </w:t>
      </w:r>
      <w:r w:rsidRPr="006223F6">
        <w:rPr>
          <w:rFonts w:cs="Segoe UI"/>
          <w:color w:val="000000"/>
          <w:szCs w:val="19"/>
        </w:rPr>
        <w:lastRenderedPageBreak/>
        <w:t xml:space="preserve">the pandemic, and in person as soon as the lifting of pandemic control measure made this possible. Communities in the east Kimberley region, as well as the rest of the Kimberley, remain subject to Remote Communities Direction No. 3 (unless an exemption has been granted) and KLC is acutely aware of the need to comply with all pandemic controls particularly those that safeguard communities. </w:t>
      </w:r>
    </w:p>
    <w:p w14:paraId="686ACAEA" w14:textId="77777777" w:rsidR="00567DB2" w:rsidRDefault="00567DB2" w:rsidP="00567DB2">
      <w:r w:rsidRPr="001D6FB0">
        <w:rPr>
          <w:rFonts w:cs="Segoe UI"/>
          <w:color w:val="000000"/>
          <w:szCs w:val="19"/>
        </w:rPr>
        <w:t>KLC notes that its relationship with some members and claimants in the east Kimberley will not be assisted by the lack of face to face engagement with broader claim groups and native title holder groups during 2020 and large meetings which are scheduled to commence from early 2021 will need to be planned and managed to allow re-engagement of complex and difficult issues.</w:t>
      </w:r>
      <w:r w:rsidRPr="0089775D">
        <w:t xml:space="preserve"> </w:t>
      </w:r>
    </w:p>
    <w:p w14:paraId="63FF0380" w14:textId="77777777" w:rsidR="00567DB2" w:rsidRDefault="00567DB2">
      <w:pPr>
        <w:spacing w:after="160" w:line="259" w:lineRule="auto"/>
        <w:rPr>
          <w:lang w:eastAsia="en-AU"/>
        </w:rPr>
      </w:pPr>
    </w:p>
    <w:p w14:paraId="6A79A87F" w14:textId="10A6A46F" w:rsidR="008946FB" w:rsidRDefault="008946FB">
      <w:pPr>
        <w:spacing w:after="160" w:line="259" w:lineRule="auto"/>
        <w:rPr>
          <w:lang w:eastAsia="en-AU"/>
        </w:rPr>
      </w:pPr>
      <w:r>
        <w:rPr>
          <w:lang w:eastAsia="en-AU"/>
        </w:rPr>
        <w:br w:type="page"/>
      </w:r>
    </w:p>
    <w:p w14:paraId="1BDE963C" w14:textId="3FA86629" w:rsidR="00EB1298" w:rsidRPr="0084761C" w:rsidRDefault="002E4BA7" w:rsidP="00AF3C9E">
      <w:pPr>
        <w:pStyle w:val="Heading2"/>
      </w:pPr>
      <w:bookmarkStart w:id="59" w:name="_Toc501895344"/>
      <w:bookmarkStart w:id="60" w:name="_Toc502839780"/>
      <w:bookmarkStart w:id="61" w:name="_Toc502843256"/>
      <w:bookmarkStart w:id="62" w:name="_Toc502847619"/>
      <w:bookmarkStart w:id="63" w:name="_Toc502850763"/>
      <w:bookmarkStart w:id="64" w:name="_Toc502855195"/>
      <w:bookmarkStart w:id="65" w:name="_Ref502870069"/>
      <w:bookmarkStart w:id="66" w:name="_Toc503117094"/>
      <w:bookmarkStart w:id="67" w:name="_Toc505259171"/>
      <w:bookmarkStart w:id="68" w:name="_Toc505256238"/>
      <w:bookmarkStart w:id="69" w:name="_Toc505618281"/>
      <w:r w:rsidRPr="0084761C">
        <w:lastRenderedPageBreak/>
        <w:t xml:space="preserve">TOR 2 | </w:t>
      </w:r>
      <w:r w:rsidR="00EB1298" w:rsidRPr="0084761C">
        <w:t>Review and assess each organisation’s cost effectiveness in performing the functions of a native title representative body, including the key cost drivers for each organisation.</w:t>
      </w:r>
      <w:bookmarkEnd w:id="59"/>
      <w:bookmarkEnd w:id="60"/>
      <w:bookmarkEnd w:id="61"/>
      <w:bookmarkEnd w:id="62"/>
      <w:bookmarkEnd w:id="63"/>
      <w:bookmarkEnd w:id="64"/>
      <w:bookmarkEnd w:id="65"/>
      <w:bookmarkEnd w:id="66"/>
      <w:bookmarkEnd w:id="67"/>
      <w:bookmarkEnd w:id="68"/>
      <w:bookmarkEnd w:id="69"/>
    </w:p>
    <w:p w14:paraId="4DD02793" w14:textId="77777777" w:rsidR="00523A0A" w:rsidRPr="00523A0A" w:rsidRDefault="00523A0A" w:rsidP="00523A0A">
      <w:pPr>
        <w:shd w:val="clear" w:color="auto" w:fill="E6E6E1" w:themeFill="accent5"/>
        <w:spacing w:after="0" w:line="259" w:lineRule="auto"/>
        <w:rPr>
          <w:rFonts w:eastAsia="Times New Roman"/>
          <w:b/>
          <w:bCs/>
          <w:color w:val="00264D" w:themeColor="background2"/>
          <w:lang w:eastAsia="en-AU"/>
        </w:rPr>
      </w:pPr>
      <w:r w:rsidRPr="00523A0A">
        <w:rPr>
          <w:rFonts w:eastAsia="Times New Roman"/>
          <w:b/>
          <w:color w:val="00264D" w:themeColor="background2"/>
          <w:lang w:eastAsia="en-AU"/>
        </w:rPr>
        <w:t>The KLC has significantly improved its cost effectiveness over the review period, exhibiting year on year improvement against budget.</w:t>
      </w:r>
      <w:r w:rsidRPr="00523A0A">
        <w:rPr>
          <w:rFonts w:eastAsia="Times New Roman"/>
          <w:bCs/>
          <w:color w:val="00264D" w:themeColor="background2"/>
          <w:lang w:eastAsia="en-AU"/>
        </w:rPr>
        <w:t xml:space="preserve"> This includes improved performance against the organisation’s three most significant cost drivers: staff salaries, consulting costs and claim group meeting costs. These improvements have been driven largely by a considered effort to lower operational costs and tighten financial governance by reviewing policies, procedures and procurement contracts. The use of external consultants to respond to pressure from the Federal Court appears cost effective.</w:t>
      </w:r>
    </w:p>
    <w:p w14:paraId="458B0E0A" w14:textId="77777777" w:rsidR="00523A0A" w:rsidRPr="00523A0A" w:rsidRDefault="00523A0A" w:rsidP="00523A0A">
      <w:pPr>
        <w:shd w:val="clear" w:color="auto" w:fill="E6E6E1" w:themeFill="accent5"/>
        <w:spacing w:after="0" w:line="259" w:lineRule="auto"/>
        <w:rPr>
          <w:b/>
          <w:color w:val="00264D" w:themeColor="background2"/>
        </w:rPr>
      </w:pPr>
      <w:r w:rsidRPr="00523A0A">
        <w:rPr>
          <w:rFonts w:eastAsia="Times New Roman"/>
          <w:bCs/>
          <w:color w:val="00264D" w:themeColor="background2"/>
          <w:lang w:eastAsia="en-AU"/>
        </w:rPr>
        <w:t>This improvement in cost effectiveness by the KLC has been achieved within an environment that presents significant challenges to cost efficiencies, including its very remote nature and the attitude of the state government in not providing funding for robust and inclusive agreement making for heritage matters. This stance increases the costs of PBC support.</w:t>
      </w:r>
    </w:p>
    <w:p w14:paraId="03489D90" w14:textId="77777777" w:rsidR="004B7314" w:rsidRDefault="004B7314" w:rsidP="00523A0A"/>
    <w:p w14:paraId="19C81F18" w14:textId="4699546C" w:rsidR="0084761C" w:rsidRPr="00567DB2" w:rsidRDefault="009B7E6B" w:rsidP="00B22FD9">
      <w:pPr>
        <w:outlineLvl w:val="2"/>
        <w:rPr>
          <w:b/>
          <w:bCs/>
          <w:i/>
          <w:iCs/>
          <w:color w:val="00264D" w:themeColor="background2"/>
        </w:rPr>
      </w:pPr>
      <w:r w:rsidRPr="00567DB2">
        <w:rPr>
          <w:b/>
          <w:bCs/>
          <w:i/>
          <w:iCs/>
          <w:color w:val="00264D" w:themeColor="background2"/>
        </w:rPr>
        <w:t>R</w:t>
      </w:r>
      <w:r w:rsidR="0084761C" w:rsidRPr="00567DB2">
        <w:rPr>
          <w:b/>
          <w:bCs/>
          <w:i/>
          <w:iCs/>
          <w:color w:val="00264D" w:themeColor="background2"/>
        </w:rPr>
        <w:t>ecommendations for TOR</w:t>
      </w:r>
      <w:r w:rsidR="00B66147" w:rsidRPr="00567DB2">
        <w:rPr>
          <w:b/>
          <w:bCs/>
          <w:i/>
          <w:iCs/>
          <w:color w:val="00264D" w:themeColor="background2"/>
        </w:rPr>
        <w:t xml:space="preserve"> </w:t>
      </w:r>
      <w:r w:rsidR="0084761C" w:rsidRPr="00567DB2">
        <w:rPr>
          <w:b/>
          <w:bCs/>
          <w:i/>
          <w:iCs/>
          <w:color w:val="00264D" w:themeColor="background2"/>
        </w:rPr>
        <w:t>2</w:t>
      </w:r>
    </w:p>
    <w:p w14:paraId="1170C00F" w14:textId="59616B13" w:rsidR="00B36E04" w:rsidRPr="00B36E04" w:rsidRDefault="00B36E04" w:rsidP="00B36E04">
      <w:pPr>
        <w:rPr>
          <w:lang w:eastAsia="en-AU"/>
        </w:rPr>
      </w:pPr>
      <w:r>
        <w:rPr>
          <w:lang w:eastAsia="en-AU"/>
        </w:rPr>
        <w:t xml:space="preserve">The Review made two recommendations for TOR 2 on the organisation’s cost effectiveness. These are outlined below, as well as </w:t>
      </w:r>
      <w:r w:rsidR="00312C68">
        <w:rPr>
          <w:lang w:eastAsia="en-AU"/>
        </w:rPr>
        <w:t>KLC</w:t>
      </w:r>
      <w:r>
        <w:rPr>
          <w:lang w:eastAsia="en-AU"/>
        </w:rPr>
        <w:t xml:space="preserve">’s response to these recommendations. </w:t>
      </w:r>
    </w:p>
    <w:p w14:paraId="78BF32B5" w14:textId="77777777" w:rsidR="00523A0A" w:rsidRPr="00523A0A" w:rsidRDefault="00523A0A" w:rsidP="00B22FD9">
      <w:pPr>
        <w:shd w:val="clear" w:color="auto" w:fill="E6E6E1" w:themeFill="accent5"/>
        <w:outlineLvl w:val="3"/>
        <w:rPr>
          <w:b/>
          <w:bCs/>
          <w:color w:val="00264D" w:themeColor="background2"/>
        </w:rPr>
      </w:pPr>
      <w:r w:rsidRPr="00523A0A">
        <w:rPr>
          <w:b/>
          <w:bCs/>
          <w:color w:val="00264D" w:themeColor="background2"/>
        </w:rPr>
        <w:t>Recommendation 4</w:t>
      </w:r>
    </w:p>
    <w:p w14:paraId="5A094216" w14:textId="77777777" w:rsidR="00523A0A" w:rsidRPr="00523A0A" w:rsidRDefault="00523A0A" w:rsidP="00523A0A">
      <w:pPr>
        <w:shd w:val="clear" w:color="auto" w:fill="E6E6E1" w:themeFill="accent5"/>
        <w:rPr>
          <w:b/>
          <w:color w:val="00264D" w:themeColor="background2"/>
          <w:sz w:val="20"/>
          <w:szCs w:val="20"/>
        </w:rPr>
      </w:pPr>
      <w:r w:rsidRPr="00523A0A">
        <w:rPr>
          <w:color w:val="00264D" w:themeColor="background2"/>
          <w:sz w:val="20"/>
          <w:szCs w:val="20"/>
        </w:rPr>
        <w:t>The KLC should continue to investigate ways to cut its corporate overspend through finding efficiencies across its corporate function.</w:t>
      </w:r>
    </w:p>
    <w:p w14:paraId="30393B68" w14:textId="77777777" w:rsidR="00523A0A" w:rsidRPr="00523A0A" w:rsidRDefault="00523A0A" w:rsidP="00B22FD9">
      <w:pPr>
        <w:outlineLvl w:val="4"/>
        <w:rPr>
          <w:b/>
          <w:bCs/>
          <w:color w:val="00264D" w:themeColor="background2"/>
        </w:rPr>
      </w:pPr>
      <w:r w:rsidRPr="00523A0A">
        <w:rPr>
          <w:b/>
          <w:bCs/>
          <w:color w:val="00264D" w:themeColor="background2"/>
        </w:rPr>
        <w:t xml:space="preserve">KLC response. </w:t>
      </w:r>
    </w:p>
    <w:p w14:paraId="1EA8D076" w14:textId="77777777" w:rsidR="00523A0A" w:rsidRPr="006223F6" w:rsidRDefault="00523A0A" w:rsidP="00523A0A">
      <w:r w:rsidRPr="00DC41F7">
        <w:t>The KLC notes the findings of the review of its increasin</w:t>
      </w:r>
      <w:r w:rsidRPr="006223F6">
        <w:t xml:space="preserve">g cost efficiencies in an environment that presents significant costs challenges external to the organisation and beyond its control. The KLC also notes the findings that it has improved performance against the three most significant cost drivers. </w:t>
      </w:r>
    </w:p>
    <w:p w14:paraId="4D5203E0" w14:textId="77777777" w:rsidR="00523A0A" w:rsidRDefault="00523A0A" w:rsidP="00523A0A">
      <w:r w:rsidRPr="00DC41F7">
        <w:t>In relation to the recommendation relating to a corporate overspend the KLC disagree with the recommendation to manage corporate overspend through finding efficiencies across its corporate function. Corporate function is already significantly lean and run as efficiently as is possible. Any further reduction in corporate function poses risks to the operations of corporate functions (financial, corporate and executive) including compliances of the organisation. The budget allocation of corporate function expenditure to total operational expenditure comprised approximately 17% in 2015/16, 22% in 2016/17 and 19% in 2017/18. The expenditure on corporate budgets in 2016/17 and 2017/19 was within 2% of budget however in 2015/16 there was a significant budget overspend due to an unrealistic budget being set (the budget in that year equated at 13% of KLC revenue). It is noted that almost two thirds of large not for profit organisations spend approximately 40% or more on overheads.</w:t>
      </w:r>
      <w:r w:rsidRPr="00340EF8">
        <w:t xml:space="preserve"> </w:t>
      </w:r>
    </w:p>
    <w:p w14:paraId="3107DEB3" w14:textId="5ADA451E" w:rsidR="00E5318B" w:rsidRDefault="00E5318B" w:rsidP="00E5318B">
      <w:pPr>
        <w:rPr>
          <w:lang w:eastAsia="en-AU"/>
        </w:rPr>
      </w:pPr>
    </w:p>
    <w:p w14:paraId="452EAA40" w14:textId="77777777" w:rsidR="00523A0A" w:rsidRPr="00523A0A" w:rsidRDefault="00523A0A" w:rsidP="00B22FD9">
      <w:pPr>
        <w:shd w:val="clear" w:color="auto" w:fill="E6E6E1" w:themeFill="accent5"/>
        <w:outlineLvl w:val="3"/>
        <w:rPr>
          <w:b/>
          <w:bCs/>
          <w:color w:val="00264D" w:themeColor="background2"/>
        </w:rPr>
      </w:pPr>
      <w:r w:rsidRPr="00523A0A">
        <w:rPr>
          <w:b/>
          <w:bCs/>
          <w:color w:val="00264D" w:themeColor="background2"/>
        </w:rPr>
        <w:t>Recommendation 5</w:t>
      </w:r>
    </w:p>
    <w:p w14:paraId="2A463843" w14:textId="77777777" w:rsidR="00523A0A" w:rsidRPr="00523A0A" w:rsidRDefault="00523A0A" w:rsidP="00523A0A">
      <w:pPr>
        <w:shd w:val="clear" w:color="auto" w:fill="E6E6E1" w:themeFill="accent5"/>
        <w:rPr>
          <w:b/>
          <w:color w:val="00264D" w:themeColor="background2"/>
        </w:rPr>
      </w:pPr>
      <w:r w:rsidRPr="00523A0A">
        <w:rPr>
          <w:color w:val="00264D" w:themeColor="background2"/>
        </w:rPr>
        <w:t>The KLC should continue to develop and implement its new policy defining cost recovery on PBC service provision, as well as explore further opportunities to recover costs on native title services.</w:t>
      </w:r>
    </w:p>
    <w:p w14:paraId="62E9221A" w14:textId="77777777" w:rsidR="00523A0A" w:rsidRPr="00523A0A" w:rsidRDefault="00523A0A" w:rsidP="00B22FD9">
      <w:pPr>
        <w:outlineLvl w:val="4"/>
        <w:rPr>
          <w:b/>
          <w:bCs/>
          <w:color w:val="00264D" w:themeColor="background2"/>
        </w:rPr>
      </w:pPr>
      <w:r w:rsidRPr="00523A0A">
        <w:rPr>
          <w:b/>
          <w:bCs/>
          <w:color w:val="00264D" w:themeColor="background2"/>
        </w:rPr>
        <w:t xml:space="preserve">KLC response. </w:t>
      </w:r>
    </w:p>
    <w:p w14:paraId="24CE2F64" w14:textId="77777777" w:rsidR="00523A0A" w:rsidRPr="00DC41F7" w:rsidRDefault="00523A0A" w:rsidP="00523A0A">
      <w:r w:rsidRPr="00DC41F7">
        <w:t xml:space="preserve">The KLC’s 2020-2024 Strategic Plan provides a pathway for the organisation to ensure its operating relationship with PBCs grows and develops consistent with a native title system where (in the Kimberley at least) PBCs now outnumber native title claim groups. The implementation of the 2020-2024 Strategic Plan provides for partnership with PBCs and aligning the operations of the KLC in supporting and developing </w:t>
      </w:r>
      <w:r w:rsidRPr="00DC41F7">
        <w:lastRenderedPageBreak/>
        <w:t xml:space="preserve">cultural based systems, structures and organisations. The KLC recognise the misalignment of western corporate structures with traditional owner governance and the limitation of that structure under Corporation and PBC regulations. </w:t>
      </w:r>
    </w:p>
    <w:p w14:paraId="14FCD10B" w14:textId="77777777" w:rsidR="00523A0A" w:rsidRPr="00DC41F7" w:rsidRDefault="00523A0A" w:rsidP="00523A0A">
      <w:r w:rsidRPr="00DC41F7">
        <w:t>The KLC recognises the current and historical under resourcing of the sector in general and specifically with the emergence of PBCs. With PBCs relying on government and non-government entities to value the cost of engagement with Traditional Owners but with no leverage or regulated mechanism to enforce government and non-government entities to pay for the cost of doing business that impacts native title. The lack of recognition around the authority of Traditional Owners to charge for the cost of doing business is further impacted by government and non-government entities determining the parameters and value of traditional owner engagement which further disadvantages and disenfranchises Traditional Owners native title and rights to self-determination.</w:t>
      </w:r>
    </w:p>
    <w:p w14:paraId="41EC51F0" w14:textId="77777777" w:rsidR="00523A0A" w:rsidRDefault="00523A0A" w:rsidP="00523A0A">
      <w:r w:rsidRPr="00DC41F7">
        <w:t>The KLC also continues to advocate with external stakeholders, in particular at a Commonwealth level, on the need for legislative reform and policy guidance to ensure the current system of cost-shifting from proponents to native title parties in the future act system is reformed. Cost recovery against PBCs for future acts will also remain nominal and problematic if the costs which are sought to be recovered arise because of third party proponent activity and the cost of the activity is never internalised to the commercial beneficiary of it.</w:t>
      </w:r>
      <w:r w:rsidRPr="00340EF8">
        <w:t xml:space="preserve"> </w:t>
      </w:r>
    </w:p>
    <w:p w14:paraId="029A7BB9" w14:textId="0B5AE0E4" w:rsidR="00843106" w:rsidRDefault="00843106" w:rsidP="00E5318B">
      <w:pPr>
        <w:rPr>
          <w:lang w:eastAsia="en-AU"/>
        </w:rPr>
      </w:pPr>
    </w:p>
    <w:p w14:paraId="38724965" w14:textId="137674DF" w:rsidR="004B7314" w:rsidRDefault="004B7314">
      <w:pPr>
        <w:spacing w:after="160" w:line="259" w:lineRule="auto"/>
        <w:rPr>
          <w:lang w:eastAsia="en-AU"/>
        </w:rPr>
      </w:pPr>
      <w:r>
        <w:rPr>
          <w:lang w:eastAsia="en-AU"/>
        </w:rPr>
        <w:br w:type="page"/>
      </w:r>
    </w:p>
    <w:p w14:paraId="0D40D0DA" w14:textId="7312282D" w:rsidR="00810B33" w:rsidRDefault="002E4BA7" w:rsidP="00523A0A">
      <w:pPr>
        <w:pStyle w:val="Heading2"/>
      </w:pPr>
      <w:bookmarkStart w:id="70" w:name="_Toc501895345"/>
      <w:bookmarkStart w:id="71" w:name="_Toc502839781"/>
      <w:bookmarkStart w:id="72" w:name="_Toc502843257"/>
      <w:bookmarkStart w:id="73" w:name="_Toc502847620"/>
      <w:bookmarkStart w:id="74" w:name="_Toc502850764"/>
      <w:bookmarkStart w:id="75" w:name="_Toc502855196"/>
      <w:bookmarkStart w:id="76" w:name="_Toc503117095"/>
      <w:bookmarkStart w:id="77" w:name="_Toc505259172"/>
      <w:bookmarkStart w:id="78" w:name="_Toc505256239"/>
      <w:bookmarkStart w:id="79" w:name="_Toc505618282"/>
      <w:r w:rsidRPr="0084761C">
        <w:lastRenderedPageBreak/>
        <w:t xml:space="preserve">TOR 3 | </w:t>
      </w:r>
      <w:r w:rsidR="00EB1298" w:rsidRPr="0084761C">
        <w:t xml:space="preserve">Review and assess each organisation’s strategies for driving and tracking its achievement against key performance indicators in its funding agreement with </w:t>
      </w:r>
      <w:bookmarkEnd w:id="70"/>
      <w:bookmarkEnd w:id="71"/>
      <w:bookmarkEnd w:id="72"/>
      <w:bookmarkEnd w:id="73"/>
      <w:bookmarkEnd w:id="74"/>
      <w:bookmarkEnd w:id="75"/>
      <w:bookmarkEnd w:id="76"/>
      <w:bookmarkEnd w:id="77"/>
      <w:bookmarkEnd w:id="78"/>
      <w:bookmarkEnd w:id="79"/>
      <w:r w:rsidR="002C3710" w:rsidRPr="0084761C">
        <w:t>the NIAA</w:t>
      </w:r>
      <w:r w:rsidRPr="0084761C">
        <w:t>.</w:t>
      </w:r>
    </w:p>
    <w:p w14:paraId="1A9C2B21" w14:textId="77777777" w:rsidR="0084761C" w:rsidRPr="0084761C" w:rsidRDefault="0084761C" w:rsidP="0084761C">
      <w:pPr>
        <w:rPr>
          <w:lang w:eastAsia="en-AU"/>
        </w:rPr>
      </w:pPr>
    </w:p>
    <w:p w14:paraId="59619A94" w14:textId="77777777" w:rsidR="00523A0A" w:rsidRPr="00523A0A" w:rsidRDefault="00523A0A" w:rsidP="00523A0A">
      <w:pPr>
        <w:shd w:val="clear" w:color="auto" w:fill="E6E6E1" w:themeFill="accent5"/>
        <w:spacing w:after="0" w:line="259" w:lineRule="auto"/>
        <w:rPr>
          <w:b/>
          <w:color w:val="00264D" w:themeColor="background2"/>
        </w:rPr>
      </w:pPr>
      <w:r w:rsidRPr="00523A0A">
        <w:rPr>
          <w:rFonts w:eastAsia="Times New Roman"/>
          <w:b/>
          <w:color w:val="00264D" w:themeColor="background2"/>
          <w:lang w:eastAsia="en-AU"/>
        </w:rPr>
        <w:t xml:space="preserve">The Review found the KLC’s performance reporting to be of a high quality and compliant with the terms of its funding agreement. </w:t>
      </w:r>
      <w:r w:rsidRPr="00523A0A">
        <w:rPr>
          <w:rFonts w:eastAsia="Times New Roman"/>
          <w:bCs/>
          <w:color w:val="00264D" w:themeColor="background2"/>
          <w:lang w:eastAsia="en-AU"/>
        </w:rPr>
        <w:t>The KLC has submitted all reports to the NIAA on time throughout the review period. The KLC uses recognised human resource and financial information systems to effectively track its achievement against its KPIs and its funding agreement with the NIAA. As a result, the organisation can be very transparent in its use of resources allocated to native and non-native title activities.</w:t>
      </w:r>
    </w:p>
    <w:p w14:paraId="1F11C9C4" w14:textId="77777777" w:rsidR="007532E7" w:rsidRDefault="007532E7" w:rsidP="007532E7">
      <w:pPr>
        <w:rPr>
          <w:lang w:eastAsia="en-AU"/>
        </w:rPr>
      </w:pPr>
    </w:p>
    <w:p w14:paraId="08762578" w14:textId="2021FD1A" w:rsidR="007532E7" w:rsidRPr="00567DB2" w:rsidRDefault="007532E7" w:rsidP="00B22FD9">
      <w:pPr>
        <w:outlineLvl w:val="2"/>
        <w:rPr>
          <w:b/>
          <w:bCs/>
          <w:i/>
          <w:iCs/>
          <w:color w:val="00264D" w:themeColor="background2"/>
        </w:rPr>
      </w:pPr>
      <w:r w:rsidRPr="00567DB2">
        <w:rPr>
          <w:b/>
          <w:bCs/>
          <w:i/>
          <w:iCs/>
          <w:color w:val="00264D" w:themeColor="background2"/>
        </w:rPr>
        <w:t>Recommendations</w:t>
      </w:r>
      <w:r w:rsidR="00274A34" w:rsidRPr="00567DB2">
        <w:rPr>
          <w:b/>
          <w:bCs/>
          <w:i/>
          <w:iCs/>
          <w:color w:val="00264D" w:themeColor="background2"/>
        </w:rPr>
        <w:t xml:space="preserve"> for TOR 3</w:t>
      </w:r>
    </w:p>
    <w:p w14:paraId="52F79E51" w14:textId="057F77CD" w:rsidR="0056079F" w:rsidRPr="0056079F" w:rsidRDefault="002846C9" w:rsidP="0056079F">
      <w:pPr>
        <w:rPr>
          <w:lang w:eastAsia="en-AU"/>
        </w:rPr>
      </w:pPr>
      <w:r>
        <w:rPr>
          <w:lang w:eastAsia="en-AU"/>
        </w:rPr>
        <w:t>The Review made one recommendation for TOR 3 on the organisation’s achievement. Th</w:t>
      </w:r>
      <w:r w:rsidR="00900B2E">
        <w:rPr>
          <w:lang w:eastAsia="en-AU"/>
        </w:rPr>
        <w:t>is is</w:t>
      </w:r>
      <w:r>
        <w:rPr>
          <w:lang w:eastAsia="en-AU"/>
        </w:rPr>
        <w:t xml:space="preserve"> outlined below, as well as </w:t>
      </w:r>
      <w:r w:rsidR="00312C68">
        <w:rPr>
          <w:lang w:eastAsia="en-AU"/>
        </w:rPr>
        <w:t>KLC</w:t>
      </w:r>
      <w:r>
        <w:rPr>
          <w:lang w:eastAsia="en-AU"/>
        </w:rPr>
        <w:t>’s response to th</w:t>
      </w:r>
      <w:r w:rsidR="00900B2E">
        <w:rPr>
          <w:lang w:eastAsia="en-AU"/>
        </w:rPr>
        <w:t>is</w:t>
      </w:r>
      <w:r>
        <w:rPr>
          <w:lang w:eastAsia="en-AU"/>
        </w:rPr>
        <w:t xml:space="preserve"> recommendation. </w:t>
      </w:r>
    </w:p>
    <w:p w14:paraId="6A48202D" w14:textId="77777777" w:rsidR="00523A0A" w:rsidRPr="00523A0A" w:rsidRDefault="00523A0A" w:rsidP="00B22FD9">
      <w:pPr>
        <w:shd w:val="clear" w:color="auto" w:fill="E6E6E1" w:themeFill="accent5"/>
        <w:outlineLvl w:val="3"/>
        <w:rPr>
          <w:b/>
          <w:bCs/>
          <w:color w:val="00264D" w:themeColor="background2"/>
        </w:rPr>
      </w:pPr>
      <w:r w:rsidRPr="00523A0A">
        <w:rPr>
          <w:b/>
          <w:bCs/>
          <w:color w:val="00264D" w:themeColor="background2"/>
        </w:rPr>
        <w:t>Recommendation 6</w:t>
      </w:r>
    </w:p>
    <w:p w14:paraId="6C074107" w14:textId="77777777" w:rsidR="00523A0A" w:rsidRPr="00523A0A" w:rsidRDefault="00523A0A" w:rsidP="00523A0A">
      <w:pPr>
        <w:shd w:val="clear" w:color="auto" w:fill="E6E6E1" w:themeFill="accent5"/>
        <w:rPr>
          <w:b/>
          <w:color w:val="00264D" w:themeColor="background2"/>
          <w:sz w:val="20"/>
          <w:szCs w:val="20"/>
        </w:rPr>
      </w:pPr>
      <w:r w:rsidRPr="00523A0A">
        <w:rPr>
          <w:color w:val="00264D" w:themeColor="background2"/>
          <w:sz w:val="20"/>
          <w:szCs w:val="20"/>
        </w:rPr>
        <w:t>The KLC should consider implementing a time sheeting system based on codes for different functions. This would enable accurate billing of staff-related activity-based expenses and improve cost recovery.</w:t>
      </w:r>
    </w:p>
    <w:p w14:paraId="6D568BD9" w14:textId="77777777" w:rsidR="00523A0A" w:rsidRPr="00523A0A" w:rsidRDefault="00523A0A" w:rsidP="00B22FD9">
      <w:pPr>
        <w:outlineLvl w:val="4"/>
        <w:rPr>
          <w:b/>
          <w:bCs/>
          <w:color w:val="00264D" w:themeColor="background2"/>
        </w:rPr>
      </w:pPr>
      <w:r w:rsidRPr="00523A0A">
        <w:rPr>
          <w:b/>
          <w:bCs/>
          <w:color w:val="00264D" w:themeColor="background2"/>
        </w:rPr>
        <w:t xml:space="preserve">KLC response. </w:t>
      </w:r>
    </w:p>
    <w:p w14:paraId="2C3FE9A9" w14:textId="77777777" w:rsidR="00523A0A" w:rsidRDefault="00523A0A" w:rsidP="00523A0A">
      <w:r w:rsidRPr="00D34ABF">
        <w:t>While KLC continues to rely on manual timesheets for matters involving specific funding or cost recovery from third parties, KLC is also actively investigating options to allow activity-based cost recovery across the organisation. These options will be developed further after new file management systems are in place.</w:t>
      </w:r>
      <w:r w:rsidRPr="00340EF8">
        <w:t xml:space="preserve"> </w:t>
      </w:r>
    </w:p>
    <w:p w14:paraId="614C5AA1" w14:textId="13D14720" w:rsidR="00276B8E" w:rsidRDefault="00276B8E" w:rsidP="00D809AE"/>
    <w:p w14:paraId="5EA257BD" w14:textId="5B5CFF72" w:rsidR="004B7314" w:rsidRDefault="004B7314">
      <w:pPr>
        <w:spacing w:after="160" w:line="259" w:lineRule="auto"/>
      </w:pPr>
      <w:r>
        <w:br w:type="page"/>
      </w:r>
    </w:p>
    <w:p w14:paraId="455FF01D" w14:textId="3E3037E9" w:rsidR="00EB1298" w:rsidRPr="0084761C" w:rsidRDefault="002E4BA7" w:rsidP="00523A0A">
      <w:pPr>
        <w:pStyle w:val="Heading2"/>
      </w:pPr>
      <w:bookmarkStart w:id="80" w:name="_Toc501895346"/>
      <w:bookmarkStart w:id="81" w:name="_Toc502839782"/>
      <w:bookmarkStart w:id="82" w:name="_Toc502843258"/>
      <w:bookmarkStart w:id="83" w:name="_Toc502847621"/>
      <w:bookmarkStart w:id="84" w:name="_Toc502850765"/>
      <w:bookmarkStart w:id="85" w:name="_Toc502855197"/>
      <w:bookmarkStart w:id="86" w:name="_Ref502870747"/>
      <w:bookmarkStart w:id="87" w:name="_Ref502909938"/>
      <w:bookmarkStart w:id="88" w:name="_Toc503117096"/>
      <w:bookmarkStart w:id="89" w:name="_Toc505259173"/>
      <w:bookmarkStart w:id="90" w:name="_Toc505256240"/>
      <w:bookmarkStart w:id="91" w:name="_Ref505607381"/>
      <w:bookmarkStart w:id="92" w:name="_Toc505618283"/>
      <w:r w:rsidRPr="0084761C">
        <w:lastRenderedPageBreak/>
        <w:t xml:space="preserve">TOR 4 | </w:t>
      </w:r>
      <w:r w:rsidR="00EB1298" w:rsidRPr="0084761C">
        <w:t>Review and assess the extent to which each organisation’s governance structures and organisational policies and practices support efficient and effective project delivery including: the breakdown of responsibilities between the organisation’s Board, Chairperson, Chief Executive Officer and senior staff; its financial management; the standard to which it manages and resolves any conflicts of interest; the standard to which it manages and resolves any complaints.</w:t>
      </w:r>
      <w:bookmarkEnd w:id="80"/>
      <w:bookmarkEnd w:id="81"/>
      <w:bookmarkEnd w:id="82"/>
      <w:bookmarkEnd w:id="83"/>
      <w:bookmarkEnd w:id="84"/>
      <w:bookmarkEnd w:id="85"/>
      <w:bookmarkEnd w:id="86"/>
      <w:bookmarkEnd w:id="87"/>
      <w:bookmarkEnd w:id="88"/>
      <w:bookmarkEnd w:id="89"/>
      <w:bookmarkEnd w:id="90"/>
      <w:bookmarkEnd w:id="91"/>
      <w:bookmarkEnd w:id="92"/>
    </w:p>
    <w:p w14:paraId="125F7B22" w14:textId="7F755E3E" w:rsidR="00771CAE" w:rsidRDefault="00771CAE" w:rsidP="00771CAE">
      <w:pPr>
        <w:rPr>
          <w:lang w:eastAsia="en-AU"/>
        </w:rPr>
      </w:pPr>
    </w:p>
    <w:p w14:paraId="5FB07493" w14:textId="77777777" w:rsidR="00523A0A" w:rsidRPr="00523A0A" w:rsidRDefault="00523A0A" w:rsidP="00523A0A">
      <w:pPr>
        <w:shd w:val="clear" w:color="auto" w:fill="E6E6E1" w:themeFill="accent5"/>
        <w:spacing w:after="0" w:line="259" w:lineRule="auto"/>
        <w:rPr>
          <w:rFonts w:eastAsia="Times New Roman"/>
          <w:b/>
          <w:bCs/>
          <w:color w:val="00264D" w:themeColor="background2"/>
          <w:lang w:eastAsia="en-AU"/>
        </w:rPr>
      </w:pPr>
      <w:r w:rsidRPr="00523A0A">
        <w:rPr>
          <w:rFonts w:eastAsia="Times New Roman"/>
          <w:b/>
          <w:color w:val="00264D" w:themeColor="background2"/>
          <w:lang w:eastAsia="en-AU"/>
        </w:rPr>
        <w:t>The KLC has a large representative Board which provides clear and independent guidance to the organisation.</w:t>
      </w:r>
      <w:r w:rsidRPr="00523A0A">
        <w:rPr>
          <w:rFonts w:eastAsia="Times New Roman"/>
          <w:bCs/>
          <w:color w:val="00264D" w:themeColor="background2"/>
          <w:lang w:eastAsia="en-AU"/>
        </w:rPr>
        <w:t xml:space="preserve"> The size of the Board creates transparency in the management of any conflicts of interest arising. The Board is a key part of the KLC’s credibility within its community and acts as a conduit between the organisation and its key stakeholders. The Board is well supported through training and high-quality communication from its senior staff.</w:t>
      </w:r>
    </w:p>
    <w:p w14:paraId="0F752769" w14:textId="77777777" w:rsidR="00523A0A" w:rsidRPr="00523A0A" w:rsidRDefault="00523A0A" w:rsidP="00523A0A">
      <w:pPr>
        <w:shd w:val="clear" w:color="auto" w:fill="E6E6E1" w:themeFill="accent5"/>
        <w:spacing w:after="0" w:line="259" w:lineRule="auto"/>
        <w:rPr>
          <w:rFonts w:eastAsia="Times New Roman"/>
          <w:b/>
          <w:bCs/>
          <w:color w:val="00264D" w:themeColor="background2"/>
          <w:lang w:eastAsia="en-AU"/>
        </w:rPr>
      </w:pPr>
      <w:r w:rsidRPr="00523A0A">
        <w:rPr>
          <w:rFonts w:eastAsia="Times New Roman"/>
          <w:bCs/>
          <w:color w:val="00264D" w:themeColor="background2"/>
          <w:lang w:eastAsia="en-AU"/>
        </w:rPr>
        <w:t xml:space="preserve">The KLC’s Strategic Plan has been developed with input from all staff and the Board and helps to drive a remarkably cohesive organisational culture. This culture is supported by strong supervisory structures, proactive talent development and career pathways and good internal communication. The KLC is active in developing its Indigenous staff. There is a marked difference in the experience of some staff which should be noted. </w:t>
      </w:r>
    </w:p>
    <w:p w14:paraId="1C75B23A" w14:textId="77777777" w:rsidR="00523A0A" w:rsidRPr="00523A0A" w:rsidRDefault="00523A0A" w:rsidP="00523A0A">
      <w:pPr>
        <w:shd w:val="clear" w:color="auto" w:fill="E6E6E1" w:themeFill="accent5"/>
        <w:spacing w:after="0" w:line="259" w:lineRule="auto"/>
        <w:rPr>
          <w:b/>
          <w:color w:val="00264D" w:themeColor="background2"/>
        </w:rPr>
      </w:pPr>
      <w:r w:rsidRPr="00523A0A">
        <w:rPr>
          <w:rFonts w:eastAsia="Times New Roman"/>
          <w:bCs/>
          <w:color w:val="00264D" w:themeColor="background2"/>
          <w:lang w:eastAsia="en-AU"/>
        </w:rPr>
        <w:t>The KLC has a clear complaints process which is actively promoted to all clients. There have been seven formal complaints during the Review period with six of these escalated to the Board. Informal complaints are successfully resolved over the phone, or through conversations.</w:t>
      </w:r>
    </w:p>
    <w:p w14:paraId="04EC0439" w14:textId="77777777" w:rsidR="00CE7857" w:rsidRDefault="00CE7857" w:rsidP="00F00DA4">
      <w:pPr>
        <w:rPr>
          <w:lang w:eastAsia="en-AU"/>
        </w:rPr>
      </w:pPr>
    </w:p>
    <w:p w14:paraId="1B32EB0D" w14:textId="4514EE10" w:rsidR="00F00DA4" w:rsidRPr="00567DB2" w:rsidRDefault="00F00DA4" w:rsidP="00B22FD9">
      <w:pPr>
        <w:outlineLvl w:val="2"/>
        <w:rPr>
          <w:b/>
          <w:bCs/>
          <w:i/>
          <w:iCs/>
          <w:color w:val="00264D" w:themeColor="background2"/>
        </w:rPr>
      </w:pPr>
      <w:r w:rsidRPr="00567DB2">
        <w:rPr>
          <w:b/>
          <w:bCs/>
          <w:i/>
          <w:iCs/>
          <w:color w:val="00264D" w:themeColor="background2"/>
        </w:rPr>
        <w:t>Recommendations</w:t>
      </w:r>
      <w:r w:rsidR="00274A34" w:rsidRPr="00567DB2">
        <w:rPr>
          <w:b/>
          <w:bCs/>
          <w:i/>
          <w:iCs/>
          <w:color w:val="00264D" w:themeColor="background2"/>
        </w:rPr>
        <w:t xml:space="preserve"> for TOR</w:t>
      </w:r>
      <w:r w:rsidR="00335367" w:rsidRPr="00567DB2">
        <w:rPr>
          <w:b/>
          <w:bCs/>
          <w:i/>
          <w:iCs/>
          <w:color w:val="00264D" w:themeColor="background2"/>
        </w:rPr>
        <w:t xml:space="preserve"> 4</w:t>
      </w:r>
    </w:p>
    <w:p w14:paraId="4EFDBFD7" w14:textId="360B25AF" w:rsidR="00CE7857" w:rsidRPr="00CE7857" w:rsidRDefault="00CE7857" w:rsidP="00CE7857">
      <w:pPr>
        <w:rPr>
          <w:lang w:eastAsia="en-AU"/>
        </w:rPr>
      </w:pPr>
      <w:r>
        <w:rPr>
          <w:lang w:eastAsia="en-AU"/>
        </w:rPr>
        <w:t xml:space="preserve">The Review made one recommendation for TOR 4 on support provided by organisational governance structures, policies and practices. This outlined below, as well as </w:t>
      </w:r>
      <w:r w:rsidR="00312C68">
        <w:rPr>
          <w:lang w:eastAsia="en-AU"/>
        </w:rPr>
        <w:t>KLC</w:t>
      </w:r>
      <w:r>
        <w:rPr>
          <w:lang w:eastAsia="en-AU"/>
        </w:rPr>
        <w:t xml:space="preserve">’s response to this recommendation. </w:t>
      </w:r>
    </w:p>
    <w:p w14:paraId="263E6DDC" w14:textId="77777777" w:rsidR="00EC2225" w:rsidRPr="00EC2225" w:rsidRDefault="00EC2225" w:rsidP="00B22FD9">
      <w:pPr>
        <w:shd w:val="clear" w:color="auto" w:fill="E6E6E1" w:themeFill="accent5"/>
        <w:outlineLvl w:val="3"/>
        <w:rPr>
          <w:b/>
          <w:bCs/>
          <w:color w:val="00264D" w:themeColor="background2"/>
        </w:rPr>
      </w:pPr>
      <w:r w:rsidRPr="00EC2225">
        <w:rPr>
          <w:b/>
          <w:bCs/>
          <w:color w:val="00264D" w:themeColor="background2"/>
        </w:rPr>
        <w:t>Recommendation 7</w:t>
      </w:r>
    </w:p>
    <w:p w14:paraId="44096285" w14:textId="77777777" w:rsidR="00EC2225" w:rsidRPr="00EC2225" w:rsidRDefault="00EC2225" w:rsidP="00EC2225">
      <w:pPr>
        <w:shd w:val="clear" w:color="auto" w:fill="E6E6E1" w:themeFill="accent5"/>
        <w:rPr>
          <w:b/>
          <w:color w:val="00264D" w:themeColor="background2"/>
        </w:rPr>
      </w:pPr>
      <w:r w:rsidRPr="00EC2225">
        <w:rPr>
          <w:color w:val="00264D" w:themeColor="background2"/>
        </w:rPr>
        <w:t>KLC could consolidate policies and procedures in order to make them more accessible to staff.</w:t>
      </w:r>
    </w:p>
    <w:p w14:paraId="37155ABD" w14:textId="77777777" w:rsidR="00EC2225" w:rsidRPr="00EC2225" w:rsidRDefault="00EC2225" w:rsidP="00B22FD9">
      <w:pPr>
        <w:outlineLvl w:val="4"/>
        <w:rPr>
          <w:b/>
          <w:bCs/>
          <w:color w:val="00264D" w:themeColor="background2"/>
        </w:rPr>
      </w:pPr>
      <w:r w:rsidRPr="00EC2225">
        <w:rPr>
          <w:b/>
          <w:bCs/>
          <w:color w:val="00264D" w:themeColor="background2"/>
        </w:rPr>
        <w:t xml:space="preserve">KLC response. </w:t>
      </w:r>
    </w:p>
    <w:p w14:paraId="4946D702" w14:textId="77777777" w:rsidR="00EC2225" w:rsidRPr="003760C1" w:rsidRDefault="00EC2225" w:rsidP="00EC2225">
      <w:pPr>
        <w:rPr>
          <w:rFonts w:eastAsia="Times New Roman" w:cs="Times New Roman"/>
          <w:szCs w:val="19"/>
          <w:lang w:eastAsia="en-AU"/>
        </w:rPr>
      </w:pPr>
      <w:r w:rsidRPr="003760C1">
        <w:rPr>
          <w:rFonts w:eastAsia="Times New Roman" w:cs="Times New Roman"/>
          <w:szCs w:val="19"/>
          <w:lang w:eastAsia="en-AU"/>
        </w:rPr>
        <w:t xml:space="preserve">This recommendation has been implemented. KLC’s internal policies and procedures are available on the staff intranet. Updates and staff communications on new policies or changes to existing policies are managed through Human Resources. </w:t>
      </w:r>
    </w:p>
    <w:p w14:paraId="62A27A05" w14:textId="05E71912" w:rsidR="00571B00" w:rsidRDefault="00571B00" w:rsidP="00EC2225">
      <w:pPr>
        <w:rPr>
          <w:highlight w:val="yellow"/>
        </w:rPr>
      </w:pPr>
    </w:p>
    <w:p w14:paraId="0DB97121" w14:textId="1E35AB33" w:rsidR="00CE7857" w:rsidRDefault="00CE7857">
      <w:pPr>
        <w:spacing w:after="160" w:line="259" w:lineRule="auto"/>
        <w:rPr>
          <w:highlight w:val="yellow"/>
          <w:lang w:eastAsia="en-AU"/>
        </w:rPr>
      </w:pPr>
      <w:r>
        <w:rPr>
          <w:highlight w:val="yellow"/>
          <w:lang w:eastAsia="en-AU"/>
        </w:rPr>
        <w:br w:type="page"/>
      </w:r>
    </w:p>
    <w:p w14:paraId="0C41E2FD" w14:textId="42BD0D35" w:rsidR="00EB1298" w:rsidRDefault="002E4BA7" w:rsidP="00EC2225">
      <w:pPr>
        <w:pStyle w:val="Heading2"/>
      </w:pPr>
      <w:bookmarkStart w:id="93" w:name="_Toc501895347"/>
      <w:bookmarkStart w:id="94" w:name="_Ref502695754"/>
      <w:bookmarkStart w:id="95" w:name="_Toc502839783"/>
      <w:bookmarkStart w:id="96" w:name="_Toc502843259"/>
      <w:bookmarkStart w:id="97" w:name="_Toc502847622"/>
      <w:bookmarkStart w:id="98" w:name="_Toc502850766"/>
      <w:bookmarkStart w:id="99" w:name="_Toc502855198"/>
      <w:bookmarkStart w:id="100" w:name="_Ref502900609"/>
      <w:bookmarkStart w:id="101" w:name="_Toc503117097"/>
      <w:bookmarkStart w:id="102" w:name="_Toc505259174"/>
      <w:bookmarkStart w:id="103" w:name="_Toc505256241"/>
      <w:bookmarkStart w:id="104" w:name="_Toc505618284"/>
      <w:r w:rsidRPr="0084761C">
        <w:lastRenderedPageBreak/>
        <w:t xml:space="preserve">TOR 5 | </w:t>
      </w:r>
      <w:r w:rsidR="00EB1298" w:rsidRPr="0084761C">
        <w:t xml:space="preserve">Review and assess each organisation’s strategies for and progress in developing self-sufficient </w:t>
      </w:r>
      <w:r w:rsidR="00EB3786" w:rsidRPr="0084761C">
        <w:t>PBCs</w:t>
      </w:r>
      <w:r w:rsidR="00EB1298" w:rsidRPr="0084761C">
        <w:t>, so PBCs have appropriate capacity and capability to manage their own responsibilities and aspirations.</w:t>
      </w:r>
      <w:bookmarkEnd w:id="93"/>
      <w:bookmarkEnd w:id="94"/>
      <w:bookmarkEnd w:id="95"/>
      <w:bookmarkEnd w:id="96"/>
      <w:bookmarkEnd w:id="97"/>
      <w:bookmarkEnd w:id="98"/>
      <w:bookmarkEnd w:id="99"/>
      <w:bookmarkEnd w:id="100"/>
      <w:bookmarkEnd w:id="101"/>
      <w:bookmarkEnd w:id="102"/>
      <w:bookmarkEnd w:id="103"/>
      <w:bookmarkEnd w:id="104"/>
    </w:p>
    <w:p w14:paraId="69B08B95" w14:textId="77777777" w:rsidR="0084761C" w:rsidRPr="0084761C" w:rsidRDefault="0084761C" w:rsidP="0084761C">
      <w:pPr>
        <w:rPr>
          <w:lang w:eastAsia="en-AU"/>
        </w:rPr>
      </w:pPr>
    </w:p>
    <w:p w14:paraId="55E3C4AD" w14:textId="77777777" w:rsidR="00EC2225" w:rsidRPr="00EC2225" w:rsidRDefault="00EC2225" w:rsidP="00EC2225">
      <w:pPr>
        <w:shd w:val="clear" w:color="auto" w:fill="E6E6E1" w:themeFill="accent5"/>
        <w:spacing w:after="0" w:line="259" w:lineRule="auto"/>
        <w:rPr>
          <w:rFonts w:eastAsia="Times New Roman"/>
          <w:b/>
          <w:bCs/>
          <w:color w:val="00264D" w:themeColor="background2"/>
          <w:lang w:eastAsia="en-AU"/>
        </w:rPr>
      </w:pPr>
      <w:r w:rsidRPr="00EC2225">
        <w:rPr>
          <w:rFonts w:eastAsia="Times New Roman"/>
          <w:b/>
          <w:color w:val="00264D" w:themeColor="background2"/>
          <w:lang w:eastAsia="en-AU"/>
        </w:rPr>
        <w:t>The KLC is very active in its support of PBCs towards self-sufficiency.</w:t>
      </w:r>
      <w:r w:rsidRPr="00EC2225">
        <w:rPr>
          <w:rFonts w:eastAsia="Times New Roman"/>
          <w:bCs/>
          <w:color w:val="00264D" w:themeColor="background2"/>
          <w:lang w:eastAsia="en-AU"/>
        </w:rPr>
        <w:t xml:space="preserve"> It has developed a capability assessment tool that assesses each PBC’s current state of development and the services they need to develop further. There is some frustration among both the KLC and the PBCs that there are currently insufficient resources to deliver the services needed. </w:t>
      </w:r>
    </w:p>
    <w:p w14:paraId="1DFD0A33" w14:textId="77777777" w:rsidR="00EC2225" w:rsidRPr="00EC2225" w:rsidRDefault="00EC2225" w:rsidP="00EC2225">
      <w:pPr>
        <w:shd w:val="clear" w:color="auto" w:fill="E6E6E1" w:themeFill="accent5"/>
        <w:spacing w:after="0" w:line="259" w:lineRule="auto"/>
        <w:rPr>
          <w:rFonts w:eastAsia="Times New Roman"/>
          <w:b/>
          <w:bCs/>
          <w:color w:val="00264D" w:themeColor="background2"/>
          <w:lang w:eastAsia="en-AU"/>
        </w:rPr>
      </w:pPr>
      <w:r w:rsidRPr="00EC2225">
        <w:rPr>
          <w:rFonts w:eastAsia="Times New Roman"/>
          <w:bCs/>
          <w:color w:val="00264D" w:themeColor="background2"/>
          <w:lang w:eastAsia="en-AU"/>
        </w:rPr>
        <w:t>The KLC offers a suite of support services that aim to ensure solid legal foundations and responses to future acts. Staff also regularly provide governance training, assistance with running meetings, financial management, legal representation, and support with specific skills. The KLC runs a range of initiatives that aim to develop and support the PBC community in the Kimberley. The aim of these support initiatives is to realise the PBC’s potential to maximise the input of the native title community in to the development of the region.</w:t>
      </w:r>
    </w:p>
    <w:p w14:paraId="0F7D08D8" w14:textId="77777777" w:rsidR="00EC2225" w:rsidRPr="00EC2225" w:rsidRDefault="00EC2225" w:rsidP="00EC2225">
      <w:pPr>
        <w:shd w:val="clear" w:color="auto" w:fill="E6E6E1" w:themeFill="accent5"/>
        <w:spacing w:after="0" w:line="259" w:lineRule="auto"/>
        <w:rPr>
          <w:b/>
          <w:color w:val="00264D" w:themeColor="background2"/>
        </w:rPr>
      </w:pPr>
      <w:r w:rsidRPr="00EC2225">
        <w:rPr>
          <w:rFonts w:eastAsia="Times New Roman"/>
          <w:bCs/>
          <w:color w:val="00264D" w:themeColor="background2"/>
          <w:lang w:eastAsia="en-AU"/>
        </w:rPr>
        <w:t>PBCs are largely satisfied with the services they receive from the KLC though some are frustrated that they cannot move more quickly to independence. Approximately half of those receiving support are actively moving towards self-sufficiency.</w:t>
      </w:r>
    </w:p>
    <w:p w14:paraId="286D3649" w14:textId="77777777" w:rsidR="00F00DA4" w:rsidRDefault="00F00DA4" w:rsidP="00F00DA4">
      <w:pPr>
        <w:rPr>
          <w:lang w:eastAsia="en-AU"/>
        </w:rPr>
      </w:pPr>
    </w:p>
    <w:p w14:paraId="606E52ED" w14:textId="2256867C" w:rsidR="00F00DA4" w:rsidRPr="00567DB2" w:rsidRDefault="0084761C" w:rsidP="00567DB2">
      <w:pPr>
        <w:rPr>
          <w:b/>
          <w:bCs/>
          <w:i/>
          <w:iCs/>
          <w:color w:val="00264D" w:themeColor="background2"/>
        </w:rPr>
      </w:pPr>
      <w:r w:rsidRPr="00567DB2">
        <w:rPr>
          <w:b/>
          <w:bCs/>
          <w:i/>
          <w:iCs/>
          <w:color w:val="00264D" w:themeColor="background2"/>
        </w:rPr>
        <w:t>No r</w:t>
      </w:r>
      <w:r w:rsidR="00F00DA4" w:rsidRPr="00567DB2">
        <w:rPr>
          <w:b/>
          <w:bCs/>
          <w:i/>
          <w:iCs/>
          <w:color w:val="00264D" w:themeColor="background2"/>
        </w:rPr>
        <w:t>ecommendations</w:t>
      </w:r>
      <w:r w:rsidR="00321398" w:rsidRPr="00567DB2">
        <w:rPr>
          <w:b/>
          <w:bCs/>
          <w:i/>
          <w:iCs/>
          <w:color w:val="00264D" w:themeColor="background2"/>
        </w:rPr>
        <w:t xml:space="preserve"> </w:t>
      </w:r>
      <w:r w:rsidRPr="00567DB2">
        <w:rPr>
          <w:b/>
          <w:bCs/>
          <w:i/>
          <w:iCs/>
          <w:color w:val="00264D" w:themeColor="background2"/>
        </w:rPr>
        <w:t xml:space="preserve">were made </w:t>
      </w:r>
      <w:r w:rsidR="00321398" w:rsidRPr="00567DB2">
        <w:rPr>
          <w:b/>
          <w:bCs/>
          <w:i/>
          <w:iCs/>
          <w:color w:val="00264D" w:themeColor="background2"/>
        </w:rPr>
        <w:t>for TOR 5</w:t>
      </w:r>
      <w:r w:rsidRPr="00567DB2">
        <w:rPr>
          <w:b/>
          <w:bCs/>
          <w:i/>
          <w:iCs/>
          <w:color w:val="00264D" w:themeColor="background2"/>
        </w:rPr>
        <w:t>.</w:t>
      </w:r>
    </w:p>
    <w:p w14:paraId="4C08F3DB" w14:textId="290856E3" w:rsidR="00F00DA4" w:rsidRDefault="00F00DA4" w:rsidP="00F00DA4">
      <w:pPr>
        <w:rPr>
          <w:lang w:eastAsia="en-AU"/>
        </w:rPr>
      </w:pPr>
    </w:p>
    <w:p w14:paraId="3FFA04A0" w14:textId="6643B91F" w:rsidR="00CE7857" w:rsidRDefault="00CE7857">
      <w:pPr>
        <w:spacing w:after="160" w:line="259" w:lineRule="auto"/>
        <w:rPr>
          <w:lang w:eastAsia="en-AU"/>
        </w:rPr>
      </w:pPr>
      <w:r>
        <w:rPr>
          <w:lang w:eastAsia="en-AU"/>
        </w:rPr>
        <w:br w:type="page"/>
      </w:r>
    </w:p>
    <w:p w14:paraId="1581AAB1" w14:textId="6DE56380" w:rsidR="00EB1298" w:rsidRDefault="002E4BA7" w:rsidP="00EC2225">
      <w:pPr>
        <w:pStyle w:val="Heading2"/>
      </w:pPr>
      <w:bookmarkStart w:id="105" w:name="_Toc501895348"/>
      <w:bookmarkStart w:id="106" w:name="_Toc502839784"/>
      <w:bookmarkStart w:id="107" w:name="_Toc502843260"/>
      <w:bookmarkStart w:id="108" w:name="_Toc502847623"/>
      <w:bookmarkStart w:id="109" w:name="_Toc502850767"/>
      <w:bookmarkStart w:id="110" w:name="_Toc502855199"/>
      <w:bookmarkStart w:id="111" w:name="_Toc503117098"/>
      <w:bookmarkStart w:id="112" w:name="_Toc505259175"/>
      <w:bookmarkStart w:id="113" w:name="_Toc505256242"/>
      <w:bookmarkStart w:id="114" w:name="_Toc505618285"/>
      <w:r w:rsidRPr="0084761C">
        <w:lastRenderedPageBreak/>
        <w:t xml:space="preserve">TOR 6 | </w:t>
      </w:r>
      <w:r w:rsidR="00EB1298" w:rsidRPr="0084761C">
        <w:t>Review and assess the adequacy of each organisation’s strategic planning for a post determination environment.</w:t>
      </w:r>
      <w:bookmarkEnd w:id="105"/>
      <w:bookmarkEnd w:id="106"/>
      <w:bookmarkEnd w:id="107"/>
      <w:bookmarkEnd w:id="108"/>
      <w:bookmarkEnd w:id="109"/>
      <w:bookmarkEnd w:id="110"/>
      <w:bookmarkEnd w:id="111"/>
      <w:bookmarkEnd w:id="112"/>
      <w:bookmarkEnd w:id="113"/>
      <w:bookmarkEnd w:id="114"/>
    </w:p>
    <w:p w14:paraId="14271A51" w14:textId="77777777" w:rsidR="0084761C" w:rsidRPr="0084761C" w:rsidRDefault="0084761C" w:rsidP="0084761C">
      <w:pPr>
        <w:rPr>
          <w:lang w:eastAsia="en-AU"/>
        </w:rPr>
      </w:pPr>
    </w:p>
    <w:p w14:paraId="58E2AD2A" w14:textId="77777777" w:rsidR="00EC2225" w:rsidRPr="00EC2225" w:rsidRDefault="00EC2225" w:rsidP="00EC2225">
      <w:pPr>
        <w:shd w:val="clear" w:color="auto" w:fill="E6E6E1" w:themeFill="accent5"/>
        <w:spacing w:after="0" w:line="259" w:lineRule="auto"/>
        <w:rPr>
          <w:b/>
          <w:color w:val="00264D" w:themeColor="background2"/>
        </w:rPr>
      </w:pPr>
      <w:r w:rsidRPr="00EC2225">
        <w:rPr>
          <w:b/>
          <w:bCs/>
          <w:color w:val="00264D" w:themeColor="background2"/>
        </w:rPr>
        <w:t xml:space="preserve">The KLC is aware of the likelihood of a potential decrease in grant funding as a high proportion of claims are determined, with the Executive estimating that there are ten years of claim work remaining. </w:t>
      </w:r>
      <w:r w:rsidRPr="00EC2225">
        <w:rPr>
          <w:color w:val="00264D" w:themeColor="background2"/>
        </w:rPr>
        <w:t xml:space="preserve">However, the KLC is also aware of potential future challenges in the native title environment. These include supporting PBCs with no independent sources of income generation and the potential for compensation claims to arise. The KLC’s primary response to this future scenario is that it will adapt as these issues become clearer, with a possible outcome that it may become a smaller organisation. </w:t>
      </w:r>
    </w:p>
    <w:p w14:paraId="0B19F6AF" w14:textId="77777777" w:rsidR="00EC2225" w:rsidRPr="00EC2225" w:rsidRDefault="00EC2225" w:rsidP="00EC2225">
      <w:pPr>
        <w:shd w:val="clear" w:color="auto" w:fill="E6E6E1" w:themeFill="accent5"/>
        <w:spacing w:after="0" w:line="259" w:lineRule="auto"/>
        <w:rPr>
          <w:b/>
          <w:color w:val="00264D" w:themeColor="background2"/>
        </w:rPr>
      </w:pPr>
      <w:r w:rsidRPr="00EC2225">
        <w:rPr>
          <w:color w:val="00264D" w:themeColor="background2"/>
        </w:rPr>
        <w:t>The KLC does not have a priority on actively building business activities as a way of rendering it able to withstand decreasing grant revenue. The KLC’s ethos is to promote the rights and interests of the native title community. This includes their economic development. Seeking to promote the KLC’s own economic development would place it in competition with PBCs and other organisations whose interests the KLC seeks to promote. KLC’s economic development initiatives are focused on developing concepts and networks in which PBCs can engage. Within this clear orientation, there is capacity for the KLC to be more active in pursuing cost recovery work from those PBCs who can pay for services.</w:t>
      </w:r>
    </w:p>
    <w:p w14:paraId="7584D34D" w14:textId="77777777" w:rsidR="00F00DA4" w:rsidRPr="00567DB2" w:rsidRDefault="00F00DA4" w:rsidP="00F00DA4">
      <w:pPr>
        <w:rPr>
          <w:b/>
          <w:bCs/>
          <w:i/>
          <w:iCs/>
          <w:color w:val="00264D" w:themeColor="background2"/>
          <w:lang w:eastAsia="en-AU"/>
        </w:rPr>
      </w:pPr>
    </w:p>
    <w:p w14:paraId="3AE70BB1" w14:textId="0F43CF30" w:rsidR="0084761C" w:rsidRPr="00567DB2" w:rsidRDefault="007D4477" w:rsidP="00B22FD9">
      <w:pPr>
        <w:outlineLvl w:val="2"/>
        <w:rPr>
          <w:b/>
          <w:bCs/>
          <w:i/>
          <w:iCs/>
          <w:color w:val="00264D" w:themeColor="background2"/>
        </w:rPr>
      </w:pPr>
      <w:r w:rsidRPr="00567DB2">
        <w:rPr>
          <w:b/>
          <w:bCs/>
          <w:i/>
          <w:iCs/>
          <w:color w:val="00264D" w:themeColor="background2"/>
        </w:rPr>
        <w:t>R</w:t>
      </w:r>
      <w:r w:rsidR="0084761C" w:rsidRPr="00567DB2">
        <w:rPr>
          <w:b/>
          <w:bCs/>
          <w:i/>
          <w:iCs/>
          <w:color w:val="00264D" w:themeColor="background2"/>
        </w:rPr>
        <w:t>ecommendations for TOR 6</w:t>
      </w:r>
    </w:p>
    <w:p w14:paraId="377024F4" w14:textId="612FBECB" w:rsidR="00A133AD" w:rsidRPr="00A133AD" w:rsidRDefault="00A133AD" w:rsidP="00A133AD">
      <w:pPr>
        <w:rPr>
          <w:lang w:eastAsia="en-AU"/>
        </w:rPr>
      </w:pPr>
      <w:r>
        <w:rPr>
          <w:lang w:eastAsia="en-AU"/>
        </w:rPr>
        <w:t xml:space="preserve">The Review made two recommendations for TOR 6 on the organisation’s strategic planning. These are outlined below, as well as </w:t>
      </w:r>
      <w:r w:rsidR="00312C68">
        <w:rPr>
          <w:lang w:eastAsia="en-AU"/>
        </w:rPr>
        <w:t>KLC</w:t>
      </w:r>
      <w:r>
        <w:rPr>
          <w:lang w:eastAsia="en-AU"/>
        </w:rPr>
        <w:t xml:space="preserve">’s response to these recommendations. </w:t>
      </w:r>
    </w:p>
    <w:p w14:paraId="187C77A2" w14:textId="77777777" w:rsidR="007B2AC0" w:rsidRPr="007B2AC0" w:rsidRDefault="007B2AC0" w:rsidP="00B22FD9">
      <w:pPr>
        <w:shd w:val="clear" w:color="auto" w:fill="E6E6E1" w:themeFill="accent5"/>
        <w:outlineLvl w:val="3"/>
        <w:rPr>
          <w:b/>
          <w:bCs/>
          <w:color w:val="00264D" w:themeColor="background2"/>
        </w:rPr>
      </w:pPr>
      <w:r w:rsidRPr="007B2AC0">
        <w:rPr>
          <w:b/>
          <w:bCs/>
          <w:color w:val="00264D" w:themeColor="background2"/>
        </w:rPr>
        <w:t>Recommendation 8</w:t>
      </w:r>
    </w:p>
    <w:p w14:paraId="7A06407D" w14:textId="77777777" w:rsidR="007B2AC0" w:rsidRPr="007B2AC0" w:rsidRDefault="007B2AC0" w:rsidP="007B2AC0">
      <w:pPr>
        <w:shd w:val="clear" w:color="auto" w:fill="E6E6E1" w:themeFill="accent5"/>
        <w:rPr>
          <w:b/>
          <w:bCs/>
          <w:color w:val="00264D" w:themeColor="background2"/>
        </w:rPr>
      </w:pPr>
      <w:r w:rsidRPr="007B2AC0">
        <w:rPr>
          <w:color w:val="00264D" w:themeColor="background2"/>
        </w:rPr>
        <w:t>The KLC should create a system through which services to PBCs can be costed, and PBCs routinely charged for services rendered to those organisations that are assessed as able to pay.</w:t>
      </w:r>
    </w:p>
    <w:p w14:paraId="5CE4F5EB" w14:textId="77777777" w:rsidR="007B2AC0" w:rsidRPr="007B2AC0" w:rsidRDefault="007B2AC0" w:rsidP="00B22FD9">
      <w:pPr>
        <w:outlineLvl w:val="4"/>
        <w:rPr>
          <w:b/>
          <w:bCs/>
          <w:color w:val="00264D" w:themeColor="background2"/>
        </w:rPr>
      </w:pPr>
      <w:r w:rsidRPr="007B2AC0">
        <w:rPr>
          <w:b/>
          <w:bCs/>
          <w:color w:val="00264D" w:themeColor="background2"/>
        </w:rPr>
        <w:t xml:space="preserve">KLC response. </w:t>
      </w:r>
    </w:p>
    <w:p w14:paraId="3A816728" w14:textId="398B0AFC" w:rsidR="000A6B36" w:rsidRDefault="007B2AC0" w:rsidP="000A6B36">
      <w:r w:rsidRPr="003760C1">
        <w:rPr>
          <w:rFonts w:eastAsia="Times New Roman" w:cs="Times New Roman"/>
          <w:szCs w:val="19"/>
          <w:lang w:eastAsia="en-AU"/>
        </w:rPr>
        <w:t>This recommendation is in the process of being implemented through the KLC 2020-2024 Strategic Plan. For example, KLC is working with external stakeholders to develop and roll out formal service agreements with PBCs that are fit for purpose for the needs and capacity of PBCs across the region. It is noted that this recommendation is dependent on assessing the ability of a PBC to pay for services. As discussed under recommendation 5 significant reform is required to support the recognition of traditional owners’ authority of their native title and their right to self-determination including when engaging with government and non-government on activities that impact native title. Without reform the mechanisms for PBCs to levy government and non-government entities to value engagement with Traditional Owners will continue to fail or fall short resulting in PBCs continuing to rely on ongoing support and services without the means to pay for them.</w:t>
      </w:r>
      <w:r w:rsidRPr="00CD109C">
        <w:rPr>
          <w:rFonts w:eastAsia="Times New Roman" w:cs="Times New Roman"/>
          <w:sz w:val="17"/>
          <w:szCs w:val="24"/>
          <w:lang w:eastAsia="en-AU"/>
        </w:rPr>
        <w:t xml:space="preserve"> </w:t>
      </w:r>
      <w:r>
        <w:t xml:space="preserve"> </w:t>
      </w:r>
    </w:p>
    <w:p w14:paraId="28C0832B" w14:textId="77777777" w:rsidR="007B2AC0" w:rsidRPr="007B2AC0" w:rsidRDefault="007B2AC0" w:rsidP="00B22FD9">
      <w:pPr>
        <w:shd w:val="clear" w:color="auto" w:fill="E6E6E1" w:themeFill="accent5"/>
        <w:outlineLvl w:val="3"/>
        <w:rPr>
          <w:b/>
          <w:bCs/>
          <w:color w:val="00264D" w:themeColor="background2"/>
        </w:rPr>
      </w:pPr>
      <w:r w:rsidRPr="007B2AC0">
        <w:rPr>
          <w:b/>
          <w:bCs/>
          <w:color w:val="00264D" w:themeColor="background2"/>
        </w:rPr>
        <w:t>Recommendation 9</w:t>
      </w:r>
    </w:p>
    <w:p w14:paraId="7C74D100" w14:textId="77777777" w:rsidR="007B2AC0" w:rsidRPr="007B2AC0" w:rsidRDefault="007B2AC0" w:rsidP="007B2AC0">
      <w:pPr>
        <w:shd w:val="clear" w:color="auto" w:fill="E6E6E1" w:themeFill="accent5"/>
        <w:rPr>
          <w:b/>
          <w:bCs/>
          <w:color w:val="00264D" w:themeColor="background2"/>
        </w:rPr>
      </w:pPr>
      <w:r w:rsidRPr="007B2AC0">
        <w:rPr>
          <w:color w:val="00264D" w:themeColor="background2"/>
        </w:rPr>
        <w:t>The KLC should ensure that future strategic planning activities actively consider the role (or a set of potential roles) that the KLC will play in a post-determination environment, and how to fund these activities.</w:t>
      </w:r>
    </w:p>
    <w:p w14:paraId="3EBF1913" w14:textId="07CDCCB3" w:rsidR="007B2AC0" w:rsidRPr="007B2AC0" w:rsidRDefault="007B2AC0" w:rsidP="00B22FD9">
      <w:pPr>
        <w:outlineLvl w:val="4"/>
        <w:rPr>
          <w:b/>
          <w:bCs/>
          <w:color w:val="00264D" w:themeColor="background2"/>
        </w:rPr>
      </w:pPr>
      <w:r w:rsidRPr="007B2AC0">
        <w:rPr>
          <w:b/>
          <w:bCs/>
          <w:color w:val="00264D" w:themeColor="background2"/>
        </w:rPr>
        <w:t xml:space="preserve">KLC response. </w:t>
      </w:r>
    </w:p>
    <w:p w14:paraId="4431B888" w14:textId="77777777" w:rsidR="007B2AC0" w:rsidRPr="000C0EE3" w:rsidRDefault="007B2AC0" w:rsidP="007B2AC0">
      <w:pPr>
        <w:rPr>
          <w:rFonts w:cs="Segoe UI"/>
          <w:color w:val="000000"/>
          <w:szCs w:val="19"/>
        </w:rPr>
      </w:pPr>
      <w:r w:rsidRPr="000C0EE3">
        <w:rPr>
          <w:rFonts w:cs="Segoe UI"/>
          <w:color w:val="000000"/>
          <w:szCs w:val="19"/>
        </w:rPr>
        <w:t xml:space="preserve">This recommendation has been implemented in the content of the KLC’s 2020-2024 Strategic Plan. The KLC is now in the process of implementing the strategic plan, with a key focus being the future role of the organisation and its relationship with PBCs in the region. The KLC also continues to support the ongoing dialogue on reforms that provide greater opportunity for Traditional Owners and PBCs to manage, protect and engage the rights and interests recognised in native title. The KLC board governance structure </w:t>
      </w:r>
      <w:r w:rsidRPr="000C0EE3">
        <w:rPr>
          <w:rFonts w:cs="Segoe UI"/>
          <w:color w:val="000000"/>
          <w:szCs w:val="19"/>
        </w:rPr>
        <w:lastRenderedPageBreak/>
        <w:t>includes representation from 16 PBCs in the region and the KLC recognise the close alignment between members of the KLC and members of PBCs</w:t>
      </w:r>
      <w:r>
        <w:rPr>
          <w:rFonts w:cs="Segoe UI"/>
          <w:color w:val="000000"/>
          <w:szCs w:val="19"/>
        </w:rPr>
        <w:t>.</w:t>
      </w:r>
    </w:p>
    <w:p w14:paraId="42810FF3" w14:textId="77777777" w:rsidR="007B2AC0" w:rsidRDefault="007B2AC0" w:rsidP="007B2AC0"/>
    <w:p w14:paraId="417CEF5F" w14:textId="77777777" w:rsidR="00C34591" w:rsidRDefault="00C34591" w:rsidP="000A6B36">
      <w:pPr>
        <w:rPr>
          <w:lang w:eastAsia="en-AU"/>
        </w:rPr>
      </w:pPr>
    </w:p>
    <w:p w14:paraId="4D4C98CE" w14:textId="77777777" w:rsidR="000A6B36" w:rsidRPr="000A6B36" w:rsidRDefault="000A6B36" w:rsidP="000A6B36">
      <w:pPr>
        <w:rPr>
          <w:lang w:eastAsia="en-AU"/>
        </w:rPr>
      </w:pPr>
    </w:p>
    <w:p w14:paraId="62197B13" w14:textId="77777777" w:rsidR="00525012" w:rsidRDefault="00525012" w:rsidP="00525012">
      <w:pPr>
        <w:pStyle w:val="xAppendixLevel1"/>
      </w:pPr>
      <w:bookmarkStart w:id="115" w:name="_Ref500494833"/>
      <w:bookmarkStart w:id="116" w:name="_Toc502668024"/>
      <w:bookmarkStart w:id="117" w:name="_Toc502839785"/>
      <w:bookmarkStart w:id="118" w:name="_Toc502843261"/>
      <w:bookmarkStart w:id="119" w:name="_Toc502847624"/>
      <w:bookmarkStart w:id="120" w:name="_Toc502850768"/>
      <w:bookmarkStart w:id="121" w:name="_Toc502855200"/>
      <w:bookmarkStart w:id="122" w:name="_Toc503117099"/>
      <w:bookmarkStart w:id="123" w:name="_Toc505259176"/>
      <w:bookmarkStart w:id="124" w:name="_Toc505256243"/>
      <w:bookmarkStart w:id="125" w:name="_Toc505618286"/>
      <w:bookmarkStart w:id="126" w:name="_Toc68071597"/>
      <w:r w:rsidRPr="00584514">
        <w:lastRenderedPageBreak/>
        <w:t>Terms of Reference</w:t>
      </w:r>
      <w:bookmarkEnd w:id="115"/>
      <w:bookmarkEnd w:id="116"/>
      <w:bookmarkEnd w:id="117"/>
      <w:bookmarkEnd w:id="118"/>
      <w:bookmarkEnd w:id="119"/>
      <w:bookmarkEnd w:id="120"/>
      <w:bookmarkEnd w:id="121"/>
      <w:bookmarkEnd w:id="122"/>
      <w:bookmarkEnd w:id="123"/>
      <w:bookmarkEnd w:id="124"/>
      <w:bookmarkEnd w:id="125"/>
      <w:bookmarkEnd w:id="126"/>
    </w:p>
    <w:p w14:paraId="06936EEF" w14:textId="77777777" w:rsidR="00525012" w:rsidRDefault="00525012" w:rsidP="006E61CD">
      <w:pPr>
        <w:pStyle w:val="Listnumbered"/>
        <w:numPr>
          <w:ilvl w:val="0"/>
          <w:numId w:val="9"/>
        </w:numPr>
        <w:shd w:val="clear" w:color="auto" w:fill="FDEAD1" w:themeFill="accent3" w:themeFillTint="33"/>
        <w:spacing w:after="165" w:line="259" w:lineRule="auto"/>
        <w:rPr>
          <w:lang w:eastAsia="en-AU"/>
        </w:rPr>
      </w:pPr>
      <w:r>
        <w:rPr>
          <w:lang w:eastAsia="en-AU"/>
        </w:rPr>
        <w:t xml:space="preserve">Review and assess each organisations’ efficiency and effectiveness in performing the functions of a native title representative body over the past 3 years (with the main focus on recent performance) including: </w:t>
      </w:r>
    </w:p>
    <w:p w14:paraId="611370EF" w14:textId="77777777" w:rsidR="00525012" w:rsidRDefault="00525012" w:rsidP="00525012">
      <w:pPr>
        <w:pStyle w:val="Bullet"/>
        <w:numPr>
          <w:ilvl w:val="0"/>
          <w:numId w:val="6"/>
        </w:numPr>
        <w:shd w:val="clear" w:color="auto" w:fill="FDEAD1" w:themeFill="accent3" w:themeFillTint="33"/>
        <w:spacing w:after="165" w:line="259" w:lineRule="auto"/>
      </w:pPr>
      <w:r>
        <w:t xml:space="preserve">Native title claim outcomes achieved for clients. </w:t>
      </w:r>
    </w:p>
    <w:p w14:paraId="41E05DCF" w14:textId="77777777" w:rsidR="00525012" w:rsidRDefault="00525012" w:rsidP="00525012">
      <w:pPr>
        <w:pStyle w:val="Bullet"/>
        <w:numPr>
          <w:ilvl w:val="0"/>
          <w:numId w:val="6"/>
        </w:numPr>
        <w:shd w:val="clear" w:color="auto" w:fill="FDEAD1" w:themeFill="accent3" w:themeFillTint="33"/>
        <w:spacing w:after="165" w:line="259" w:lineRule="auto"/>
      </w:pPr>
      <w:r>
        <w:t xml:space="preserve">Whether the organisation’s assessment and prioritisation of applications are equitable, transparent and robust. </w:t>
      </w:r>
    </w:p>
    <w:p w14:paraId="577BB7FF" w14:textId="77777777" w:rsidR="00525012" w:rsidRDefault="00525012" w:rsidP="00525012">
      <w:pPr>
        <w:pStyle w:val="Bullet"/>
        <w:numPr>
          <w:ilvl w:val="0"/>
          <w:numId w:val="6"/>
        </w:numPr>
        <w:shd w:val="clear" w:color="auto" w:fill="FDEAD1" w:themeFill="accent3" w:themeFillTint="33"/>
        <w:spacing w:after="165" w:line="259" w:lineRule="auto"/>
      </w:pPr>
      <w:r>
        <w:t xml:space="preserve">Whether the organisation deals respectfully, equitably, transparently and in a culturally appropriate manner with clients, persons seeking assistance, and persons refused assistance.    </w:t>
      </w:r>
    </w:p>
    <w:p w14:paraId="404E9DC2"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each organisation’s cost effectiveness in performing the functions of a native title representative body, including the key cost drivers for each organisation. </w:t>
      </w:r>
    </w:p>
    <w:p w14:paraId="2306F970" w14:textId="4B9A5A52"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each organisation’s strategies for driving and tracking its achievement against key performance indicators in its funding agreement with </w:t>
      </w:r>
      <w:r w:rsidR="002C3710">
        <w:rPr>
          <w:lang w:eastAsia="en-AU"/>
        </w:rPr>
        <w:t>the NIAA</w:t>
      </w:r>
      <w:r>
        <w:rPr>
          <w:lang w:eastAsia="en-AU"/>
        </w:rPr>
        <w:t xml:space="preserve">. </w:t>
      </w:r>
    </w:p>
    <w:p w14:paraId="5D9C0EFC"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Review and assess the extent to which each organisation’s governance structures and organisational policies and practices support efficient and effective project delivery including:</w:t>
      </w:r>
    </w:p>
    <w:p w14:paraId="46F7B675"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breakdown of responsibilities between the organisation’s Board, Chairperson, Chief Executive Officer and senior staff. </w:t>
      </w:r>
    </w:p>
    <w:p w14:paraId="281F8956" w14:textId="77777777" w:rsidR="00525012" w:rsidRDefault="00525012" w:rsidP="00525012">
      <w:pPr>
        <w:pStyle w:val="Bullet"/>
        <w:numPr>
          <w:ilvl w:val="0"/>
          <w:numId w:val="6"/>
        </w:numPr>
        <w:shd w:val="clear" w:color="auto" w:fill="FDEAD1" w:themeFill="accent3" w:themeFillTint="33"/>
        <w:spacing w:after="165" w:line="259" w:lineRule="auto"/>
      </w:pPr>
      <w:r>
        <w:t>Its financial management.</w:t>
      </w:r>
    </w:p>
    <w:p w14:paraId="5CE4721F"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standard to which it manages and resolves any conflicts of interest. </w:t>
      </w:r>
    </w:p>
    <w:p w14:paraId="42FAECD9"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standard to which it manages and resolves any complaints. </w:t>
      </w:r>
    </w:p>
    <w:p w14:paraId="2F5D15A7"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Review and assess each organisation’s strategies for and progress in developing self-sufficient Prescribed Bodies Corporate (PBCs), so PBCs have appropriate capacity and capability to manage their own responsibilities and aspirations.</w:t>
      </w:r>
    </w:p>
    <w:p w14:paraId="211472D3"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the adequacy of each organisation’s strategic planning for a post determination environment. </w:t>
      </w:r>
    </w:p>
    <w:p w14:paraId="2885C33F" w14:textId="42C71084"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Examine and report on other relevant issues as identified by </w:t>
      </w:r>
      <w:r w:rsidR="002C3710">
        <w:rPr>
          <w:lang w:eastAsia="en-AU"/>
        </w:rPr>
        <w:t>the NIAA</w:t>
      </w:r>
      <w:r w:rsidR="009515AD">
        <w:rPr>
          <w:lang w:eastAsia="en-AU"/>
        </w:rPr>
        <w:t xml:space="preserve"> </w:t>
      </w:r>
      <w:r>
        <w:rPr>
          <w:lang w:eastAsia="en-AU"/>
        </w:rPr>
        <w:t>or in the course of the review, which may be specific to particular organisations.</w:t>
      </w:r>
    </w:p>
    <w:p w14:paraId="2EA02360" w14:textId="77777777"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Develop a meaningful set of benchmarks to assess individual and comparative efficiency and effectiveness of organisations. </w:t>
      </w:r>
    </w:p>
    <w:p w14:paraId="5079EB65" w14:textId="79F6C966"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Provide written draft and final reports to </w:t>
      </w:r>
      <w:r w:rsidR="002C3710">
        <w:rPr>
          <w:lang w:eastAsia="en-AU"/>
        </w:rPr>
        <w:t>the NIAA</w:t>
      </w:r>
      <w:r w:rsidR="009515AD">
        <w:rPr>
          <w:lang w:eastAsia="en-AU"/>
        </w:rPr>
        <w:t xml:space="preserve"> </w:t>
      </w:r>
      <w:r>
        <w:rPr>
          <w:lang w:eastAsia="en-AU"/>
        </w:rPr>
        <w:t>on the work undertaken for each review and the review findings, making recommendations on what changes, if any, each organisation could make to improve its efficiency and effectiveness. There will be an overarching comparative report and five individual reports.</w:t>
      </w:r>
    </w:p>
    <w:p w14:paraId="70487381" w14:textId="77777777" w:rsidR="00525012" w:rsidRPr="006B7B98" w:rsidRDefault="00525012" w:rsidP="00525012">
      <w:pPr>
        <w:rPr>
          <w:lang w:eastAsia="en-AU"/>
        </w:rPr>
      </w:pPr>
    </w:p>
    <w:p w14:paraId="641692F5" w14:textId="77777777" w:rsidR="00D06FCE" w:rsidRDefault="00D06FCE" w:rsidP="00D06FCE">
      <w:pPr>
        <w:pStyle w:val="xAppendixLevel1"/>
      </w:pPr>
      <w:bookmarkStart w:id="127" w:name="_Ref37158564"/>
      <w:bookmarkStart w:id="128" w:name="_Toc68071598"/>
      <w:bookmarkStart w:id="129" w:name="_Toc501799420"/>
      <w:bookmarkStart w:id="130" w:name="_Ref502723599"/>
      <w:bookmarkStart w:id="131" w:name="_Toc502839786"/>
      <w:bookmarkStart w:id="132" w:name="_Toc502843262"/>
      <w:bookmarkStart w:id="133" w:name="_Toc502847625"/>
      <w:bookmarkStart w:id="134" w:name="_Toc502850769"/>
      <w:bookmarkStart w:id="135" w:name="_Toc502855201"/>
      <w:bookmarkStart w:id="136" w:name="_Toc503117100"/>
      <w:bookmarkStart w:id="137" w:name="_Toc505259177"/>
      <w:bookmarkStart w:id="138" w:name="_Toc505256244"/>
      <w:bookmarkStart w:id="139" w:name="_Toc505618287"/>
      <w:bookmarkStart w:id="140" w:name="_Ref500494866"/>
      <w:bookmarkStart w:id="141" w:name="_Toc502668025"/>
      <w:bookmarkStart w:id="142" w:name="_Ref495407339"/>
      <w:r>
        <w:lastRenderedPageBreak/>
        <w:t>NTRB-SPs under review</w:t>
      </w:r>
      <w:bookmarkEnd w:id="127"/>
      <w:bookmarkEnd w:id="128"/>
    </w:p>
    <w:p w14:paraId="74EDD28F" w14:textId="6F395F19" w:rsidR="00E44364" w:rsidRDefault="00C06153" w:rsidP="00E44364">
      <w:pPr>
        <w:spacing w:after="0"/>
        <w:rPr>
          <w:lang w:eastAsia="en-AU"/>
        </w:rPr>
      </w:pPr>
      <w:r>
        <w:rPr>
          <w:lang w:eastAsia="en-AU"/>
        </w:rPr>
        <w:t>A total of 14</w:t>
      </w:r>
      <w:r w:rsidR="00E44364">
        <w:rPr>
          <w:lang w:eastAsia="en-AU"/>
        </w:rPr>
        <w:t xml:space="preserve"> Native Title Representative Bodies and Service Providers (NTRB-SPs) were reviewed in three tranches using the same methodology and approach. For each Review tranche, a three-year period was in scope for the </w:t>
      </w:r>
      <w:r w:rsidR="00F27BA5">
        <w:rPr>
          <w:lang w:eastAsia="en-AU"/>
        </w:rPr>
        <w:t>R</w:t>
      </w:r>
      <w:r w:rsidR="00E44364">
        <w:rPr>
          <w:lang w:eastAsia="en-AU"/>
        </w:rPr>
        <w:t xml:space="preserve">eview – as presented in </w:t>
      </w:r>
      <w:r w:rsidR="00E44364">
        <w:rPr>
          <w:lang w:eastAsia="en-AU"/>
        </w:rPr>
        <w:fldChar w:fldCharType="begin"/>
      </w:r>
      <w:r w:rsidR="00E44364">
        <w:rPr>
          <w:lang w:eastAsia="en-AU"/>
        </w:rPr>
        <w:instrText xml:space="preserve"> REF _Ref37790230 \h </w:instrText>
      </w:r>
      <w:r w:rsidR="00E44364">
        <w:rPr>
          <w:lang w:eastAsia="en-AU"/>
        </w:rPr>
      </w:r>
      <w:r w:rsidR="00E44364">
        <w:rPr>
          <w:lang w:eastAsia="en-AU"/>
        </w:rPr>
        <w:fldChar w:fldCharType="separate"/>
      </w:r>
      <w:r w:rsidR="008E21A3" w:rsidRPr="00BB1AA6">
        <w:t xml:space="preserve">Table </w:t>
      </w:r>
      <w:r w:rsidR="008E21A3">
        <w:rPr>
          <w:noProof/>
        </w:rPr>
        <w:t>1</w:t>
      </w:r>
      <w:r w:rsidR="00E44364">
        <w:rPr>
          <w:lang w:eastAsia="en-AU"/>
        </w:rPr>
        <w:fldChar w:fldCharType="end"/>
      </w:r>
      <w:r w:rsidR="00E44364">
        <w:rPr>
          <w:lang w:eastAsia="en-AU"/>
        </w:rPr>
        <w:t xml:space="preserve">. The efficiency and effectiveness of each NTRB-SP was assessed and a performance report was prepared for each. </w:t>
      </w:r>
    </w:p>
    <w:p w14:paraId="62B3A75E" w14:textId="624FF92F" w:rsidR="00E44364" w:rsidRPr="00BB1AA6" w:rsidRDefault="00E44364" w:rsidP="00E44364">
      <w:pPr>
        <w:pStyle w:val="Caption"/>
        <w:keepNext/>
      </w:pPr>
      <w:bookmarkStart w:id="143" w:name="_Ref37790230"/>
      <w:r w:rsidRPr="00BB1AA6">
        <w:t xml:space="preserve">Table </w:t>
      </w:r>
      <w:r w:rsidRPr="00BB1AA6">
        <w:fldChar w:fldCharType="begin"/>
      </w:r>
      <w:r w:rsidRPr="00BB1AA6">
        <w:instrText xml:space="preserve"> SEQ Table \* ARABIC </w:instrText>
      </w:r>
      <w:r w:rsidRPr="00BB1AA6">
        <w:fldChar w:fldCharType="separate"/>
      </w:r>
      <w:r w:rsidR="008E21A3">
        <w:rPr>
          <w:noProof/>
        </w:rPr>
        <w:t>1</w:t>
      </w:r>
      <w:r w:rsidRPr="00BB1AA6">
        <w:fldChar w:fldCharType="end"/>
      </w:r>
      <w:bookmarkEnd w:id="143"/>
      <w:r w:rsidRPr="00BB1AA6">
        <w:t xml:space="preserve"> | </w:t>
      </w:r>
      <w:r>
        <w:t>NTRB-SPs review tranches</w:t>
      </w:r>
    </w:p>
    <w:tbl>
      <w:tblPr>
        <w:tblStyle w:val="TableGrid"/>
        <w:tblW w:w="8931" w:type="dxa"/>
        <w:tblLook w:val="04A0" w:firstRow="1" w:lastRow="0" w:firstColumn="1" w:lastColumn="0" w:noHBand="0" w:noVBand="1"/>
      </w:tblPr>
      <w:tblGrid>
        <w:gridCol w:w="993"/>
        <w:gridCol w:w="3685"/>
        <w:gridCol w:w="1843"/>
        <w:gridCol w:w="2410"/>
      </w:tblGrid>
      <w:tr w:rsidR="00E44364" w:rsidRPr="00BB1AA6" w14:paraId="77A2616F" w14:textId="77777777" w:rsidTr="00B70AA2">
        <w:trPr>
          <w:cnfStyle w:val="100000000000" w:firstRow="1" w:lastRow="0" w:firstColumn="0" w:lastColumn="0" w:oddVBand="0" w:evenVBand="0" w:oddHBand="0" w:evenHBand="0" w:firstRowFirstColumn="0" w:firstRowLastColumn="0" w:lastRowFirstColumn="0" w:lastRowLastColumn="0"/>
        </w:trPr>
        <w:tc>
          <w:tcPr>
            <w:tcW w:w="993" w:type="dxa"/>
          </w:tcPr>
          <w:p w14:paraId="21289EE3" w14:textId="77777777" w:rsidR="00E44364" w:rsidRPr="0043363C" w:rsidRDefault="00E44364" w:rsidP="00B70AA2">
            <w:pPr>
              <w:pStyle w:val="TableExpText"/>
              <w:rPr>
                <w:color w:val="00264D" w:themeColor="background2"/>
              </w:rPr>
            </w:pPr>
            <w:r w:rsidRPr="0043363C">
              <w:rPr>
                <w:color w:val="00264D" w:themeColor="background2"/>
              </w:rPr>
              <w:t>Tranche</w:t>
            </w:r>
          </w:p>
        </w:tc>
        <w:tc>
          <w:tcPr>
            <w:tcW w:w="3685" w:type="dxa"/>
          </w:tcPr>
          <w:p w14:paraId="2E6426DC" w14:textId="4C2F01E7" w:rsidR="00E44364" w:rsidRPr="0043363C" w:rsidRDefault="00E44364" w:rsidP="00B70AA2">
            <w:pPr>
              <w:pStyle w:val="TableExpText"/>
              <w:rPr>
                <w:color w:val="00264D" w:themeColor="background2"/>
              </w:rPr>
            </w:pPr>
            <w:r w:rsidRPr="0043363C">
              <w:rPr>
                <w:color w:val="00264D" w:themeColor="background2"/>
              </w:rPr>
              <w:t xml:space="preserve">NTRB-SP </w:t>
            </w:r>
          </w:p>
        </w:tc>
        <w:tc>
          <w:tcPr>
            <w:tcW w:w="1843" w:type="dxa"/>
          </w:tcPr>
          <w:p w14:paraId="533388D5" w14:textId="4A5AEC49" w:rsidR="00E44364" w:rsidRPr="0043363C" w:rsidRDefault="00E44364" w:rsidP="00B70AA2">
            <w:pPr>
              <w:pStyle w:val="TableExpText"/>
              <w:rPr>
                <w:color w:val="00264D" w:themeColor="background2"/>
              </w:rPr>
            </w:pPr>
            <w:r w:rsidRPr="0043363C">
              <w:rPr>
                <w:color w:val="00264D" w:themeColor="background2"/>
              </w:rPr>
              <w:t xml:space="preserve">Scope of </w:t>
            </w:r>
            <w:r w:rsidR="00F27BA5">
              <w:rPr>
                <w:color w:val="00264D" w:themeColor="background2"/>
              </w:rPr>
              <w:t>R</w:t>
            </w:r>
            <w:r w:rsidRPr="0043363C">
              <w:rPr>
                <w:color w:val="00264D" w:themeColor="background2"/>
              </w:rPr>
              <w:t>eview</w:t>
            </w:r>
          </w:p>
        </w:tc>
        <w:tc>
          <w:tcPr>
            <w:tcW w:w="2410" w:type="dxa"/>
          </w:tcPr>
          <w:p w14:paraId="7B153515" w14:textId="12CCECE7" w:rsidR="00E44364" w:rsidRPr="0043363C" w:rsidRDefault="00E44364" w:rsidP="00B70AA2">
            <w:pPr>
              <w:pStyle w:val="TableExpText"/>
              <w:rPr>
                <w:color w:val="00264D" w:themeColor="background2"/>
              </w:rPr>
            </w:pPr>
            <w:r w:rsidRPr="0043363C">
              <w:rPr>
                <w:color w:val="00264D" w:themeColor="background2"/>
              </w:rPr>
              <w:t xml:space="preserve">Timing </w:t>
            </w:r>
            <w:r w:rsidR="00F27BA5">
              <w:rPr>
                <w:color w:val="00264D" w:themeColor="background2"/>
              </w:rPr>
              <w:t>R</w:t>
            </w:r>
            <w:r w:rsidRPr="0043363C">
              <w:rPr>
                <w:color w:val="00264D" w:themeColor="background2"/>
              </w:rPr>
              <w:t>eview conducted</w:t>
            </w:r>
          </w:p>
        </w:tc>
      </w:tr>
      <w:tr w:rsidR="00E44364" w:rsidRPr="00BB1AA6" w14:paraId="0929EA82" w14:textId="77777777" w:rsidTr="00B70AA2">
        <w:tc>
          <w:tcPr>
            <w:tcW w:w="993" w:type="dxa"/>
            <w:vMerge w:val="restart"/>
          </w:tcPr>
          <w:p w14:paraId="2B80D470" w14:textId="77777777" w:rsidR="00E44364" w:rsidRPr="00BB1AA6" w:rsidRDefault="00E44364" w:rsidP="00B70AA2">
            <w:pPr>
              <w:pStyle w:val="TableExpText"/>
              <w:rPr>
                <w:rFonts w:cs="Segoe UI"/>
                <w:color w:val="000000" w:themeColor="text1"/>
                <w:szCs w:val="19"/>
              </w:rPr>
            </w:pPr>
            <w:r>
              <w:rPr>
                <w:rFonts w:cs="Segoe UI"/>
                <w:color w:val="000000" w:themeColor="text1"/>
                <w:szCs w:val="19"/>
              </w:rPr>
              <w:t>Tranche 1 (2017)</w:t>
            </w:r>
          </w:p>
        </w:tc>
        <w:tc>
          <w:tcPr>
            <w:tcW w:w="3685" w:type="dxa"/>
          </w:tcPr>
          <w:p w14:paraId="0862A2EF" w14:textId="77777777" w:rsidR="00E44364" w:rsidRPr="00BB1AA6" w:rsidRDefault="00E44364" w:rsidP="00B70AA2">
            <w:pPr>
              <w:pStyle w:val="TableExpText"/>
              <w:rPr>
                <w:rFonts w:cs="Segoe UI"/>
                <w:color w:val="000000" w:themeColor="text1"/>
                <w:szCs w:val="19"/>
                <w:lang w:val="en-US"/>
              </w:rPr>
            </w:pPr>
            <w:r>
              <w:rPr>
                <w:rFonts w:cs="Segoe UI"/>
                <w:color w:val="000000" w:themeColor="text1"/>
                <w:szCs w:val="19"/>
                <w:lang w:val="en-US"/>
              </w:rPr>
              <w:t>Central Desert Native Title Services</w:t>
            </w:r>
          </w:p>
        </w:tc>
        <w:tc>
          <w:tcPr>
            <w:tcW w:w="1843" w:type="dxa"/>
            <w:vMerge w:val="restart"/>
          </w:tcPr>
          <w:p w14:paraId="4B1160EC" w14:textId="77777777" w:rsidR="00E44364" w:rsidRPr="0036670E" w:rsidRDefault="00E44364" w:rsidP="00B70AA2">
            <w:pPr>
              <w:pStyle w:val="TableExpText"/>
              <w:rPr>
                <w:rFonts w:cs="Segoe UI"/>
                <w:color w:val="000000" w:themeColor="text1"/>
                <w:szCs w:val="19"/>
                <w:lang w:val="en-US"/>
              </w:rPr>
            </w:pPr>
            <w:r>
              <w:rPr>
                <w:rFonts w:cs="Segoe UI"/>
                <w:color w:val="000000" w:themeColor="text1"/>
                <w:szCs w:val="19"/>
                <w:lang w:val="en-US"/>
              </w:rPr>
              <w:t xml:space="preserve">July 2014 – </w:t>
            </w:r>
            <w:r w:rsidRPr="0036670E">
              <w:rPr>
                <w:rFonts w:cs="Segoe UI"/>
                <w:color w:val="000000" w:themeColor="text1"/>
                <w:szCs w:val="19"/>
                <w:lang w:val="en-US"/>
              </w:rPr>
              <w:t>June 2017</w:t>
            </w:r>
          </w:p>
        </w:tc>
        <w:tc>
          <w:tcPr>
            <w:tcW w:w="2410" w:type="dxa"/>
            <w:vMerge w:val="restart"/>
          </w:tcPr>
          <w:p w14:paraId="74C01D1D" w14:textId="77777777" w:rsidR="00E44364" w:rsidRPr="0036670E" w:rsidRDefault="00E44364" w:rsidP="00B70AA2">
            <w:pPr>
              <w:pStyle w:val="TableExpText"/>
              <w:rPr>
                <w:rFonts w:cs="Segoe UI"/>
                <w:color w:val="000000" w:themeColor="text1"/>
                <w:szCs w:val="19"/>
                <w:lang w:val="en-US"/>
              </w:rPr>
            </w:pPr>
            <w:r>
              <w:rPr>
                <w:rFonts w:cs="Segoe UI"/>
                <w:color w:val="000000" w:themeColor="text1"/>
                <w:szCs w:val="19"/>
                <w:lang w:val="en-US"/>
              </w:rPr>
              <w:t xml:space="preserve">June 2017 – </w:t>
            </w:r>
            <w:r w:rsidRPr="0036670E">
              <w:rPr>
                <w:rFonts w:cs="Segoe UI"/>
                <w:color w:val="000000" w:themeColor="text1"/>
                <w:szCs w:val="19"/>
                <w:lang w:val="en-US"/>
              </w:rPr>
              <w:t>March 2018</w:t>
            </w:r>
          </w:p>
        </w:tc>
      </w:tr>
      <w:tr w:rsidR="00E44364" w:rsidRPr="00BB1AA6" w14:paraId="1D1E30E7" w14:textId="77777777" w:rsidTr="00B70AA2">
        <w:tc>
          <w:tcPr>
            <w:tcW w:w="993" w:type="dxa"/>
            <w:vMerge/>
          </w:tcPr>
          <w:p w14:paraId="28163234" w14:textId="77777777" w:rsidR="00E44364" w:rsidRPr="00BB1AA6" w:rsidRDefault="00E44364" w:rsidP="00B70AA2">
            <w:pPr>
              <w:pStyle w:val="TableExpText"/>
              <w:rPr>
                <w:rFonts w:cs="Segoe UI"/>
                <w:color w:val="000000" w:themeColor="text1"/>
                <w:szCs w:val="19"/>
              </w:rPr>
            </w:pPr>
          </w:p>
        </w:tc>
        <w:tc>
          <w:tcPr>
            <w:tcW w:w="3685" w:type="dxa"/>
            <w:vAlign w:val="top"/>
          </w:tcPr>
          <w:p w14:paraId="7690B879" w14:textId="77777777" w:rsidR="00E44364" w:rsidRPr="00BB1AA6" w:rsidRDefault="00E44364" w:rsidP="00B70AA2">
            <w:pPr>
              <w:pStyle w:val="TableExpText"/>
              <w:rPr>
                <w:rFonts w:cs="Segoe UI"/>
                <w:color w:val="000000" w:themeColor="text1"/>
                <w:szCs w:val="19"/>
              </w:rPr>
            </w:pPr>
            <w:r w:rsidRPr="00AA08B3">
              <w:t>First Nations Legal and Research Services</w:t>
            </w:r>
          </w:p>
        </w:tc>
        <w:tc>
          <w:tcPr>
            <w:tcW w:w="1843" w:type="dxa"/>
            <w:vMerge/>
          </w:tcPr>
          <w:p w14:paraId="2901F404" w14:textId="77777777" w:rsidR="00E44364" w:rsidRPr="00BB1AA6" w:rsidRDefault="00E44364" w:rsidP="00B70AA2">
            <w:pPr>
              <w:pStyle w:val="TableExpText"/>
              <w:rPr>
                <w:rFonts w:cs="Segoe UI"/>
                <w:color w:val="000000" w:themeColor="text1"/>
                <w:szCs w:val="19"/>
              </w:rPr>
            </w:pPr>
          </w:p>
        </w:tc>
        <w:tc>
          <w:tcPr>
            <w:tcW w:w="2410" w:type="dxa"/>
            <w:vMerge/>
          </w:tcPr>
          <w:p w14:paraId="4AFB133F" w14:textId="77777777" w:rsidR="00E44364" w:rsidRPr="00BB1AA6" w:rsidRDefault="00E44364" w:rsidP="00B70AA2">
            <w:pPr>
              <w:pStyle w:val="TableExpText"/>
              <w:rPr>
                <w:rFonts w:cs="Segoe UI"/>
                <w:color w:val="000000" w:themeColor="text1"/>
                <w:szCs w:val="19"/>
              </w:rPr>
            </w:pPr>
          </w:p>
        </w:tc>
      </w:tr>
      <w:tr w:rsidR="00E44364" w:rsidRPr="00BB1AA6" w14:paraId="68DE9619" w14:textId="77777777" w:rsidTr="00B70AA2">
        <w:tc>
          <w:tcPr>
            <w:tcW w:w="993" w:type="dxa"/>
            <w:vMerge/>
          </w:tcPr>
          <w:p w14:paraId="2A46DFAB" w14:textId="77777777" w:rsidR="00E44364" w:rsidRPr="00BB1AA6" w:rsidRDefault="00E44364" w:rsidP="00B70AA2">
            <w:pPr>
              <w:pStyle w:val="TableExpText"/>
              <w:rPr>
                <w:rFonts w:cs="Segoe UI"/>
                <w:color w:val="000000" w:themeColor="text1"/>
                <w:szCs w:val="19"/>
              </w:rPr>
            </w:pPr>
          </w:p>
        </w:tc>
        <w:tc>
          <w:tcPr>
            <w:tcW w:w="3685" w:type="dxa"/>
            <w:vAlign w:val="top"/>
          </w:tcPr>
          <w:p w14:paraId="7BFF5D1D" w14:textId="77777777" w:rsidR="00E44364" w:rsidRPr="00BB1AA6" w:rsidRDefault="00E44364" w:rsidP="00B70AA2">
            <w:pPr>
              <w:pStyle w:val="TableExpText"/>
              <w:rPr>
                <w:rFonts w:cs="Segoe UI"/>
                <w:color w:val="000000" w:themeColor="text1"/>
                <w:szCs w:val="19"/>
                <w:lang w:val="en-US"/>
              </w:rPr>
            </w:pPr>
            <w:r w:rsidRPr="00AA08B3">
              <w:t>Goldfields Land and Sea Council</w:t>
            </w:r>
          </w:p>
        </w:tc>
        <w:tc>
          <w:tcPr>
            <w:tcW w:w="1843" w:type="dxa"/>
            <w:vMerge/>
          </w:tcPr>
          <w:p w14:paraId="0EA41202" w14:textId="77777777" w:rsidR="00E44364" w:rsidRPr="00BB1AA6" w:rsidRDefault="00E44364" w:rsidP="00B70AA2">
            <w:pPr>
              <w:pStyle w:val="TableExpText"/>
              <w:rPr>
                <w:rFonts w:cs="Segoe UI"/>
                <w:color w:val="000000" w:themeColor="text1"/>
                <w:szCs w:val="19"/>
                <w:lang w:val="en-US"/>
              </w:rPr>
            </w:pPr>
          </w:p>
        </w:tc>
        <w:tc>
          <w:tcPr>
            <w:tcW w:w="2410" w:type="dxa"/>
            <w:vMerge/>
          </w:tcPr>
          <w:p w14:paraId="47537C91" w14:textId="77777777" w:rsidR="00E44364" w:rsidRPr="00BB1AA6" w:rsidRDefault="00E44364" w:rsidP="00B70AA2">
            <w:pPr>
              <w:pStyle w:val="TableExpText"/>
              <w:rPr>
                <w:rFonts w:cs="Segoe UI"/>
                <w:color w:val="000000" w:themeColor="text1"/>
                <w:szCs w:val="19"/>
                <w:lang w:val="en-US"/>
              </w:rPr>
            </w:pPr>
          </w:p>
        </w:tc>
      </w:tr>
      <w:tr w:rsidR="00E44364" w:rsidRPr="00BB1AA6" w14:paraId="3F8C0B16" w14:textId="77777777" w:rsidTr="00B70AA2">
        <w:tc>
          <w:tcPr>
            <w:tcW w:w="993" w:type="dxa"/>
            <w:vMerge/>
          </w:tcPr>
          <w:p w14:paraId="3E312B9A" w14:textId="77777777" w:rsidR="00E44364" w:rsidRPr="00BB1AA6" w:rsidRDefault="00E44364" w:rsidP="00B70AA2">
            <w:pPr>
              <w:pStyle w:val="TableExpText"/>
              <w:rPr>
                <w:rFonts w:cs="Segoe UI"/>
                <w:color w:val="000000" w:themeColor="text1"/>
                <w:szCs w:val="19"/>
              </w:rPr>
            </w:pPr>
          </w:p>
        </w:tc>
        <w:tc>
          <w:tcPr>
            <w:tcW w:w="3685" w:type="dxa"/>
            <w:vAlign w:val="top"/>
          </w:tcPr>
          <w:p w14:paraId="7F6289B5" w14:textId="77777777" w:rsidR="00E44364" w:rsidRPr="00DD1CA7" w:rsidRDefault="00E44364" w:rsidP="00B70AA2">
            <w:pPr>
              <w:pStyle w:val="TableExpText"/>
              <w:rPr>
                <w:rFonts w:cs="Segoe UI"/>
                <w:bCs/>
                <w:color w:val="000000" w:themeColor="text1"/>
                <w:szCs w:val="19"/>
                <w:lang w:val="en-US"/>
              </w:rPr>
            </w:pPr>
            <w:r w:rsidRPr="00DD1CA7">
              <w:rPr>
                <w:bCs/>
              </w:rPr>
              <w:t>Native Title Services Corporation</w:t>
            </w:r>
          </w:p>
        </w:tc>
        <w:tc>
          <w:tcPr>
            <w:tcW w:w="1843" w:type="dxa"/>
            <w:vMerge/>
          </w:tcPr>
          <w:p w14:paraId="0249F1FF" w14:textId="77777777" w:rsidR="00E44364" w:rsidRPr="00BB1AA6" w:rsidRDefault="00E44364" w:rsidP="00B70AA2">
            <w:pPr>
              <w:pStyle w:val="TableExpText"/>
              <w:rPr>
                <w:rFonts w:cs="Segoe UI"/>
                <w:color w:val="000000" w:themeColor="text1"/>
                <w:szCs w:val="19"/>
                <w:lang w:val="en-US"/>
              </w:rPr>
            </w:pPr>
          </w:p>
        </w:tc>
        <w:tc>
          <w:tcPr>
            <w:tcW w:w="2410" w:type="dxa"/>
            <w:vMerge/>
          </w:tcPr>
          <w:p w14:paraId="69D5863F" w14:textId="77777777" w:rsidR="00E44364" w:rsidRPr="00BB1AA6" w:rsidRDefault="00E44364" w:rsidP="00B70AA2">
            <w:pPr>
              <w:pStyle w:val="TableExpText"/>
              <w:rPr>
                <w:rFonts w:cs="Segoe UI"/>
                <w:color w:val="000000" w:themeColor="text1"/>
                <w:szCs w:val="19"/>
                <w:lang w:val="en-US"/>
              </w:rPr>
            </w:pPr>
          </w:p>
        </w:tc>
      </w:tr>
      <w:tr w:rsidR="00E44364" w:rsidRPr="00BB1AA6" w14:paraId="700C8973" w14:textId="77777777" w:rsidTr="00B70AA2">
        <w:tc>
          <w:tcPr>
            <w:tcW w:w="993" w:type="dxa"/>
            <w:vMerge/>
          </w:tcPr>
          <w:p w14:paraId="7A92208F" w14:textId="77777777" w:rsidR="00E44364" w:rsidRPr="00BB1AA6" w:rsidRDefault="00E44364" w:rsidP="00B70AA2">
            <w:pPr>
              <w:pStyle w:val="TableExpText"/>
              <w:rPr>
                <w:rFonts w:cs="Segoe UI"/>
                <w:color w:val="000000" w:themeColor="text1"/>
                <w:szCs w:val="19"/>
              </w:rPr>
            </w:pPr>
          </w:p>
        </w:tc>
        <w:tc>
          <w:tcPr>
            <w:tcW w:w="3685" w:type="dxa"/>
            <w:vAlign w:val="top"/>
          </w:tcPr>
          <w:p w14:paraId="52F7F86C" w14:textId="77777777" w:rsidR="00E44364" w:rsidRPr="00131D1D" w:rsidRDefault="00E44364" w:rsidP="00B70AA2">
            <w:pPr>
              <w:pStyle w:val="TableExpText"/>
              <w:rPr>
                <w:rFonts w:cs="Segoe UI"/>
                <w:color w:val="000000" w:themeColor="text1"/>
                <w:szCs w:val="19"/>
                <w:lang w:val="en-US"/>
              </w:rPr>
            </w:pPr>
            <w:r w:rsidRPr="00131D1D">
              <w:t>Queensland South Native Title Services</w:t>
            </w:r>
          </w:p>
        </w:tc>
        <w:tc>
          <w:tcPr>
            <w:tcW w:w="1843" w:type="dxa"/>
            <w:vMerge/>
          </w:tcPr>
          <w:p w14:paraId="0E02256C" w14:textId="77777777" w:rsidR="00E44364" w:rsidRPr="00BB1AA6" w:rsidRDefault="00E44364" w:rsidP="00B70AA2">
            <w:pPr>
              <w:pStyle w:val="TableExpText"/>
              <w:rPr>
                <w:rFonts w:cs="Segoe UI"/>
                <w:color w:val="000000" w:themeColor="text1"/>
                <w:szCs w:val="19"/>
                <w:lang w:val="en-US"/>
              </w:rPr>
            </w:pPr>
          </w:p>
        </w:tc>
        <w:tc>
          <w:tcPr>
            <w:tcW w:w="2410" w:type="dxa"/>
            <w:vMerge/>
          </w:tcPr>
          <w:p w14:paraId="03626014" w14:textId="77777777" w:rsidR="00E44364" w:rsidRPr="00BB1AA6" w:rsidRDefault="00E44364" w:rsidP="00B70AA2">
            <w:pPr>
              <w:pStyle w:val="TableExpText"/>
              <w:rPr>
                <w:rFonts w:cs="Segoe UI"/>
                <w:color w:val="000000" w:themeColor="text1"/>
                <w:szCs w:val="19"/>
                <w:lang w:val="en-US"/>
              </w:rPr>
            </w:pPr>
          </w:p>
        </w:tc>
      </w:tr>
      <w:tr w:rsidR="00E44364" w:rsidRPr="00BB1AA6" w14:paraId="44F78EE9" w14:textId="77777777" w:rsidTr="00B70AA2">
        <w:tc>
          <w:tcPr>
            <w:tcW w:w="993" w:type="dxa"/>
            <w:vMerge w:val="restart"/>
          </w:tcPr>
          <w:p w14:paraId="2C01E4BC" w14:textId="77777777" w:rsidR="00E44364" w:rsidRPr="00BB1AA6" w:rsidRDefault="00E44364" w:rsidP="00B70AA2">
            <w:pPr>
              <w:pStyle w:val="TableExpText"/>
              <w:rPr>
                <w:rFonts w:cs="Segoe UI"/>
                <w:color w:val="000000" w:themeColor="text1"/>
                <w:szCs w:val="19"/>
              </w:rPr>
            </w:pPr>
            <w:r>
              <w:rPr>
                <w:rFonts w:cs="Segoe UI"/>
                <w:color w:val="000000" w:themeColor="text1"/>
                <w:szCs w:val="19"/>
              </w:rPr>
              <w:t>Tranche 2 (2018)</w:t>
            </w:r>
          </w:p>
        </w:tc>
        <w:tc>
          <w:tcPr>
            <w:tcW w:w="3685" w:type="dxa"/>
            <w:vAlign w:val="top"/>
          </w:tcPr>
          <w:p w14:paraId="5FB0BFC2" w14:textId="77777777" w:rsidR="00E44364" w:rsidRPr="00BB1AA6" w:rsidRDefault="00E44364" w:rsidP="00B70AA2">
            <w:pPr>
              <w:pStyle w:val="TableExpText"/>
              <w:rPr>
                <w:rFonts w:cs="Segoe UI"/>
                <w:color w:val="000000" w:themeColor="text1"/>
                <w:szCs w:val="19"/>
                <w:lang w:val="en-US"/>
              </w:rPr>
            </w:pPr>
            <w:r w:rsidRPr="00197B40">
              <w:t>Cape York Land Council</w:t>
            </w:r>
          </w:p>
        </w:tc>
        <w:tc>
          <w:tcPr>
            <w:tcW w:w="1843" w:type="dxa"/>
            <w:vMerge w:val="restart"/>
          </w:tcPr>
          <w:p w14:paraId="1AB96FE9" w14:textId="77777777" w:rsidR="00E44364" w:rsidRPr="0036670E" w:rsidRDefault="00E44364" w:rsidP="00B70AA2">
            <w:pPr>
              <w:pStyle w:val="TableExpText"/>
              <w:rPr>
                <w:rFonts w:cs="Segoe UI"/>
                <w:color w:val="000000" w:themeColor="text1"/>
                <w:szCs w:val="19"/>
                <w:lang w:val="en-US"/>
              </w:rPr>
            </w:pPr>
            <w:r>
              <w:rPr>
                <w:rFonts w:cs="Segoe UI"/>
                <w:color w:val="000000" w:themeColor="text1"/>
                <w:szCs w:val="19"/>
                <w:lang w:val="en-US"/>
              </w:rPr>
              <w:t xml:space="preserve">July 2015 – </w:t>
            </w:r>
            <w:r w:rsidRPr="0036670E">
              <w:rPr>
                <w:rFonts w:cs="Segoe UI"/>
                <w:color w:val="000000" w:themeColor="text1"/>
                <w:szCs w:val="19"/>
                <w:lang w:val="en-US"/>
              </w:rPr>
              <w:t>June 2018</w:t>
            </w:r>
          </w:p>
        </w:tc>
        <w:tc>
          <w:tcPr>
            <w:tcW w:w="2410" w:type="dxa"/>
            <w:vMerge w:val="restart"/>
          </w:tcPr>
          <w:p w14:paraId="57070FD7" w14:textId="77777777" w:rsidR="00E44364" w:rsidRPr="00BB1AA6" w:rsidRDefault="00E44364" w:rsidP="00B70AA2">
            <w:pPr>
              <w:pStyle w:val="TableExpText"/>
              <w:rPr>
                <w:rFonts w:cs="Segoe UI"/>
                <w:color w:val="000000" w:themeColor="text1"/>
                <w:szCs w:val="19"/>
                <w:lang w:val="en-US"/>
              </w:rPr>
            </w:pPr>
            <w:r>
              <w:rPr>
                <w:rFonts w:cs="Segoe UI"/>
                <w:color w:val="000000" w:themeColor="text1"/>
                <w:szCs w:val="19"/>
                <w:lang w:val="en-US"/>
              </w:rPr>
              <w:t>September 2018 – April 2019</w:t>
            </w:r>
          </w:p>
        </w:tc>
      </w:tr>
      <w:tr w:rsidR="00E44364" w:rsidRPr="00BB1AA6" w14:paraId="67C36378" w14:textId="77777777" w:rsidTr="00B70AA2">
        <w:tc>
          <w:tcPr>
            <w:tcW w:w="993" w:type="dxa"/>
            <w:vMerge/>
          </w:tcPr>
          <w:p w14:paraId="68325862" w14:textId="77777777" w:rsidR="00E44364" w:rsidRPr="00BB1AA6" w:rsidRDefault="00E44364" w:rsidP="00B70AA2">
            <w:pPr>
              <w:pStyle w:val="TableExpText"/>
              <w:rPr>
                <w:rFonts w:cs="Segoe UI"/>
                <w:color w:val="000000" w:themeColor="text1"/>
                <w:szCs w:val="19"/>
              </w:rPr>
            </w:pPr>
          </w:p>
        </w:tc>
        <w:tc>
          <w:tcPr>
            <w:tcW w:w="3685" w:type="dxa"/>
            <w:vAlign w:val="top"/>
          </w:tcPr>
          <w:p w14:paraId="6E759C56" w14:textId="77777777" w:rsidR="00E44364" w:rsidRPr="00BB1AA6" w:rsidRDefault="00E44364" w:rsidP="00B70AA2">
            <w:pPr>
              <w:pStyle w:val="TableExpText"/>
              <w:rPr>
                <w:rFonts w:cs="Segoe UI"/>
                <w:color w:val="000000" w:themeColor="text1"/>
                <w:szCs w:val="19"/>
                <w:lang w:val="en-US"/>
              </w:rPr>
            </w:pPr>
            <w:r w:rsidRPr="00197B40">
              <w:t xml:space="preserve">Carpentaria </w:t>
            </w:r>
            <w:r>
              <w:t>L</w:t>
            </w:r>
            <w:r w:rsidRPr="00197B40">
              <w:t>and Council Aboriginal Corporation</w:t>
            </w:r>
          </w:p>
        </w:tc>
        <w:tc>
          <w:tcPr>
            <w:tcW w:w="1843" w:type="dxa"/>
            <w:vMerge/>
          </w:tcPr>
          <w:p w14:paraId="30FB8F4C" w14:textId="77777777" w:rsidR="00E44364" w:rsidRPr="00BB1AA6" w:rsidRDefault="00E44364" w:rsidP="00B70AA2">
            <w:pPr>
              <w:pStyle w:val="TableExpText"/>
              <w:rPr>
                <w:rFonts w:cs="Segoe UI"/>
                <w:color w:val="000000" w:themeColor="text1"/>
                <w:szCs w:val="19"/>
                <w:lang w:val="en-US"/>
              </w:rPr>
            </w:pPr>
          </w:p>
        </w:tc>
        <w:tc>
          <w:tcPr>
            <w:tcW w:w="2410" w:type="dxa"/>
            <w:vMerge/>
          </w:tcPr>
          <w:p w14:paraId="3DB51A6C" w14:textId="77777777" w:rsidR="00E44364" w:rsidRPr="00BB1AA6" w:rsidRDefault="00E44364" w:rsidP="00B70AA2">
            <w:pPr>
              <w:pStyle w:val="TableExpText"/>
              <w:rPr>
                <w:rFonts w:cs="Segoe UI"/>
                <w:color w:val="000000" w:themeColor="text1"/>
                <w:szCs w:val="19"/>
                <w:lang w:val="en-US"/>
              </w:rPr>
            </w:pPr>
          </w:p>
        </w:tc>
      </w:tr>
      <w:tr w:rsidR="00E44364" w:rsidRPr="00BB1AA6" w14:paraId="5FCC8610" w14:textId="77777777" w:rsidTr="00B70AA2">
        <w:tc>
          <w:tcPr>
            <w:tcW w:w="993" w:type="dxa"/>
            <w:vMerge/>
          </w:tcPr>
          <w:p w14:paraId="4DCBE250" w14:textId="77777777" w:rsidR="00E44364" w:rsidRPr="00BB1AA6" w:rsidRDefault="00E44364" w:rsidP="00B70AA2">
            <w:pPr>
              <w:pStyle w:val="TableExpText"/>
              <w:rPr>
                <w:rFonts w:cs="Segoe UI"/>
                <w:color w:val="000000" w:themeColor="text1"/>
                <w:szCs w:val="19"/>
              </w:rPr>
            </w:pPr>
          </w:p>
        </w:tc>
        <w:tc>
          <w:tcPr>
            <w:tcW w:w="3685" w:type="dxa"/>
            <w:vAlign w:val="top"/>
          </w:tcPr>
          <w:p w14:paraId="21B5EA3C" w14:textId="77777777" w:rsidR="00E44364" w:rsidRPr="00DD1CA7" w:rsidRDefault="00E44364" w:rsidP="00B70AA2">
            <w:pPr>
              <w:pStyle w:val="TableExpText"/>
              <w:rPr>
                <w:rFonts w:cs="Segoe UI"/>
                <w:b/>
                <w:color w:val="000000" w:themeColor="text1"/>
                <w:szCs w:val="19"/>
                <w:lang w:val="en-US"/>
              </w:rPr>
            </w:pPr>
            <w:r w:rsidRPr="00DD1CA7">
              <w:rPr>
                <w:b/>
              </w:rPr>
              <w:t>Kimberly Land Council</w:t>
            </w:r>
          </w:p>
        </w:tc>
        <w:tc>
          <w:tcPr>
            <w:tcW w:w="1843" w:type="dxa"/>
            <w:vMerge/>
          </w:tcPr>
          <w:p w14:paraId="5AE7CB19" w14:textId="77777777" w:rsidR="00E44364" w:rsidRPr="00BB1AA6" w:rsidRDefault="00E44364" w:rsidP="00B70AA2">
            <w:pPr>
              <w:pStyle w:val="TableExpText"/>
              <w:rPr>
                <w:rFonts w:cs="Segoe UI"/>
                <w:color w:val="000000" w:themeColor="text1"/>
                <w:szCs w:val="19"/>
                <w:lang w:val="en-US"/>
              </w:rPr>
            </w:pPr>
          </w:p>
        </w:tc>
        <w:tc>
          <w:tcPr>
            <w:tcW w:w="2410" w:type="dxa"/>
            <w:vMerge/>
          </w:tcPr>
          <w:p w14:paraId="09676CFB" w14:textId="77777777" w:rsidR="00E44364" w:rsidRPr="00BB1AA6" w:rsidRDefault="00E44364" w:rsidP="00B70AA2">
            <w:pPr>
              <w:pStyle w:val="TableExpText"/>
              <w:rPr>
                <w:rFonts w:cs="Segoe UI"/>
                <w:color w:val="000000" w:themeColor="text1"/>
                <w:szCs w:val="19"/>
                <w:lang w:val="en-US"/>
              </w:rPr>
            </w:pPr>
          </w:p>
        </w:tc>
      </w:tr>
      <w:tr w:rsidR="00E44364" w:rsidRPr="00BB1AA6" w14:paraId="65BD49B1" w14:textId="77777777" w:rsidTr="00B70AA2">
        <w:tc>
          <w:tcPr>
            <w:tcW w:w="993" w:type="dxa"/>
            <w:vMerge/>
          </w:tcPr>
          <w:p w14:paraId="44400C72" w14:textId="77777777" w:rsidR="00E44364" w:rsidRPr="00BB1AA6" w:rsidRDefault="00E44364" w:rsidP="00B70AA2">
            <w:pPr>
              <w:pStyle w:val="TableExpText"/>
              <w:rPr>
                <w:rFonts w:cs="Segoe UI"/>
                <w:color w:val="000000" w:themeColor="text1"/>
                <w:szCs w:val="19"/>
              </w:rPr>
            </w:pPr>
          </w:p>
        </w:tc>
        <w:tc>
          <w:tcPr>
            <w:tcW w:w="3685" w:type="dxa"/>
            <w:vAlign w:val="top"/>
          </w:tcPr>
          <w:p w14:paraId="682A5C2F" w14:textId="77777777" w:rsidR="00E44364" w:rsidRPr="00BB1AA6" w:rsidRDefault="00E44364" w:rsidP="00B70AA2">
            <w:pPr>
              <w:pStyle w:val="TableExpText"/>
              <w:rPr>
                <w:rFonts w:cs="Segoe UI"/>
                <w:color w:val="000000" w:themeColor="text1"/>
                <w:szCs w:val="19"/>
                <w:lang w:val="en-US"/>
              </w:rPr>
            </w:pPr>
            <w:r w:rsidRPr="00197B40">
              <w:t xml:space="preserve">North Queensland </w:t>
            </w:r>
            <w:r>
              <w:t>L</w:t>
            </w:r>
            <w:r w:rsidRPr="00197B40">
              <w:t>and Council</w:t>
            </w:r>
          </w:p>
        </w:tc>
        <w:tc>
          <w:tcPr>
            <w:tcW w:w="1843" w:type="dxa"/>
            <w:vMerge/>
          </w:tcPr>
          <w:p w14:paraId="3C1F710F" w14:textId="77777777" w:rsidR="00E44364" w:rsidRPr="00BB1AA6" w:rsidRDefault="00E44364" w:rsidP="00B70AA2">
            <w:pPr>
              <w:pStyle w:val="TableExpText"/>
              <w:rPr>
                <w:rFonts w:cs="Segoe UI"/>
                <w:color w:val="000000" w:themeColor="text1"/>
                <w:szCs w:val="19"/>
                <w:lang w:val="en-US"/>
              </w:rPr>
            </w:pPr>
          </w:p>
        </w:tc>
        <w:tc>
          <w:tcPr>
            <w:tcW w:w="2410" w:type="dxa"/>
            <w:vMerge/>
          </w:tcPr>
          <w:p w14:paraId="1D411B34" w14:textId="77777777" w:rsidR="00E44364" w:rsidRPr="00BB1AA6" w:rsidRDefault="00E44364" w:rsidP="00B70AA2">
            <w:pPr>
              <w:pStyle w:val="TableExpText"/>
              <w:rPr>
                <w:rFonts w:cs="Segoe UI"/>
                <w:color w:val="000000" w:themeColor="text1"/>
                <w:szCs w:val="19"/>
                <w:lang w:val="en-US"/>
              </w:rPr>
            </w:pPr>
          </w:p>
        </w:tc>
      </w:tr>
      <w:tr w:rsidR="00E44364" w:rsidRPr="00BB1AA6" w14:paraId="2AC1AE7C" w14:textId="77777777" w:rsidTr="00B70AA2">
        <w:tc>
          <w:tcPr>
            <w:tcW w:w="993" w:type="dxa"/>
            <w:vMerge/>
          </w:tcPr>
          <w:p w14:paraId="29C10729" w14:textId="77777777" w:rsidR="00E44364" w:rsidRPr="00BB1AA6" w:rsidRDefault="00E44364" w:rsidP="00B70AA2">
            <w:pPr>
              <w:pStyle w:val="TableExpText"/>
              <w:rPr>
                <w:rFonts w:cs="Segoe UI"/>
                <w:color w:val="000000" w:themeColor="text1"/>
                <w:szCs w:val="19"/>
              </w:rPr>
            </w:pPr>
          </w:p>
        </w:tc>
        <w:tc>
          <w:tcPr>
            <w:tcW w:w="3685" w:type="dxa"/>
            <w:vAlign w:val="top"/>
          </w:tcPr>
          <w:p w14:paraId="6D3C6D09" w14:textId="77777777" w:rsidR="00E44364" w:rsidRPr="00BB1AA6" w:rsidRDefault="00E44364" w:rsidP="00B70AA2">
            <w:pPr>
              <w:pStyle w:val="TableExpText"/>
              <w:rPr>
                <w:rFonts w:cs="Segoe UI"/>
                <w:color w:val="000000" w:themeColor="text1"/>
                <w:szCs w:val="19"/>
                <w:lang w:val="en-US"/>
              </w:rPr>
            </w:pPr>
            <w:r w:rsidRPr="00197B40">
              <w:t>South Australia Native Title Services</w:t>
            </w:r>
          </w:p>
        </w:tc>
        <w:tc>
          <w:tcPr>
            <w:tcW w:w="1843" w:type="dxa"/>
            <w:vMerge/>
          </w:tcPr>
          <w:p w14:paraId="422FD480" w14:textId="77777777" w:rsidR="00E44364" w:rsidRPr="00BB1AA6" w:rsidRDefault="00E44364" w:rsidP="00B70AA2">
            <w:pPr>
              <w:pStyle w:val="TableExpText"/>
              <w:rPr>
                <w:rFonts w:cs="Segoe UI"/>
                <w:color w:val="000000" w:themeColor="text1"/>
                <w:szCs w:val="19"/>
                <w:lang w:val="en-US"/>
              </w:rPr>
            </w:pPr>
          </w:p>
        </w:tc>
        <w:tc>
          <w:tcPr>
            <w:tcW w:w="2410" w:type="dxa"/>
            <w:vMerge/>
          </w:tcPr>
          <w:p w14:paraId="3FF8116F" w14:textId="77777777" w:rsidR="00E44364" w:rsidRPr="00BB1AA6" w:rsidRDefault="00E44364" w:rsidP="00B70AA2">
            <w:pPr>
              <w:pStyle w:val="TableExpText"/>
              <w:rPr>
                <w:rFonts w:cs="Segoe UI"/>
                <w:color w:val="000000" w:themeColor="text1"/>
                <w:szCs w:val="19"/>
                <w:lang w:val="en-US"/>
              </w:rPr>
            </w:pPr>
          </w:p>
        </w:tc>
      </w:tr>
      <w:tr w:rsidR="00E44364" w:rsidRPr="00BB1AA6" w14:paraId="63CBD71D" w14:textId="77777777" w:rsidTr="00B70AA2">
        <w:tc>
          <w:tcPr>
            <w:tcW w:w="993" w:type="dxa"/>
            <w:vMerge/>
          </w:tcPr>
          <w:p w14:paraId="634F98BF" w14:textId="77777777" w:rsidR="00E44364" w:rsidRPr="00BB1AA6" w:rsidRDefault="00E44364" w:rsidP="00B70AA2">
            <w:pPr>
              <w:pStyle w:val="TableExpText"/>
              <w:rPr>
                <w:rFonts w:cs="Segoe UI"/>
                <w:color w:val="000000" w:themeColor="text1"/>
                <w:szCs w:val="19"/>
              </w:rPr>
            </w:pPr>
          </w:p>
        </w:tc>
        <w:tc>
          <w:tcPr>
            <w:tcW w:w="3685" w:type="dxa"/>
            <w:vAlign w:val="top"/>
          </w:tcPr>
          <w:p w14:paraId="7FA3BF15" w14:textId="77777777" w:rsidR="00E44364" w:rsidRPr="00BB1AA6" w:rsidRDefault="00E44364" w:rsidP="00B70AA2">
            <w:pPr>
              <w:pStyle w:val="TableExpText"/>
              <w:rPr>
                <w:rFonts w:cs="Segoe UI"/>
                <w:color w:val="000000" w:themeColor="text1"/>
                <w:szCs w:val="19"/>
                <w:lang w:val="en-US"/>
              </w:rPr>
            </w:pPr>
            <w:r w:rsidRPr="00197B40">
              <w:t>Yamatji Marlpa Aboriginal Corporation</w:t>
            </w:r>
          </w:p>
        </w:tc>
        <w:tc>
          <w:tcPr>
            <w:tcW w:w="1843" w:type="dxa"/>
            <w:vMerge/>
          </w:tcPr>
          <w:p w14:paraId="47E697D1" w14:textId="77777777" w:rsidR="00E44364" w:rsidRPr="00BB1AA6" w:rsidRDefault="00E44364" w:rsidP="00B70AA2">
            <w:pPr>
              <w:pStyle w:val="TableExpText"/>
              <w:rPr>
                <w:rFonts w:cs="Segoe UI"/>
                <w:color w:val="000000" w:themeColor="text1"/>
                <w:szCs w:val="19"/>
                <w:lang w:val="en-US"/>
              </w:rPr>
            </w:pPr>
          </w:p>
        </w:tc>
        <w:tc>
          <w:tcPr>
            <w:tcW w:w="2410" w:type="dxa"/>
            <w:vMerge/>
          </w:tcPr>
          <w:p w14:paraId="745B0B42" w14:textId="77777777" w:rsidR="00E44364" w:rsidRPr="00BB1AA6" w:rsidRDefault="00E44364" w:rsidP="00B70AA2">
            <w:pPr>
              <w:pStyle w:val="TableExpText"/>
              <w:rPr>
                <w:rFonts w:cs="Segoe UI"/>
                <w:color w:val="000000" w:themeColor="text1"/>
                <w:szCs w:val="19"/>
                <w:lang w:val="en-US"/>
              </w:rPr>
            </w:pPr>
          </w:p>
        </w:tc>
      </w:tr>
      <w:tr w:rsidR="00C37289" w:rsidRPr="00BB1AA6" w14:paraId="1828A965" w14:textId="77777777" w:rsidTr="00B70AA2">
        <w:tc>
          <w:tcPr>
            <w:tcW w:w="993" w:type="dxa"/>
            <w:vMerge w:val="restart"/>
          </w:tcPr>
          <w:p w14:paraId="1E08625B" w14:textId="45FDB504" w:rsidR="00C37289" w:rsidRPr="00BB1AA6" w:rsidRDefault="00C37289" w:rsidP="00B70AA2">
            <w:pPr>
              <w:pStyle w:val="TableExpText"/>
              <w:rPr>
                <w:rFonts w:cs="Segoe UI"/>
                <w:color w:val="000000" w:themeColor="text1"/>
                <w:szCs w:val="19"/>
              </w:rPr>
            </w:pPr>
            <w:r>
              <w:rPr>
                <w:rFonts w:cs="Segoe UI"/>
                <w:color w:val="000000" w:themeColor="text1"/>
                <w:szCs w:val="19"/>
              </w:rPr>
              <w:t>Tranche 3 (2020)</w:t>
            </w:r>
          </w:p>
        </w:tc>
        <w:tc>
          <w:tcPr>
            <w:tcW w:w="3685" w:type="dxa"/>
          </w:tcPr>
          <w:p w14:paraId="42B20956" w14:textId="77777777" w:rsidR="00C37289" w:rsidRPr="00BB1AA6" w:rsidRDefault="00C37289" w:rsidP="00B70AA2">
            <w:pPr>
              <w:pStyle w:val="TableExpText"/>
              <w:rPr>
                <w:rFonts w:cs="Segoe UI"/>
                <w:color w:val="000000" w:themeColor="text1"/>
                <w:szCs w:val="19"/>
                <w:lang w:val="en-US"/>
              </w:rPr>
            </w:pPr>
            <w:r>
              <w:rPr>
                <w:rFonts w:cs="Segoe UI"/>
                <w:color w:val="000000" w:themeColor="text1"/>
                <w:szCs w:val="19"/>
                <w:lang w:val="en-US"/>
              </w:rPr>
              <w:t>Central Land Council</w:t>
            </w:r>
          </w:p>
        </w:tc>
        <w:tc>
          <w:tcPr>
            <w:tcW w:w="1843" w:type="dxa"/>
            <w:vMerge w:val="restart"/>
          </w:tcPr>
          <w:p w14:paraId="431CFEA2" w14:textId="77777777" w:rsidR="00C37289" w:rsidRPr="0036670E" w:rsidRDefault="00C37289" w:rsidP="00B70AA2">
            <w:pPr>
              <w:pStyle w:val="TableExpText"/>
              <w:rPr>
                <w:rFonts w:cs="Segoe UI"/>
                <w:color w:val="000000" w:themeColor="text1"/>
                <w:szCs w:val="19"/>
                <w:lang w:val="en-US"/>
              </w:rPr>
            </w:pPr>
            <w:r>
              <w:rPr>
                <w:rFonts w:cs="Segoe UI"/>
                <w:color w:val="000000" w:themeColor="text1"/>
                <w:szCs w:val="19"/>
                <w:lang w:val="en-US"/>
              </w:rPr>
              <w:t xml:space="preserve">July 2016 – </w:t>
            </w:r>
            <w:r w:rsidRPr="0036670E">
              <w:rPr>
                <w:rFonts w:cs="Segoe UI"/>
                <w:color w:val="000000" w:themeColor="text1"/>
                <w:szCs w:val="19"/>
                <w:lang w:val="en-US"/>
              </w:rPr>
              <w:t>June 2019</w:t>
            </w:r>
          </w:p>
        </w:tc>
        <w:tc>
          <w:tcPr>
            <w:tcW w:w="2410" w:type="dxa"/>
            <w:vMerge w:val="restart"/>
          </w:tcPr>
          <w:p w14:paraId="4A617740" w14:textId="77777777" w:rsidR="00C37289" w:rsidRPr="0036670E" w:rsidRDefault="00C37289" w:rsidP="00B70AA2">
            <w:pPr>
              <w:pStyle w:val="TableExpText"/>
              <w:rPr>
                <w:rFonts w:cs="Segoe UI"/>
                <w:color w:val="000000" w:themeColor="text1"/>
                <w:szCs w:val="19"/>
                <w:lang w:val="en-US"/>
              </w:rPr>
            </w:pPr>
            <w:r>
              <w:rPr>
                <w:rFonts w:cs="Segoe UI"/>
                <w:color w:val="000000" w:themeColor="text1"/>
                <w:szCs w:val="19"/>
                <w:lang w:val="en-US"/>
              </w:rPr>
              <w:t xml:space="preserve">January 2020 – </w:t>
            </w:r>
            <w:r w:rsidRPr="0036670E">
              <w:rPr>
                <w:rFonts w:cs="Segoe UI"/>
                <w:color w:val="000000" w:themeColor="text1"/>
                <w:szCs w:val="19"/>
                <w:lang w:val="en-US"/>
              </w:rPr>
              <w:t>July 2020</w:t>
            </w:r>
          </w:p>
        </w:tc>
      </w:tr>
      <w:tr w:rsidR="00C37289" w:rsidRPr="00BB1AA6" w14:paraId="27EB2B8F" w14:textId="77777777" w:rsidTr="00B70AA2">
        <w:tc>
          <w:tcPr>
            <w:tcW w:w="993" w:type="dxa"/>
            <w:vMerge/>
          </w:tcPr>
          <w:p w14:paraId="6AF744AE" w14:textId="77777777" w:rsidR="00C37289" w:rsidRPr="00BB1AA6" w:rsidRDefault="00C37289" w:rsidP="00B70AA2">
            <w:pPr>
              <w:spacing w:after="0"/>
              <w:jc w:val="center"/>
              <w:rPr>
                <w:rFonts w:cs="Segoe UI"/>
                <w:color w:val="000000" w:themeColor="text1"/>
                <w:szCs w:val="19"/>
                <w:lang w:eastAsia="en-AU"/>
              </w:rPr>
            </w:pPr>
          </w:p>
        </w:tc>
        <w:tc>
          <w:tcPr>
            <w:tcW w:w="3685" w:type="dxa"/>
          </w:tcPr>
          <w:p w14:paraId="2B12C1DF" w14:textId="77777777" w:rsidR="00C37289" w:rsidRPr="00BB1AA6" w:rsidRDefault="00C37289" w:rsidP="00B70AA2">
            <w:pPr>
              <w:pStyle w:val="TableExpText"/>
              <w:rPr>
                <w:lang w:val="en-US"/>
              </w:rPr>
            </w:pPr>
            <w:r>
              <w:rPr>
                <w:lang w:val="en-US"/>
              </w:rPr>
              <w:t>Northern Land Council</w:t>
            </w:r>
          </w:p>
        </w:tc>
        <w:tc>
          <w:tcPr>
            <w:tcW w:w="1843" w:type="dxa"/>
            <w:vMerge/>
          </w:tcPr>
          <w:p w14:paraId="09A448D4" w14:textId="77777777" w:rsidR="00C37289" w:rsidRPr="00BB1AA6" w:rsidRDefault="00C37289" w:rsidP="00B70AA2">
            <w:pPr>
              <w:spacing w:after="0"/>
              <w:rPr>
                <w:rFonts w:cs="Segoe UI"/>
                <w:color w:val="000000" w:themeColor="text1"/>
                <w:szCs w:val="19"/>
                <w:lang w:val="en-US"/>
              </w:rPr>
            </w:pPr>
          </w:p>
        </w:tc>
        <w:tc>
          <w:tcPr>
            <w:tcW w:w="2410" w:type="dxa"/>
            <w:vMerge/>
          </w:tcPr>
          <w:p w14:paraId="7E8AA50F" w14:textId="77777777" w:rsidR="00C37289" w:rsidRPr="00BB1AA6" w:rsidRDefault="00C37289" w:rsidP="00B70AA2">
            <w:pPr>
              <w:spacing w:after="0"/>
              <w:rPr>
                <w:rFonts w:cs="Segoe UI"/>
                <w:color w:val="000000" w:themeColor="text1"/>
                <w:szCs w:val="19"/>
                <w:lang w:val="en-US"/>
              </w:rPr>
            </w:pPr>
          </w:p>
        </w:tc>
      </w:tr>
      <w:tr w:rsidR="00C37289" w:rsidRPr="00BB1AA6" w14:paraId="366E225C" w14:textId="77777777" w:rsidTr="00081B26">
        <w:tc>
          <w:tcPr>
            <w:tcW w:w="993" w:type="dxa"/>
            <w:vMerge/>
          </w:tcPr>
          <w:p w14:paraId="4A3D1CF0" w14:textId="77777777" w:rsidR="00C37289" w:rsidRPr="00BB1AA6" w:rsidRDefault="00C37289" w:rsidP="00C37289">
            <w:pPr>
              <w:spacing w:after="0"/>
              <w:jc w:val="center"/>
              <w:rPr>
                <w:rFonts w:cs="Segoe UI"/>
                <w:color w:val="000000" w:themeColor="text1"/>
                <w:szCs w:val="19"/>
                <w:lang w:eastAsia="en-AU"/>
              </w:rPr>
            </w:pPr>
          </w:p>
        </w:tc>
        <w:tc>
          <w:tcPr>
            <w:tcW w:w="3685" w:type="dxa"/>
            <w:vAlign w:val="top"/>
          </w:tcPr>
          <w:p w14:paraId="258C0DE3" w14:textId="356B82E7" w:rsidR="00C37289" w:rsidRDefault="00C37289" w:rsidP="00C37289">
            <w:pPr>
              <w:pStyle w:val="TableExpText"/>
              <w:rPr>
                <w:lang w:val="en-US"/>
              </w:rPr>
            </w:pPr>
            <w:r w:rsidRPr="00C37289">
              <w:rPr>
                <w:lang w:val="en-US"/>
              </w:rPr>
              <w:t>Torres Strait Regional Authority</w:t>
            </w:r>
          </w:p>
        </w:tc>
        <w:tc>
          <w:tcPr>
            <w:tcW w:w="1843" w:type="dxa"/>
            <w:vAlign w:val="top"/>
          </w:tcPr>
          <w:p w14:paraId="08FD8A1F" w14:textId="7889B128" w:rsidR="00C37289" w:rsidRPr="00C37289" w:rsidRDefault="00C37289" w:rsidP="00C37289">
            <w:pPr>
              <w:spacing w:after="0"/>
              <w:rPr>
                <w:rFonts w:eastAsia="Times New Roman" w:cs="Times New Roman"/>
                <w:sz w:val="16"/>
                <w:szCs w:val="24"/>
                <w:lang w:val="en-US" w:eastAsia="en-AU"/>
              </w:rPr>
            </w:pPr>
            <w:r w:rsidRPr="00C37289">
              <w:rPr>
                <w:rFonts w:eastAsia="Times New Roman" w:cs="Times New Roman"/>
                <w:sz w:val="16"/>
                <w:szCs w:val="24"/>
                <w:lang w:val="en-US" w:eastAsia="en-AU"/>
              </w:rPr>
              <w:t>July 2016 – June 2019</w:t>
            </w:r>
          </w:p>
        </w:tc>
        <w:tc>
          <w:tcPr>
            <w:tcW w:w="2410" w:type="dxa"/>
            <w:vAlign w:val="top"/>
          </w:tcPr>
          <w:p w14:paraId="01A873C6" w14:textId="555E322F" w:rsidR="00C37289" w:rsidRPr="00C37289" w:rsidRDefault="00C37289" w:rsidP="00C37289">
            <w:pPr>
              <w:spacing w:after="0"/>
              <w:rPr>
                <w:rFonts w:eastAsia="Times New Roman" w:cs="Times New Roman"/>
                <w:sz w:val="16"/>
                <w:szCs w:val="24"/>
                <w:lang w:val="en-US" w:eastAsia="en-AU"/>
              </w:rPr>
            </w:pPr>
            <w:r w:rsidRPr="00C37289">
              <w:rPr>
                <w:rFonts w:eastAsia="Times New Roman" w:cs="Times New Roman"/>
                <w:sz w:val="16"/>
                <w:szCs w:val="24"/>
                <w:lang w:val="en-US" w:eastAsia="en-AU"/>
              </w:rPr>
              <w:t>October 2020 – March 2021</w:t>
            </w:r>
          </w:p>
        </w:tc>
      </w:tr>
    </w:tbl>
    <w:p w14:paraId="779CAA38" w14:textId="140D0B2D" w:rsidR="00E44364" w:rsidRDefault="00E44364" w:rsidP="00D06FCE">
      <w:pPr>
        <w:spacing w:after="0"/>
        <w:rPr>
          <w:lang w:eastAsia="en-AU"/>
        </w:rPr>
      </w:pPr>
    </w:p>
    <w:p w14:paraId="53728CB2" w14:textId="77777777" w:rsidR="00DD1CA7" w:rsidRDefault="00DD1CA7" w:rsidP="00D06FCE">
      <w:pPr>
        <w:spacing w:after="0"/>
        <w:rPr>
          <w:lang w:eastAsia="en-AU"/>
        </w:rPr>
      </w:pPr>
    </w:p>
    <w:p w14:paraId="4304BE9A" w14:textId="77777777" w:rsidR="00F72654" w:rsidRPr="00F94F37" w:rsidRDefault="00F72654" w:rsidP="00F72654">
      <w:pPr>
        <w:pStyle w:val="xAppendixLevel1"/>
      </w:pPr>
      <w:bookmarkStart w:id="144" w:name="_Ref37158591"/>
      <w:bookmarkStart w:id="145" w:name="_Toc68071599"/>
      <w:r w:rsidRPr="00F94F37">
        <w:lastRenderedPageBreak/>
        <w:t>Stakeholders consulted</w:t>
      </w:r>
      <w:bookmarkEnd w:id="144"/>
      <w:bookmarkEnd w:id="145"/>
    </w:p>
    <w:p w14:paraId="2AF9D2C1" w14:textId="7AA00DF2" w:rsidR="00983E4E" w:rsidRPr="00B05C3C" w:rsidRDefault="000F3681" w:rsidP="00983E4E">
      <w:r>
        <w:t xml:space="preserve">The Review consulted with over 40 stakeholders in relation to the KLC’s performance. </w:t>
      </w:r>
      <w:r w:rsidR="00983E4E" w:rsidRPr="00B05C3C">
        <w:t xml:space="preserve">This was directly through interviews, as well as </w:t>
      </w:r>
      <w:r w:rsidR="00983E4E">
        <w:t xml:space="preserve">a qualitative </w:t>
      </w:r>
      <w:r w:rsidR="00983E4E" w:rsidRPr="00B05C3C">
        <w:t>survey conducted as part of the Review.</w:t>
      </w:r>
    </w:p>
    <w:p w14:paraId="4D171127" w14:textId="77777777" w:rsidR="00983E4E" w:rsidRPr="00B05C3C" w:rsidRDefault="00983E4E" w:rsidP="00983E4E">
      <w:r w:rsidRPr="00B05C3C">
        <w:t>Stakeholder groups included:</w:t>
      </w:r>
    </w:p>
    <w:p w14:paraId="2CE5A8BD" w14:textId="77777777" w:rsidR="000F3681" w:rsidRDefault="000F3681" w:rsidP="000F3681">
      <w:pPr>
        <w:pStyle w:val="Bullet"/>
        <w:numPr>
          <w:ilvl w:val="0"/>
          <w:numId w:val="6"/>
        </w:numPr>
      </w:pPr>
      <w:r>
        <w:t>clients who have been represented by the KLC (including members of PBCs)</w:t>
      </w:r>
    </w:p>
    <w:p w14:paraId="018716D5" w14:textId="77777777" w:rsidR="000F3681" w:rsidRDefault="000F3681" w:rsidP="000F3681">
      <w:pPr>
        <w:pStyle w:val="Bullet"/>
        <w:numPr>
          <w:ilvl w:val="0"/>
          <w:numId w:val="6"/>
        </w:numPr>
      </w:pPr>
      <w:r>
        <w:t>Board Directors</w:t>
      </w:r>
    </w:p>
    <w:p w14:paraId="36839763" w14:textId="77777777" w:rsidR="000F3681" w:rsidRDefault="000F3681" w:rsidP="000F3681">
      <w:pPr>
        <w:pStyle w:val="Bullet"/>
        <w:numPr>
          <w:ilvl w:val="0"/>
          <w:numId w:val="6"/>
        </w:numPr>
      </w:pPr>
      <w:r>
        <w:t xml:space="preserve">staff </w:t>
      </w:r>
    </w:p>
    <w:p w14:paraId="715378AB" w14:textId="77777777" w:rsidR="000F3681" w:rsidRDefault="000F3681" w:rsidP="000F3681">
      <w:pPr>
        <w:pStyle w:val="Bullet"/>
        <w:numPr>
          <w:ilvl w:val="0"/>
          <w:numId w:val="6"/>
        </w:numPr>
      </w:pPr>
      <w:r>
        <w:t>contractors, including:</w:t>
      </w:r>
    </w:p>
    <w:p w14:paraId="2A493D45" w14:textId="77777777" w:rsidR="000F3681" w:rsidRDefault="000F3681" w:rsidP="000F3681">
      <w:pPr>
        <w:pStyle w:val="Bullet"/>
        <w:numPr>
          <w:ilvl w:val="1"/>
          <w:numId w:val="6"/>
        </w:numPr>
      </w:pPr>
      <w:r>
        <w:t>barristers</w:t>
      </w:r>
    </w:p>
    <w:p w14:paraId="56C0515D" w14:textId="77777777" w:rsidR="000F3681" w:rsidRDefault="000F3681" w:rsidP="000F3681">
      <w:pPr>
        <w:pStyle w:val="Bullet"/>
        <w:numPr>
          <w:ilvl w:val="1"/>
          <w:numId w:val="6"/>
        </w:numPr>
      </w:pPr>
      <w:r>
        <w:t>anthropologists</w:t>
      </w:r>
    </w:p>
    <w:p w14:paraId="2AFE39B3" w14:textId="77777777" w:rsidR="000F3681" w:rsidRDefault="000F3681" w:rsidP="000F3681">
      <w:pPr>
        <w:pStyle w:val="Bullet"/>
        <w:numPr>
          <w:ilvl w:val="0"/>
          <w:numId w:val="6"/>
        </w:numPr>
      </w:pPr>
      <w:r>
        <w:t>Federal Court of Australia</w:t>
      </w:r>
    </w:p>
    <w:p w14:paraId="75F8447E" w14:textId="6628ABF0" w:rsidR="000F3681" w:rsidRDefault="000D356D" w:rsidP="000F3681">
      <w:pPr>
        <w:pStyle w:val="Bullet"/>
        <w:numPr>
          <w:ilvl w:val="0"/>
          <w:numId w:val="6"/>
        </w:numPr>
      </w:pPr>
      <w:r>
        <w:t>The National Native Title Tribunal</w:t>
      </w:r>
    </w:p>
    <w:p w14:paraId="50688604" w14:textId="77777777" w:rsidR="000F3681" w:rsidRDefault="000F3681" w:rsidP="000F3681">
      <w:pPr>
        <w:pStyle w:val="Bullet"/>
        <w:numPr>
          <w:ilvl w:val="0"/>
          <w:numId w:val="6"/>
        </w:numPr>
      </w:pPr>
      <w:r>
        <w:t>representatives of WA State Government.</w:t>
      </w:r>
    </w:p>
    <w:p w14:paraId="65B8A039" w14:textId="77777777" w:rsidR="000F3681" w:rsidRDefault="000F3681" w:rsidP="00F72654"/>
    <w:p w14:paraId="0A5E5A0A" w14:textId="2EF87F1D" w:rsidR="002770F2" w:rsidRDefault="002770F2" w:rsidP="00AB0EA2">
      <w:pPr>
        <w:pStyle w:val="xAppendixLevel1"/>
      </w:pPr>
      <w:bookmarkStart w:id="146" w:name="_Ref37158604"/>
      <w:bookmarkStart w:id="147" w:name="_Toc68071600"/>
      <w:r>
        <w:lastRenderedPageBreak/>
        <w:t>Methodology</w:t>
      </w:r>
      <w:bookmarkEnd w:id="146"/>
      <w:bookmarkEnd w:id="147"/>
    </w:p>
    <w:p w14:paraId="0F12448B" w14:textId="77777777" w:rsidR="004D0D30" w:rsidRDefault="004D0D30" w:rsidP="004D0D30">
      <w:pPr>
        <w:rPr>
          <w:lang w:eastAsia="en-AU"/>
        </w:rPr>
      </w:pPr>
      <w:bookmarkStart w:id="148" w:name="_Hlk4133526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Pr>
          <w:lang w:eastAsia="en-AU"/>
        </w:rPr>
        <w:t xml:space="preserve">Nous designed a detailed methodology to assess NTRB-SP performance against the TORs. The method combines qualitative and quantitative performance to account for the unique context within with each NTRB-SP operates. Given the complexity of measuring performance across different NTRB-SPs, the approach involved six steps to ensure that assessment provided a fair and complete picture of current performance for each NTRB-SP: </w:t>
      </w:r>
    </w:p>
    <w:p w14:paraId="4ADC3933" w14:textId="77777777" w:rsidR="004D0D30" w:rsidRDefault="004D0D30" w:rsidP="004D0D30">
      <w:pPr>
        <w:pStyle w:val="ListParagraph"/>
        <w:numPr>
          <w:ilvl w:val="0"/>
          <w:numId w:val="12"/>
        </w:numPr>
        <w:spacing w:line="360" w:lineRule="auto"/>
        <w:ind w:left="357" w:hanging="357"/>
        <w:rPr>
          <w:lang w:eastAsia="en-AU"/>
        </w:rPr>
      </w:pPr>
      <w:r>
        <w:rPr>
          <w:lang w:eastAsia="en-AU"/>
        </w:rPr>
        <w:t>Develop performance and attribution indicators for each TOR</w:t>
      </w:r>
    </w:p>
    <w:p w14:paraId="7D8B35E9" w14:textId="77777777" w:rsidR="004D0D30" w:rsidRDefault="004D0D30" w:rsidP="004D0D30">
      <w:pPr>
        <w:pStyle w:val="ListParagraph"/>
        <w:numPr>
          <w:ilvl w:val="0"/>
          <w:numId w:val="12"/>
        </w:numPr>
        <w:spacing w:line="360" w:lineRule="auto"/>
        <w:ind w:left="357" w:hanging="357"/>
        <w:rPr>
          <w:lang w:eastAsia="en-AU"/>
        </w:rPr>
      </w:pPr>
      <w:r>
        <w:rPr>
          <w:lang w:eastAsia="en-AU"/>
        </w:rPr>
        <w:t>Collect data through desktop research and consultations</w:t>
      </w:r>
    </w:p>
    <w:p w14:paraId="60A02A6C" w14:textId="77777777" w:rsidR="004D0D30" w:rsidRDefault="004D0D30" w:rsidP="004D0D30">
      <w:pPr>
        <w:pStyle w:val="ListParagraph"/>
        <w:numPr>
          <w:ilvl w:val="0"/>
          <w:numId w:val="12"/>
        </w:numPr>
        <w:spacing w:line="360" w:lineRule="auto"/>
        <w:ind w:left="357" w:hanging="357"/>
        <w:rPr>
          <w:lang w:eastAsia="en-AU"/>
        </w:rPr>
      </w:pPr>
      <w:r>
        <w:rPr>
          <w:lang w:eastAsia="en-AU"/>
        </w:rPr>
        <w:t>Assess efficiency and effectiveness against each TOR</w:t>
      </w:r>
    </w:p>
    <w:p w14:paraId="7B8857F5" w14:textId="77777777" w:rsidR="004D0D30" w:rsidRDefault="004D0D30" w:rsidP="004D0D30">
      <w:pPr>
        <w:pStyle w:val="ListParagraph"/>
        <w:numPr>
          <w:ilvl w:val="0"/>
          <w:numId w:val="12"/>
        </w:numPr>
        <w:spacing w:line="360" w:lineRule="auto"/>
        <w:ind w:left="357" w:hanging="357"/>
        <w:rPr>
          <w:lang w:eastAsia="en-AU"/>
        </w:rPr>
      </w:pPr>
      <w:r>
        <w:rPr>
          <w:lang w:eastAsia="en-AU"/>
        </w:rPr>
        <w:t>Develop individual NTRB-SP Performance Assessment Reports</w:t>
      </w:r>
    </w:p>
    <w:p w14:paraId="38A35355" w14:textId="77777777" w:rsidR="004D0D30" w:rsidRDefault="004D0D30" w:rsidP="004D0D30">
      <w:pPr>
        <w:pStyle w:val="ListParagraph"/>
        <w:numPr>
          <w:ilvl w:val="0"/>
          <w:numId w:val="12"/>
        </w:numPr>
        <w:spacing w:line="360" w:lineRule="auto"/>
        <w:ind w:left="357" w:hanging="357"/>
        <w:rPr>
          <w:lang w:eastAsia="en-AU"/>
        </w:rPr>
      </w:pPr>
      <w:r>
        <w:rPr>
          <w:lang w:eastAsia="en-AU"/>
        </w:rPr>
        <w:t>Review NTRB-SP feedback on Performance Assessment Report</w:t>
      </w:r>
    </w:p>
    <w:p w14:paraId="6CC0AB22" w14:textId="77777777" w:rsidR="004D0D30" w:rsidRDefault="004D0D30" w:rsidP="004D0D30">
      <w:pPr>
        <w:pStyle w:val="ListParagraph"/>
        <w:numPr>
          <w:ilvl w:val="0"/>
          <w:numId w:val="12"/>
        </w:numPr>
        <w:ind w:left="357" w:hanging="357"/>
        <w:rPr>
          <w:lang w:eastAsia="en-AU"/>
        </w:rPr>
      </w:pPr>
      <w:r>
        <w:rPr>
          <w:lang w:eastAsia="en-AU"/>
        </w:rPr>
        <w:t>Create NTRB-SP Comparative Performance Report</w:t>
      </w:r>
    </w:p>
    <w:p w14:paraId="36722D97" w14:textId="77777777" w:rsidR="004D0D30" w:rsidRDefault="004D0D30" w:rsidP="004D0D30">
      <w:pPr>
        <w:rPr>
          <w:lang w:eastAsia="en-AU"/>
        </w:rPr>
      </w:pPr>
      <w:r>
        <w:rPr>
          <w:lang w:eastAsia="en-AU"/>
        </w:rPr>
        <w:t xml:space="preserve">Qualitative and quantitative performance indicators and attribution factors were developed to assess each TOR. Attribution factors refer to factors outside the control of the NTRB-SP (external factors) that have a significant impact on the efficiency or effectiveness of their native title operations.  Quantitative indicators were integrated into the qualitative examination of performance to ensure the correct inferences were drawn from quantitative metrics. The quantitative performance indicators and attribution factors were selected from a draft list of more than 120 performance and attribution indicators on the basis that they provide good coverage of quantitative indicators for each TOR category. The qualitative performance indicators and attribution factors guided the qualitative data collection. </w:t>
      </w:r>
    </w:p>
    <w:p w14:paraId="554BC59B" w14:textId="77777777" w:rsidR="004D0D30" w:rsidRDefault="004D0D30" w:rsidP="004D0D30">
      <w:pPr>
        <w:rPr>
          <w:lang w:eastAsia="en-AU"/>
        </w:rPr>
      </w:pPr>
      <w:r>
        <w:rPr>
          <w:lang w:eastAsia="en-AU"/>
        </w:rPr>
        <w:t>While some qualitative indicators that were selected are capable of being quantified, they cannot be quantified in a meaningful way for comparative performance purposes. For example, while Indigenous land use agreements can be an effective tool in delivering native title outcomes there are circumstances in which they may not be the best tool.</w:t>
      </w:r>
    </w:p>
    <w:p w14:paraId="56E8BDA6" w14:textId="77777777" w:rsidR="004D0D30" w:rsidRDefault="004D0D30" w:rsidP="004D0D30">
      <w:pPr>
        <w:rPr>
          <w:lang w:eastAsia="en-AU"/>
        </w:rPr>
      </w:pPr>
      <w:r>
        <w:rPr>
          <w:lang w:eastAsia="en-AU"/>
        </w:rPr>
        <w:t>Complaints received by the NIAA and/or each NTRB-SP formed one part of the material considered in the Review where it concerned: NTRB-SP activity since 2014, the efficiency and effectiveness with which the NTRB-SP has conducted its business, or the transparency and respectfulness of the relationships the NTRB-SP maintained with its clients, potential clients or persons refused assistance. Both the relevant elements of the complaint, and the way in which the NTRB-SP responded were considered.</w:t>
      </w:r>
    </w:p>
    <w:p w14:paraId="39C06A30" w14:textId="77777777" w:rsidR="004D0D30" w:rsidRDefault="004D0D30" w:rsidP="004D0D30">
      <w:pPr>
        <w:rPr>
          <w:lang w:eastAsia="en-AU"/>
        </w:rPr>
      </w:pPr>
      <w:r>
        <w:rPr>
          <w:lang w:eastAsia="en-AU"/>
        </w:rPr>
        <w:t xml:space="preserve">The data and information underpinning the assessment of each NTRB-SPs’ performance was sourced through five channels; desktop research, preliminary discussions with the NTRB-SPs, two rounds of stakeholder interviews and a qualitative survey. These provided an opportunity for stakeholders to contribute to the development process at different points; with the intention being to generate buy-in and encourage the development of indicators which were applicable and meaningful across the contexts of different NTRB-SPs. </w:t>
      </w:r>
    </w:p>
    <w:p w14:paraId="1975637D" w14:textId="7BF607E4" w:rsidR="00EB3786" w:rsidRDefault="004D0D30" w:rsidP="00EB3786">
      <w:pPr>
        <w:rPr>
          <w:lang w:eastAsia="en-AU"/>
        </w:rPr>
      </w:pPr>
      <w:r>
        <w:rPr>
          <w:lang w:eastAsia="en-AU"/>
        </w:rPr>
        <w:t xml:space="preserve">The output from the process included individual NTRB-SP Performance Assessment Reports (‘Assessment Reports’) along with a separate NTRB-SP Comparative Performance Report (‘Comparative Report’). The Assessment Reports provided a standardised framework to understand the context and performance of each NTRB-SP; the Comparative Report brings together the findings of each Assessment Report by TOR and discusses the key drivers of performance. </w:t>
      </w:r>
      <w:bookmarkEnd w:id="148"/>
    </w:p>
    <w:p w14:paraId="5CAF79D0" w14:textId="36581F12" w:rsidR="008F4752" w:rsidRPr="00BB1AA6" w:rsidRDefault="00836DF7" w:rsidP="00BB1AA6">
      <w:pPr>
        <w:pStyle w:val="xAppendixLevel1"/>
      </w:pPr>
      <w:bookmarkStart w:id="149" w:name="_Toc503366789"/>
      <w:bookmarkStart w:id="150" w:name="_Toc505259165"/>
      <w:bookmarkStart w:id="151" w:name="_Toc505256232"/>
      <w:bookmarkStart w:id="152" w:name="_Toc505618275"/>
      <w:bookmarkStart w:id="153" w:name="_Hlk36460153"/>
      <w:r>
        <w:lastRenderedPageBreak/>
        <w:t xml:space="preserve">     </w:t>
      </w:r>
      <w:bookmarkStart w:id="154" w:name="_Toc68071601"/>
      <w:r w:rsidR="008F4752" w:rsidRPr="00BB1AA6">
        <w:t>Glossary</w:t>
      </w:r>
      <w:bookmarkEnd w:id="149"/>
      <w:bookmarkEnd w:id="150"/>
      <w:bookmarkEnd w:id="151"/>
      <w:bookmarkEnd w:id="152"/>
      <w:bookmarkEnd w:id="154"/>
    </w:p>
    <w:p w14:paraId="52E0FDD9" w14:textId="1F107772" w:rsidR="008F4752" w:rsidRPr="00BB1AA6" w:rsidRDefault="008F4752" w:rsidP="008F4752">
      <w:pPr>
        <w:rPr>
          <w:lang w:eastAsia="en-AU"/>
        </w:rPr>
      </w:pPr>
      <w:r w:rsidRPr="00BB1AA6">
        <w:t xml:space="preserve">Throughout this document, the following terms have the meaning prescribed in </w:t>
      </w:r>
      <w:r w:rsidRPr="00BB1AA6">
        <w:fldChar w:fldCharType="begin"/>
      </w:r>
      <w:r w:rsidRPr="00BB1AA6">
        <w:instrText xml:space="preserve"> REF _Ref504381411 \h  \* MERGEFORMAT </w:instrText>
      </w:r>
      <w:r w:rsidRPr="00BB1AA6">
        <w:fldChar w:fldCharType="separate"/>
      </w:r>
      <w:r w:rsidR="008E21A3" w:rsidRPr="00BB1AA6">
        <w:t xml:space="preserve">Table </w:t>
      </w:r>
      <w:r w:rsidR="008E21A3">
        <w:t>2</w:t>
      </w:r>
      <w:r w:rsidRPr="00BB1AA6">
        <w:fldChar w:fldCharType="end"/>
      </w:r>
      <w:r w:rsidRPr="00BB1AA6">
        <w:t>.</w:t>
      </w:r>
    </w:p>
    <w:p w14:paraId="1C774D25" w14:textId="1127857F" w:rsidR="008F4752" w:rsidRPr="00BB1AA6" w:rsidRDefault="008F4752" w:rsidP="008F4752">
      <w:pPr>
        <w:pStyle w:val="Caption"/>
        <w:keepNext/>
      </w:pPr>
      <w:bookmarkStart w:id="155" w:name="_Ref504381411"/>
      <w:r w:rsidRPr="00BB1AA6">
        <w:t xml:space="preserve">Table </w:t>
      </w:r>
      <w:r w:rsidR="00477925">
        <w:t>2</w:t>
      </w:r>
      <w:bookmarkEnd w:id="155"/>
      <w:r w:rsidRPr="00BB1AA6">
        <w:t xml:space="preserve"> | Glossary</w:t>
      </w:r>
    </w:p>
    <w:tbl>
      <w:tblPr>
        <w:tblStyle w:val="TableGrid"/>
        <w:tblW w:w="0" w:type="auto"/>
        <w:tblLook w:val="04A0" w:firstRow="1" w:lastRow="0" w:firstColumn="1" w:lastColumn="0" w:noHBand="0" w:noVBand="1"/>
      </w:tblPr>
      <w:tblGrid>
        <w:gridCol w:w="1645"/>
        <w:gridCol w:w="6804"/>
      </w:tblGrid>
      <w:tr w:rsidR="008F4752" w:rsidRPr="00BB1AA6" w14:paraId="2806E0C3" w14:textId="77777777" w:rsidTr="00A94C57">
        <w:trPr>
          <w:cnfStyle w:val="100000000000" w:firstRow="1" w:lastRow="0" w:firstColumn="0" w:lastColumn="0" w:oddVBand="0" w:evenVBand="0" w:oddHBand="0" w:evenHBand="0" w:firstRowFirstColumn="0" w:firstRowLastColumn="0" w:lastRowFirstColumn="0" w:lastRowLastColumn="0"/>
        </w:trPr>
        <w:tc>
          <w:tcPr>
            <w:tcW w:w="1645" w:type="dxa"/>
          </w:tcPr>
          <w:p w14:paraId="27D739B8" w14:textId="77777777" w:rsidR="008F4752" w:rsidRPr="00D44A5D" w:rsidRDefault="008F4752" w:rsidP="00A94C57">
            <w:pPr>
              <w:rPr>
                <w:rFonts w:ascii="Segoe UI Semibold" w:hAnsi="Segoe UI Semibold" w:cs="Segoe UI Semibold"/>
                <w:b w:val="0"/>
                <w:sz w:val="17"/>
                <w:szCs w:val="17"/>
                <w:lang w:eastAsia="en-AU"/>
              </w:rPr>
            </w:pPr>
            <w:r w:rsidRPr="00D44A5D">
              <w:rPr>
                <w:rFonts w:ascii="Segoe UI Semibold" w:hAnsi="Segoe UI Semibold" w:cs="Segoe UI Semibold"/>
                <w:b w:val="0"/>
                <w:sz w:val="17"/>
                <w:szCs w:val="17"/>
                <w:lang w:eastAsia="en-AU"/>
              </w:rPr>
              <w:t>Term</w:t>
            </w:r>
          </w:p>
        </w:tc>
        <w:tc>
          <w:tcPr>
            <w:tcW w:w="6804" w:type="dxa"/>
          </w:tcPr>
          <w:p w14:paraId="06CE00F1" w14:textId="77777777" w:rsidR="008F4752" w:rsidRPr="00D44A5D" w:rsidRDefault="008F4752" w:rsidP="00A94C57">
            <w:pPr>
              <w:rPr>
                <w:rFonts w:ascii="Segoe UI Semibold" w:hAnsi="Segoe UI Semibold" w:cs="Segoe UI Semibold"/>
                <w:b w:val="0"/>
                <w:sz w:val="17"/>
                <w:szCs w:val="17"/>
                <w:lang w:eastAsia="en-AU"/>
              </w:rPr>
            </w:pPr>
            <w:r w:rsidRPr="00D44A5D">
              <w:rPr>
                <w:rFonts w:ascii="Segoe UI Semibold" w:hAnsi="Segoe UI Semibold" w:cs="Segoe UI Semibold"/>
                <w:b w:val="0"/>
                <w:sz w:val="17"/>
                <w:szCs w:val="17"/>
                <w:lang w:eastAsia="en-AU"/>
              </w:rPr>
              <w:t>Meaning</w:t>
            </w:r>
          </w:p>
        </w:tc>
      </w:tr>
      <w:tr w:rsidR="008F4752" w:rsidRPr="00BB1AA6" w14:paraId="42FB9351" w14:textId="77777777" w:rsidTr="00A94C57">
        <w:tc>
          <w:tcPr>
            <w:tcW w:w="1645" w:type="dxa"/>
          </w:tcPr>
          <w:p w14:paraId="2AE9700F" w14:textId="77777777" w:rsidR="008F4752" w:rsidRPr="00D44A5D" w:rsidRDefault="008F4752" w:rsidP="00A94C57">
            <w:pPr>
              <w:rPr>
                <w:rFonts w:cs="Segoe UI"/>
                <w:color w:val="000000" w:themeColor="text1"/>
                <w:sz w:val="17"/>
                <w:szCs w:val="17"/>
                <w:lang w:eastAsia="en-AU"/>
              </w:rPr>
            </w:pPr>
            <w:r w:rsidRPr="00D44A5D">
              <w:rPr>
                <w:rFonts w:cs="Segoe UI"/>
                <w:color w:val="000000" w:themeColor="text1"/>
                <w:sz w:val="17"/>
                <w:szCs w:val="17"/>
                <w:lang w:eastAsia="en-AU"/>
              </w:rPr>
              <w:t>Applicant</w:t>
            </w:r>
          </w:p>
        </w:tc>
        <w:tc>
          <w:tcPr>
            <w:tcW w:w="6804" w:type="dxa"/>
          </w:tcPr>
          <w:p w14:paraId="587CB368" w14:textId="77777777" w:rsidR="008F4752" w:rsidRPr="00D44A5D" w:rsidRDefault="008F4752" w:rsidP="00A94C57">
            <w:pPr>
              <w:rPr>
                <w:rFonts w:cs="Segoe UI"/>
                <w:color w:val="000000" w:themeColor="text1"/>
                <w:sz w:val="17"/>
                <w:szCs w:val="17"/>
                <w:lang w:val="en-US"/>
              </w:rPr>
            </w:pPr>
            <w:r w:rsidRPr="00D44A5D">
              <w:rPr>
                <w:rFonts w:cs="Segoe UI"/>
                <w:color w:val="000000" w:themeColor="text1"/>
                <w:sz w:val="17"/>
                <w:szCs w:val="17"/>
                <w:lang w:val="en-US"/>
              </w:rPr>
              <w:t>Any person or persons who have been authorised as the selected representative(s) of a native title claim group in native title or determination proceedings.</w:t>
            </w:r>
          </w:p>
        </w:tc>
      </w:tr>
      <w:tr w:rsidR="008F4752" w:rsidRPr="00BB1AA6" w14:paraId="41FBC25E" w14:textId="77777777" w:rsidTr="00A94C57">
        <w:tc>
          <w:tcPr>
            <w:tcW w:w="1645" w:type="dxa"/>
          </w:tcPr>
          <w:p w14:paraId="484F71E7" w14:textId="77777777" w:rsidR="008F4752" w:rsidRPr="00D44A5D" w:rsidRDefault="008F4752" w:rsidP="00A94C57">
            <w:pPr>
              <w:rPr>
                <w:rFonts w:cs="Segoe UI"/>
                <w:color w:val="000000" w:themeColor="text1"/>
                <w:sz w:val="17"/>
                <w:szCs w:val="17"/>
                <w:lang w:eastAsia="en-AU"/>
              </w:rPr>
            </w:pPr>
            <w:r w:rsidRPr="00D44A5D">
              <w:rPr>
                <w:rFonts w:cs="Segoe UI"/>
                <w:color w:val="000000" w:themeColor="text1"/>
                <w:sz w:val="17"/>
                <w:szCs w:val="17"/>
                <w:lang w:eastAsia="en-AU"/>
              </w:rPr>
              <w:t>Client</w:t>
            </w:r>
          </w:p>
        </w:tc>
        <w:tc>
          <w:tcPr>
            <w:tcW w:w="6804" w:type="dxa"/>
          </w:tcPr>
          <w:p w14:paraId="2AD17ED7" w14:textId="77777777" w:rsidR="008F4752" w:rsidRPr="00D44A5D" w:rsidRDefault="008F4752" w:rsidP="00A94C57">
            <w:pPr>
              <w:rPr>
                <w:rFonts w:cs="Segoe UI"/>
                <w:color w:val="000000" w:themeColor="text1"/>
                <w:sz w:val="17"/>
                <w:szCs w:val="17"/>
                <w:lang w:eastAsia="en-AU"/>
              </w:rPr>
            </w:pPr>
            <w:r w:rsidRPr="00D44A5D">
              <w:rPr>
                <w:rFonts w:cs="Segoe UI"/>
                <w:color w:val="000000" w:themeColor="text1"/>
                <w:sz w:val="17"/>
                <w:szCs w:val="17"/>
                <w:lang w:eastAsia="en-AU"/>
              </w:rPr>
              <w:t>Any individual or group being provided assistance by an NTRB-SP (including assistance with claims, research and/or PBC support).</w:t>
            </w:r>
          </w:p>
        </w:tc>
      </w:tr>
      <w:tr w:rsidR="008F4752" w:rsidRPr="00BB1AA6" w14:paraId="7F694900" w14:textId="77777777" w:rsidTr="00A94C57">
        <w:tc>
          <w:tcPr>
            <w:tcW w:w="1645" w:type="dxa"/>
          </w:tcPr>
          <w:p w14:paraId="725C55D4" w14:textId="77777777" w:rsidR="008F4752" w:rsidRPr="00D44A5D" w:rsidRDefault="008F4752" w:rsidP="00A94C57">
            <w:pPr>
              <w:rPr>
                <w:rFonts w:cs="Segoe UI"/>
                <w:color w:val="000000" w:themeColor="text1"/>
                <w:sz w:val="17"/>
                <w:szCs w:val="17"/>
                <w:lang w:eastAsia="en-AU"/>
              </w:rPr>
            </w:pPr>
            <w:r w:rsidRPr="00D44A5D">
              <w:rPr>
                <w:rFonts w:cs="Segoe UI"/>
                <w:color w:val="000000" w:themeColor="text1"/>
                <w:sz w:val="17"/>
                <w:szCs w:val="17"/>
                <w:lang w:eastAsia="en-AU"/>
              </w:rPr>
              <w:t>Connection evidence</w:t>
            </w:r>
          </w:p>
        </w:tc>
        <w:tc>
          <w:tcPr>
            <w:tcW w:w="6804" w:type="dxa"/>
          </w:tcPr>
          <w:p w14:paraId="5B55A35F" w14:textId="77777777" w:rsidR="008F4752" w:rsidRPr="00D44A5D" w:rsidRDefault="008F4752" w:rsidP="00A94C57">
            <w:pPr>
              <w:rPr>
                <w:rFonts w:cs="Segoe UI"/>
                <w:color w:val="000000" w:themeColor="text1"/>
                <w:sz w:val="17"/>
                <w:szCs w:val="17"/>
                <w:lang w:val="en-US"/>
              </w:rPr>
            </w:pPr>
            <w:r w:rsidRPr="00D44A5D">
              <w:rPr>
                <w:rFonts w:cs="Segoe UI"/>
                <w:color w:val="000000" w:themeColor="text1"/>
                <w:sz w:val="17"/>
                <w:szCs w:val="17"/>
                <w:lang w:val="en-US"/>
              </w:rPr>
              <w:t>Evidence to establish connection of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8F4752" w:rsidRPr="00BB1AA6" w14:paraId="518DE299" w14:textId="77777777" w:rsidTr="00A94C57">
        <w:tc>
          <w:tcPr>
            <w:tcW w:w="1645" w:type="dxa"/>
          </w:tcPr>
          <w:p w14:paraId="05228EDF" w14:textId="77777777" w:rsidR="008F4752" w:rsidRPr="00D44A5D" w:rsidRDefault="008F4752" w:rsidP="00A94C57">
            <w:pPr>
              <w:rPr>
                <w:rFonts w:cs="Segoe UI"/>
                <w:color w:val="000000" w:themeColor="text1"/>
                <w:sz w:val="17"/>
                <w:szCs w:val="17"/>
                <w:lang w:eastAsia="en-AU"/>
              </w:rPr>
            </w:pPr>
            <w:r w:rsidRPr="00D44A5D">
              <w:rPr>
                <w:rFonts w:cs="Segoe UI"/>
                <w:i/>
                <w:color w:val="000000" w:themeColor="text1"/>
                <w:sz w:val="17"/>
                <w:szCs w:val="17"/>
                <w:lang w:val="en-US"/>
              </w:rPr>
              <w:t xml:space="preserve">Corporations (Aboriginal and Torres Strait Islander) Act 2006 </w:t>
            </w:r>
            <w:r w:rsidRPr="00D44A5D">
              <w:rPr>
                <w:rFonts w:cs="Segoe UI"/>
                <w:color w:val="000000" w:themeColor="text1"/>
                <w:sz w:val="17"/>
                <w:szCs w:val="17"/>
                <w:lang w:val="en-US"/>
              </w:rPr>
              <w:t xml:space="preserve">(Cth) (the </w:t>
            </w:r>
            <w:r w:rsidRPr="00D44A5D">
              <w:rPr>
                <w:rFonts w:cs="Segoe UI"/>
                <w:i/>
                <w:color w:val="000000" w:themeColor="text1"/>
                <w:sz w:val="17"/>
                <w:szCs w:val="17"/>
                <w:lang w:val="en-US"/>
              </w:rPr>
              <w:t>CATSI Act</w:t>
            </w:r>
            <w:r w:rsidRPr="00D44A5D">
              <w:rPr>
                <w:rFonts w:cs="Segoe UI"/>
                <w:color w:val="000000" w:themeColor="text1"/>
                <w:sz w:val="17"/>
                <w:szCs w:val="17"/>
                <w:lang w:val="en-US"/>
              </w:rPr>
              <w:t>)</w:t>
            </w:r>
          </w:p>
        </w:tc>
        <w:tc>
          <w:tcPr>
            <w:tcW w:w="6804" w:type="dxa"/>
          </w:tcPr>
          <w:p w14:paraId="19CFBCE2" w14:textId="77777777" w:rsidR="008F4752" w:rsidRPr="00D44A5D" w:rsidRDefault="008F4752" w:rsidP="00A94C57">
            <w:pPr>
              <w:rPr>
                <w:rFonts w:cs="Segoe UI"/>
                <w:color w:val="000000" w:themeColor="text1"/>
                <w:sz w:val="17"/>
                <w:szCs w:val="17"/>
                <w:lang w:val="en-US"/>
              </w:rPr>
            </w:pPr>
            <w:r w:rsidRPr="00D44A5D">
              <w:rPr>
                <w:rFonts w:cs="Segoe UI"/>
                <w:color w:val="000000" w:themeColor="text1"/>
                <w:sz w:val="17"/>
                <w:szCs w:val="17"/>
                <w:lang w:val="en-US"/>
              </w:rPr>
              <w:t xml:space="preserve">The </w:t>
            </w:r>
            <w:r w:rsidRPr="00D44A5D">
              <w:rPr>
                <w:rFonts w:cs="Segoe UI"/>
                <w:i/>
                <w:color w:val="000000" w:themeColor="text1"/>
                <w:sz w:val="17"/>
                <w:szCs w:val="17"/>
                <w:lang w:val="en-US"/>
              </w:rPr>
              <w:t xml:space="preserve">Corporations (Aboriginal and Torres Strait Islander) Act 2006 </w:t>
            </w:r>
            <w:r w:rsidRPr="00D44A5D">
              <w:rPr>
                <w:rFonts w:cs="Segoe UI"/>
                <w:color w:val="000000" w:themeColor="text1"/>
                <w:sz w:val="17"/>
                <w:szCs w:val="17"/>
                <w:lang w:val="en-US"/>
              </w:rPr>
              <w:t>(Cth) is the law that establishes the role of the Registrar of Indigenous Corporations and enables Aboriginal and Torres Strait Islander groups to form Aboriginal and Torres Strait Islander corporations.</w:t>
            </w:r>
          </w:p>
        </w:tc>
      </w:tr>
      <w:tr w:rsidR="008F4752" w:rsidRPr="00BB1AA6" w14:paraId="31032D14" w14:textId="77777777" w:rsidTr="00A94C57">
        <w:tc>
          <w:tcPr>
            <w:tcW w:w="1645" w:type="dxa"/>
          </w:tcPr>
          <w:p w14:paraId="4B3ADFC6" w14:textId="77777777" w:rsidR="008F4752" w:rsidRPr="00D44A5D" w:rsidRDefault="008F4752" w:rsidP="00A94C57">
            <w:pPr>
              <w:rPr>
                <w:rFonts w:cs="Segoe UI"/>
                <w:color w:val="000000" w:themeColor="text1"/>
                <w:sz w:val="17"/>
                <w:szCs w:val="17"/>
                <w:lang w:eastAsia="en-AU"/>
              </w:rPr>
            </w:pPr>
            <w:r w:rsidRPr="00D44A5D">
              <w:rPr>
                <w:rFonts w:cs="Segoe UI"/>
                <w:color w:val="000000" w:themeColor="text1"/>
                <w:sz w:val="17"/>
                <w:szCs w:val="17"/>
                <w:lang w:eastAsia="en-AU"/>
              </w:rPr>
              <w:t>Determination</w:t>
            </w:r>
          </w:p>
        </w:tc>
        <w:tc>
          <w:tcPr>
            <w:tcW w:w="6804" w:type="dxa"/>
          </w:tcPr>
          <w:p w14:paraId="2CA780C1" w14:textId="77777777" w:rsidR="008F4752" w:rsidRPr="00D44A5D" w:rsidRDefault="008F4752" w:rsidP="00A94C57">
            <w:pPr>
              <w:rPr>
                <w:rFonts w:cs="Segoe UI"/>
                <w:color w:val="000000" w:themeColor="text1"/>
                <w:sz w:val="17"/>
                <w:szCs w:val="17"/>
                <w:lang w:val="en-US"/>
              </w:rPr>
            </w:pPr>
            <w:r w:rsidRPr="00D44A5D">
              <w:rPr>
                <w:rFonts w:cs="Segoe UI"/>
                <w:color w:val="000000" w:themeColor="text1"/>
                <w:sz w:val="17"/>
                <w:szCs w:val="17"/>
                <w:lang w:val="en-US"/>
              </w:rPr>
              <w:t>A decision by the Federal or High Court of Australia. A determination is made either when parties have reached an agreement after mediation (consent determination) or following a trial process (litigated determination).</w:t>
            </w:r>
          </w:p>
        </w:tc>
      </w:tr>
      <w:tr w:rsidR="008F4752" w:rsidRPr="00BB1AA6" w14:paraId="2B08360D" w14:textId="77777777" w:rsidTr="00A94C57">
        <w:tc>
          <w:tcPr>
            <w:tcW w:w="1645" w:type="dxa"/>
          </w:tcPr>
          <w:p w14:paraId="61E51E3F" w14:textId="77777777" w:rsidR="008F4752" w:rsidRPr="00D44A5D" w:rsidRDefault="008F4752" w:rsidP="00A94C57">
            <w:pPr>
              <w:rPr>
                <w:rFonts w:cs="Segoe UI"/>
                <w:color w:val="000000" w:themeColor="text1"/>
                <w:sz w:val="17"/>
                <w:szCs w:val="17"/>
                <w:lang w:eastAsia="en-AU"/>
              </w:rPr>
            </w:pPr>
            <w:r w:rsidRPr="00D44A5D">
              <w:rPr>
                <w:rFonts w:cs="Segoe UI"/>
                <w:color w:val="000000" w:themeColor="text1"/>
                <w:sz w:val="17"/>
                <w:szCs w:val="17"/>
                <w:lang w:eastAsia="en-AU"/>
              </w:rPr>
              <w:t>Extinguishment</w:t>
            </w:r>
          </w:p>
        </w:tc>
        <w:tc>
          <w:tcPr>
            <w:tcW w:w="6804" w:type="dxa"/>
          </w:tcPr>
          <w:p w14:paraId="2DC649C1" w14:textId="77777777" w:rsidR="008F4752" w:rsidRPr="00D44A5D" w:rsidRDefault="008F4752" w:rsidP="00A94C57">
            <w:pPr>
              <w:rPr>
                <w:rFonts w:cs="Segoe UI"/>
                <w:color w:val="000000" w:themeColor="text1"/>
                <w:sz w:val="17"/>
                <w:szCs w:val="17"/>
                <w:lang w:val="en-US"/>
              </w:rPr>
            </w:pPr>
            <w:r w:rsidRPr="00D44A5D">
              <w:rPr>
                <w:rFonts w:cs="Segoe UI"/>
                <w:color w:val="000000" w:themeColor="text1"/>
                <w:sz w:val="17"/>
                <w:szCs w:val="17"/>
                <w:lang w:val="en-US"/>
              </w:rPr>
              <w:t>Occurs over a defined area when Australian law does not recognise the existence of native title rights and interests because of legislation or common law precedent. Extinguishment can be whole or partial.</w:t>
            </w:r>
          </w:p>
        </w:tc>
      </w:tr>
      <w:tr w:rsidR="008F4752" w:rsidRPr="00BB1AA6" w14:paraId="46D5E9F2" w14:textId="77777777" w:rsidTr="00A94C57">
        <w:tc>
          <w:tcPr>
            <w:tcW w:w="1645" w:type="dxa"/>
          </w:tcPr>
          <w:p w14:paraId="750E4864" w14:textId="77777777" w:rsidR="008F4752" w:rsidRPr="00D44A5D" w:rsidRDefault="008F4752" w:rsidP="00A94C57">
            <w:pPr>
              <w:rPr>
                <w:rFonts w:cs="Segoe UI"/>
                <w:color w:val="000000" w:themeColor="text1"/>
                <w:sz w:val="17"/>
                <w:szCs w:val="17"/>
                <w:lang w:eastAsia="en-AU"/>
              </w:rPr>
            </w:pPr>
            <w:r w:rsidRPr="00D44A5D">
              <w:rPr>
                <w:rFonts w:cs="Segoe UI"/>
                <w:color w:val="000000" w:themeColor="text1"/>
                <w:sz w:val="17"/>
                <w:szCs w:val="17"/>
                <w:lang w:eastAsia="en-AU"/>
              </w:rPr>
              <w:t>Future act</w:t>
            </w:r>
          </w:p>
        </w:tc>
        <w:tc>
          <w:tcPr>
            <w:tcW w:w="6804" w:type="dxa"/>
          </w:tcPr>
          <w:p w14:paraId="3FFC22F5" w14:textId="77777777" w:rsidR="008F4752" w:rsidRPr="00D44A5D" w:rsidRDefault="008F4752" w:rsidP="00A94C57">
            <w:pPr>
              <w:pStyle w:val="Default"/>
              <w:rPr>
                <w:rFonts w:ascii="Segoe UI" w:hAnsi="Segoe UI" w:cs="Segoe UI"/>
                <w:color w:val="000000" w:themeColor="text1"/>
                <w:sz w:val="17"/>
                <w:szCs w:val="17"/>
              </w:rPr>
            </w:pPr>
            <w:r w:rsidRPr="00D44A5D">
              <w:rPr>
                <w:rFonts w:ascii="Segoe UI" w:hAnsi="Segoe UI" w:cs="Segoe UI"/>
                <w:color w:val="000000" w:themeColor="text1"/>
                <w:sz w:val="17"/>
                <w:szCs w:val="17"/>
              </w:rPr>
              <w:t>A legislative or non-legislative act in relation to land or waters that may impact on the ability of native title holders to exercise native title rights; either through extinguishment or creating interests that are wholly or partly inconsistent with the continued existence of native title.</w:t>
            </w:r>
          </w:p>
        </w:tc>
      </w:tr>
      <w:tr w:rsidR="008F4752" w:rsidRPr="00BB1AA6" w14:paraId="6047CF62" w14:textId="77777777" w:rsidTr="00A94C57">
        <w:tc>
          <w:tcPr>
            <w:tcW w:w="1645" w:type="dxa"/>
          </w:tcPr>
          <w:p w14:paraId="177CB3B2" w14:textId="77777777" w:rsidR="008F4752" w:rsidRPr="00D44A5D" w:rsidRDefault="008F4752" w:rsidP="00A94C57">
            <w:pPr>
              <w:rPr>
                <w:rFonts w:cs="Segoe UI"/>
                <w:color w:val="000000" w:themeColor="text1"/>
                <w:sz w:val="17"/>
                <w:szCs w:val="17"/>
                <w:lang w:eastAsia="en-AU"/>
              </w:rPr>
            </w:pPr>
            <w:r w:rsidRPr="00D44A5D">
              <w:rPr>
                <w:rFonts w:cs="Segoe UI"/>
                <w:color w:val="000000" w:themeColor="text1"/>
                <w:sz w:val="17"/>
                <w:szCs w:val="17"/>
                <w:lang w:eastAsia="en-AU"/>
              </w:rPr>
              <w:t>Indigenous Land Use Agreement (ILUA)</w:t>
            </w:r>
          </w:p>
        </w:tc>
        <w:tc>
          <w:tcPr>
            <w:tcW w:w="6804" w:type="dxa"/>
          </w:tcPr>
          <w:p w14:paraId="260671C8" w14:textId="77777777" w:rsidR="008F4752" w:rsidRPr="00D44A5D" w:rsidRDefault="008F4752" w:rsidP="00A94C57">
            <w:pPr>
              <w:rPr>
                <w:rFonts w:cs="Segoe UI"/>
                <w:color w:val="000000" w:themeColor="text1"/>
                <w:sz w:val="17"/>
                <w:szCs w:val="17"/>
                <w:lang w:eastAsia="en-AU"/>
              </w:rPr>
            </w:pPr>
            <w:r w:rsidRPr="00D44A5D">
              <w:rPr>
                <w:rFonts w:cs="Segoe UI"/>
                <w:color w:val="000000" w:themeColor="text1"/>
                <w:sz w:val="17"/>
                <w:szCs w:val="17"/>
                <w:lang w:eastAsia="en-AU"/>
              </w:rPr>
              <w:t>A voluntary, legally binding agreement governing the use and management of land or waters over which native title exists or might exists. The conditions of each ILUA are determined by way of negotiations between native title holders and other interest holders (such as a state or mining company). These negotiations are often facilitated by NTRB-SPs.</w:t>
            </w:r>
          </w:p>
        </w:tc>
      </w:tr>
      <w:tr w:rsidR="00B545BC" w:rsidRPr="00BB1AA6" w14:paraId="1504C945" w14:textId="77777777" w:rsidTr="00A94C57">
        <w:tc>
          <w:tcPr>
            <w:tcW w:w="1645" w:type="dxa"/>
          </w:tcPr>
          <w:p w14:paraId="371F6BF2" w14:textId="7270F0FE" w:rsidR="00B545BC" w:rsidRPr="00D44A5D" w:rsidRDefault="00B545BC" w:rsidP="00B545BC">
            <w:pPr>
              <w:rPr>
                <w:rFonts w:cs="Segoe UI"/>
                <w:color w:val="000000" w:themeColor="text1"/>
                <w:sz w:val="17"/>
                <w:szCs w:val="17"/>
                <w:lang w:eastAsia="en-AU"/>
              </w:rPr>
            </w:pPr>
            <w:r w:rsidRPr="00D44A5D">
              <w:rPr>
                <w:rFonts w:cs="Segoe UI"/>
                <w:i/>
                <w:sz w:val="17"/>
                <w:szCs w:val="17"/>
              </w:rPr>
              <w:t>Mining Act 1978 (WA)</w:t>
            </w:r>
          </w:p>
        </w:tc>
        <w:tc>
          <w:tcPr>
            <w:tcW w:w="6804" w:type="dxa"/>
          </w:tcPr>
          <w:p w14:paraId="4B7CFD0D" w14:textId="71DA3BC1" w:rsidR="00B545BC" w:rsidRPr="00D44A5D" w:rsidRDefault="00B545BC" w:rsidP="00B545BC">
            <w:pPr>
              <w:rPr>
                <w:rFonts w:cs="Segoe UI"/>
                <w:color w:val="000000" w:themeColor="text1"/>
                <w:sz w:val="17"/>
                <w:szCs w:val="17"/>
                <w:lang w:eastAsia="en-AU"/>
              </w:rPr>
            </w:pPr>
            <w:r w:rsidRPr="00D44A5D">
              <w:rPr>
                <w:rFonts w:cs="Segoe UI"/>
                <w:color w:val="000000" w:themeColor="text1"/>
                <w:sz w:val="17"/>
                <w:szCs w:val="17"/>
                <w:lang w:eastAsia="en-AU"/>
              </w:rPr>
              <w:t xml:space="preserve">The </w:t>
            </w:r>
            <w:r w:rsidRPr="00D44A5D">
              <w:rPr>
                <w:rFonts w:cs="Segoe UI"/>
                <w:i/>
                <w:sz w:val="17"/>
                <w:szCs w:val="17"/>
              </w:rPr>
              <w:t xml:space="preserve">Mining Act 1978 </w:t>
            </w:r>
            <w:r w:rsidRPr="00D44A5D">
              <w:rPr>
                <w:rFonts w:cs="Segoe UI"/>
                <w:sz w:val="17"/>
                <w:szCs w:val="17"/>
              </w:rPr>
              <w:t>(WA)</w:t>
            </w:r>
            <w:r w:rsidRPr="00D44A5D">
              <w:rPr>
                <w:rFonts w:cs="Segoe UI"/>
                <w:i/>
                <w:sz w:val="17"/>
                <w:szCs w:val="17"/>
              </w:rPr>
              <w:t xml:space="preserve"> </w:t>
            </w:r>
            <w:r w:rsidRPr="00D44A5D">
              <w:rPr>
                <w:rFonts w:cs="Segoe UI"/>
                <w:sz w:val="17"/>
                <w:szCs w:val="17"/>
              </w:rPr>
              <w:t>outlines WA’s law as it relates to mining, and for incidental and other purposes.</w:t>
            </w:r>
          </w:p>
        </w:tc>
      </w:tr>
      <w:tr w:rsidR="00B545BC" w:rsidRPr="00BB1AA6" w14:paraId="7A23795A" w14:textId="77777777" w:rsidTr="00A94C57">
        <w:tc>
          <w:tcPr>
            <w:tcW w:w="1645" w:type="dxa"/>
          </w:tcPr>
          <w:p w14:paraId="3DEBD89D" w14:textId="77777777" w:rsidR="00B545BC" w:rsidRPr="00D44A5D" w:rsidRDefault="00B545BC" w:rsidP="00B545BC">
            <w:pPr>
              <w:rPr>
                <w:rFonts w:cs="Segoe UI"/>
                <w:color w:val="000000" w:themeColor="text1"/>
                <w:sz w:val="17"/>
                <w:szCs w:val="17"/>
                <w:lang w:eastAsia="en-AU"/>
              </w:rPr>
            </w:pPr>
            <w:r w:rsidRPr="00D44A5D">
              <w:rPr>
                <w:rFonts w:cs="Segoe UI"/>
                <w:color w:val="000000" w:themeColor="text1"/>
                <w:sz w:val="17"/>
                <w:szCs w:val="17"/>
                <w:lang w:eastAsia="en-AU"/>
              </w:rPr>
              <w:t>National Native Title Tribunal (NNTT)</w:t>
            </w:r>
          </w:p>
        </w:tc>
        <w:tc>
          <w:tcPr>
            <w:tcW w:w="6804" w:type="dxa"/>
          </w:tcPr>
          <w:p w14:paraId="1BE1DC19" w14:textId="77777777" w:rsidR="00B545BC" w:rsidRPr="00D44A5D" w:rsidRDefault="00B545BC" w:rsidP="00B545BC">
            <w:pPr>
              <w:rPr>
                <w:rFonts w:cs="Segoe UI"/>
                <w:color w:val="000000" w:themeColor="text1"/>
                <w:sz w:val="17"/>
                <w:szCs w:val="17"/>
                <w:lang w:val="en-US"/>
              </w:rPr>
            </w:pPr>
            <w:r w:rsidRPr="00D44A5D">
              <w:rPr>
                <w:rFonts w:cs="Segoe UI"/>
                <w:color w:val="000000" w:themeColor="text1"/>
                <w:sz w:val="17"/>
                <w:szCs w:val="17"/>
                <w:lang w:val="en-US"/>
              </w:rPr>
              <w:t xml:space="preserve">An independent statutory body established under s 107 of the </w:t>
            </w:r>
            <w:r w:rsidRPr="002A6491">
              <w:rPr>
                <w:rStyle w:val="Emphasis"/>
                <w:rFonts w:cs="Segoe UI"/>
                <w:i w:val="0"/>
                <w:iCs w:val="0"/>
                <w:color w:val="000000" w:themeColor="text1"/>
                <w:sz w:val="17"/>
                <w:szCs w:val="17"/>
                <w:lang w:val="en-US"/>
              </w:rPr>
              <w:t>NTA</w:t>
            </w:r>
            <w:r w:rsidRPr="00D44A5D">
              <w:rPr>
                <w:rStyle w:val="Emphasis"/>
                <w:rFonts w:cs="Segoe UI"/>
                <w:color w:val="000000" w:themeColor="text1"/>
                <w:sz w:val="17"/>
                <w:szCs w:val="17"/>
                <w:lang w:val="en-US"/>
              </w:rPr>
              <w:t xml:space="preserve"> </w:t>
            </w:r>
            <w:r w:rsidRPr="00D44A5D">
              <w:rPr>
                <w:rFonts w:cs="Segoe UI"/>
                <w:color w:val="000000" w:themeColor="text1"/>
                <w:sz w:val="17"/>
                <w:szCs w:val="17"/>
                <w:lang w:val="en-US"/>
              </w:rPr>
              <w:t>to assist people in resolving native title issues by:</w:t>
            </w:r>
          </w:p>
          <w:p w14:paraId="42C5757C" w14:textId="77777777" w:rsidR="00B545BC" w:rsidRPr="00D44A5D" w:rsidRDefault="00B545BC" w:rsidP="006E61CD">
            <w:pPr>
              <w:pStyle w:val="ListParagraph"/>
              <w:numPr>
                <w:ilvl w:val="0"/>
                <w:numId w:val="10"/>
              </w:numPr>
              <w:rPr>
                <w:rFonts w:cs="Segoe UI"/>
                <w:color w:val="000000" w:themeColor="text1"/>
                <w:sz w:val="17"/>
                <w:szCs w:val="17"/>
                <w:lang w:val="en-US"/>
              </w:rPr>
            </w:pPr>
            <w:r w:rsidRPr="00D44A5D">
              <w:rPr>
                <w:rFonts w:cs="Segoe UI"/>
                <w:color w:val="000000" w:themeColor="text1"/>
                <w:sz w:val="17"/>
                <w:szCs w:val="17"/>
                <w:lang w:val="en-US"/>
              </w:rPr>
              <w:t>mediating between the parties to native title applications at the direction of the Federal Court</w:t>
            </w:r>
          </w:p>
          <w:p w14:paraId="2C38FE0D" w14:textId="77777777" w:rsidR="00B545BC" w:rsidRPr="00D44A5D" w:rsidRDefault="00B545BC" w:rsidP="006E61CD">
            <w:pPr>
              <w:pStyle w:val="ListParagraph"/>
              <w:numPr>
                <w:ilvl w:val="0"/>
                <w:numId w:val="10"/>
              </w:numPr>
              <w:rPr>
                <w:rFonts w:cs="Segoe UI"/>
                <w:color w:val="000000" w:themeColor="text1"/>
                <w:sz w:val="17"/>
                <w:szCs w:val="17"/>
                <w:lang w:val="en-US"/>
              </w:rPr>
            </w:pPr>
            <w:r w:rsidRPr="00D44A5D">
              <w:rPr>
                <w:rFonts w:cs="Segoe UI"/>
                <w:color w:val="000000" w:themeColor="text1"/>
                <w:sz w:val="17"/>
                <w:szCs w:val="17"/>
                <w:lang w:val="en-US"/>
              </w:rPr>
              <w:t>acting as an arbitrator in situations where the people cannot reach agreement about certain future acts</w:t>
            </w:r>
          </w:p>
          <w:p w14:paraId="2176F0B2" w14:textId="77777777" w:rsidR="00B545BC" w:rsidRPr="00D44A5D" w:rsidRDefault="00B545BC" w:rsidP="006E61CD">
            <w:pPr>
              <w:pStyle w:val="ListParagraph"/>
              <w:numPr>
                <w:ilvl w:val="0"/>
                <w:numId w:val="10"/>
              </w:numPr>
              <w:rPr>
                <w:rFonts w:cs="Segoe UI"/>
                <w:color w:val="000000" w:themeColor="text1"/>
                <w:sz w:val="17"/>
                <w:szCs w:val="17"/>
                <w:lang w:val="en-US"/>
              </w:rPr>
            </w:pPr>
            <w:r w:rsidRPr="00D44A5D">
              <w:rPr>
                <w:rFonts w:cs="Segoe UI"/>
                <w:color w:val="000000" w:themeColor="text1"/>
                <w:sz w:val="17"/>
                <w:szCs w:val="17"/>
                <w:lang w:val="en-US"/>
              </w:rPr>
              <w:t>helping people to negotiate ILUAs</w:t>
            </w:r>
          </w:p>
          <w:p w14:paraId="6AFCAA70" w14:textId="2FADD795" w:rsidR="00B545BC" w:rsidRPr="00D44A5D" w:rsidRDefault="00B545BC" w:rsidP="00B545BC">
            <w:pPr>
              <w:rPr>
                <w:rFonts w:cs="Segoe UI"/>
                <w:color w:val="000000" w:themeColor="text1"/>
                <w:sz w:val="17"/>
                <w:szCs w:val="17"/>
                <w:lang w:val="en-US"/>
              </w:rPr>
            </w:pPr>
            <w:r w:rsidRPr="00D44A5D">
              <w:rPr>
                <w:rFonts w:cs="Segoe UI"/>
                <w:color w:val="000000" w:themeColor="text1"/>
                <w:sz w:val="17"/>
                <w:szCs w:val="17"/>
                <w:lang w:val="en-US"/>
              </w:rPr>
              <w:lastRenderedPageBreak/>
              <w:t xml:space="preserve">The NNTT maintains three registers relating to native title applications, determinations and ILUAs. It also maintains databases regarding future act matters and geospatial tools.   </w:t>
            </w:r>
          </w:p>
        </w:tc>
      </w:tr>
      <w:tr w:rsidR="00B545BC" w:rsidRPr="00BB1AA6" w14:paraId="11D50C5F" w14:textId="77777777" w:rsidTr="00A94C57">
        <w:tc>
          <w:tcPr>
            <w:tcW w:w="1645" w:type="dxa"/>
          </w:tcPr>
          <w:p w14:paraId="3DF37CD6" w14:textId="77777777" w:rsidR="00B545BC" w:rsidRPr="00D44A5D" w:rsidRDefault="00B545BC" w:rsidP="00B545BC">
            <w:pPr>
              <w:rPr>
                <w:rFonts w:cs="Segoe UI"/>
                <w:color w:val="000000" w:themeColor="text1"/>
                <w:sz w:val="17"/>
                <w:szCs w:val="17"/>
                <w:lang w:eastAsia="en-AU"/>
              </w:rPr>
            </w:pPr>
            <w:r w:rsidRPr="00D44A5D">
              <w:rPr>
                <w:rFonts w:cs="Segoe UI"/>
                <w:color w:val="000000" w:themeColor="text1"/>
                <w:sz w:val="17"/>
                <w:szCs w:val="17"/>
                <w:lang w:eastAsia="en-AU"/>
              </w:rPr>
              <w:lastRenderedPageBreak/>
              <w:t>Native title</w:t>
            </w:r>
          </w:p>
        </w:tc>
        <w:tc>
          <w:tcPr>
            <w:tcW w:w="6804" w:type="dxa"/>
          </w:tcPr>
          <w:p w14:paraId="4109036C" w14:textId="77777777" w:rsidR="00B545BC" w:rsidRPr="00D44A5D" w:rsidRDefault="00B545BC" w:rsidP="00B545BC">
            <w:pPr>
              <w:rPr>
                <w:rFonts w:cs="Segoe UI"/>
                <w:color w:val="000000" w:themeColor="text1"/>
                <w:sz w:val="17"/>
                <w:szCs w:val="17"/>
                <w:lang w:val="en-US"/>
              </w:rPr>
            </w:pPr>
            <w:r w:rsidRPr="00D44A5D">
              <w:rPr>
                <w:rFonts w:cs="Segoe UI"/>
                <w:color w:val="000000" w:themeColor="text1"/>
                <w:sz w:val="17"/>
                <w:szCs w:val="17"/>
                <w:lang w:val="en-US"/>
              </w:rPr>
              <w:t xml:space="preserve">The communal, group or individual rights and interests of Aboriginal peoples and Torres Strait Islanders in relation to land and waters, possessed under traditional law and custom, by which those people have a connection with an area which is recognised under Australian law (s 223 </w:t>
            </w:r>
            <w:r w:rsidRPr="002A6491">
              <w:rPr>
                <w:rFonts w:cs="Segoe UI"/>
                <w:iCs/>
                <w:color w:val="000000" w:themeColor="text1"/>
                <w:sz w:val="17"/>
                <w:szCs w:val="17"/>
                <w:lang w:val="en-US"/>
              </w:rPr>
              <w:t>NTA</w:t>
            </w:r>
            <w:r w:rsidRPr="00D44A5D">
              <w:rPr>
                <w:rFonts w:cs="Segoe UI"/>
                <w:color w:val="000000" w:themeColor="text1"/>
                <w:sz w:val="17"/>
                <w:szCs w:val="17"/>
                <w:lang w:val="en-US"/>
              </w:rPr>
              <w:t>).</w:t>
            </w:r>
          </w:p>
        </w:tc>
      </w:tr>
      <w:tr w:rsidR="00B545BC" w:rsidRPr="00BB1AA6" w14:paraId="20A84EA5" w14:textId="77777777" w:rsidTr="00A94C57">
        <w:tc>
          <w:tcPr>
            <w:tcW w:w="1645" w:type="dxa"/>
          </w:tcPr>
          <w:p w14:paraId="35484C96" w14:textId="77777777" w:rsidR="00B545BC" w:rsidRPr="00D44A5D" w:rsidRDefault="00B545BC" w:rsidP="00B545BC">
            <w:pPr>
              <w:rPr>
                <w:rFonts w:cs="Segoe UI"/>
                <w:color w:val="000000" w:themeColor="text1"/>
                <w:sz w:val="17"/>
                <w:szCs w:val="17"/>
                <w:lang w:eastAsia="en-AU"/>
              </w:rPr>
            </w:pPr>
            <w:r w:rsidRPr="00D44A5D">
              <w:rPr>
                <w:rFonts w:cs="Segoe UI"/>
                <w:i/>
                <w:color w:val="000000" w:themeColor="text1"/>
                <w:sz w:val="17"/>
                <w:szCs w:val="17"/>
                <w:lang w:eastAsia="en-AU"/>
              </w:rPr>
              <w:t>Native Title Act 1993</w:t>
            </w:r>
            <w:r w:rsidRPr="00D44A5D">
              <w:rPr>
                <w:rFonts w:cs="Segoe UI"/>
                <w:color w:val="000000" w:themeColor="text1"/>
                <w:sz w:val="17"/>
                <w:szCs w:val="17"/>
                <w:lang w:eastAsia="en-AU"/>
              </w:rPr>
              <w:t xml:space="preserve"> (Cth) (</w:t>
            </w:r>
            <w:r w:rsidRPr="00D44A5D">
              <w:rPr>
                <w:rFonts w:cs="Segoe UI"/>
                <w:i/>
                <w:color w:val="000000" w:themeColor="text1"/>
                <w:sz w:val="17"/>
                <w:szCs w:val="17"/>
                <w:lang w:eastAsia="en-AU"/>
              </w:rPr>
              <w:t>NTA</w:t>
            </w:r>
            <w:r w:rsidRPr="00D44A5D">
              <w:rPr>
                <w:rFonts w:cs="Segoe UI"/>
                <w:color w:val="000000" w:themeColor="text1"/>
                <w:sz w:val="17"/>
                <w:szCs w:val="17"/>
                <w:lang w:eastAsia="en-AU"/>
              </w:rPr>
              <w:t>)</w:t>
            </w:r>
          </w:p>
        </w:tc>
        <w:tc>
          <w:tcPr>
            <w:tcW w:w="6804" w:type="dxa"/>
          </w:tcPr>
          <w:p w14:paraId="31AEF98C" w14:textId="77777777" w:rsidR="00B545BC" w:rsidRPr="00D44A5D" w:rsidRDefault="00B545BC" w:rsidP="00B545BC">
            <w:pPr>
              <w:rPr>
                <w:rFonts w:cs="Segoe UI"/>
                <w:i/>
                <w:color w:val="000000" w:themeColor="text1"/>
                <w:sz w:val="17"/>
                <w:szCs w:val="17"/>
                <w:lang w:eastAsia="en-AU"/>
              </w:rPr>
            </w:pPr>
            <w:r w:rsidRPr="00D44A5D">
              <w:rPr>
                <w:rFonts w:cs="Segoe UI"/>
                <w:sz w:val="17"/>
                <w:szCs w:val="17"/>
                <w:lang w:val="en"/>
              </w:rPr>
              <w:t>The </w:t>
            </w:r>
            <w:r w:rsidRPr="00D44A5D">
              <w:rPr>
                <w:rFonts w:cs="Segoe UI"/>
                <w:i/>
                <w:sz w:val="17"/>
                <w:szCs w:val="17"/>
                <w:lang w:val="en"/>
              </w:rPr>
              <w:t xml:space="preserve">Native Title Act 1993 </w:t>
            </w:r>
            <w:r w:rsidRPr="00D44A5D">
              <w:rPr>
                <w:rFonts w:cs="Segoe UI"/>
                <w:sz w:val="17"/>
                <w:szCs w:val="17"/>
                <w:lang w:val="en"/>
              </w:rPr>
              <w:t>(Cth) established the procedure for making native title claims, and is the primary piece of Commonwealth Government legislation allowing Indigenous Australians to seek rights over land and waters arising from their original ownership under traditional law and custom.</w:t>
            </w:r>
          </w:p>
        </w:tc>
      </w:tr>
      <w:tr w:rsidR="00B545BC" w:rsidRPr="00BB1AA6" w14:paraId="6F40318D" w14:textId="77777777" w:rsidTr="00A94C57">
        <w:tc>
          <w:tcPr>
            <w:tcW w:w="1645" w:type="dxa"/>
          </w:tcPr>
          <w:p w14:paraId="73DDE129" w14:textId="77777777" w:rsidR="00B545BC" w:rsidRPr="00D44A5D" w:rsidRDefault="00B545BC" w:rsidP="00B545BC">
            <w:pPr>
              <w:rPr>
                <w:rFonts w:cs="Segoe UI"/>
                <w:color w:val="000000" w:themeColor="text1"/>
                <w:sz w:val="17"/>
                <w:szCs w:val="17"/>
                <w:lang w:eastAsia="en-AU"/>
              </w:rPr>
            </w:pPr>
            <w:r w:rsidRPr="00D44A5D">
              <w:rPr>
                <w:rFonts w:cs="Segoe UI"/>
                <w:color w:val="000000" w:themeColor="text1"/>
                <w:sz w:val="17"/>
                <w:szCs w:val="17"/>
                <w:lang w:eastAsia="en-AU"/>
              </w:rPr>
              <w:t>Native Title Representative Body (NTRB)</w:t>
            </w:r>
          </w:p>
        </w:tc>
        <w:tc>
          <w:tcPr>
            <w:tcW w:w="6804" w:type="dxa"/>
          </w:tcPr>
          <w:p w14:paraId="2213DE34" w14:textId="77777777" w:rsidR="00B545BC" w:rsidRPr="00D44A5D" w:rsidRDefault="00B545BC" w:rsidP="00B545BC">
            <w:pPr>
              <w:pStyle w:val="Default"/>
              <w:rPr>
                <w:rFonts w:ascii="Segoe UI" w:hAnsi="Segoe UI" w:cs="Segoe UI"/>
                <w:color w:val="000000" w:themeColor="text1"/>
                <w:sz w:val="17"/>
                <w:szCs w:val="17"/>
              </w:rPr>
            </w:pPr>
            <w:r w:rsidRPr="00D44A5D">
              <w:rPr>
                <w:rFonts w:ascii="Segoe UI" w:hAnsi="Segoe UI" w:cs="Segoe UI"/>
                <w:color w:val="000000" w:themeColor="text1"/>
                <w:sz w:val="17"/>
                <w:szCs w:val="17"/>
              </w:rPr>
              <w:t xml:space="preserve">Recognised organisations which are funded by the Australian Government to perform functions to assist native title groups in a specific region, according to the provisions in Part 11 of the </w:t>
            </w:r>
            <w:r w:rsidRPr="00D44A5D">
              <w:rPr>
                <w:rFonts w:ascii="Segoe UI" w:hAnsi="Segoe UI" w:cs="Segoe UI"/>
                <w:i/>
                <w:iCs/>
                <w:color w:val="000000" w:themeColor="text1"/>
                <w:sz w:val="17"/>
                <w:szCs w:val="17"/>
              </w:rPr>
              <w:t>Native Title Act 1993</w:t>
            </w:r>
            <w:r w:rsidRPr="00D44A5D">
              <w:rPr>
                <w:rFonts w:ascii="Segoe UI" w:hAnsi="Segoe UI" w:cs="Segoe UI"/>
                <w:color w:val="000000" w:themeColor="text1"/>
                <w:sz w:val="17"/>
                <w:szCs w:val="17"/>
              </w:rPr>
              <w:t xml:space="preserve">. </w:t>
            </w:r>
          </w:p>
        </w:tc>
      </w:tr>
      <w:tr w:rsidR="00B545BC" w:rsidRPr="00BB1AA6" w14:paraId="44CE44DD" w14:textId="77777777" w:rsidTr="00A94C57">
        <w:tc>
          <w:tcPr>
            <w:tcW w:w="1645" w:type="dxa"/>
          </w:tcPr>
          <w:p w14:paraId="0CB9E510" w14:textId="77777777" w:rsidR="00B545BC" w:rsidRPr="00D44A5D" w:rsidRDefault="00B545BC" w:rsidP="00B545BC">
            <w:pPr>
              <w:rPr>
                <w:rFonts w:cs="Segoe UI"/>
                <w:color w:val="000000" w:themeColor="text1"/>
                <w:sz w:val="17"/>
                <w:szCs w:val="17"/>
                <w:lang w:eastAsia="en-AU"/>
              </w:rPr>
            </w:pPr>
            <w:r w:rsidRPr="00D44A5D">
              <w:rPr>
                <w:rFonts w:cs="Segoe UI"/>
                <w:color w:val="000000" w:themeColor="text1"/>
                <w:sz w:val="17"/>
                <w:szCs w:val="17"/>
                <w:lang w:eastAsia="en-AU"/>
              </w:rPr>
              <w:t>Native Title Service Provider (NTSP)</w:t>
            </w:r>
          </w:p>
        </w:tc>
        <w:tc>
          <w:tcPr>
            <w:tcW w:w="6804" w:type="dxa"/>
          </w:tcPr>
          <w:p w14:paraId="52954D96" w14:textId="77777777" w:rsidR="00B545BC" w:rsidRPr="00D44A5D" w:rsidRDefault="00B545BC" w:rsidP="00B545BC">
            <w:pPr>
              <w:pStyle w:val="Default"/>
              <w:rPr>
                <w:rFonts w:ascii="Segoe UI" w:hAnsi="Segoe UI" w:cs="Segoe UI"/>
                <w:color w:val="000000" w:themeColor="text1"/>
                <w:sz w:val="17"/>
                <w:szCs w:val="17"/>
              </w:rPr>
            </w:pPr>
            <w:r w:rsidRPr="00D44A5D">
              <w:rPr>
                <w:rFonts w:ascii="Segoe UI" w:hAnsi="Segoe UI" w:cs="Segoe UI"/>
                <w:color w:val="000000" w:themeColor="text1"/>
                <w:sz w:val="17"/>
                <w:szCs w:val="17"/>
              </w:rPr>
              <w:t>Organisations funded by the Australian Government to perform all or some of the same functions as NTRBs in areas where NTRBs have not been recognised.</w:t>
            </w:r>
          </w:p>
        </w:tc>
      </w:tr>
      <w:tr w:rsidR="00B545BC" w:rsidRPr="00BB1AA6" w14:paraId="1EFEBF5A" w14:textId="77777777" w:rsidTr="00A94C57">
        <w:tc>
          <w:tcPr>
            <w:tcW w:w="1645" w:type="dxa"/>
          </w:tcPr>
          <w:p w14:paraId="3834B62A" w14:textId="77777777" w:rsidR="00B545BC" w:rsidRPr="00D44A5D" w:rsidRDefault="00B545BC" w:rsidP="00B545BC">
            <w:pPr>
              <w:rPr>
                <w:rFonts w:cs="Segoe UI"/>
                <w:color w:val="000000" w:themeColor="text1"/>
                <w:sz w:val="17"/>
                <w:szCs w:val="17"/>
                <w:lang w:eastAsia="en-AU"/>
              </w:rPr>
            </w:pPr>
            <w:r w:rsidRPr="00D44A5D">
              <w:rPr>
                <w:rFonts w:cs="Segoe UI"/>
                <w:color w:val="000000" w:themeColor="text1"/>
                <w:sz w:val="17"/>
                <w:szCs w:val="17"/>
                <w:lang w:eastAsia="en-AU"/>
              </w:rPr>
              <w:t>Non-claimant application</w:t>
            </w:r>
          </w:p>
        </w:tc>
        <w:tc>
          <w:tcPr>
            <w:tcW w:w="6804" w:type="dxa"/>
          </w:tcPr>
          <w:p w14:paraId="593D47F7" w14:textId="77777777" w:rsidR="00B545BC" w:rsidRPr="00D44A5D" w:rsidRDefault="00B545BC" w:rsidP="00B545BC">
            <w:pPr>
              <w:rPr>
                <w:rFonts w:cs="Segoe UI"/>
                <w:color w:val="000000" w:themeColor="text1"/>
                <w:sz w:val="17"/>
                <w:szCs w:val="17"/>
                <w:lang w:val="en-US"/>
              </w:rPr>
            </w:pPr>
            <w:r w:rsidRPr="00D44A5D">
              <w:rPr>
                <w:rFonts w:cs="Segoe UI"/>
                <w:color w:val="000000" w:themeColor="text1"/>
                <w:sz w:val="17"/>
                <w:szCs w:val="17"/>
                <w:lang w:val="en-US"/>
              </w:rPr>
              <w:t>An application made by a person, who does not claim to have native title but who seeks a determination that native title does or does not exist.</w:t>
            </w:r>
          </w:p>
        </w:tc>
      </w:tr>
      <w:tr w:rsidR="00B545BC" w:rsidRPr="00BB1AA6" w14:paraId="17CDD418" w14:textId="77777777" w:rsidTr="00A94C57">
        <w:tc>
          <w:tcPr>
            <w:tcW w:w="1645" w:type="dxa"/>
          </w:tcPr>
          <w:p w14:paraId="2DFF9366" w14:textId="77777777" w:rsidR="00B545BC" w:rsidRPr="00D44A5D" w:rsidRDefault="00B545BC" w:rsidP="00B545BC">
            <w:pPr>
              <w:rPr>
                <w:rFonts w:cs="Segoe UI"/>
                <w:color w:val="000000" w:themeColor="text1"/>
                <w:sz w:val="17"/>
                <w:szCs w:val="17"/>
                <w:lang w:eastAsia="en-AU"/>
              </w:rPr>
            </w:pPr>
            <w:r w:rsidRPr="00D44A5D">
              <w:rPr>
                <w:rFonts w:cs="Segoe UI"/>
                <w:color w:val="000000" w:themeColor="text1"/>
                <w:sz w:val="17"/>
                <w:szCs w:val="17"/>
                <w:lang w:eastAsia="en-AU"/>
              </w:rPr>
              <w:t>Post-determination</w:t>
            </w:r>
          </w:p>
        </w:tc>
        <w:tc>
          <w:tcPr>
            <w:tcW w:w="6804" w:type="dxa"/>
          </w:tcPr>
          <w:p w14:paraId="40C67045" w14:textId="77777777" w:rsidR="00B545BC" w:rsidRPr="00D44A5D" w:rsidRDefault="00B545BC" w:rsidP="00B545BC">
            <w:pPr>
              <w:rPr>
                <w:rFonts w:cs="Segoe UI"/>
                <w:color w:val="000000" w:themeColor="text1"/>
                <w:sz w:val="17"/>
                <w:szCs w:val="17"/>
                <w:lang w:eastAsia="en-AU"/>
              </w:rPr>
            </w:pPr>
            <w:r w:rsidRPr="00D44A5D">
              <w:rPr>
                <w:rFonts w:cs="Segoe UI"/>
                <w:color w:val="000000" w:themeColor="text1"/>
                <w:sz w:val="17"/>
                <w:szCs w:val="17"/>
                <w:lang w:eastAsia="en-AU"/>
              </w:rPr>
              <w:t>At a claim level, refers to the period following a determination that native title exists. At an NTRB-SP life cycle level, refers to the period following the resolution of all active claims within a RATSIB area.</w:t>
            </w:r>
          </w:p>
        </w:tc>
      </w:tr>
      <w:tr w:rsidR="00B545BC" w:rsidRPr="00BB1AA6" w14:paraId="30264D76" w14:textId="77777777" w:rsidTr="00A94C57">
        <w:tc>
          <w:tcPr>
            <w:tcW w:w="1645" w:type="dxa"/>
          </w:tcPr>
          <w:p w14:paraId="4E4E6C11" w14:textId="77777777" w:rsidR="00B545BC" w:rsidRPr="00D44A5D" w:rsidRDefault="00B545BC" w:rsidP="00B545BC">
            <w:pPr>
              <w:rPr>
                <w:rFonts w:cs="Segoe UI"/>
                <w:color w:val="000000" w:themeColor="text1"/>
                <w:sz w:val="17"/>
                <w:szCs w:val="17"/>
                <w:lang w:eastAsia="en-AU"/>
              </w:rPr>
            </w:pPr>
            <w:r w:rsidRPr="00D44A5D">
              <w:rPr>
                <w:rFonts w:cs="Segoe UI"/>
                <w:color w:val="000000" w:themeColor="text1"/>
                <w:sz w:val="17"/>
                <w:szCs w:val="17"/>
                <w:lang w:eastAsia="en-AU"/>
              </w:rPr>
              <w:t>Prescribed Body Corporate (PBC)</w:t>
            </w:r>
          </w:p>
        </w:tc>
        <w:tc>
          <w:tcPr>
            <w:tcW w:w="6804" w:type="dxa"/>
          </w:tcPr>
          <w:p w14:paraId="3194AFBA" w14:textId="77777777" w:rsidR="00B545BC" w:rsidRPr="00D44A5D" w:rsidRDefault="00B545BC" w:rsidP="00B545BC">
            <w:pPr>
              <w:rPr>
                <w:rFonts w:cs="Segoe UI"/>
                <w:color w:val="000000" w:themeColor="text1"/>
                <w:sz w:val="17"/>
                <w:szCs w:val="17"/>
                <w:lang w:eastAsia="en-AU"/>
              </w:rPr>
            </w:pPr>
            <w:r w:rsidRPr="00D44A5D">
              <w:rPr>
                <w:rFonts w:cs="Segoe UI"/>
                <w:color w:val="000000" w:themeColor="text1"/>
                <w:sz w:val="17"/>
                <w:szCs w:val="17"/>
                <w:lang w:val="en-US"/>
              </w:rPr>
              <w:t xml:space="preserve">A body, established under the </w:t>
            </w:r>
            <w:r w:rsidRPr="00D44A5D">
              <w:rPr>
                <w:rFonts w:cs="Segoe UI"/>
                <w:i/>
                <w:color w:val="000000" w:themeColor="text1"/>
                <w:sz w:val="17"/>
                <w:szCs w:val="17"/>
                <w:lang w:val="en-US"/>
              </w:rPr>
              <w:t xml:space="preserve">Corporations (Aboriginal and Torres Strait Islander) Act 2006 </w:t>
            </w:r>
            <w:r w:rsidRPr="00D44A5D">
              <w:rPr>
                <w:rFonts w:cs="Segoe UI"/>
                <w:color w:val="000000" w:themeColor="text1"/>
                <w:sz w:val="17"/>
                <w:szCs w:val="17"/>
                <w:lang w:val="en-US"/>
              </w:rPr>
              <w:t>(Cth), nominated by native title holders which will represent them and manage their native title rights and interests once a determination that native title exists has been made. </w:t>
            </w:r>
          </w:p>
        </w:tc>
      </w:tr>
      <w:tr w:rsidR="00B545BC" w:rsidRPr="00BB1AA6" w14:paraId="4756247D" w14:textId="77777777" w:rsidTr="00A94C57">
        <w:tc>
          <w:tcPr>
            <w:tcW w:w="1645" w:type="dxa"/>
          </w:tcPr>
          <w:p w14:paraId="48766801" w14:textId="77777777" w:rsidR="00B545BC" w:rsidRPr="00D44A5D" w:rsidRDefault="00B545BC" w:rsidP="00B545BC">
            <w:pPr>
              <w:rPr>
                <w:rFonts w:cs="Segoe UI"/>
                <w:color w:val="000000" w:themeColor="text1"/>
                <w:sz w:val="17"/>
                <w:szCs w:val="17"/>
                <w:lang w:eastAsia="en-AU"/>
              </w:rPr>
            </w:pPr>
            <w:r w:rsidRPr="00D44A5D">
              <w:rPr>
                <w:rFonts w:cs="Segoe UI"/>
                <w:color w:val="000000" w:themeColor="text1"/>
                <w:sz w:val="17"/>
                <w:szCs w:val="17"/>
                <w:lang w:eastAsia="en-AU"/>
              </w:rPr>
              <w:t>Registration test</w:t>
            </w:r>
          </w:p>
        </w:tc>
        <w:tc>
          <w:tcPr>
            <w:tcW w:w="6804" w:type="dxa"/>
          </w:tcPr>
          <w:p w14:paraId="0180DACA" w14:textId="77777777" w:rsidR="00B545BC" w:rsidRPr="00D44A5D" w:rsidRDefault="00B545BC" w:rsidP="00B545BC">
            <w:pPr>
              <w:rPr>
                <w:rFonts w:cs="Segoe UI"/>
                <w:color w:val="000000" w:themeColor="text1"/>
                <w:sz w:val="17"/>
                <w:szCs w:val="17"/>
                <w:lang w:val="en-US"/>
              </w:rPr>
            </w:pPr>
            <w:r w:rsidRPr="00D44A5D">
              <w:rPr>
                <w:rFonts w:cs="Segoe UI"/>
                <w:color w:val="000000" w:themeColor="text1"/>
                <w:sz w:val="17"/>
                <w:szCs w:val="17"/>
                <w:lang w:val="en-US"/>
              </w:rPr>
              <w:t xml:space="preserve">The registration test is a set of conditions applied to the claims made in native title determination applications. The Native Title Registrar, or the Registrar’s delegate, applies the test. If a claim satisfies the conditions of the registration test, details of the application are entered on to the Register of Native Title Claims. This means that the application becomes a registered claim and is able to exercise the procedural rights stipulated in the future act provisions of the </w:t>
            </w:r>
            <w:r w:rsidRPr="002A6491">
              <w:rPr>
                <w:rFonts w:cs="Segoe UI"/>
                <w:iCs/>
                <w:color w:val="000000" w:themeColor="text1"/>
                <w:sz w:val="17"/>
                <w:szCs w:val="17"/>
                <w:lang w:val="en-US"/>
              </w:rPr>
              <w:t>NTA</w:t>
            </w:r>
            <w:r w:rsidRPr="00D44A5D">
              <w:rPr>
                <w:rFonts w:cs="Segoe UI"/>
                <w:color w:val="000000" w:themeColor="text1"/>
                <w:sz w:val="17"/>
                <w:szCs w:val="17"/>
                <w:lang w:val="en-US"/>
              </w:rPr>
              <w:t>.</w:t>
            </w:r>
          </w:p>
        </w:tc>
      </w:tr>
      <w:tr w:rsidR="00B545BC" w:rsidRPr="00BB1AA6" w14:paraId="190D1CE1" w14:textId="77777777" w:rsidTr="00A94C57">
        <w:tc>
          <w:tcPr>
            <w:tcW w:w="1645" w:type="dxa"/>
          </w:tcPr>
          <w:p w14:paraId="4EC2B696" w14:textId="77777777" w:rsidR="00B545BC" w:rsidRPr="00D44A5D" w:rsidRDefault="00B545BC" w:rsidP="00B545BC">
            <w:pPr>
              <w:rPr>
                <w:rFonts w:cs="Segoe UI"/>
                <w:color w:val="000000" w:themeColor="text1"/>
                <w:sz w:val="17"/>
                <w:szCs w:val="17"/>
                <w:lang w:eastAsia="en-AU"/>
              </w:rPr>
            </w:pPr>
            <w:r w:rsidRPr="00D44A5D">
              <w:rPr>
                <w:rFonts w:cs="Segoe UI"/>
                <w:color w:val="000000" w:themeColor="text1"/>
                <w:sz w:val="17"/>
                <w:szCs w:val="17"/>
                <w:lang w:eastAsia="en-AU"/>
              </w:rPr>
              <w:t>Representative Aboriginal/ Torres Strait Islander Body area (RATSIB area)</w:t>
            </w:r>
          </w:p>
        </w:tc>
        <w:tc>
          <w:tcPr>
            <w:tcW w:w="6804" w:type="dxa"/>
          </w:tcPr>
          <w:p w14:paraId="1EE3825E" w14:textId="77777777" w:rsidR="00B545BC" w:rsidRPr="00D44A5D" w:rsidRDefault="00B545BC" w:rsidP="00B545BC">
            <w:pPr>
              <w:rPr>
                <w:rFonts w:cs="Segoe UI"/>
                <w:color w:val="000000" w:themeColor="text1"/>
                <w:sz w:val="17"/>
                <w:szCs w:val="17"/>
                <w:lang w:eastAsia="en-AU"/>
              </w:rPr>
            </w:pPr>
            <w:r w:rsidRPr="00D44A5D">
              <w:rPr>
                <w:rFonts w:cs="Segoe UI"/>
                <w:color w:val="000000" w:themeColor="text1"/>
                <w:sz w:val="17"/>
                <w:szCs w:val="17"/>
                <w:lang w:val="en-US"/>
              </w:rPr>
              <w:t xml:space="preserve">The area in which an NTRB-SP performs its functions. </w:t>
            </w:r>
          </w:p>
        </w:tc>
      </w:tr>
      <w:tr w:rsidR="00B545BC" w:rsidRPr="00BB1AA6" w14:paraId="5298E20E" w14:textId="77777777" w:rsidTr="00A94C57">
        <w:tc>
          <w:tcPr>
            <w:tcW w:w="1645" w:type="dxa"/>
          </w:tcPr>
          <w:p w14:paraId="27199737" w14:textId="77777777" w:rsidR="00B545BC" w:rsidRPr="00D44A5D" w:rsidRDefault="00B545BC" w:rsidP="00B545BC">
            <w:pPr>
              <w:rPr>
                <w:rFonts w:cs="Segoe UI"/>
                <w:color w:val="000000" w:themeColor="text1"/>
                <w:sz w:val="17"/>
                <w:szCs w:val="17"/>
                <w:lang w:eastAsia="en-AU"/>
              </w:rPr>
            </w:pPr>
            <w:r w:rsidRPr="00D44A5D">
              <w:rPr>
                <w:rFonts w:cs="Segoe UI"/>
                <w:color w:val="000000" w:themeColor="text1"/>
                <w:sz w:val="17"/>
                <w:szCs w:val="17"/>
                <w:lang w:eastAsia="en-AU"/>
              </w:rPr>
              <w:t>Terms of Reference (TOR)</w:t>
            </w:r>
          </w:p>
        </w:tc>
        <w:tc>
          <w:tcPr>
            <w:tcW w:w="6804" w:type="dxa"/>
          </w:tcPr>
          <w:p w14:paraId="1BCAEAA8" w14:textId="72A1E8CF" w:rsidR="00B545BC" w:rsidRPr="00D44A5D" w:rsidRDefault="00B545BC" w:rsidP="00B545BC">
            <w:pPr>
              <w:rPr>
                <w:rFonts w:cs="Segoe UI"/>
                <w:color w:val="000000" w:themeColor="text1"/>
                <w:sz w:val="17"/>
                <w:szCs w:val="17"/>
                <w:lang w:eastAsia="en-AU"/>
              </w:rPr>
            </w:pPr>
            <w:r w:rsidRPr="00D44A5D">
              <w:rPr>
                <w:rFonts w:cs="Segoe UI"/>
                <w:color w:val="000000" w:themeColor="text1"/>
                <w:sz w:val="17"/>
                <w:szCs w:val="17"/>
                <w:lang w:eastAsia="en-AU"/>
              </w:rPr>
              <w:t xml:space="preserve">Refers to the Terms of Reference provided by the NIAA which govern the scope of the project. These can be found in Appendix A. </w:t>
            </w:r>
          </w:p>
        </w:tc>
      </w:tr>
      <w:tr w:rsidR="00B545BC" w:rsidRPr="00BB1AA6" w14:paraId="197B56ED" w14:textId="77777777" w:rsidTr="00A94C57">
        <w:tc>
          <w:tcPr>
            <w:tcW w:w="1645" w:type="dxa"/>
          </w:tcPr>
          <w:p w14:paraId="4E2527AC" w14:textId="77777777" w:rsidR="00B545BC" w:rsidRPr="00D44A5D" w:rsidRDefault="00B545BC" w:rsidP="00B545BC">
            <w:pPr>
              <w:rPr>
                <w:rFonts w:cs="Segoe UI"/>
                <w:color w:val="000000" w:themeColor="text1"/>
                <w:sz w:val="17"/>
                <w:szCs w:val="17"/>
                <w:lang w:eastAsia="en-AU"/>
              </w:rPr>
            </w:pPr>
            <w:r w:rsidRPr="00D44A5D">
              <w:rPr>
                <w:rFonts w:cs="Segoe UI"/>
                <w:color w:val="000000" w:themeColor="text1"/>
                <w:sz w:val="17"/>
                <w:szCs w:val="17"/>
                <w:lang w:eastAsia="en-AU"/>
              </w:rPr>
              <w:t>Traditional Owners (TOs)</w:t>
            </w:r>
          </w:p>
        </w:tc>
        <w:tc>
          <w:tcPr>
            <w:tcW w:w="6804" w:type="dxa"/>
          </w:tcPr>
          <w:p w14:paraId="026FE39B" w14:textId="77777777" w:rsidR="00B545BC" w:rsidRPr="00D44A5D" w:rsidRDefault="00B545BC" w:rsidP="00B545BC">
            <w:pPr>
              <w:rPr>
                <w:rFonts w:cs="Segoe UI"/>
                <w:color w:val="000000" w:themeColor="text1"/>
                <w:sz w:val="17"/>
                <w:szCs w:val="17"/>
                <w:lang w:eastAsia="en-AU"/>
              </w:rPr>
            </w:pPr>
            <w:r w:rsidRPr="00D44A5D">
              <w:rPr>
                <w:rFonts w:cs="Segoe UI"/>
                <w:color w:val="000000" w:themeColor="text1"/>
                <w:sz w:val="17"/>
                <w:szCs w:val="17"/>
                <w:lang w:eastAsia="en-AU"/>
              </w:rPr>
              <w:t>Individuals of Aboriginal and/or Torres Strait Islander descent who identify as being a descendant of persons that occupied a particular area prior to European settlement.</w:t>
            </w:r>
          </w:p>
        </w:tc>
      </w:tr>
      <w:tr w:rsidR="00A4397B" w:rsidRPr="00BB1AA6" w14:paraId="5F3B40CE" w14:textId="77777777" w:rsidTr="00B70AA2">
        <w:tc>
          <w:tcPr>
            <w:tcW w:w="1645" w:type="dxa"/>
            <w:vAlign w:val="top"/>
          </w:tcPr>
          <w:p w14:paraId="76C638E5" w14:textId="085E7690" w:rsidR="00A4397B" w:rsidRPr="00D44A5D" w:rsidRDefault="00A4397B" w:rsidP="00A4397B">
            <w:pPr>
              <w:rPr>
                <w:rFonts w:cs="Segoe UI"/>
                <w:color w:val="000000" w:themeColor="text1"/>
                <w:sz w:val="17"/>
                <w:szCs w:val="17"/>
                <w:lang w:eastAsia="en-AU"/>
              </w:rPr>
            </w:pPr>
            <w:r w:rsidRPr="00D44A5D">
              <w:rPr>
                <w:rFonts w:cs="Segoe UI"/>
                <w:sz w:val="17"/>
                <w:szCs w:val="17"/>
              </w:rPr>
              <w:t>Kimberley Land Council (the KLC)</w:t>
            </w:r>
          </w:p>
        </w:tc>
        <w:tc>
          <w:tcPr>
            <w:tcW w:w="6804" w:type="dxa"/>
            <w:vAlign w:val="top"/>
          </w:tcPr>
          <w:p w14:paraId="2D8194EE" w14:textId="2AF715D5" w:rsidR="00A4397B" w:rsidRPr="00D44A5D" w:rsidRDefault="00A4397B" w:rsidP="00A4397B">
            <w:pPr>
              <w:rPr>
                <w:rFonts w:cs="Segoe UI"/>
                <w:color w:val="000000" w:themeColor="text1"/>
                <w:sz w:val="17"/>
                <w:szCs w:val="17"/>
                <w:lang w:eastAsia="en-AU"/>
              </w:rPr>
            </w:pPr>
            <w:r w:rsidRPr="00D44A5D">
              <w:rPr>
                <w:rFonts w:cs="Segoe UI"/>
                <w:sz w:val="17"/>
                <w:szCs w:val="17"/>
              </w:rPr>
              <w:t>The KLC, established in 1978 and registered in July 1979, is the Native Title Representative Body for the Kimberley Representative Aboriginal/Torres Strait Islander Body (RATSIB) Area in WA. The KLC has been providing native title services since the passing of the Native Title Act 1993 (NTA) but was officially recognised as the region’s native title representative body in 2000.</w:t>
            </w:r>
          </w:p>
        </w:tc>
      </w:tr>
      <w:tr w:rsidR="00A4397B" w:rsidRPr="00BB1AA6" w14:paraId="6800B789" w14:textId="77777777" w:rsidTr="00B70AA2">
        <w:tc>
          <w:tcPr>
            <w:tcW w:w="1645" w:type="dxa"/>
            <w:vAlign w:val="top"/>
          </w:tcPr>
          <w:p w14:paraId="6C7978E6" w14:textId="640D4399" w:rsidR="00A4397B" w:rsidRPr="00D44A5D" w:rsidRDefault="00A4397B" w:rsidP="00A4397B">
            <w:pPr>
              <w:rPr>
                <w:rFonts w:cs="Segoe UI"/>
                <w:color w:val="000000" w:themeColor="text1"/>
                <w:sz w:val="17"/>
                <w:szCs w:val="17"/>
                <w:lang w:eastAsia="en-AU"/>
              </w:rPr>
            </w:pPr>
            <w:r w:rsidRPr="00D44A5D">
              <w:rPr>
                <w:rFonts w:cs="Segoe UI"/>
                <w:sz w:val="17"/>
                <w:szCs w:val="17"/>
              </w:rPr>
              <w:lastRenderedPageBreak/>
              <w:t>Ambooriny Burru Charitable Foundation</w:t>
            </w:r>
          </w:p>
        </w:tc>
        <w:tc>
          <w:tcPr>
            <w:tcW w:w="6804" w:type="dxa"/>
            <w:vAlign w:val="top"/>
          </w:tcPr>
          <w:p w14:paraId="0B200F89" w14:textId="6BE73FC3" w:rsidR="00A4397B" w:rsidRPr="00D44A5D" w:rsidRDefault="00A4397B" w:rsidP="00A4397B">
            <w:pPr>
              <w:rPr>
                <w:rFonts w:cs="Segoe UI"/>
                <w:color w:val="000000" w:themeColor="text1"/>
                <w:sz w:val="17"/>
                <w:szCs w:val="17"/>
                <w:lang w:eastAsia="en-AU"/>
              </w:rPr>
            </w:pPr>
            <w:r w:rsidRPr="00D44A5D">
              <w:rPr>
                <w:rFonts w:cs="Segoe UI"/>
                <w:sz w:val="17"/>
                <w:szCs w:val="17"/>
              </w:rPr>
              <w:t>The Ambooriny Burru Charitable Foundation was originally set up by the KLC in December 2010. It is not wholly operated by members of the Bardi Jawi, Karajarri, Ngurrara, Nyikina Mangala, Tjurabalan, Jaru, Yi-martuwarra Ngurrara and Koongie-Elvire claim groups. Ambooriny Burru is responsible for social distribution and KRED Enterprises is responsible for income generation for the foundation.</w:t>
            </w:r>
          </w:p>
        </w:tc>
      </w:tr>
      <w:tr w:rsidR="00A4397B" w:rsidRPr="00BB1AA6" w14:paraId="13945B9F" w14:textId="77777777" w:rsidTr="00B70AA2">
        <w:tc>
          <w:tcPr>
            <w:tcW w:w="1645" w:type="dxa"/>
            <w:vAlign w:val="top"/>
          </w:tcPr>
          <w:p w14:paraId="1135B40D" w14:textId="21860D5C" w:rsidR="00A4397B" w:rsidRPr="00D44A5D" w:rsidRDefault="00A4397B" w:rsidP="00A4397B">
            <w:pPr>
              <w:rPr>
                <w:rFonts w:cs="Segoe UI"/>
                <w:color w:val="000000" w:themeColor="text1"/>
                <w:sz w:val="17"/>
                <w:szCs w:val="17"/>
                <w:lang w:eastAsia="en-AU"/>
              </w:rPr>
            </w:pPr>
            <w:r w:rsidRPr="00D44A5D">
              <w:rPr>
                <w:rFonts w:cs="Segoe UI"/>
                <w:sz w:val="17"/>
                <w:szCs w:val="17"/>
              </w:rPr>
              <w:t>Kimberley Regional Economic Development Enterprises (KRED)</w:t>
            </w:r>
          </w:p>
        </w:tc>
        <w:tc>
          <w:tcPr>
            <w:tcW w:w="6804" w:type="dxa"/>
            <w:vAlign w:val="top"/>
          </w:tcPr>
          <w:p w14:paraId="54491AC2" w14:textId="2EBB3D18" w:rsidR="00A4397B" w:rsidRPr="00D44A5D" w:rsidRDefault="00A4397B" w:rsidP="00A4397B">
            <w:pPr>
              <w:rPr>
                <w:rFonts w:cs="Segoe UI"/>
                <w:color w:val="000000" w:themeColor="text1"/>
                <w:sz w:val="17"/>
                <w:szCs w:val="17"/>
                <w:lang w:eastAsia="en-AU"/>
              </w:rPr>
            </w:pPr>
            <w:r w:rsidRPr="00D44A5D">
              <w:rPr>
                <w:rFonts w:cs="Segoe UI"/>
                <w:sz w:val="17"/>
                <w:szCs w:val="17"/>
              </w:rPr>
              <w:t>KRED Enterprises is a Broome-based charitable trust committed to independent Aboriginal economic development, owned by the Ambooriny Burru Charitable Foundation. KRED Enterprises has two wholly-owned subsidiary companies: Arma Legal and EHSIS, as well as a third recently established venture, the Kimberley Agriculture and Pastoral Company.</w:t>
            </w:r>
          </w:p>
        </w:tc>
      </w:tr>
    </w:tbl>
    <w:p w14:paraId="2BC27C9F" w14:textId="77777777" w:rsidR="008F4752" w:rsidRPr="00BB1AA6" w:rsidRDefault="008F4752" w:rsidP="008F4752">
      <w:pPr>
        <w:rPr>
          <w:lang w:eastAsia="en-AU"/>
        </w:rPr>
      </w:pPr>
    </w:p>
    <w:p w14:paraId="5F33A4EB" w14:textId="19CA4268" w:rsidR="008F4752" w:rsidRPr="00BB1AA6" w:rsidRDefault="008F4752" w:rsidP="008F4752">
      <w:pPr>
        <w:rPr>
          <w:lang w:eastAsia="en-AU"/>
        </w:rPr>
      </w:pPr>
      <w:r w:rsidRPr="00BB1AA6">
        <w:rPr>
          <w:lang w:eastAsia="en-AU"/>
        </w:rPr>
        <w:t xml:space="preserve">This document refers to the functions of NTRB-SPs outlined under the </w:t>
      </w:r>
      <w:r w:rsidR="00F06BF0" w:rsidRPr="004A3367">
        <w:rPr>
          <w:iCs/>
          <w:lang w:eastAsia="en-AU"/>
        </w:rPr>
        <w:t>NTA</w:t>
      </w:r>
      <w:r w:rsidRPr="00BB1AA6">
        <w:rPr>
          <w:i/>
          <w:lang w:eastAsia="en-AU"/>
        </w:rPr>
        <w:t xml:space="preserve"> </w:t>
      </w:r>
      <w:r w:rsidRPr="00BB1AA6">
        <w:rPr>
          <w:lang w:eastAsia="en-AU"/>
        </w:rPr>
        <w:t xml:space="preserve">and captured in </w:t>
      </w:r>
      <w:r w:rsidR="00A03BFE">
        <w:rPr>
          <w:lang w:eastAsia="en-AU"/>
        </w:rPr>
        <w:t>Table 3</w:t>
      </w:r>
      <w:r w:rsidRPr="00BB1AA6">
        <w:rPr>
          <w:lang w:eastAsia="en-AU"/>
        </w:rPr>
        <w:t>.</w:t>
      </w:r>
    </w:p>
    <w:p w14:paraId="5B4ABE4F" w14:textId="06CEE913" w:rsidR="008F4752" w:rsidRPr="00BB1AA6" w:rsidRDefault="008F4752" w:rsidP="008F4752">
      <w:pPr>
        <w:pStyle w:val="Caption"/>
      </w:pPr>
      <w:bookmarkStart w:id="156" w:name="_Ref504381314"/>
      <w:r w:rsidRPr="00BB1AA6">
        <w:t xml:space="preserve">Table </w:t>
      </w:r>
      <w:r w:rsidR="00A03BFE">
        <w:t>3</w:t>
      </w:r>
      <w:bookmarkEnd w:id="156"/>
      <w:r w:rsidRPr="00BB1AA6">
        <w:t xml:space="preserve"> | NTRB functions under the </w:t>
      </w:r>
      <w:r w:rsidRPr="00BB1AA6">
        <w:rPr>
          <w:i/>
        </w:rPr>
        <w:t>Act</w:t>
      </w:r>
    </w:p>
    <w:tbl>
      <w:tblPr>
        <w:tblStyle w:val="TableGrid"/>
        <w:tblW w:w="0" w:type="auto"/>
        <w:tblLook w:val="04A0" w:firstRow="1" w:lastRow="0" w:firstColumn="1" w:lastColumn="0" w:noHBand="0" w:noVBand="1"/>
      </w:tblPr>
      <w:tblGrid>
        <w:gridCol w:w="1075"/>
        <w:gridCol w:w="2233"/>
        <w:gridCol w:w="5622"/>
      </w:tblGrid>
      <w:tr w:rsidR="008F4752" w:rsidRPr="00DE4BC6" w14:paraId="2EF7BE66" w14:textId="77777777" w:rsidTr="00A94C57">
        <w:trPr>
          <w:cnfStyle w:val="100000000000" w:firstRow="1" w:lastRow="0" w:firstColumn="0" w:lastColumn="0" w:oddVBand="0" w:evenVBand="0" w:oddHBand="0" w:evenHBand="0" w:firstRowFirstColumn="0" w:firstRowLastColumn="0" w:lastRowFirstColumn="0" w:lastRowLastColumn="0"/>
        </w:trPr>
        <w:tc>
          <w:tcPr>
            <w:tcW w:w="1078" w:type="dxa"/>
          </w:tcPr>
          <w:p w14:paraId="5D73CEF7" w14:textId="77777777" w:rsidR="008F4752" w:rsidRPr="00DE4BC6" w:rsidRDefault="008F4752" w:rsidP="00A94C57">
            <w:pPr>
              <w:rPr>
                <w:sz w:val="17"/>
                <w:szCs w:val="17"/>
                <w:lang w:eastAsia="en-AU"/>
              </w:rPr>
            </w:pPr>
            <w:r w:rsidRPr="00DE4BC6">
              <w:rPr>
                <w:sz w:val="17"/>
                <w:szCs w:val="17"/>
                <w:lang w:eastAsia="en-AU"/>
              </w:rPr>
              <w:t xml:space="preserve">Reference </w:t>
            </w:r>
          </w:p>
        </w:tc>
        <w:tc>
          <w:tcPr>
            <w:tcW w:w="2268" w:type="dxa"/>
          </w:tcPr>
          <w:p w14:paraId="3ED7B3A5" w14:textId="77777777" w:rsidR="008F4752" w:rsidRPr="00DE4BC6" w:rsidRDefault="008F4752" w:rsidP="00A94C57">
            <w:pPr>
              <w:rPr>
                <w:sz w:val="17"/>
                <w:szCs w:val="17"/>
                <w:lang w:eastAsia="en-AU"/>
              </w:rPr>
            </w:pPr>
            <w:r w:rsidRPr="00DE4BC6">
              <w:rPr>
                <w:sz w:val="17"/>
                <w:szCs w:val="17"/>
                <w:lang w:eastAsia="en-AU"/>
              </w:rPr>
              <w:t>Function</w:t>
            </w:r>
          </w:p>
        </w:tc>
        <w:tc>
          <w:tcPr>
            <w:tcW w:w="5754" w:type="dxa"/>
          </w:tcPr>
          <w:p w14:paraId="74139994" w14:textId="77777777" w:rsidR="008F4752" w:rsidRPr="00DE4BC6" w:rsidRDefault="008F4752" w:rsidP="00A94C57">
            <w:pPr>
              <w:rPr>
                <w:sz w:val="17"/>
                <w:szCs w:val="17"/>
                <w:lang w:eastAsia="en-AU"/>
              </w:rPr>
            </w:pPr>
            <w:r w:rsidRPr="00DE4BC6">
              <w:rPr>
                <w:sz w:val="17"/>
                <w:szCs w:val="17"/>
                <w:lang w:eastAsia="en-AU"/>
              </w:rPr>
              <w:t>Detail</w:t>
            </w:r>
          </w:p>
        </w:tc>
      </w:tr>
      <w:tr w:rsidR="008F4752" w:rsidRPr="00DE4BC6" w14:paraId="355751CE" w14:textId="77777777" w:rsidTr="00A94C57">
        <w:tc>
          <w:tcPr>
            <w:tcW w:w="1078" w:type="dxa"/>
          </w:tcPr>
          <w:p w14:paraId="71501DCD" w14:textId="77777777" w:rsidR="008F4752" w:rsidRPr="00DE4BC6" w:rsidRDefault="008F4752" w:rsidP="00A94C57">
            <w:pPr>
              <w:rPr>
                <w:sz w:val="17"/>
                <w:szCs w:val="17"/>
                <w:lang w:eastAsia="en-AU"/>
              </w:rPr>
            </w:pPr>
            <w:r w:rsidRPr="00DE4BC6">
              <w:rPr>
                <w:sz w:val="17"/>
                <w:szCs w:val="17"/>
                <w:lang w:eastAsia="en-AU"/>
              </w:rPr>
              <w:t>s203BB</w:t>
            </w:r>
          </w:p>
        </w:tc>
        <w:tc>
          <w:tcPr>
            <w:tcW w:w="2268" w:type="dxa"/>
          </w:tcPr>
          <w:p w14:paraId="29943E01" w14:textId="77777777" w:rsidR="008F4752" w:rsidRPr="00DE4BC6" w:rsidRDefault="008F4752" w:rsidP="00A94C57">
            <w:pPr>
              <w:rPr>
                <w:sz w:val="17"/>
                <w:szCs w:val="17"/>
                <w:lang w:eastAsia="en-AU"/>
              </w:rPr>
            </w:pPr>
            <w:r w:rsidRPr="00DE4BC6">
              <w:rPr>
                <w:sz w:val="17"/>
                <w:szCs w:val="17"/>
                <w:lang w:eastAsia="en-AU"/>
              </w:rPr>
              <w:t>Facilitation and assistance</w:t>
            </w:r>
          </w:p>
        </w:tc>
        <w:tc>
          <w:tcPr>
            <w:tcW w:w="5754" w:type="dxa"/>
          </w:tcPr>
          <w:p w14:paraId="371B8202" w14:textId="77777777" w:rsidR="008F4752" w:rsidRPr="00DE4BC6" w:rsidRDefault="008F4752" w:rsidP="00A94C57">
            <w:pPr>
              <w:rPr>
                <w:sz w:val="17"/>
                <w:szCs w:val="17"/>
                <w:lang w:eastAsia="en-AU"/>
              </w:rPr>
            </w:pPr>
            <w:r w:rsidRPr="00DE4BC6">
              <w:rPr>
                <w:sz w:val="17"/>
                <w:szCs w:val="17"/>
                <w:lang w:eastAsia="en-AU"/>
              </w:rPr>
              <w:t>NTRB-SPs provide assistance to those that hold or may hold native title in relation to native title applications, future acts, agreements, rights of access and other matters.</w:t>
            </w:r>
          </w:p>
        </w:tc>
      </w:tr>
      <w:tr w:rsidR="008F4752" w:rsidRPr="00DE4BC6" w14:paraId="2D5EC063" w14:textId="77777777" w:rsidTr="00A94C57">
        <w:tc>
          <w:tcPr>
            <w:tcW w:w="1078" w:type="dxa"/>
          </w:tcPr>
          <w:p w14:paraId="71EA25D2" w14:textId="77777777" w:rsidR="008F4752" w:rsidRPr="00DE4BC6" w:rsidRDefault="008F4752" w:rsidP="00A94C57">
            <w:pPr>
              <w:rPr>
                <w:sz w:val="17"/>
                <w:szCs w:val="17"/>
                <w:lang w:eastAsia="en-AU"/>
              </w:rPr>
            </w:pPr>
            <w:r w:rsidRPr="00DE4BC6">
              <w:rPr>
                <w:sz w:val="17"/>
                <w:szCs w:val="17"/>
                <w:lang w:eastAsia="en-AU"/>
              </w:rPr>
              <w:t>s203BF</w:t>
            </w:r>
          </w:p>
        </w:tc>
        <w:tc>
          <w:tcPr>
            <w:tcW w:w="2268" w:type="dxa"/>
          </w:tcPr>
          <w:p w14:paraId="3EB9EF43" w14:textId="77777777" w:rsidR="008F4752" w:rsidRPr="00DE4BC6" w:rsidRDefault="008F4752" w:rsidP="00A94C57">
            <w:pPr>
              <w:rPr>
                <w:sz w:val="17"/>
                <w:szCs w:val="17"/>
                <w:lang w:eastAsia="en-AU"/>
              </w:rPr>
            </w:pPr>
            <w:r w:rsidRPr="00DE4BC6">
              <w:rPr>
                <w:sz w:val="17"/>
                <w:szCs w:val="17"/>
                <w:lang w:eastAsia="en-AU"/>
              </w:rPr>
              <w:t>Certification</w:t>
            </w:r>
          </w:p>
        </w:tc>
        <w:tc>
          <w:tcPr>
            <w:tcW w:w="5754" w:type="dxa"/>
          </w:tcPr>
          <w:p w14:paraId="7E1CAE7C" w14:textId="77777777" w:rsidR="008F4752" w:rsidRPr="00DE4BC6" w:rsidRDefault="008F4752" w:rsidP="00A94C57">
            <w:pPr>
              <w:rPr>
                <w:sz w:val="17"/>
                <w:szCs w:val="17"/>
                <w:lang w:eastAsia="en-AU"/>
              </w:rPr>
            </w:pPr>
            <w:r w:rsidRPr="00DE4BC6">
              <w:rPr>
                <w:sz w:val="17"/>
                <w:szCs w:val="17"/>
                <w:lang w:eastAsia="en-AU"/>
              </w:rPr>
              <w:t xml:space="preserve">NTRB-SPs certify applications for native title determinations and certify the registration of ILUAs. </w:t>
            </w:r>
          </w:p>
        </w:tc>
      </w:tr>
      <w:tr w:rsidR="008F4752" w:rsidRPr="00DE4BC6" w14:paraId="1BFDA1DA" w14:textId="77777777" w:rsidTr="00A94C57">
        <w:tc>
          <w:tcPr>
            <w:tcW w:w="1078" w:type="dxa"/>
          </w:tcPr>
          <w:p w14:paraId="27075AD3" w14:textId="77777777" w:rsidR="008F4752" w:rsidRPr="00DE4BC6" w:rsidRDefault="008F4752" w:rsidP="00A94C57">
            <w:pPr>
              <w:rPr>
                <w:sz w:val="17"/>
                <w:szCs w:val="17"/>
                <w:lang w:eastAsia="en-AU"/>
              </w:rPr>
            </w:pPr>
            <w:r w:rsidRPr="00DE4BC6">
              <w:rPr>
                <w:sz w:val="17"/>
                <w:szCs w:val="17"/>
                <w:lang w:eastAsia="en-AU"/>
              </w:rPr>
              <w:t>s203BF</w:t>
            </w:r>
          </w:p>
        </w:tc>
        <w:tc>
          <w:tcPr>
            <w:tcW w:w="2268" w:type="dxa"/>
          </w:tcPr>
          <w:p w14:paraId="603427B8" w14:textId="77777777" w:rsidR="008F4752" w:rsidRPr="00DE4BC6" w:rsidRDefault="008F4752" w:rsidP="00A94C57">
            <w:pPr>
              <w:rPr>
                <w:sz w:val="17"/>
                <w:szCs w:val="17"/>
                <w:lang w:eastAsia="en-AU"/>
              </w:rPr>
            </w:pPr>
            <w:r w:rsidRPr="00DE4BC6">
              <w:rPr>
                <w:sz w:val="17"/>
                <w:szCs w:val="17"/>
                <w:lang w:eastAsia="en-AU"/>
              </w:rPr>
              <w:t>Dispute resolution</w:t>
            </w:r>
          </w:p>
        </w:tc>
        <w:tc>
          <w:tcPr>
            <w:tcW w:w="5754" w:type="dxa"/>
          </w:tcPr>
          <w:p w14:paraId="4BE49A3B" w14:textId="77777777" w:rsidR="008F4752" w:rsidRPr="00DE4BC6" w:rsidRDefault="008F4752" w:rsidP="00A94C57">
            <w:pPr>
              <w:rPr>
                <w:sz w:val="17"/>
                <w:szCs w:val="17"/>
                <w:lang w:eastAsia="en-AU"/>
              </w:rPr>
            </w:pPr>
            <w:r w:rsidRPr="00DE4BC6">
              <w:rPr>
                <w:sz w:val="17"/>
                <w:szCs w:val="17"/>
                <w:lang w:eastAsia="en-AU"/>
              </w:rPr>
              <w:t xml:space="preserve">NTRB-SPs promote agreement and mediate disputes between native title groups. </w:t>
            </w:r>
          </w:p>
        </w:tc>
      </w:tr>
      <w:tr w:rsidR="008F4752" w:rsidRPr="00DE4BC6" w14:paraId="24ED8894" w14:textId="77777777" w:rsidTr="00A94C57">
        <w:tc>
          <w:tcPr>
            <w:tcW w:w="1078" w:type="dxa"/>
          </w:tcPr>
          <w:p w14:paraId="6C36E88E" w14:textId="77777777" w:rsidR="008F4752" w:rsidRPr="00DE4BC6" w:rsidRDefault="008F4752" w:rsidP="00A94C57">
            <w:pPr>
              <w:rPr>
                <w:sz w:val="17"/>
                <w:szCs w:val="17"/>
                <w:lang w:eastAsia="en-AU"/>
              </w:rPr>
            </w:pPr>
            <w:r w:rsidRPr="00DE4BC6">
              <w:rPr>
                <w:sz w:val="17"/>
                <w:szCs w:val="17"/>
                <w:lang w:eastAsia="en-AU"/>
              </w:rPr>
              <w:t>s203BG</w:t>
            </w:r>
          </w:p>
        </w:tc>
        <w:tc>
          <w:tcPr>
            <w:tcW w:w="2268" w:type="dxa"/>
          </w:tcPr>
          <w:p w14:paraId="118490EA" w14:textId="77777777" w:rsidR="008F4752" w:rsidRPr="00DE4BC6" w:rsidRDefault="008F4752" w:rsidP="00A94C57">
            <w:pPr>
              <w:rPr>
                <w:sz w:val="17"/>
                <w:szCs w:val="17"/>
                <w:lang w:eastAsia="en-AU"/>
              </w:rPr>
            </w:pPr>
            <w:r w:rsidRPr="00DE4BC6">
              <w:rPr>
                <w:sz w:val="17"/>
                <w:szCs w:val="17"/>
                <w:lang w:eastAsia="en-AU"/>
              </w:rPr>
              <w:t>Notification</w:t>
            </w:r>
          </w:p>
        </w:tc>
        <w:tc>
          <w:tcPr>
            <w:tcW w:w="5754" w:type="dxa"/>
          </w:tcPr>
          <w:p w14:paraId="25B82844" w14:textId="77777777" w:rsidR="008F4752" w:rsidRPr="00DE4BC6" w:rsidRDefault="008F4752" w:rsidP="00A94C57">
            <w:pPr>
              <w:rPr>
                <w:sz w:val="17"/>
                <w:szCs w:val="17"/>
                <w:lang w:eastAsia="en-AU"/>
              </w:rPr>
            </w:pPr>
            <w:r w:rsidRPr="00DE4BC6">
              <w:rPr>
                <w:sz w:val="17"/>
                <w:szCs w:val="17"/>
                <w:lang w:eastAsia="en-AU"/>
              </w:rPr>
              <w:t xml:space="preserve">NTRB-SPs ensure that people that may hold native title are informed of other claims and of future acts and the time limits for responding to these. </w:t>
            </w:r>
          </w:p>
        </w:tc>
      </w:tr>
      <w:tr w:rsidR="008F4752" w:rsidRPr="00DE4BC6" w14:paraId="098EFB2E" w14:textId="77777777" w:rsidTr="00A94C57">
        <w:tc>
          <w:tcPr>
            <w:tcW w:w="1078" w:type="dxa"/>
          </w:tcPr>
          <w:p w14:paraId="479D615E" w14:textId="77777777" w:rsidR="008F4752" w:rsidRPr="00DE4BC6" w:rsidRDefault="008F4752" w:rsidP="00A94C57">
            <w:pPr>
              <w:rPr>
                <w:sz w:val="17"/>
                <w:szCs w:val="17"/>
                <w:lang w:eastAsia="en-AU"/>
              </w:rPr>
            </w:pPr>
            <w:r w:rsidRPr="00DE4BC6">
              <w:rPr>
                <w:sz w:val="17"/>
                <w:szCs w:val="17"/>
                <w:lang w:eastAsia="en-AU"/>
              </w:rPr>
              <w:t>s203BH</w:t>
            </w:r>
          </w:p>
        </w:tc>
        <w:tc>
          <w:tcPr>
            <w:tcW w:w="2268" w:type="dxa"/>
          </w:tcPr>
          <w:p w14:paraId="7BAD378D" w14:textId="77777777" w:rsidR="008F4752" w:rsidRPr="00DE4BC6" w:rsidRDefault="008F4752" w:rsidP="00A94C57">
            <w:pPr>
              <w:rPr>
                <w:sz w:val="17"/>
                <w:szCs w:val="17"/>
                <w:lang w:eastAsia="en-AU"/>
              </w:rPr>
            </w:pPr>
            <w:r w:rsidRPr="00DE4BC6">
              <w:rPr>
                <w:sz w:val="17"/>
                <w:szCs w:val="17"/>
                <w:lang w:eastAsia="en-AU"/>
              </w:rPr>
              <w:t>Agreement making</w:t>
            </w:r>
          </w:p>
        </w:tc>
        <w:tc>
          <w:tcPr>
            <w:tcW w:w="5754" w:type="dxa"/>
          </w:tcPr>
          <w:p w14:paraId="3F390559" w14:textId="77777777" w:rsidR="008F4752" w:rsidRPr="00DE4BC6" w:rsidRDefault="008F4752" w:rsidP="00A94C57">
            <w:pPr>
              <w:rPr>
                <w:sz w:val="17"/>
                <w:szCs w:val="17"/>
                <w:lang w:eastAsia="en-AU"/>
              </w:rPr>
            </w:pPr>
            <w:r w:rsidRPr="00DE4BC6">
              <w:rPr>
                <w:sz w:val="17"/>
                <w:szCs w:val="17"/>
                <w:lang w:eastAsia="en-AU"/>
              </w:rPr>
              <w:t>NTRB-SPs can be a party to ILUAs or other agreements.</w:t>
            </w:r>
          </w:p>
        </w:tc>
      </w:tr>
      <w:tr w:rsidR="008F4752" w:rsidRPr="00DE4BC6" w14:paraId="40C9AA1A" w14:textId="77777777" w:rsidTr="00A94C57">
        <w:tc>
          <w:tcPr>
            <w:tcW w:w="1078" w:type="dxa"/>
          </w:tcPr>
          <w:p w14:paraId="4D46D100" w14:textId="77777777" w:rsidR="008F4752" w:rsidRPr="00DE4BC6" w:rsidRDefault="008F4752" w:rsidP="00A94C57">
            <w:pPr>
              <w:rPr>
                <w:sz w:val="17"/>
                <w:szCs w:val="17"/>
                <w:lang w:eastAsia="en-AU"/>
              </w:rPr>
            </w:pPr>
            <w:r w:rsidRPr="00DE4BC6">
              <w:rPr>
                <w:sz w:val="17"/>
                <w:szCs w:val="17"/>
                <w:lang w:eastAsia="en-AU"/>
              </w:rPr>
              <w:t>s203BI</w:t>
            </w:r>
          </w:p>
        </w:tc>
        <w:tc>
          <w:tcPr>
            <w:tcW w:w="2268" w:type="dxa"/>
          </w:tcPr>
          <w:p w14:paraId="30CCDD2B" w14:textId="77777777" w:rsidR="008F4752" w:rsidRPr="00DE4BC6" w:rsidRDefault="008F4752" w:rsidP="00A94C57">
            <w:pPr>
              <w:rPr>
                <w:sz w:val="17"/>
                <w:szCs w:val="17"/>
                <w:lang w:eastAsia="en-AU"/>
              </w:rPr>
            </w:pPr>
            <w:r w:rsidRPr="00DE4BC6">
              <w:rPr>
                <w:sz w:val="17"/>
                <w:szCs w:val="17"/>
                <w:lang w:eastAsia="en-AU"/>
              </w:rPr>
              <w:t>Internal review</w:t>
            </w:r>
          </w:p>
        </w:tc>
        <w:tc>
          <w:tcPr>
            <w:tcW w:w="5754" w:type="dxa"/>
          </w:tcPr>
          <w:p w14:paraId="3E4D913D" w14:textId="77777777" w:rsidR="008F4752" w:rsidRPr="00DE4BC6" w:rsidRDefault="008F4752" w:rsidP="00A94C57">
            <w:pPr>
              <w:rPr>
                <w:sz w:val="17"/>
                <w:szCs w:val="17"/>
                <w:lang w:eastAsia="en-AU"/>
              </w:rPr>
            </w:pPr>
            <w:r w:rsidRPr="00DE4BC6">
              <w:rPr>
                <w:sz w:val="17"/>
                <w:szCs w:val="17"/>
                <w:lang w:eastAsia="en-AU"/>
              </w:rPr>
              <w:t>NTRB-SPs have a process by which native title claimants can seek a review of decisions and actions they have made, and promote access to this process for claimants.</w:t>
            </w:r>
          </w:p>
        </w:tc>
      </w:tr>
      <w:tr w:rsidR="008F4752" w:rsidRPr="00DE4BC6" w14:paraId="393BD146" w14:textId="77777777" w:rsidTr="00A94C57">
        <w:tc>
          <w:tcPr>
            <w:tcW w:w="1078" w:type="dxa"/>
          </w:tcPr>
          <w:p w14:paraId="138F723A" w14:textId="77777777" w:rsidR="008F4752" w:rsidRPr="00DE4BC6" w:rsidRDefault="008F4752" w:rsidP="00A94C57">
            <w:pPr>
              <w:rPr>
                <w:sz w:val="17"/>
                <w:szCs w:val="17"/>
                <w:lang w:eastAsia="en-AU"/>
              </w:rPr>
            </w:pPr>
            <w:r w:rsidRPr="00DE4BC6">
              <w:rPr>
                <w:sz w:val="17"/>
                <w:szCs w:val="17"/>
                <w:lang w:eastAsia="en-AU"/>
              </w:rPr>
              <w:t>s203BJ</w:t>
            </w:r>
          </w:p>
        </w:tc>
        <w:tc>
          <w:tcPr>
            <w:tcW w:w="2268" w:type="dxa"/>
          </w:tcPr>
          <w:p w14:paraId="011DD931" w14:textId="77777777" w:rsidR="008F4752" w:rsidRPr="00DE4BC6" w:rsidRDefault="008F4752" w:rsidP="00A94C57">
            <w:pPr>
              <w:rPr>
                <w:sz w:val="17"/>
                <w:szCs w:val="17"/>
                <w:lang w:eastAsia="en-AU"/>
              </w:rPr>
            </w:pPr>
            <w:r w:rsidRPr="00DE4BC6">
              <w:rPr>
                <w:sz w:val="17"/>
                <w:szCs w:val="17"/>
                <w:lang w:eastAsia="en-AU"/>
              </w:rPr>
              <w:t>Other functions conferred by the Act or by any other law</w:t>
            </w:r>
          </w:p>
        </w:tc>
        <w:tc>
          <w:tcPr>
            <w:tcW w:w="5754" w:type="dxa"/>
          </w:tcPr>
          <w:p w14:paraId="7121D02A" w14:textId="77777777" w:rsidR="008F4752" w:rsidRPr="00DE4BC6" w:rsidRDefault="008F4752" w:rsidP="00A94C57">
            <w:pPr>
              <w:rPr>
                <w:sz w:val="17"/>
                <w:szCs w:val="17"/>
                <w:lang w:eastAsia="en-AU"/>
              </w:rPr>
            </w:pPr>
            <w:r w:rsidRPr="00DE4BC6">
              <w:rPr>
                <w:sz w:val="17"/>
                <w:szCs w:val="17"/>
                <w:lang w:eastAsia="en-AU"/>
              </w:rPr>
              <w:t xml:space="preserve">These are largely concerned with cooperation between NTRB-SPs, consulting with Aboriginal and Torres Strait Islander communities, and providing education to these communities on native title matters. </w:t>
            </w:r>
          </w:p>
        </w:tc>
      </w:tr>
    </w:tbl>
    <w:p w14:paraId="46D82CBE" w14:textId="77777777" w:rsidR="008F4752" w:rsidRPr="00F142E6" w:rsidRDefault="008F4752" w:rsidP="008F4752">
      <w:pPr>
        <w:rPr>
          <w:lang w:eastAsia="en-AU"/>
        </w:rPr>
      </w:pPr>
    </w:p>
    <w:bookmarkEnd w:id="153"/>
    <w:p w14:paraId="53FAEEFE" w14:textId="77777777" w:rsidR="008F4752" w:rsidRDefault="008F4752" w:rsidP="00EB3786"/>
    <w:p w14:paraId="14F53BC8" w14:textId="77777777" w:rsidR="00FA1C3D" w:rsidRDefault="00FA1C3D"/>
    <w:sectPr w:rsidR="00FA1C3D" w:rsidSect="00272EEE">
      <w:headerReference w:type="default" r:id="rId18"/>
      <w:footerReference w:type="default" r:id="rId19"/>
      <w:headerReference w:type="first" r:id="rId20"/>
      <w:footerReference w:type="first" r:id="rId21"/>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7CF49" w14:textId="77777777" w:rsidR="00C60E17" w:rsidRDefault="00C60E17" w:rsidP="00302076">
      <w:pPr>
        <w:spacing w:after="0"/>
      </w:pPr>
      <w:r>
        <w:separator/>
      </w:r>
    </w:p>
  </w:endnote>
  <w:endnote w:type="continuationSeparator" w:id="0">
    <w:p w14:paraId="53CC00A9" w14:textId="77777777" w:rsidR="00C60E17" w:rsidRDefault="00C60E17" w:rsidP="00302076">
      <w:pPr>
        <w:spacing w:after="0"/>
      </w:pPr>
      <w:r>
        <w:continuationSeparator/>
      </w:r>
    </w:p>
  </w:endnote>
  <w:endnote w:type="continuationNotice" w:id="1">
    <w:p w14:paraId="0A5B0223" w14:textId="77777777" w:rsidR="00C60E17" w:rsidRDefault="00C60E1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54B71" w14:textId="55BEAEE5" w:rsidR="00B70AA2" w:rsidRPr="00FD4AB1" w:rsidRDefault="00B70AA2" w:rsidP="000A7531">
    <w:pPr>
      <w:pStyle w:val="Footer"/>
      <w:rPr>
        <w:rFonts w:ascii="Segoe UI Semibold" w:hAnsi="Segoe UI Semibold" w:cs="Segoe UI"/>
        <w:b/>
      </w:rPr>
    </w:pPr>
    <w:r>
      <w:rPr>
        <w:color w:val="808080" w:themeColor="background1" w:themeShade="80"/>
        <w:sz w:val="15"/>
        <w:szCs w:val="15"/>
        <w:lang w:eastAsia="en-AU"/>
      </w:rPr>
      <w:t xml:space="preserve">Nous Group | </w:t>
    </w:r>
    <w:sdt>
      <w:sdtPr>
        <w:rPr>
          <w:color w:val="808080" w:themeColor="background1" w:themeShade="80"/>
          <w:sz w:val="15"/>
          <w:szCs w:val="15"/>
          <w:lang w:eastAsia="en-AU"/>
        </w:rPr>
        <w:alias w:val="Title"/>
        <w:id w:val="480130150"/>
        <w:dataBinding w:prefixMappings="xmlns:ns0='http://purl.org/dc/elements/1.1/' xmlns:ns1='http://schemas.openxmlformats.org/package/2006/metadata/core-properties' " w:xpath="/ns1:coreProperties[1]/ns0:title[1]" w:storeItemID="{6C3C8BC8-F283-45AE-878A-BAB7291924A1}"/>
        <w:text/>
      </w:sdtPr>
      <w:sdtEndPr/>
      <w:sdtContent>
        <w:r w:rsidR="00C35132">
          <w:rPr>
            <w:color w:val="808080" w:themeColor="background1" w:themeShade="80"/>
            <w:sz w:val="15"/>
            <w:szCs w:val="15"/>
            <w:lang w:eastAsia="en-AU"/>
          </w:rPr>
          <w:t>Review of Performance as a Native Title Representative Body: Kimberley Land Council</w:t>
        </w:r>
      </w:sdtContent>
    </w:sdt>
    <w:r>
      <w:rPr>
        <w:color w:val="808080" w:themeColor="background1" w:themeShade="80"/>
        <w:sz w:val="15"/>
        <w:szCs w:val="15"/>
        <w:lang w:eastAsia="en-AU"/>
      </w:rPr>
      <w:t xml:space="preserve"> | </w:t>
    </w:r>
    <w:sdt>
      <w:sdtPr>
        <w:rPr>
          <w:color w:val="808080" w:themeColor="background1" w:themeShade="80"/>
          <w:sz w:val="15"/>
          <w:szCs w:val="15"/>
          <w:lang w:eastAsia="en-AU"/>
        </w:rPr>
        <w:alias w:val="Publish Date"/>
        <w:id w:val="-1921550597"/>
        <w:dataBinding w:prefixMappings="xmlns:ns0='http://schemas.microsoft.com/office/2006/coverPageProps' " w:xpath="/ns0:CoverPageProperties[1]/ns0:PublishDate[1]" w:storeItemID="{55AF091B-3C7A-41E3-B477-F2FDAA23CFDA}"/>
        <w:date w:fullDate="2021-03-29T00:00:00Z">
          <w:dateFormat w:val="d MMMM yyyy"/>
          <w:lid w:val="en-AU"/>
          <w:storeMappedDataAs w:val="dateTime"/>
          <w:calendar w:val="gregorian"/>
        </w:date>
      </w:sdtPr>
      <w:sdtEndPr/>
      <w:sdtContent>
        <w:r w:rsidR="003E58E3">
          <w:rPr>
            <w:color w:val="808080" w:themeColor="background1" w:themeShade="80"/>
            <w:sz w:val="15"/>
            <w:szCs w:val="15"/>
            <w:lang w:eastAsia="en-AU"/>
          </w:rPr>
          <w:t>29 March 2021</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D" w14:textId="05E2132D" w:rsidR="00B70AA2" w:rsidRPr="007A5C67" w:rsidRDefault="00B70AA2" w:rsidP="00000A9B">
    <w:pPr>
      <w:spacing w:after="0"/>
      <w:rPr>
        <w:color w:val="808080" w:themeColor="background1" w:themeShade="80"/>
        <w:sz w:val="15"/>
        <w:szCs w:val="15"/>
        <w:lang w:eastAsia="en-AU"/>
      </w:rPr>
    </w:pPr>
    <w:r>
      <w:rPr>
        <w:color w:val="808080" w:themeColor="background1" w:themeShade="80"/>
        <w:sz w:val="15"/>
        <w:szCs w:val="15"/>
        <w:lang w:eastAsia="en-AU"/>
      </w:rPr>
      <w:t>Nous Group | Review of NTRB-SPs – KLC summary report</w:t>
    </w:r>
    <w:r w:rsidRPr="008A55C6">
      <w:rPr>
        <w:color w:val="808080" w:themeColor="background1" w:themeShade="80"/>
        <w:sz w:val="15"/>
        <w:szCs w:val="15"/>
        <w:lang w:eastAsia="en-AU"/>
      </w:rPr>
      <w:t xml:space="preserve"> | </w:t>
    </w:r>
    <w:r w:rsidR="003E58E3">
      <w:rPr>
        <w:color w:val="808080" w:themeColor="background1" w:themeShade="80"/>
        <w:sz w:val="15"/>
        <w:szCs w:val="15"/>
        <w:lang w:eastAsia="en-AU"/>
      </w:rPr>
      <w:t>March 2021</w:t>
    </w:r>
    <w:r w:rsidRPr="008A55C6">
      <w:rPr>
        <w:color w:val="808080" w:themeColor="background1" w:themeShade="80"/>
        <w:sz w:val="15"/>
        <w:szCs w:val="15"/>
      </w:rPr>
      <w:ptab w:relativeTo="margin" w:alignment="right" w:leader="none"/>
    </w:r>
    <w:r w:rsidRPr="008A55C6">
      <w:rPr>
        <w:color w:val="808080" w:themeColor="background1" w:themeShade="80"/>
      </w:rPr>
      <w:t xml:space="preserve">| </w:t>
    </w:r>
    <w:r w:rsidRPr="008A55C6">
      <w:rPr>
        <w:color w:val="808080" w:themeColor="background1" w:themeShade="80"/>
        <w:sz w:val="16"/>
        <w:szCs w:val="16"/>
      </w:rPr>
      <w:fldChar w:fldCharType="begin"/>
    </w:r>
    <w:r w:rsidRPr="008A55C6">
      <w:rPr>
        <w:color w:val="808080" w:themeColor="background1" w:themeShade="80"/>
        <w:sz w:val="16"/>
        <w:szCs w:val="16"/>
      </w:rPr>
      <w:instrText xml:space="preserve"> PAGE  \* Arabic  \* MERGEFORMAT </w:instrText>
    </w:r>
    <w:r w:rsidRPr="008A55C6">
      <w:rPr>
        <w:color w:val="808080" w:themeColor="background1" w:themeShade="80"/>
        <w:sz w:val="16"/>
        <w:szCs w:val="16"/>
      </w:rPr>
      <w:fldChar w:fldCharType="separate"/>
    </w:r>
    <w:r w:rsidR="003F4D05">
      <w:rPr>
        <w:noProof/>
        <w:color w:val="808080" w:themeColor="background1" w:themeShade="80"/>
        <w:sz w:val="16"/>
        <w:szCs w:val="16"/>
      </w:rPr>
      <w:t>21</w:t>
    </w:r>
    <w:r w:rsidRPr="008A55C6">
      <w:rPr>
        <w:color w:val="808080" w:themeColor="background1" w:themeShade="80"/>
        <w:sz w:val="16"/>
        <w:szCs w:val="16"/>
      </w:rPr>
      <w:fldChar w:fldCharType="end"/>
    </w:r>
    <w:r w:rsidRPr="008A55C6">
      <w:rPr>
        <w:color w:val="808080" w:themeColor="background1" w:themeShade="8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F" w14:textId="77777777" w:rsidR="00B70AA2" w:rsidRDefault="00B70AA2">
    <w:pPr>
      <w:pStyle w:val="Footer"/>
    </w:pPr>
    <w:r w:rsidRPr="000D4195">
      <w:rPr>
        <w:noProof/>
        <w:lang w:eastAsia="en-AU"/>
      </w:rPr>
      <w:drawing>
        <wp:anchor distT="0" distB="0" distL="114300" distR="114300" simplePos="0" relativeHeight="251658241" behindDoc="0" locked="0" layoutInCell="1" allowOverlap="1" wp14:anchorId="162CE2B4" wp14:editId="15301FB7">
          <wp:simplePos x="0" y="0"/>
          <wp:positionH relativeFrom="page">
            <wp:posOffset>6285964</wp:posOffset>
          </wp:positionH>
          <wp:positionV relativeFrom="page">
            <wp:posOffset>10079665</wp:posOffset>
          </wp:positionV>
          <wp:extent cx="856155" cy="234000"/>
          <wp:effectExtent l="0" t="0" r="1270" b="0"/>
          <wp:wrapNone/>
          <wp:docPr id="11" name="Picture 11" descr="no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S_ORANG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6155"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C19AA9" w14:textId="77777777" w:rsidR="00C60E17" w:rsidRDefault="00C60E17" w:rsidP="00302076">
      <w:pPr>
        <w:spacing w:after="0"/>
      </w:pPr>
      <w:r>
        <w:separator/>
      </w:r>
    </w:p>
  </w:footnote>
  <w:footnote w:type="continuationSeparator" w:id="0">
    <w:p w14:paraId="5172A5AA" w14:textId="77777777" w:rsidR="00C60E17" w:rsidRDefault="00C60E17" w:rsidP="00302076">
      <w:pPr>
        <w:spacing w:after="0"/>
      </w:pPr>
      <w:r>
        <w:continuationSeparator/>
      </w:r>
    </w:p>
  </w:footnote>
  <w:footnote w:type="continuationNotice" w:id="1">
    <w:p w14:paraId="5C3EBBD8" w14:textId="77777777" w:rsidR="00C60E17" w:rsidRDefault="00C60E17">
      <w:pPr>
        <w:spacing w:after="0"/>
      </w:pPr>
    </w:p>
  </w:footnote>
  <w:footnote w:id="2">
    <w:p w14:paraId="7F17EE90" w14:textId="77777777" w:rsidR="004D0D30" w:rsidRDefault="004D0D30" w:rsidP="004D0D30">
      <w:pPr>
        <w:pStyle w:val="FootnoteText"/>
      </w:pPr>
      <w:r w:rsidRPr="00796791">
        <w:rPr>
          <w:rStyle w:val="FootnoteReference"/>
          <w:sz w:val="16"/>
          <w:szCs w:val="16"/>
        </w:rPr>
        <w:footnoteRef/>
      </w:r>
      <w:r w:rsidRPr="00796791">
        <w:rPr>
          <w:sz w:val="16"/>
          <w:szCs w:val="16"/>
        </w:rPr>
        <w:t xml:space="preserve"> Note in</w:t>
      </w:r>
      <w:r>
        <w:rPr>
          <w:sz w:val="16"/>
          <w:szCs w:val="16"/>
        </w:rPr>
        <w:t xml:space="preserve"> July 2019 the National Indigenous Australians Agency (NIAA) was established to lead Indigenous Affairs Policy for the Australian Government. NIAA has commissioned subsequent NTRB-SP Reviews.</w:t>
      </w:r>
    </w:p>
  </w:footnote>
  <w:footnote w:id="3">
    <w:p w14:paraId="0E4B2E14" w14:textId="77777777" w:rsidR="00B70AA2" w:rsidRPr="007E3CB0" w:rsidRDefault="00B70AA2" w:rsidP="00A50E1C">
      <w:pPr>
        <w:pStyle w:val="FootnoteText"/>
        <w:rPr>
          <w:rFonts w:cs="Segoe UI"/>
          <w:sz w:val="16"/>
          <w:szCs w:val="16"/>
        </w:rPr>
      </w:pPr>
      <w:r w:rsidRPr="007E3CB0">
        <w:rPr>
          <w:rStyle w:val="FootnoteReference"/>
          <w:rFonts w:cs="Segoe UI"/>
          <w:sz w:val="16"/>
          <w:szCs w:val="16"/>
        </w:rPr>
        <w:footnoteRef/>
      </w:r>
      <w:r w:rsidRPr="007E3CB0">
        <w:rPr>
          <w:rFonts w:cs="Segoe UI"/>
          <w:sz w:val="16"/>
          <w:szCs w:val="16"/>
        </w:rPr>
        <w:t xml:space="preserve"> KLC Land and Sea Overview, &lt;https://www.klc.org.au/land-and-sea-overview/&gt;.</w:t>
      </w:r>
    </w:p>
  </w:footnote>
  <w:footnote w:id="4">
    <w:p w14:paraId="75337939" w14:textId="77777777" w:rsidR="00B70AA2" w:rsidRPr="007E3CB0" w:rsidRDefault="00B70AA2" w:rsidP="00A50E1C">
      <w:pPr>
        <w:pStyle w:val="FootnoteText"/>
        <w:rPr>
          <w:rFonts w:cs="Segoe UI"/>
          <w:sz w:val="16"/>
          <w:szCs w:val="16"/>
        </w:rPr>
      </w:pPr>
      <w:r w:rsidRPr="007E3CB0">
        <w:rPr>
          <w:rStyle w:val="FootnoteReference"/>
          <w:rFonts w:cs="Segoe UI"/>
          <w:sz w:val="16"/>
          <w:szCs w:val="16"/>
        </w:rPr>
        <w:footnoteRef/>
      </w:r>
      <w:r w:rsidRPr="007E3CB0">
        <w:rPr>
          <w:rFonts w:cs="Segoe UI"/>
          <w:sz w:val="16"/>
          <w:szCs w:val="16"/>
        </w:rPr>
        <w:t xml:space="preserve"> Annual Report 2018.</w:t>
      </w:r>
    </w:p>
  </w:footnote>
  <w:footnote w:id="5">
    <w:p w14:paraId="52BE763E" w14:textId="77777777" w:rsidR="00B70AA2" w:rsidRPr="007E3CB0" w:rsidRDefault="00B70AA2" w:rsidP="00A50E1C">
      <w:pPr>
        <w:pStyle w:val="FootnoteText"/>
        <w:rPr>
          <w:rFonts w:cs="Segoe UI"/>
          <w:sz w:val="16"/>
          <w:szCs w:val="16"/>
        </w:rPr>
      </w:pPr>
      <w:r w:rsidRPr="007E3CB0">
        <w:rPr>
          <w:rStyle w:val="FootnoteReference"/>
          <w:rFonts w:cs="Segoe UI"/>
          <w:sz w:val="16"/>
          <w:szCs w:val="16"/>
        </w:rPr>
        <w:footnoteRef/>
      </w:r>
      <w:r w:rsidRPr="007E3CB0">
        <w:rPr>
          <w:rFonts w:cs="Segoe UI"/>
          <w:sz w:val="16"/>
          <w:szCs w:val="16"/>
        </w:rPr>
        <w:t xml:space="preserve"> KLC Operational Plans 2015-16, 2017-18, 2018-19.</w:t>
      </w:r>
    </w:p>
  </w:footnote>
  <w:footnote w:id="6">
    <w:p w14:paraId="6FCB1026" w14:textId="7E4C1C7A" w:rsidR="00B70AA2" w:rsidRPr="004E61FF" w:rsidRDefault="00B70AA2" w:rsidP="00A50E1C">
      <w:pPr>
        <w:pStyle w:val="FootnoteText"/>
        <w:rPr>
          <w:sz w:val="16"/>
          <w:szCs w:val="16"/>
        </w:rPr>
      </w:pPr>
      <w:r w:rsidRPr="004E61FF">
        <w:rPr>
          <w:rStyle w:val="FootnoteReference"/>
          <w:sz w:val="16"/>
          <w:szCs w:val="16"/>
        </w:rPr>
        <w:footnoteRef/>
      </w:r>
      <w:r w:rsidRPr="004E61FF">
        <w:rPr>
          <w:sz w:val="16"/>
          <w:szCs w:val="16"/>
        </w:rPr>
        <w:t xml:space="preserve"> Information provided to the </w:t>
      </w:r>
      <w:r w:rsidR="00F27BA5">
        <w:rPr>
          <w:sz w:val="16"/>
          <w:szCs w:val="16"/>
        </w:rPr>
        <w:t>R</w:t>
      </w:r>
      <w:r w:rsidRPr="004E61FF">
        <w:rPr>
          <w:sz w:val="16"/>
          <w:szCs w:val="16"/>
        </w:rPr>
        <w:t>eview by the KLC in response to the first draft report. This relationship is disclosed in the 30 June 2018 audited financial statements at note 14: Related Party Transactions.</w:t>
      </w:r>
    </w:p>
  </w:footnote>
  <w:footnote w:id="7">
    <w:p w14:paraId="5C3763A9" w14:textId="77777777" w:rsidR="00B70AA2" w:rsidRPr="007E3CB0" w:rsidRDefault="00B70AA2" w:rsidP="00A50E1C">
      <w:pPr>
        <w:pStyle w:val="FootnoteText"/>
        <w:rPr>
          <w:rFonts w:cs="Segoe UI"/>
          <w:sz w:val="16"/>
          <w:szCs w:val="16"/>
        </w:rPr>
      </w:pPr>
      <w:r w:rsidRPr="007E3CB0">
        <w:rPr>
          <w:rStyle w:val="FootnoteReference"/>
          <w:rFonts w:cs="Segoe UI"/>
          <w:sz w:val="16"/>
          <w:szCs w:val="16"/>
        </w:rPr>
        <w:footnoteRef/>
      </w:r>
      <w:r w:rsidRPr="0092049C">
        <w:rPr>
          <w:rFonts w:cs="Segoe UI"/>
          <w:sz w:val="16"/>
          <w:szCs w:val="16"/>
        </w:rPr>
        <w:t xml:space="preserve"> </w:t>
      </w:r>
      <w:r>
        <w:rPr>
          <w:rFonts w:cs="Segoe UI"/>
          <w:sz w:val="16"/>
          <w:szCs w:val="16"/>
        </w:rPr>
        <w:t>Annual Report 2018.</w:t>
      </w:r>
    </w:p>
  </w:footnote>
  <w:footnote w:id="8">
    <w:p w14:paraId="5287447A" w14:textId="77777777" w:rsidR="00B70AA2" w:rsidRPr="007E3CB0" w:rsidRDefault="00B70AA2" w:rsidP="007E751B">
      <w:pPr>
        <w:pStyle w:val="FootnoteText"/>
        <w:rPr>
          <w:rFonts w:cs="Segoe UI"/>
          <w:sz w:val="16"/>
          <w:szCs w:val="16"/>
        </w:rPr>
      </w:pPr>
      <w:r w:rsidRPr="009C5F2C">
        <w:rPr>
          <w:rStyle w:val="FootnoteReference"/>
          <w:rFonts w:cs="Segoe UI"/>
          <w:sz w:val="16"/>
          <w:szCs w:val="16"/>
        </w:rPr>
        <w:footnoteRef/>
      </w:r>
      <w:r w:rsidRPr="009C5F2C">
        <w:rPr>
          <w:rFonts w:cs="Segoe UI"/>
          <w:sz w:val="16"/>
          <w:szCs w:val="16"/>
        </w:rPr>
        <w:t xml:space="preserve"> Figure includes the Jabirr Jabirr/ Ngumbarl and Bindunbur claims which the KLC represented during the review period before briefing out for litigation.</w:t>
      </w:r>
    </w:p>
  </w:footnote>
  <w:footnote w:id="9">
    <w:p w14:paraId="30A49A3F" w14:textId="77777777" w:rsidR="00B70AA2" w:rsidRPr="007E3CB0" w:rsidRDefault="00B70AA2" w:rsidP="003E1C68">
      <w:pPr>
        <w:pStyle w:val="FootnoteText"/>
        <w:rPr>
          <w:rFonts w:cs="Segoe UI"/>
          <w:sz w:val="16"/>
          <w:szCs w:val="16"/>
        </w:rPr>
      </w:pPr>
      <w:r w:rsidRPr="007E3CB0">
        <w:rPr>
          <w:rStyle w:val="FootnoteReference"/>
          <w:rFonts w:cs="Segoe UI"/>
          <w:sz w:val="16"/>
          <w:szCs w:val="16"/>
        </w:rPr>
        <w:footnoteRef/>
      </w:r>
      <w:r w:rsidRPr="007E3CB0">
        <w:rPr>
          <w:rFonts w:cs="Segoe UI"/>
          <w:sz w:val="16"/>
          <w:szCs w:val="16"/>
        </w:rPr>
        <w:t xml:space="preserve"> KLC Guidelines for Assistance in Native Title Claims.</w:t>
      </w:r>
    </w:p>
  </w:footnote>
  <w:footnote w:id="10">
    <w:p w14:paraId="2A5ACDD8" w14:textId="77A7A833" w:rsidR="00B70AA2" w:rsidRPr="007E3CB0" w:rsidRDefault="00B70AA2" w:rsidP="007E751B">
      <w:pPr>
        <w:pStyle w:val="FootnoteText"/>
        <w:rPr>
          <w:rFonts w:cs="Segoe UI"/>
          <w:sz w:val="16"/>
          <w:szCs w:val="16"/>
        </w:rPr>
      </w:pPr>
      <w:r w:rsidRPr="007E3CB0">
        <w:rPr>
          <w:rStyle w:val="FootnoteReference"/>
          <w:rFonts w:cs="Segoe UI"/>
          <w:sz w:val="16"/>
          <w:szCs w:val="16"/>
        </w:rPr>
        <w:footnoteRef/>
      </w:r>
      <w:r w:rsidRPr="007E3CB0">
        <w:rPr>
          <w:rFonts w:cs="Segoe UI"/>
          <w:sz w:val="16"/>
          <w:szCs w:val="16"/>
        </w:rPr>
        <w:t xml:space="preserve"> </w:t>
      </w:r>
      <w:r>
        <w:rPr>
          <w:rFonts w:cs="Segoe UI"/>
          <w:sz w:val="16"/>
          <w:szCs w:val="16"/>
        </w:rPr>
        <w:t>Annual Report 2017-18.</w:t>
      </w:r>
      <w:r w:rsidR="00DD4645">
        <w:rPr>
          <w:rFonts w:cs="Segoe UI"/>
          <w:sz w:val="16"/>
          <w:szCs w:val="16"/>
        </w:rPr>
        <w:t xml:space="preserve"> </w:t>
      </w:r>
      <w:r w:rsidR="00CB21ED">
        <w:rPr>
          <w:rFonts w:cs="Segoe UI"/>
          <w:sz w:val="16"/>
          <w:szCs w:val="16"/>
        </w:rPr>
        <w:t>N</w:t>
      </w:r>
      <w:r w:rsidR="00DD4645">
        <w:rPr>
          <w:rFonts w:cs="Segoe UI"/>
          <w:sz w:val="16"/>
          <w:szCs w:val="16"/>
        </w:rPr>
        <w:t>ote that</w:t>
      </w:r>
      <w:r w:rsidR="0027730D">
        <w:rPr>
          <w:rFonts w:cs="Segoe UI"/>
          <w:sz w:val="16"/>
          <w:szCs w:val="16"/>
        </w:rPr>
        <w:t xml:space="preserve"> </w:t>
      </w:r>
      <w:r w:rsidR="00CB21ED">
        <w:rPr>
          <w:rFonts w:cs="Segoe UI"/>
          <w:sz w:val="16"/>
          <w:szCs w:val="16"/>
        </w:rPr>
        <w:t>o</w:t>
      </w:r>
      <w:r w:rsidR="006146B3" w:rsidRPr="006146B3">
        <w:rPr>
          <w:rFonts w:cs="Segoe UI"/>
          <w:sz w:val="16"/>
          <w:szCs w:val="16"/>
        </w:rPr>
        <w:t xml:space="preserve">ne of the areas shown as “future claims” on the map is subject to a determination of native title </w:t>
      </w:r>
      <w:r w:rsidR="006146B3">
        <w:rPr>
          <w:rFonts w:cs="Segoe UI"/>
          <w:sz w:val="16"/>
          <w:szCs w:val="16"/>
        </w:rPr>
        <w:t>– this is t</w:t>
      </w:r>
      <w:r w:rsidR="00D84561" w:rsidRPr="00D84561">
        <w:rPr>
          <w:rFonts w:cs="Segoe UI"/>
          <w:sz w:val="16"/>
          <w:szCs w:val="16"/>
        </w:rPr>
        <w:t>he Prince Regent Nature Reserve, subject to a finding in Neowarra v State of Western Australia [2003] FCA 1402 that the reserve was a previous exclusive possession act.</w:t>
      </w:r>
      <w:r w:rsidR="006146B3">
        <w:rPr>
          <w:rFonts w:cs="Segoe UI"/>
          <w:sz w:val="16"/>
          <w:szCs w:val="16"/>
        </w:rPr>
        <w:t xml:space="preserve"> </w:t>
      </w:r>
      <w:r w:rsidR="00CB21ED">
        <w:rPr>
          <w:rFonts w:cs="Segoe UI"/>
          <w:sz w:val="16"/>
          <w:szCs w:val="16"/>
        </w:rPr>
        <w:t xml:space="preserve">Note that another area depicted on this map </w:t>
      </w:r>
      <w:r w:rsidR="000771CA" w:rsidRPr="000771CA">
        <w:rPr>
          <w:rFonts w:cs="Segoe UI"/>
          <w:sz w:val="16"/>
          <w:szCs w:val="16"/>
        </w:rPr>
        <w:t>was subject to a claim at the time of the review</w:t>
      </w:r>
      <w:r w:rsidR="0042380D">
        <w:rPr>
          <w:rFonts w:cs="Segoe UI"/>
          <w:sz w:val="16"/>
          <w:szCs w:val="16"/>
        </w:rPr>
        <w:t xml:space="preserve"> - </w:t>
      </w:r>
      <w:r w:rsidR="0042380D" w:rsidRPr="0042380D">
        <w:rPr>
          <w:rFonts w:cs="Segoe UI"/>
          <w:sz w:val="16"/>
          <w:szCs w:val="16"/>
        </w:rPr>
        <w:t>Birriman-gan, lodged on 22 November 2018</w:t>
      </w:r>
      <w:r w:rsidR="0042380D">
        <w:rPr>
          <w:rFonts w:cs="Segoe UI"/>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463AB" w14:textId="77777777" w:rsidR="00B70AA2" w:rsidRDefault="00B70AA2">
    <w:pPr>
      <w:pStyle w:val="Header"/>
    </w:pPr>
    <w:r>
      <w:rPr>
        <w:noProof/>
        <w:sz w:val="20"/>
        <w:szCs w:val="20"/>
        <w:lang w:eastAsia="en-AU"/>
      </w:rPr>
      <w:drawing>
        <wp:anchor distT="0" distB="0" distL="114300" distR="114300" simplePos="0" relativeHeight="251658243" behindDoc="0" locked="0" layoutInCell="1" allowOverlap="1" wp14:anchorId="05DF786C" wp14:editId="691B6DE5">
          <wp:simplePos x="0" y="0"/>
          <wp:positionH relativeFrom="page">
            <wp:posOffset>3337</wp:posOffset>
          </wp:positionH>
          <wp:positionV relativeFrom="page">
            <wp:posOffset>-6985</wp:posOffset>
          </wp:positionV>
          <wp:extent cx="7559749" cy="116958"/>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2A14F" w14:textId="77777777" w:rsidR="00B70AA2" w:rsidRDefault="00B70AA2" w:rsidP="000A7531">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C" w14:textId="77777777" w:rsidR="00B70AA2" w:rsidRPr="00B2563A" w:rsidRDefault="00B70AA2" w:rsidP="00B2563A">
    <w:pPr>
      <w:pStyle w:val="Header"/>
    </w:pPr>
    <w:r w:rsidRPr="000D4195">
      <w:rPr>
        <w:noProof/>
        <w:lang w:eastAsia="en-AU"/>
      </w:rPr>
      <w:drawing>
        <wp:anchor distT="0" distB="0" distL="114300" distR="114300" simplePos="0" relativeHeight="251658242" behindDoc="0" locked="0" layoutInCell="1" allowOverlap="1" wp14:anchorId="162CE2B0" wp14:editId="162CE2B1">
          <wp:simplePos x="0" y="0"/>
          <wp:positionH relativeFrom="page">
            <wp:posOffset>3810</wp:posOffset>
          </wp:positionH>
          <wp:positionV relativeFrom="page">
            <wp:posOffset>-3620</wp:posOffset>
          </wp:positionV>
          <wp:extent cx="7562850" cy="114300"/>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E" w14:textId="77777777" w:rsidR="00B70AA2" w:rsidRDefault="00B70AA2">
    <w:pPr>
      <w:pStyle w:val="Header"/>
    </w:pPr>
    <w:r w:rsidRPr="000D4195">
      <w:rPr>
        <w:noProof/>
        <w:lang w:eastAsia="en-AU"/>
      </w:rPr>
      <w:drawing>
        <wp:anchor distT="0" distB="0" distL="114300" distR="114300" simplePos="0" relativeHeight="251658240" behindDoc="0" locked="0" layoutInCell="1" allowOverlap="1" wp14:anchorId="162CE2B2" wp14:editId="162CE2B3">
          <wp:simplePos x="0" y="0"/>
          <wp:positionH relativeFrom="page">
            <wp:posOffset>-4255</wp:posOffset>
          </wp:positionH>
          <wp:positionV relativeFrom="page">
            <wp:posOffset>635</wp:posOffset>
          </wp:positionV>
          <wp:extent cx="7562850" cy="114300"/>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E2927A0"/>
    <w:multiLevelType w:val="hybridMultilevel"/>
    <w:tmpl w:val="C1F89CD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9A31A2"/>
    <w:multiLevelType w:val="multilevel"/>
    <w:tmpl w:val="86143C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F8810F3"/>
    <w:multiLevelType w:val="hybridMultilevel"/>
    <w:tmpl w:val="FA32E7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625D8B"/>
    <w:multiLevelType w:val="hybridMultilevel"/>
    <w:tmpl w:val="F4482672"/>
    <w:lvl w:ilvl="0" w:tplc="DDC68316">
      <w:start w:val="1"/>
      <w:numFmt w:val="decimal"/>
      <w:pStyle w:val="Listnumbered"/>
      <w:lvlText w:val="%1."/>
      <w:lvlJc w:val="left"/>
      <w:pPr>
        <w:ind w:left="397" w:hanging="397"/>
      </w:pPr>
      <w:rPr>
        <w:rFonts w:hint="default"/>
      </w:rPr>
    </w:lvl>
    <w:lvl w:ilvl="1" w:tplc="511616EA">
      <w:start w:val="1"/>
      <w:numFmt w:val="lowerLetter"/>
      <w:lvlText w:val="%2."/>
      <w:lvlJc w:val="left"/>
      <w:pPr>
        <w:ind w:left="794" w:hanging="397"/>
      </w:pPr>
      <w:rPr>
        <w:rFonts w:hint="default"/>
      </w:rPr>
    </w:lvl>
    <w:lvl w:ilvl="2" w:tplc="14D0C1D8">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4D27F6"/>
    <w:multiLevelType w:val="hybridMultilevel"/>
    <w:tmpl w:val="C534D9B4"/>
    <w:lvl w:ilvl="0" w:tplc="3CD4E9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1D079D"/>
    <w:multiLevelType w:val="hybridMultilevel"/>
    <w:tmpl w:val="CB309F40"/>
    <w:lvl w:ilvl="0" w:tplc="3CD4E9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B2E4365"/>
    <w:multiLevelType w:val="hybridMultilevel"/>
    <w:tmpl w:val="00A2A170"/>
    <w:lvl w:ilvl="0" w:tplc="C9D8D988">
      <w:start w:val="1"/>
      <w:numFmt w:val="bullet"/>
      <w:pStyle w:val="Bullet"/>
      <w:lvlText w:val=""/>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376A2698"/>
    <w:multiLevelType w:val="hybridMultilevel"/>
    <w:tmpl w:val="FF6EE4A2"/>
    <w:lvl w:ilvl="0" w:tplc="9E3E472C">
      <w:start w:val="1"/>
      <w:numFmt w:val="decimal"/>
      <w:pStyle w:val="TableNLis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D32309"/>
    <w:multiLevelType w:val="hybridMultilevel"/>
    <w:tmpl w:val="B71432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9D1413D"/>
    <w:multiLevelType w:val="multilevel"/>
    <w:tmpl w:val="E14812AE"/>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67" w:hanging="283"/>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0" w15:restartNumberingAfterBreak="0">
    <w:nsid w:val="3EA914BF"/>
    <w:multiLevelType w:val="hybridMultilevel"/>
    <w:tmpl w:val="0E44811E"/>
    <w:lvl w:ilvl="0" w:tplc="3CD4E9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40C0B05"/>
    <w:multiLevelType w:val="hybridMultilevel"/>
    <w:tmpl w:val="FA32E7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B9B0FDF"/>
    <w:multiLevelType w:val="hybridMultilevel"/>
    <w:tmpl w:val="2948292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D585548"/>
    <w:multiLevelType w:val="hybridMultilevel"/>
    <w:tmpl w:val="D758DDC8"/>
    <w:lvl w:ilvl="0" w:tplc="3CD4E9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F8A00B8"/>
    <w:multiLevelType w:val="hybridMultilevel"/>
    <w:tmpl w:val="3F82D55C"/>
    <w:lvl w:ilvl="0" w:tplc="3CD4E9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00A3272"/>
    <w:multiLevelType w:val="hybridMultilevel"/>
    <w:tmpl w:val="FA3C89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55C53CE"/>
    <w:multiLevelType w:val="hybridMultilevel"/>
    <w:tmpl w:val="9D869DE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7074625"/>
    <w:multiLevelType w:val="hybridMultilevel"/>
    <w:tmpl w:val="5330B676"/>
    <w:lvl w:ilvl="0" w:tplc="BF6AEE8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1A16EBA"/>
    <w:multiLevelType w:val="multilevel"/>
    <w:tmpl w:val="2698E5C8"/>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2E5099D"/>
    <w:multiLevelType w:val="hybridMultilevel"/>
    <w:tmpl w:val="D916C4AC"/>
    <w:lvl w:ilvl="0" w:tplc="3CD4E9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9B7218E"/>
    <w:multiLevelType w:val="hybridMultilevel"/>
    <w:tmpl w:val="9C061010"/>
    <w:lvl w:ilvl="0" w:tplc="3D506FDA">
      <w:start w:val="1"/>
      <w:numFmt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3"/>
  </w:num>
  <w:num w:numId="4">
    <w:abstractNumId w:val="1"/>
  </w:num>
  <w:num w:numId="5">
    <w:abstractNumId w:val="9"/>
  </w:num>
  <w:num w:numId="6">
    <w:abstractNumId w:val="2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lvlOverride w:ilvl="0">
      <w:startOverride w:val="1"/>
    </w:lvlOverride>
  </w:num>
  <w:num w:numId="10">
    <w:abstractNumId w:val="17"/>
  </w:num>
  <w:num w:numId="11">
    <w:abstractNumId w:val="16"/>
  </w:num>
  <w:num w:numId="12">
    <w:abstractNumId w:val="8"/>
  </w:num>
  <w:num w:numId="13">
    <w:abstractNumId w:val="15"/>
  </w:num>
  <w:num w:numId="14">
    <w:abstractNumId w:val="14"/>
  </w:num>
  <w:num w:numId="15">
    <w:abstractNumId w:val="10"/>
  </w:num>
  <w:num w:numId="16">
    <w:abstractNumId w:val="4"/>
  </w:num>
  <w:num w:numId="17">
    <w:abstractNumId w:val="19"/>
  </w:num>
  <w:num w:numId="18">
    <w:abstractNumId w:val="13"/>
  </w:num>
  <w:num w:numId="19">
    <w:abstractNumId w:val="0"/>
  </w:num>
  <w:num w:numId="20">
    <w:abstractNumId w:val="5"/>
  </w:num>
  <w:num w:numId="21">
    <w:abstractNumId w:val="12"/>
  </w:num>
  <w:num w:numId="22">
    <w:abstractNumId w:val="2"/>
  </w:num>
  <w:num w:numId="23">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bQwMrKwtLAwsjA0NDZT0lEKTi0uzszPAykwrAUAiSbytywAAAA="/>
  </w:docVars>
  <w:rsids>
    <w:rsidRoot w:val="007A76D0"/>
    <w:rsid w:val="000001EB"/>
    <w:rsid w:val="0000085F"/>
    <w:rsid w:val="00000A9B"/>
    <w:rsid w:val="00001C9A"/>
    <w:rsid w:val="00002727"/>
    <w:rsid w:val="00002C94"/>
    <w:rsid w:val="000032DC"/>
    <w:rsid w:val="00004A8F"/>
    <w:rsid w:val="00004DAE"/>
    <w:rsid w:val="000051CE"/>
    <w:rsid w:val="00005E07"/>
    <w:rsid w:val="00005E13"/>
    <w:rsid w:val="0000645F"/>
    <w:rsid w:val="0000734B"/>
    <w:rsid w:val="00007710"/>
    <w:rsid w:val="00007D42"/>
    <w:rsid w:val="00007ED1"/>
    <w:rsid w:val="00013097"/>
    <w:rsid w:val="00013D06"/>
    <w:rsid w:val="00014DF0"/>
    <w:rsid w:val="00015658"/>
    <w:rsid w:val="0001589A"/>
    <w:rsid w:val="00017DF5"/>
    <w:rsid w:val="00017E30"/>
    <w:rsid w:val="0002010C"/>
    <w:rsid w:val="00024163"/>
    <w:rsid w:val="00027F13"/>
    <w:rsid w:val="00030B3D"/>
    <w:rsid w:val="000318EA"/>
    <w:rsid w:val="00033603"/>
    <w:rsid w:val="000337F9"/>
    <w:rsid w:val="00033D43"/>
    <w:rsid w:val="00034486"/>
    <w:rsid w:val="000354E7"/>
    <w:rsid w:val="00040629"/>
    <w:rsid w:val="00040D2B"/>
    <w:rsid w:val="00041056"/>
    <w:rsid w:val="000438DD"/>
    <w:rsid w:val="00043FEB"/>
    <w:rsid w:val="00044653"/>
    <w:rsid w:val="00044DA0"/>
    <w:rsid w:val="00045290"/>
    <w:rsid w:val="00045B96"/>
    <w:rsid w:val="00047A54"/>
    <w:rsid w:val="00047BDF"/>
    <w:rsid w:val="00047D19"/>
    <w:rsid w:val="00047D2B"/>
    <w:rsid w:val="0005212F"/>
    <w:rsid w:val="00052805"/>
    <w:rsid w:val="00053F85"/>
    <w:rsid w:val="00054B9E"/>
    <w:rsid w:val="00054BB2"/>
    <w:rsid w:val="00054F8D"/>
    <w:rsid w:val="00056705"/>
    <w:rsid w:val="000567C1"/>
    <w:rsid w:val="00056B67"/>
    <w:rsid w:val="0005789D"/>
    <w:rsid w:val="00057E8D"/>
    <w:rsid w:val="0006048B"/>
    <w:rsid w:val="0006164C"/>
    <w:rsid w:val="00063399"/>
    <w:rsid w:val="00064BB7"/>
    <w:rsid w:val="00065939"/>
    <w:rsid w:val="000668FF"/>
    <w:rsid w:val="00067145"/>
    <w:rsid w:val="00067810"/>
    <w:rsid w:val="00067E21"/>
    <w:rsid w:val="00067FC8"/>
    <w:rsid w:val="0007063F"/>
    <w:rsid w:val="00072D25"/>
    <w:rsid w:val="00074D81"/>
    <w:rsid w:val="00074DC7"/>
    <w:rsid w:val="000771CA"/>
    <w:rsid w:val="0008372D"/>
    <w:rsid w:val="00083992"/>
    <w:rsid w:val="00083A9E"/>
    <w:rsid w:val="000841F4"/>
    <w:rsid w:val="00084EE5"/>
    <w:rsid w:val="000850B3"/>
    <w:rsid w:val="000856E3"/>
    <w:rsid w:val="00085834"/>
    <w:rsid w:val="000862FB"/>
    <w:rsid w:val="00087874"/>
    <w:rsid w:val="0009188F"/>
    <w:rsid w:val="00091A80"/>
    <w:rsid w:val="00093378"/>
    <w:rsid w:val="00093F96"/>
    <w:rsid w:val="00095D0D"/>
    <w:rsid w:val="00096AFA"/>
    <w:rsid w:val="00096C5F"/>
    <w:rsid w:val="00096EF0"/>
    <w:rsid w:val="000979F5"/>
    <w:rsid w:val="00097C4D"/>
    <w:rsid w:val="00097F2C"/>
    <w:rsid w:val="000A077A"/>
    <w:rsid w:val="000A0883"/>
    <w:rsid w:val="000A0D3C"/>
    <w:rsid w:val="000A0D6B"/>
    <w:rsid w:val="000A13C3"/>
    <w:rsid w:val="000A1F02"/>
    <w:rsid w:val="000A239B"/>
    <w:rsid w:val="000A256A"/>
    <w:rsid w:val="000A2F1B"/>
    <w:rsid w:val="000A6A29"/>
    <w:rsid w:val="000A6B36"/>
    <w:rsid w:val="000A7531"/>
    <w:rsid w:val="000A785C"/>
    <w:rsid w:val="000B1534"/>
    <w:rsid w:val="000B26CF"/>
    <w:rsid w:val="000B3E04"/>
    <w:rsid w:val="000B4528"/>
    <w:rsid w:val="000B54F3"/>
    <w:rsid w:val="000B6DF8"/>
    <w:rsid w:val="000B720D"/>
    <w:rsid w:val="000B754F"/>
    <w:rsid w:val="000B7985"/>
    <w:rsid w:val="000B7AA3"/>
    <w:rsid w:val="000C0472"/>
    <w:rsid w:val="000C0EE3"/>
    <w:rsid w:val="000C1CEF"/>
    <w:rsid w:val="000C27F3"/>
    <w:rsid w:val="000C34BB"/>
    <w:rsid w:val="000C3D88"/>
    <w:rsid w:val="000C459D"/>
    <w:rsid w:val="000C7926"/>
    <w:rsid w:val="000D01AD"/>
    <w:rsid w:val="000D04FD"/>
    <w:rsid w:val="000D0DA3"/>
    <w:rsid w:val="000D3203"/>
    <w:rsid w:val="000D356D"/>
    <w:rsid w:val="000D4195"/>
    <w:rsid w:val="000D4216"/>
    <w:rsid w:val="000D4B5E"/>
    <w:rsid w:val="000D5CE3"/>
    <w:rsid w:val="000D64CD"/>
    <w:rsid w:val="000D744F"/>
    <w:rsid w:val="000D7987"/>
    <w:rsid w:val="000E0D33"/>
    <w:rsid w:val="000E325F"/>
    <w:rsid w:val="000E5751"/>
    <w:rsid w:val="000E6705"/>
    <w:rsid w:val="000F0338"/>
    <w:rsid w:val="000F1763"/>
    <w:rsid w:val="000F21C9"/>
    <w:rsid w:val="000F2C6B"/>
    <w:rsid w:val="000F3681"/>
    <w:rsid w:val="000F4294"/>
    <w:rsid w:val="000F4A27"/>
    <w:rsid w:val="000F6D04"/>
    <w:rsid w:val="000F6ED7"/>
    <w:rsid w:val="000F7B48"/>
    <w:rsid w:val="000F7DF2"/>
    <w:rsid w:val="000F7F2F"/>
    <w:rsid w:val="00100D1C"/>
    <w:rsid w:val="001012EC"/>
    <w:rsid w:val="00101343"/>
    <w:rsid w:val="00101C45"/>
    <w:rsid w:val="00101CE6"/>
    <w:rsid w:val="00102387"/>
    <w:rsid w:val="001028F8"/>
    <w:rsid w:val="00102B5D"/>
    <w:rsid w:val="00103429"/>
    <w:rsid w:val="0010462B"/>
    <w:rsid w:val="00104822"/>
    <w:rsid w:val="00104C3A"/>
    <w:rsid w:val="001061BB"/>
    <w:rsid w:val="001069F9"/>
    <w:rsid w:val="00107587"/>
    <w:rsid w:val="001111D5"/>
    <w:rsid w:val="001124FA"/>
    <w:rsid w:val="001129C9"/>
    <w:rsid w:val="00112F98"/>
    <w:rsid w:val="00112FD2"/>
    <w:rsid w:val="00113188"/>
    <w:rsid w:val="0011406B"/>
    <w:rsid w:val="0011553E"/>
    <w:rsid w:val="001157CD"/>
    <w:rsid w:val="0011585E"/>
    <w:rsid w:val="00116182"/>
    <w:rsid w:val="0011718E"/>
    <w:rsid w:val="00117855"/>
    <w:rsid w:val="00120C51"/>
    <w:rsid w:val="00121CA1"/>
    <w:rsid w:val="001221EF"/>
    <w:rsid w:val="0012285B"/>
    <w:rsid w:val="00122A88"/>
    <w:rsid w:val="001242E7"/>
    <w:rsid w:val="00124C53"/>
    <w:rsid w:val="00125AE9"/>
    <w:rsid w:val="00126688"/>
    <w:rsid w:val="0013091F"/>
    <w:rsid w:val="00130ABF"/>
    <w:rsid w:val="00131A1F"/>
    <w:rsid w:val="00132C79"/>
    <w:rsid w:val="00135B2C"/>
    <w:rsid w:val="00135ED7"/>
    <w:rsid w:val="00137279"/>
    <w:rsid w:val="00140A6C"/>
    <w:rsid w:val="001413E6"/>
    <w:rsid w:val="001415E5"/>
    <w:rsid w:val="00141995"/>
    <w:rsid w:val="0014203C"/>
    <w:rsid w:val="001427C1"/>
    <w:rsid w:val="00143CBA"/>
    <w:rsid w:val="00144001"/>
    <w:rsid w:val="0014429D"/>
    <w:rsid w:val="00145516"/>
    <w:rsid w:val="00146789"/>
    <w:rsid w:val="00147322"/>
    <w:rsid w:val="00150BD2"/>
    <w:rsid w:val="00151249"/>
    <w:rsid w:val="00151988"/>
    <w:rsid w:val="001523D7"/>
    <w:rsid w:val="00152B89"/>
    <w:rsid w:val="00152FF3"/>
    <w:rsid w:val="00154BDF"/>
    <w:rsid w:val="001568C5"/>
    <w:rsid w:val="00157603"/>
    <w:rsid w:val="001600C1"/>
    <w:rsid w:val="00160955"/>
    <w:rsid w:val="00160A3F"/>
    <w:rsid w:val="00162DA3"/>
    <w:rsid w:val="00162F23"/>
    <w:rsid w:val="001634A5"/>
    <w:rsid w:val="0016356D"/>
    <w:rsid w:val="00165A6F"/>
    <w:rsid w:val="00165D5C"/>
    <w:rsid w:val="00165FFA"/>
    <w:rsid w:val="00166CD5"/>
    <w:rsid w:val="0016703D"/>
    <w:rsid w:val="00167672"/>
    <w:rsid w:val="00171042"/>
    <w:rsid w:val="00171F62"/>
    <w:rsid w:val="00171F80"/>
    <w:rsid w:val="001737E1"/>
    <w:rsid w:val="0017418C"/>
    <w:rsid w:val="00174E49"/>
    <w:rsid w:val="0017752B"/>
    <w:rsid w:val="001809F4"/>
    <w:rsid w:val="00180AB8"/>
    <w:rsid w:val="00180D9A"/>
    <w:rsid w:val="001819A2"/>
    <w:rsid w:val="00181F59"/>
    <w:rsid w:val="0018273B"/>
    <w:rsid w:val="001831B4"/>
    <w:rsid w:val="001835E7"/>
    <w:rsid w:val="0018360A"/>
    <w:rsid w:val="001838BC"/>
    <w:rsid w:val="00183B36"/>
    <w:rsid w:val="001858E0"/>
    <w:rsid w:val="00185E0F"/>
    <w:rsid w:val="0018662E"/>
    <w:rsid w:val="00186C82"/>
    <w:rsid w:val="00187B26"/>
    <w:rsid w:val="00191526"/>
    <w:rsid w:val="00192859"/>
    <w:rsid w:val="00192F9A"/>
    <w:rsid w:val="00193435"/>
    <w:rsid w:val="001942B3"/>
    <w:rsid w:val="001946F0"/>
    <w:rsid w:val="001959FB"/>
    <w:rsid w:val="00196E9A"/>
    <w:rsid w:val="00197211"/>
    <w:rsid w:val="00197C1D"/>
    <w:rsid w:val="001A1C5B"/>
    <w:rsid w:val="001A1ED3"/>
    <w:rsid w:val="001A28C6"/>
    <w:rsid w:val="001A2AC5"/>
    <w:rsid w:val="001A3EDE"/>
    <w:rsid w:val="001A4083"/>
    <w:rsid w:val="001A447C"/>
    <w:rsid w:val="001A58E6"/>
    <w:rsid w:val="001A5B49"/>
    <w:rsid w:val="001A7C76"/>
    <w:rsid w:val="001A7EA7"/>
    <w:rsid w:val="001B0795"/>
    <w:rsid w:val="001B18D6"/>
    <w:rsid w:val="001B21E2"/>
    <w:rsid w:val="001B2391"/>
    <w:rsid w:val="001B2EB8"/>
    <w:rsid w:val="001B31E9"/>
    <w:rsid w:val="001B44DE"/>
    <w:rsid w:val="001B4B46"/>
    <w:rsid w:val="001B4D27"/>
    <w:rsid w:val="001B7431"/>
    <w:rsid w:val="001C1921"/>
    <w:rsid w:val="001C220F"/>
    <w:rsid w:val="001C35F2"/>
    <w:rsid w:val="001C409E"/>
    <w:rsid w:val="001C42CF"/>
    <w:rsid w:val="001C4669"/>
    <w:rsid w:val="001C46FD"/>
    <w:rsid w:val="001C533D"/>
    <w:rsid w:val="001C66F6"/>
    <w:rsid w:val="001D0BAC"/>
    <w:rsid w:val="001D14D4"/>
    <w:rsid w:val="001D1A57"/>
    <w:rsid w:val="001D2806"/>
    <w:rsid w:val="001D290F"/>
    <w:rsid w:val="001D2C88"/>
    <w:rsid w:val="001D461F"/>
    <w:rsid w:val="001D4846"/>
    <w:rsid w:val="001D5095"/>
    <w:rsid w:val="001D561B"/>
    <w:rsid w:val="001D5C32"/>
    <w:rsid w:val="001D6A88"/>
    <w:rsid w:val="001D6FB0"/>
    <w:rsid w:val="001E0867"/>
    <w:rsid w:val="001E20F1"/>
    <w:rsid w:val="001E3397"/>
    <w:rsid w:val="001E4136"/>
    <w:rsid w:val="001E4DA1"/>
    <w:rsid w:val="001E6D9E"/>
    <w:rsid w:val="001F04B8"/>
    <w:rsid w:val="001F1695"/>
    <w:rsid w:val="001F20AA"/>
    <w:rsid w:val="001F24CF"/>
    <w:rsid w:val="001F2EB2"/>
    <w:rsid w:val="001F403D"/>
    <w:rsid w:val="001F5E1B"/>
    <w:rsid w:val="001F619C"/>
    <w:rsid w:val="001F669D"/>
    <w:rsid w:val="0020000D"/>
    <w:rsid w:val="002014F6"/>
    <w:rsid w:val="00201C0E"/>
    <w:rsid w:val="002023B8"/>
    <w:rsid w:val="0020588F"/>
    <w:rsid w:val="00207ABD"/>
    <w:rsid w:val="00207F1C"/>
    <w:rsid w:val="0021021F"/>
    <w:rsid w:val="00213010"/>
    <w:rsid w:val="00214397"/>
    <w:rsid w:val="002146DC"/>
    <w:rsid w:val="002148C5"/>
    <w:rsid w:val="00214B24"/>
    <w:rsid w:val="00214C96"/>
    <w:rsid w:val="002166BB"/>
    <w:rsid w:val="002169D5"/>
    <w:rsid w:val="0021792C"/>
    <w:rsid w:val="00217C0E"/>
    <w:rsid w:val="002210AA"/>
    <w:rsid w:val="002211E8"/>
    <w:rsid w:val="00221D0F"/>
    <w:rsid w:val="00221F26"/>
    <w:rsid w:val="00225779"/>
    <w:rsid w:val="00225FF4"/>
    <w:rsid w:val="00226A75"/>
    <w:rsid w:val="0022740F"/>
    <w:rsid w:val="00227A05"/>
    <w:rsid w:val="00227D19"/>
    <w:rsid w:val="00227D7F"/>
    <w:rsid w:val="002308DD"/>
    <w:rsid w:val="0023225A"/>
    <w:rsid w:val="002325FF"/>
    <w:rsid w:val="00232694"/>
    <w:rsid w:val="00232862"/>
    <w:rsid w:val="002329E7"/>
    <w:rsid w:val="00232CE6"/>
    <w:rsid w:val="0023346F"/>
    <w:rsid w:val="00233F42"/>
    <w:rsid w:val="00234F2A"/>
    <w:rsid w:val="00234F3D"/>
    <w:rsid w:val="002351C1"/>
    <w:rsid w:val="00235E34"/>
    <w:rsid w:val="0023615B"/>
    <w:rsid w:val="00240113"/>
    <w:rsid w:val="00240D2C"/>
    <w:rsid w:val="00240FF6"/>
    <w:rsid w:val="002412F8"/>
    <w:rsid w:val="002417F6"/>
    <w:rsid w:val="00241E9E"/>
    <w:rsid w:val="0024251C"/>
    <w:rsid w:val="00242FE5"/>
    <w:rsid w:val="00243FCA"/>
    <w:rsid w:val="00244300"/>
    <w:rsid w:val="002448AE"/>
    <w:rsid w:val="00244AF3"/>
    <w:rsid w:val="00244F45"/>
    <w:rsid w:val="0024561E"/>
    <w:rsid w:val="0024564E"/>
    <w:rsid w:val="0024715C"/>
    <w:rsid w:val="00247CC3"/>
    <w:rsid w:val="002516B8"/>
    <w:rsid w:val="0025193D"/>
    <w:rsid w:val="002535B4"/>
    <w:rsid w:val="00253BD3"/>
    <w:rsid w:val="00253E86"/>
    <w:rsid w:val="00256611"/>
    <w:rsid w:val="00256BB1"/>
    <w:rsid w:val="0025712B"/>
    <w:rsid w:val="00260ED0"/>
    <w:rsid w:val="00261161"/>
    <w:rsid w:val="00261A86"/>
    <w:rsid w:val="00261FB5"/>
    <w:rsid w:val="0026286F"/>
    <w:rsid w:val="00263500"/>
    <w:rsid w:val="00264AAA"/>
    <w:rsid w:val="00265D92"/>
    <w:rsid w:val="00266109"/>
    <w:rsid w:val="0026639C"/>
    <w:rsid w:val="00267E38"/>
    <w:rsid w:val="0027024E"/>
    <w:rsid w:val="00270396"/>
    <w:rsid w:val="00270FD5"/>
    <w:rsid w:val="00272043"/>
    <w:rsid w:val="0027210B"/>
    <w:rsid w:val="00272EEE"/>
    <w:rsid w:val="00273A00"/>
    <w:rsid w:val="00274A34"/>
    <w:rsid w:val="00275F0C"/>
    <w:rsid w:val="00276B8E"/>
    <w:rsid w:val="002770AF"/>
    <w:rsid w:val="002770F2"/>
    <w:rsid w:val="0027723F"/>
    <w:rsid w:val="0027730D"/>
    <w:rsid w:val="00281D42"/>
    <w:rsid w:val="0028391B"/>
    <w:rsid w:val="00283AF6"/>
    <w:rsid w:val="00284476"/>
    <w:rsid w:val="002846C9"/>
    <w:rsid w:val="0028521C"/>
    <w:rsid w:val="00285281"/>
    <w:rsid w:val="00285654"/>
    <w:rsid w:val="00285D1A"/>
    <w:rsid w:val="00286480"/>
    <w:rsid w:val="00287CAE"/>
    <w:rsid w:val="00287D47"/>
    <w:rsid w:val="00287E4C"/>
    <w:rsid w:val="0029017D"/>
    <w:rsid w:val="0029320C"/>
    <w:rsid w:val="00293CAA"/>
    <w:rsid w:val="002946D0"/>
    <w:rsid w:val="00294C6F"/>
    <w:rsid w:val="002956EB"/>
    <w:rsid w:val="0029592F"/>
    <w:rsid w:val="0029711A"/>
    <w:rsid w:val="00297FB2"/>
    <w:rsid w:val="002A0F77"/>
    <w:rsid w:val="002A1024"/>
    <w:rsid w:val="002A3273"/>
    <w:rsid w:val="002A36A4"/>
    <w:rsid w:val="002A4541"/>
    <w:rsid w:val="002A54BC"/>
    <w:rsid w:val="002A6491"/>
    <w:rsid w:val="002A6C27"/>
    <w:rsid w:val="002A7153"/>
    <w:rsid w:val="002A7D8C"/>
    <w:rsid w:val="002B0099"/>
    <w:rsid w:val="002B111C"/>
    <w:rsid w:val="002B1968"/>
    <w:rsid w:val="002B1EEF"/>
    <w:rsid w:val="002B2BF8"/>
    <w:rsid w:val="002B2EE6"/>
    <w:rsid w:val="002B4815"/>
    <w:rsid w:val="002B5822"/>
    <w:rsid w:val="002B758E"/>
    <w:rsid w:val="002C09DE"/>
    <w:rsid w:val="002C0A60"/>
    <w:rsid w:val="002C0F67"/>
    <w:rsid w:val="002C3710"/>
    <w:rsid w:val="002C3B26"/>
    <w:rsid w:val="002C3E18"/>
    <w:rsid w:val="002C400D"/>
    <w:rsid w:val="002C4462"/>
    <w:rsid w:val="002C4DD5"/>
    <w:rsid w:val="002C5D2C"/>
    <w:rsid w:val="002C69BC"/>
    <w:rsid w:val="002C7BF3"/>
    <w:rsid w:val="002D05C8"/>
    <w:rsid w:val="002D067D"/>
    <w:rsid w:val="002D2801"/>
    <w:rsid w:val="002D55AD"/>
    <w:rsid w:val="002D5685"/>
    <w:rsid w:val="002D64A4"/>
    <w:rsid w:val="002D6614"/>
    <w:rsid w:val="002D66A7"/>
    <w:rsid w:val="002D67B5"/>
    <w:rsid w:val="002D6FE3"/>
    <w:rsid w:val="002D7469"/>
    <w:rsid w:val="002D794A"/>
    <w:rsid w:val="002E0098"/>
    <w:rsid w:val="002E08F5"/>
    <w:rsid w:val="002E0F90"/>
    <w:rsid w:val="002E13DD"/>
    <w:rsid w:val="002E1538"/>
    <w:rsid w:val="002E254C"/>
    <w:rsid w:val="002E2628"/>
    <w:rsid w:val="002E3712"/>
    <w:rsid w:val="002E4005"/>
    <w:rsid w:val="002E4BA7"/>
    <w:rsid w:val="002E57AD"/>
    <w:rsid w:val="002E5D9A"/>
    <w:rsid w:val="002E6086"/>
    <w:rsid w:val="002E7152"/>
    <w:rsid w:val="002E75EC"/>
    <w:rsid w:val="002E7BB3"/>
    <w:rsid w:val="002F032A"/>
    <w:rsid w:val="002F0518"/>
    <w:rsid w:val="002F0572"/>
    <w:rsid w:val="002F1CDF"/>
    <w:rsid w:val="002F297B"/>
    <w:rsid w:val="002F35E8"/>
    <w:rsid w:val="002F53C2"/>
    <w:rsid w:val="002F57F5"/>
    <w:rsid w:val="002F59A9"/>
    <w:rsid w:val="002F70C1"/>
    <w:rsid w:val="00300411"/>
    <w:rsid w:val="00301E62"/>
    <w:rsid w:val="00302076"/>
    <w:rsid w:val="003023FB"/>
    <w:rsid w:val="00303865"/>
    <w:rsid w:val="00303E91"/>
    <w:rsid w:val="0030424A"/>
    <w:rsid w:val="003045C6"/>
    <w:rsid w:val="00304F86"/>
    <w:rsid w:val="00305E01"/>
    <w:rsid w:val="00307CB6"/>
    <w:rsid w:val="00307E26"/>
    <w:rsid w:val="0031086C"/>
    <w:rsid w:val="00311EE2"/>
    <w:rsid w:val="00312BDA"/>
    <w:rsid w:val="00312C68"/>
    <w:rsid w:val="00313F32"/>
    <w:rsid w:val="003156E7"/>
    <w:rsid w:val="003160C5"/>
    <w:rsid w:val="0031772E"/>
    <w:rsid w:val="00320286"/>
    <w:rsid w:val="0032099F"/>
    <w:rsid w:val="00321398"/>
    <w:rsid w:val="00321641"/>
    <w:rsid w:val="0032339C"/>
    <w:rsid w:val="00323462"/>
    <w:rsid w:val="00324156"/>
    <w:rsid w:val="0032506B"/>
    <w:rsid w:val="0032537A"/>
    <w:rsid w:val="00326093"/>
    <w:rsid w:val="00326A05"/>
    <w:rsid w:val="00326E51"/>
    <w:rsid w:val="0032740A"/>
    <w:rsid w:val="00330715"/>
    <w:rsid w:val="003316BF"/>
    <w:rsid w:val="00331A69"/>
    <w:rsid w:val="00331AC8"/>
    <w:rsid w:val="003327FE"/>
    <w:rsid w:val="00332C7A"/>
    <w:rsid w:val="00335367"/>
    <w:rsid w:val="003356FE"/>
    <w:rsid w:val="00335FBA"/>
    <w:rsid w:val="00340399"/>
    <w:rsid w:val="0034079F"/>
    <w:rsid w:val="00340AB5"/>
    <w:rsid w:val="00340ED0"/>
    <w:rsid w:val="00340EF8"/>
    <w:rsid w:val="00341928"/>
    <w:rsid w:val="00341BB9"/>
    <w:rsid w:val="003428EC"/>
    <w:rsid w:val="003438CB"/>
    <w:rsid w:val="003441A4"/>
    <w:rsid w:val="0034491B"/>
    <w:rsid w:val="003465D8"/>
    <w:rsid w:val="003476B1"/>
    <w:rsid w:val="00351396"/>
    <w:rsid w:val="00351455"/>
    <w:rsid w:val="00351D4B"/>
    <w:rsid w:val="00351DEB"/>
    <w:rsid w:val="00352CBB"/>
    <w:rsid w:val="003535F2"/>
    <w:rsid w:val="00353628"/>
    <w:rsid w:val="00355F88"/>
    <w:rsid w:val="003560B3"/>
    <w:rsid w:val="0035639E"/>
    <w:rsid w:val="0035723E"/>
    <w:rsid w:val="00357533"/>
    <w:rsid w:val="003576BD"/>
    <w:rsid w:val="00357D74"/>
    <w:rsid w:val="00357E49"/>
    <w:rsid w:val="00357EEA"/>
    <w:rsid w:val="00361D25"/>
    <w:rsid w:val="00361EC0"/>
    <w:rsid w:val="00363784"/>
    <w:rsid w:val="00363AB8"/>
    <w:rsid w:val="0036479A"/>
    <w:rsid w:val="00366DCC"/>
    <w:rsid w:val="0037031B"/>
    <w:rsid w:val="0037218A"/>
    <w:rsid w:val="003726CD"/>
    <w:rsid w:val="00373054"/>
    <w:rsid w:val="00373ED3"/>
    <w:rsid w:val="00373F4B"/>
    <w:rsid w:val="00374A32"/>
    <w:rsid w:val="003756BF"/>
    <w:rsid w:val="003760C1"/>
    <w:rsid w:val="00376DCF"/>
    <w:rsid w:val="003772AE"/>
    <w:rsid w:val="00381B2C"/>
    <w:rsid w:val="00381EE3"/>
    <w:rsid w:val="00382110"/>
    <w:rsid w:val="00382517"/>
    <w:rsid w:val="00383701"/>
    <w:rsid w:val="00383AD0"/>
    <w:rsid w:val="00383FD2"/>
    <w:rsid w:val="00385DD0"/>
    <w:rsid w:val="00386F82"/>
    <w:rsid w:val="00386FE1"/>
    <w:rsid w:val="0038760F"/>
    <w:rsid w:val="003876C5"/>
    <w:rsid w:val="00387745"/>
    <w:rsid w:val="00390B53"/>
    <w:rsid w:val="00391C60"/>
    <w:rsid w:val="00393D85"/>
    <w:rsid w:val="0039516F"/>
    <w:rsid w:val="0039690F"/>
    <w:rsid w:val="00396DF4"/>
    <w:rsid w:val="00396FF7"/>
    <w:rsid w:val="003973F2"/>
    <w:rsid w:val="00397FF8"/>
    <w:rsid w:val="003A02C9"/>
    <w:rsid w:val="003A0CA4"/>
    <w:rsid w:val="003A1C1C"/>
    <w:rsid w:val="003A1C98"/>
    <w:rsid w:val="003A23AC"/>
    <w:rsid w:val="003A2DAD"/>
    <w:rsid w:val="003A375F"/>
    <w:rsid w:val="003A3C72"/>
    <w:rsid w:val="003A400A"/>
    <w:rsid w:val="003A4F52"/>
    <w:rsid w:val="003A6F6D"/>
    <w:rsid w:val="003B1480"/>
    <w:rsid w:val="003B21FF"/>
    <w:rsid w:val="003B4031"/>
    <w:rsid w:val="003B5517"/>
    <w:rsid w:val="003B6325"/>
    <w:rsid w:val="003B6614"/>
    <w:rsid w:val="003B6D2E"/>
    <w:rsid w:val="003B6E28"/>
    <w:rsid w:val="003B7E4B"/>
    <w:rsid w:val="003C1545"/>
    <w:rsid w:val="003C1C21"/>
    <w:rsid w:val="003C1D62"/>
    <w:rsid w:val="003C270A"/>
    <w:rsid w:val="003C2C36"/>
    <w:rsid w:val="003C3644"/>
    <w:rsid w:val="003C37C4"/>
    <w:rsid w:val="003C480F"/>
    <w:rsid w:val="003C4836"/>
    <w:rsid w:val="003C4EB4"/>
    <w:rsid w:val="003C6B8B"/>
    <w:rsid w:val="003C6D6D"/>
    <w:rsid w:val="003C75DF"/>
    <w:rsid w:val="003C7B5D"/>
    <w:rsid w:val="003D0C33"/>
    <w:rsid w:val="003D0FB0"/>
    <w:rsid w:val="003D1C84"/>
    <w:rsid w:val="003D313D"/>
    <w:rsid w:val="003D52D4"/>
    <w:rsid w:val="003D6286"/>
    <w:rsid w:val="003E02E5"/>
    <w:rsid w:val="003E1C68"/>
    <w:rsid w:val="003E211B"/>
    <w:rsid w:val="003E58E3"/>
    <w:rsid w:val="003E5926"/>
    <w:rsid w:val="003E5BDC"/>
    <w:rsid w:val="003E7C0F"/>
    <w:rsid w:val="003F029F"/>
    <w:rsid w:val="003F0730"/>
    <w:rsid w:val="003F0D71"/>
    <w:rsid w:val="003F2D57"/>
    <w:rsid w:val="003F2F6A"/>
    <w:rsid w:val="003F467E"/>
    <w:rsid w:val="003F4D05"/>
    <w:rsid w:val="003F5093"/>
    <w:rsid w:val="003F5205"/>
    <w:rsid w:val="003F68BC"/>
    <w:rsid w:val="003F6EBB"/>
    <w:rsid w:val="003F6EFA"/>
    <w:rsid w:val="003F7365"/>
    <w:rsid w:val="003F7F9E"/>
    <w:rsid w:val="00401459"/>
    <w:rsid w:val="00401CDD"/>
    <w:rsid w:val="004021A5"/>
    <w:rsid w:val="00404032"/>
    <w:rsid w:val="00405E7E"/>
    <w:rsid w:val="0040679F"/>
    <w:rsid w:val="00407CF9"/>
    <w:rsid w:val="00410BA9"/>
    <w:rsid w:val="00410D0C"/>
    <w:rsid w:val="004118CA"/>
    <w:rsid w:val="00411E8C"/>
    <w:rsid w:val="00413599"/>
    <w:rsid w:val="00413A52"/>
    <w:rsid w:val="00413E6A"/>
    <w:rsid w:val="00414C9E"/>
    <w:rsid w:val="00415090"/>
    <w:rsid w:val="00415298"/>
    <w:rsid w:val="00416374"/>
    <w:rsid w:val="00416591"/>
    <w:rsid w:val="00416856"/>
    <w:rsid w:val="00417050"/>
    <w:rsid w:val="00417A35"/>
    <w:rsid w:val="00417F38"/>
    <w:rsid w:val="0042018D"/>
    <w:rsid w:val="004215AC"/>
    <w:rsid w:val="0042167A"/>
    <w:rsid w:val="00423244"/>
    <w:rsid w:val="0042380D"/>
    <w:rsid w:val="004245E5"/>
    <w:rsid w:val="00425051"/>
    <w:rsid w:val="00426562"/>
    <w:rsid w:val="004277DD"/>
    <w:rsid w:val="00427EEF"/>
    <w:rsid w:val="00430203"/>
    <w:rsid w:val="00430E82"/>
    <w:rsid w:val="004322D3"/>
    <w:rsid w:val="00432673"/>
    <w:rsid w:val="00433922"/>
    <w:rsid w:val="00435ABC"/>
    <w:rsid w:val="00436FB9"/>
    <w:rsid w:val="00437476"/>
    <w:rsid w:val="004377EB"/>
    <w:rsid w:val="00437DBB"/>
    <w:rsid w:val="0044042D"/>
    <w:rsid w:val="00444F98"/>
    <w:rsid w:val="004455BE"/>
    <w:rsid w:val="00446231"/>
    <w:rsid w:val="004464AD"/>
    <w:rsid w:val="00450060"/>
    <w:rsid w:val="004507CC"/>
    <w:rsid w:val="00451284"/>
    <w:rsid w:val="0045207B"/>
    <w:rsid w:val="00453C8C"/>
    <w:rsid w:val="0045441A"/>
    <w:rsid w:val="00454AA5"/>
    <w:rsid w:val="004555A5"/>
    <w:rsid w:val="00456097"/>
    <w:rsid w:val="00456F2A"/>
    <w:rsid w:val="00460C7E"/>
    <w:rsid w:val="0046172A"/>
    <w:rsid w:val="00461E04"/>
    <w:rsid w:val="00464D6F"/>
    <w:rsid w:val="00465761"/>
    <w:rsid w:val="004660B6"/>
    <w:rsid w:val="004665AF"/>
    <w:rsid w:val="004669BD"/>
    <w:rsid w:val="00470351"/>
    <w:rsid w:val="004704AF"/>
    <w:rsid w:val="0047152B"/>
    <w:rsid w:val="0047201C"/>
    <w:rsid w:val="00472105"/>
    <w:rsid w:val="004722F8"/>
    <w:rsid w:val="00472635"/>
    <w:rsid w:val="004737D0"/>
    <w:rsid w:val="004742DE"/>
    <w:rsid w:val="00474F90"/>
    <w:rsid w:val="004759F1"/>
    <w:rsid w:val="00476937"/>
    <w:rsid w:val="00476B5E"/>
    <w:rsid w:val="00476C2A"/>
    <w:rsid w:val="0047778E"/>
    <w:rsid w:val="00477925"/>
    <w:rsid w:val="00480117"/>
    <w:rsid w:val="00482489"/>
    <w:rsid w:val="0048275E"/>
    <w:rsid w:val="00482DEA"/>
    <w:rsid w:val="004836B0"/>
    <w:rsid w:val="004864F1"/>
    <w:rsid w:val="0049007A"/>
    <w:rsid w:val="00490317"/>
    <w:rsid w:val="004907BB"/>
    <w:rsid w:val="00490990"/>
    <w:rsid w:val="0049189B"/>
    <w:rsid w:val="00492574"/>
    <w:rsid w:val="00493FC1"/>
    <w:rsid w:val="00494D17"/>
    <w:rsid w:val="00494D4F"/>
    <w:rsid w:val="004952C6"/>
    <w:rsid w:val="004956D4"/>
    <w:rsid w:val="00495A73"/>
    <w:rsid w:val="004964A6"/>
    <w:rsid w:val="004A03AE"/>
    <w:rsid w:val="004A0725"/>
    <w:rsid w:val="004A1201"/>
    <w:rsid w:val="004A1634"/>
    <w:rsid w:val="004A16CF"/>
    <w:rsid w:val="004A2DAA"/>
    <w:rsid w:val="004A2DFE"/>
    <w:rsid w:val="004A2EDB"/>
    <w:rsid w:val="004A31E9"/>
    <w:rsid w:val="004A3367"/>
    <w:rsid w:val="004A39CA"/>
    <w:rsid w:val="004A3C89"/>
    <w:rsid w:val="004A442B"/>
    <w:rsid w:val="004A6757"/>
    <w:rsid w:val="004A76F1"/>
    <w:rsid w:val="004A7DA5"/>
    <w:rsid w:val="004A7E57"/>
    <w:rsid w:val="004B0190"/>
    <w:rsid w:val="004B0EFA"/>
    <w:rsid w:val="004B1316"/>
    <w:rsid w:val="004B1F4F"/>
    <w:rsid w:val="004B26D7"/>
    <w:rsid w:val="004B3750"/>
    <w:rsid w:val="004B4234"/>
    <w:rsid w:val="004B4499"/>
    <w:rsid w:val="004B4B2E"/>
    <w:rsid w:val="004B6077"/>
    <w:rsid w:val="004B7314"/>
    <w:rsid w:val="004B79FC"/>
    <w:rsid w:val="004C02FC"/>
    <w:rsid w:val="004C036A"/>
    <w:rsid w:val="004C0F7F"/>
    <w:rsid w:val="004C14E2"/>
    <w:rsid w:val="004C2570"/>
    <w:rsid w:val="004C3FAF"/>
    <w:rsid w:val="004C68A0"/>
    <w:rsid w:val="004C6C34"/>
    <w:rsid w:val="004C73A6"/>
    <w:rsid w:val="004D0073"/>
    <w:rsid w:val="004D01BA"/>
    <w:rsid w:val="004D0D30"/>
    <w:rsid w:val="004D1B83"/>
    <w:rsid w:val="004D1D28"/>
    <w:rsid w:val="004D27CD"/>
    <w:rsid w:val="004D5FA0"/>
    <w:rsid w:val="004D61EE"/>
    <w:rsid w:val="004D6661"/>
    <w:rsid w:val="004D6C14"/>
    <w:rsid w:val="004D7145"/>
    <w:rsid w:val="004D7D22"/>
    <w:rsid w:val="004E0A85"/>
    <w:rsid w:val="004E0BCB"/>
    <w:rsid w:val="004E141D"/>
    <w:rsid w:val="004E1BA9"/>
    <w:rsid w:val="004E3084"/>
    <w:rsid w:val="004E328E"/>
    <w:rsid w:val="004E40C2"/>
    <w:rsid w:val="004E46E3"/>
    <w:rsid w:val="004E6781"/>
    <w:rsid w:val="004E6A8F"/>
    <w:rsid w:val="004F0340"/>
    <w:rsid w:val="004F0A77"/>
    <w:rsid w:val="004F40F8"/>
    <w:rsid w:val="004F64FB"/>
    <w:rsid w:val="004F6976"/>
    <w:rsid w:val="004F6D96"/>
    <w:rsid w:val="004F72E8"/>
    <w:rsid w:val="00500290"/>
    <w:rsid w:val="00503116"/>
    <w:rsid w:val="00504264"/>
    <w:rsid w:val="00504F9F"/>
    <w:rsid w:val="005052CE"/>
    <w:rsid w:val="00505B3A"/>
    <w:rsid w:val="005065FC"/>
    <w:rsid w:val="005067F3"/>
    <w:rsid w:val="00506BBE"/>
    <w:rsid w:val="00506BC9"/>
    <w:rsid w:val="00506E77"/>
    <w:rsid w:val="00506FD2"/>
    <w:rsid w:val="00507EC9"/>
    <w:rsid w:val="00510569"/>
    <w:rsid w:val="00510E61"/>
    <w:rsid w:val="005113B7"/>
    <w:rsid w:val="00511938"/>
    <w:rsid w:val="005121F0"/>
    <w:rsid w:val="005124CF"/>
    <w:rsid w:val="00513A37"/>
    <w:rsid w:val="00513C59"/>
    <w:rsid w:val="0051412B"/>
    <w:rsid w:val="00515818"/>
    <w:rsid w:val="00515B62"/>
    <w:rsid w:val="00516067"/>
    <w:rsid w:val="0051637F"/>
    <w:rsid w:val="0051717D"/>
    <w:rsid w:val="005171EE"/>
    <w:rsid w:val="00517A92"/>
    <w:rsid w:val="00517AB8"/>
    <w:rsid w:val="00517BDB"/>
    <w:rsid w:val="005201E6"/>
    <w:rsid w:val="0052112D"/>
    <w:rsid w:val="00523527"/>
    <w:rsid w:val="00523746"/>
    <w:rsid w:val="00523A0A"/>
    <w:rsid w:val="005244BA"/>
    <w:rsid w:val="00524C1A"/>
    <w:rsid w:val="00525012"/>
    <w:rsid w:val="00525AF9"/>
    <w:rsid w:val="00527BC7"/>
    <w:rsid w:val="00527E67"/>
    <w:rsid w:val="00530912"/>
    <w:rsid w:val="00530E1C"/>
    <w:rsid w:val="005328CF"/>
    <w:rsid w:val="00532D2E"/>
    <w:rsid w:val="00532F21"/>
    <w:rsid w:val="00533A76"/>
    <w:rsid w:val="00534969"/>
    <w:rsid w:val="0053728A"/>
    <w:rsid w:val="005401B8"/>
    <w:rsid w:val="005403BD"/>
    <w:rsid w:val="005414A9"/>
    <w:rsid w:val="005423C0"/>
    <w:rsid w:val="00545A47"/>
    <w:rsid w:val="00545F10"/>
    <w:rsid w:val="005471B8"/>
    <w:rsid w:val="00550FE7"/>
    <w:rsid w:val="0055184C"/>
    <w:rsid w:val="00551888"/>
    <w:rsid w:val="00552178"/>
    <w:rsid w:val="00553DC7"/>
    <w:rsid w:val="00553EBB"/>
    <w:rsid w:val="00554281"/>
    <w:rsid w:val="005544BB"/>
    <w:rsid w:val="0055483D"/>
    <w:rsid w:val="00554CFF"/>
    <w:rsid w:val="00555538"/>
    <w:rsid w:val="005555B3"/>
    <w:rsid w:val="005576F7"/>
    <w:rsid w:val="00557BE8"/>
    <w:rsid w:val="0056079F"/>
    <w:rsid w:val="00562F9A"/>
    <w:rsid w:val="005634F4"/>
    <w:rsid w:val="00563646"/>
    <w:rsid w:val="00565220"/>
    <w:rsid w:val="00567306"/>
    <w:rsid w:val="00567DB2"/>
    <w:rsid w:val="0057076A"/>
    <w:rsid w:val="005708AC"/>
    <w:rsid w:val="00571006"/>
    <w:rsid w:val="00571B00"/>
    <w:rsid w:val="00571E2F"/>
    <w:rsid w:val="00572037"/>
    <w:rsid w:val="00572039"/>
    <w:rsid w:val="00572266"/>
    <w:rsid w:val="00572F09"/>
    <w:rsid w:val="00573651"/>
    <w:rsid w:val="00575E4A"/>
    <w:rsid w:val="00575EFD"/>
    <w:rsid w:val="005766CF"/>
    <w:rsid w:val="00576A29"/>
    <w:rsid w:val="005774FE"/>
    <w:rsid w:val="00577894"/>
    <w:rsid w:val="00580B89"/>
    <w:rsid w:val="00580F8C"/>
    <w:rsid w:val="00581ECE"/>
    <w:rsid w:val="005824A0"/>
    <w:rsid w:val="00582938"/>
    <w:rsid w:val="00584AB9"/>
    <w:rsid w:val="005854A7"/>
    <w:rsid w:val="00587145"/>
    <w:rsid w:val="005873E0"/>
    <w:rsid w:val="00587D06"/>
    <w:rsid w:val="00591252"/>
    <w:rsid w:val="0059131A"/>
    <w:rsid w:val="00591601"/>
    <w:rsid w:val="005922FA"/>
    <w:rsid w:val="00592A97"/>
    <w:rsid w:val="005939E0"/>
    <w:rsid w:val="00594954"/>
    <w:rsid w:val="0059630F"/>
    <w:rsid w:val="00596502"/>
    <w:rsid w:val="0059650A"/>
    <w:rsid w:val="0059662A"/>
    <w:rsid w:val="00596892"/>
    <w:rsid w:val="00596B01"/>
    <w:rsid w:val="005A13D5"/>
    <w:rsid w:val="005A1B73"/>
    <w:rsid w:val="005A3CCA"/>
    <w:rsid w:val="005A4B0B"/>
    <w:rsid w:val="005A52E4"/>
    <w:rsid w:val="005A6211"/>
    <w:rsid w:val="005A634C"/>
    <w:rsid w:val="005A644F"/>
    <w:rsid w:val="005A6B1E"/>
    <w:rsid w:val="005A6B61"/>
    <w:rsid w:val="005A775B"/>
    <w:rsid w:val="005A7C20"/>
    <w:rsid w:val="005B01EB"/>
    <w:rsid w:val="005B0F01"/>
    <w:rsid w:val="005B169C"/>
    <w:rsid w:val="005B17DA"/>
    <w:rsid w:val="005B26C9"/>
    <w:rsid w:val="005B29D4"/>
    <w:rsid w:val="005B29DA"/>
    <w:rsid w:val="005B58CE"/>
    <w:rsid w:val="005B5D28"/>
    <w:rsid w:val="005B68DA"/>
    <w:rsid w:val="005B715A"/>
    <w:rsid w:val="005B7C5B"/>
    <w:rsid w:val="005C1218"/>
    <w:rsid w:val="005C12F2"/>
    <w:rsid w:val="005C1CA9"/>
    <w:rsid w:val="005C32C3"/>
    <w:rsid w:val="005C3909"/>
    <w:rsid w:val="005C3AC7"/>
    <w:rsid w:val="005C3E7E"/>
    <w:rsid w:val="005C4173"/>
    <w:rsid w:val="005C4334"/>
    <w:rsid w:val="005C43D7"/>
    <w:rsid w:val="005C4B25"/>
    <w:rsid w:val="005C4E58"/>
    <w:rsid w:val="005C54A4"/>
    <w:rsid w:val="005C5752"/>
    <w:rsid w:val="005C62AE"/>
    <w:rsid w:val="005C6A86"/>
    <w:rsid w:val="005C6CDB"/>
    <w:rsid w:val="005D040E"/>
    <w:rsid w:val="005D1983"/>
    <w:rsid w:val="005D2A44"/>
    <w:rsid w:val="005D3D7E"/>
    <w:rsid w:val="005D41ED"/>
    <w:rsid w:val="005D46FD"/>
    <w:rsid w:val="005D4942"/>
    <w:rsid w:val="005D4A29"/>
    <w:rsid w:val="005D4E5E"/>
    <w:rsid w:val="005D57D0"/>
    <w:rsid w:val="005D5D96"/>
    <w:rsid w:val="005D7390"/>
    <w:rsid w:val="005D795C"/>
    <w:rsid w:val="005D7F8A"/>
    <w:rsid w:val="005E0BE4"/>
    <w:rsid w:val="005E281A"/>
    <w:rsid w:val="005E39D3"/>
    <w:rsid w:val="005E4305"/>
    <w:rsid w:val="005E5898"/>
    <w:rsid w:val="005E5EDE"/>
    <w:rsid w:val="005E670D"/>
    <w:rsid w:val="005F04A7"/>
    <w:rsid w:val="005F0F45"/>
    <w:rsid w:val="005F10D9"/>
    <w:rsid w:val="005F2996"/>
    <w:rsid w:val="005F3018"/>
    <w:rsid w:val="005F3042"/>
    <w:rsid w:val="005F3D47"/>
    <w:rsid w:val="005F4402"/>
    <w:rsid w:val="005F47E0"/>
    <w:rsid w:val="005F4C5C"/>
    <w:rsid w:val="005F5448"/>
    <w:rsid w:val="005F6558"/>
    <w:rsid w:val="005F66EA"/>
    <w:rsid w:val="005F758B"/>
    <w:rsid w:val="0060066B"/>
    <w:rsid w:val="0060073C"/>
    <w:rsid w:val="0060147F"/>
    <w:rsid w:val="006025FD"/>
    <w:rsid w:val="006031C6"/>
    <w:rsid w:val="00603238"/>
    <w:rsid w:val="00603BA5"/>
    <w:rsid w:val="00603C44"/>
    <w:rsid w:val="006040D3"/>
    <w:rsid w:val="00605C5C"/>
    <w:rsid w:val="00606598"/>
    <w:rsid w:val="00606BED"/>
    <w:rsid w:val="00610683"/>
    <w:rsid w:val="0061082D"/>
    <w:rsid w:val="00610A4F"/>
    <w:rsid w:val="00611A08"/>
    <w:rsid w:val="00613743"/>
    <w:rsid w:val="006139E0"/>
    <w:rsid w:val="00613B12"/>
    <w:rsid w:val="006145A3"/>
    <w:rsid w:val="006146B3"/>
    <w:rsid w:val="006151C7"/>
    <w:rsid w:val="00615391"/>
    <w:rsid w:val="006154FF"/>
    <w:rsid w:val="006172E3"/>
    <w:rsid w:val="0062148C"/>
    <w:rsid w:val="006223F6"/>
    <w:rsid w:val="00623F2E"/>
    <w:rsid w:val="00624041"/>
    <w:rsid w:val="00624280"/>
    <w:rsid w:val="006244AE"/>
    <w:rsid w:val="00624A8B"/>
    <w:rsid w:val="00626BFC"/>
    <w:rsid w:val="00627170"/>
    <w:rsid w:val="00627DC8"/>
    <w:rsid w:val="0063059E"/>
    <w:rsid w:val="00631B0F"/>
    <w:rsid w:val="006320A0"/>
    <w:rsid w:val="0063226D"/>
    <w:rsid w:val="00634652"/>
    <w:rsid w:val="006349B1"/>
    <w:rsid w:val="00634B49"/>
    <w:rsid w:val="00636006"/>
    <w:rsid w:val="00640368"/>
    <w:rsid w:val="0064064A"/>
    <w:rsid w:val="00641FF6"/>
    <w:rsid w:val="006451CF"/>
    <w:rsid w:val="006459FE"/>
    <w:rsid w:val="00646C4F"/>
    <w:rsid w:val="00647322"/>
    <w:rsid w:val="006502C1"/>
    <w:rsid w:val="00650F02"/>
    <w:rsid w:val="00652BEB"/>
    <w:rsid w:val="00653665"/>
    <w:rsid w:val="00653916"/>
    <w:rsid w:val="00654392"/>
    <w:rsid w:val="00656344"/>
    <w:rsid w:val="00656464"/>
    <w:rsid w:val="006566EA"/>
    <w:rsid w:val="00656BA5"/>
    <w:rsid w:val="00657958"/>
    <w:rsid w:val="006579A5"/>
    <w:rsid w:val="00660463"/>
    <w:rsid w:val="006629DE"/>
    <w:rsid w:val="0066309D"/>
    <w:rsid w:val="006637FA"/>
    <w:rsid w:val="006647D2"/>
    <w:rsid w:val="00664B10"/>
    <w:rsid w:val="00664CC5"/>
    <w:rsid w:val="0066569F"/>
    <w:rsid w:val="006657BA"/>
    <w:rsid w:val="00665D23"/>
    <w:rsid w:val="0066728E"/>
    <w:rsid w:val="0067028E"/>
    <w:rsid w:val="0067093F"/>
    <w:rsid w:val="006731EE"/>
    <w:rsid w:val="00673A86"/>
    <w:rsid w:val="00673B2B"/>
    <w:rsid w:val="00675317"/>
    <w:rsid w:val="0067610F"/>
    <w:rsid w:val="0067684C"/>
    <w:rsid w:val="00676E4B"/>
    <w:rsid w:val="0067725A"/>
    <w:rsid w:val="00677D25"/>
    <w:rsid w:val="00680669"/>
    <w:rsid w:val="006813A6"/>
    <w:rsid w:val="00681650"/>
    <w:rsid w:val="00681A2E"/>
    <w:rsid w:val="00681F4F"/>
    <w:rsid w:val="0068292F"/>
    <w:rsid w:val="00682DE1"/>
    <w:rsid w:val="00683798"/>
    <w:rsid w:val="00683840"/>
    <w:rsid w:val="00683AEA"/>
    <w:rsid w:val="00684158"/>
    <w:rsid w:val="00684331"/>
    <w:rsid w:val="00684B4B"/>
    <w:rsid w:val="00684CB1"/>
    <w:rsid w:val="00686006"/>
    <w:rsid w:val="006867B3"/>
    <w:rsid w:val="00690F78"/>
    <w:rsid w:val="00690F97"/>
    <w:rsid w:val="006910EB"/>
    <w:rsid w:val="0069136F"/>
    <w:rsid w:val="00691428"/>
    <w:rsid w:val="006917C2"/>
    <w:rsid w:val="00691D71"/>
    <w:rsid w:val="00692747"/>
    <w:rsid w:val="006937A3"/>
    <w:rsid w:val="0069591B"/>
    <w:rsid w:val="00696F48"/>
    <w:rsid w:val="0069744D"/>
    <w:rsid w:val="006A0EF4"/>
    <w:rsid w:val="006A17FE"/>
    <w:rsid w:val="006A1AA0"/>
    <w:rsid w:val="006A1F4B"/>
    <w:rsid w:val="006A27C0"/>
    <w:rsid w:val="006A2CB8"/>
    <w:rsid w:val="006A40AF"/>
    <w:rsid w:val="006A54CB"/>
    <w:rsid w:val="006A5AE5"/>
    <w:rsid w:val="006A5B18"/>
    <w:rsid w:val="006A5DCC"/>
    <w:rsid w:val="006A6B67"/>
    <w:rsid w:val="006B0716"/>
    <w:rsid w:val="006B1158"/>
    <w:rsid w:val="006B5415"/>
    <w:rsid w:val="006B5532"/>
    <w:rsid w:val="006B6ACE"/>
    <w:rsid w:val="006B6E74"/>
    <w:rsid w:val="006B7B98"/>
    <w:rsid w:val="006C07C0"/>
    <w:rsid w:val="006C18F2"/>
    <w:rsid w:val="006C3821"/>
    <w:rsid w:val="006C3E0E"/>
    <w:rsid w:val="006C4534"/>
    <w:rsid w:val="006C45EB"/>
    <w:rsid w:val="006C473D"/>
    <w:rsid w:val="006C4A6D"/>
    <w:rsid w:val="006C52A4"/>
    <w:rsid w:val="006C5371"/>
    <w:rsid w:val="006C5698"/>
    <w:rsid w:val="006C6E4C"/>
    <w:rsid w:val="006C6EDB"/>
    <w:rsid w:val="006D0604"/>
    <w:rsid w:val="006D0ACF"/>
    <w:rsid w:val="006D17FB"/>
    <w:rsid w:val="006D1876"/>
    <w:rsid w:val="006D32AC"/>
    <w:rsid w:val="006D58E8"/>
    <w:rsid w:val="006D66C2"/>
    <w:rsid w:val="006D6B5A"/>
    <w:rsid w:val="006D6F9B"/>
    <w:rsid w:val="006D780C"/>
    <w:rsid w:val="006D7911"/>
    <w:rsid w:val="006E0525"/>
    <w:rsid w:val="006E0BE4"/>
    <w:rsid w:val="006E1D79"/>
    <w:rsid w:val="006E27E6"/>
    <w:rsid w:val="006E36A3"/>
    <w:rsid w:val="006E413B"/>
    <w:rsid w:val="006E4C77"/>
    <w:rsid w:val="006E500B"/>
    <w:rsid w:val="006E5CA4"/>
    <w:rsid w:val="006E61CD"/>
    <w:rsid w:val="006E634A"/>
    <w:rsid w:val="006E6DC9"/>
    <w:rsid w:val="006F15CE"/>
    <w:rsid w:val="006F218D"/>
    <w:rsid w:val="006F31B4"/>
    <w:rsid w:val="006F3D31"/>
    <w:rsid w:val="006F403B"/>
    <w:rsid w:val="006F4577"/>
    <w:rsid w:val="006F5B5A"/>
    <w:rsid w:val="006F7005"/>
    <w:rsid w:val="0070030A"/>
    <w:rsid w:val="00700F04"/>
    <w:rsid w:val="0070125C"/>
    <w:rsid w:val="00701E46"/>
    <w:rsid w:val="00703BC5"/>
    <w:rsid w:val="00704C04"/>
    <w:rsid w:val="00704F45"/>
    <w:rsid w:val="007051E7"/>
    <w:rsid w:val="007052EB"/>
    <w:rsid w:val="00707E3A"/>
    <w:rsid w:val="00710087"/>
    <w:rsid w:val="007103C2"/>
    <w:rsid w:val="007104C6"/>
    <w:rsid w:val="00710BBA"/>
    <w:rsid w:val="00710EEC"/>
    <w:rsid w:val="007111ED"/>
    <w:rsid w:val="0071261D"/>
    <w:rsid w:val="00713AB6"/>
    <w:rsid w:val="00713BFB"/>
    <w:rsid w:val="007154EF"/>
    <w:rsid w:val="00715AC2"/>
    <w:rsid w:val="00720552"/>
    <w:rsid w:val="00720D59"/>
    <w:rsid w:val="00720F29"/>
    <w:rsid w:val="00721056"/>
    <w:rsid w:val="00721627"/>
    <w:rsid w:val="0072227E"/>
    <w:rsid w:val="00722EE0"/>
    <w:rsid w:val="00723A9B"/>
    <w:rsid w:val="00723C16"/>
    <w:rsid w:val="0072420D"/>
    <w:rsid w:val="00726FF2"/>
    <w:rsid w:val="00727701"/>
    <w:rsid w:val="007312A4"/>
    <w:rsid w:val="00731D6A"/>
    <w:rsid w:val="0073299C"/>
    <w:rsid w:val="00732CAB"/>
    <w:rsid w:val="00733ABC"/>
    <w:rsid w:val="00733AC6"/>
    <w:rsid w:val="0073412A"/>
    <w:rsid w:val="00734149"/>
    <w:rsid w:val="00735D7F"/>
    <w:rsid w:val="00736663"/>
    <w:rsid w:val="0073695E"/>
    <w:rsid w:val="007376B2"/>
    <w:rsid w:val="00737791"/>
    <w:rsid w:val="007408A3"/>
    <w:rsid w:val="0074091A"/>
    <w:rsid w:val="00741189"/>
    <w:rsid w:val="007429DD"/>
    <w:rsid w:val="00742F8C"/>
    <w:rsid w:val="007432E2"/>
    <w:rsid w:val="007441E5"/>
    <w:rsid w:val="007444AB"/>
    <w:rsid w:val="007450A0"/>
    <w:rsid w:val="0074514D"/>
    <w:rsid w:val="007457BA"/>
    <w:rsid w:val="00747A64"/>
    <w:rsid w:val="00750950"/>
    <w:rsid w:val="007509CC"/>
    <w:rsid w:val="0075123E"/>
    <w:rsid w:val="00752258"/>
    <w:rsid w:val="00752805"/>
    <w:rsid w:val="00752CB1"/>
    <w:rsid w:val="007532E7"/>
    <w:rsid w:val="007536A1"/>
    <w:rsid w:val="00756042"/>
    <w:rsid w:val="007601AE"/>
    <w:rsid w:val="007607C8"/>
    <w:rsid w:val="00760834"/>
    <w:rsid w:val="00761788"/>
    <w:rsid w:val="00761B39"/>
    <w:rsid w:val="007638F8"/>
    <w:rsid w:val="007639CF"/>
    <w:rsid w:val="00763A3F"/>
    <w:rsid w:val="00764086"/>
    <w:rsid w:val="00764732"/>
    <w:rsid w:val="00765305"/>
    <w:rsid w:val="007659AF"/>
    <w:rsid w:val="007672EB"/>
    <w:rsid w:val="007676AB"/>
    <w:rsid w:val="00770250"/>
    <w:rsid w:val="007702E2"/>
    <w:rsid w:val="00771346"/>
    <w:rsid w:val="00771C9D"/>
    <w:rsid w:val="00771CAE"/>
    <w:rsid w:val="00772EDD"/>
    <w:rsid w:val="00773B10"/>
    <w:rsid w:val="0077403C"/>
    <w:rsid w:val="00774182"/>
    <w:rsid w:val="00775B2F"/>
    <w:rsid w:val="00776163"/>
    <w:rsid w:val="0077678F"/>
    <w:rsid w:val="007771CF"/>
    <w:rsid w:val="00777DEE"/>
    <w:rsid w:val="00777EBD"/>
    <w:rsid w:val="00780B24"/>
    <w:rsid w:val="00780F5A"/>
    <w:rsid w:val="00781584"/>
    <w:rsid w:val="00781604"/>
    <w:rsid w:val="00782AA6"/>
    <w:rsid w:val="0078334D"/>
    <w:rsid w:val="00783AD2"/>
    <w:rsid w:val="007842C4"/>
    <w:rsid w:val="00784AF7"/>
    <w:rsid w:val="00784DB2"/>
    <w:rsid w:val="00784E34"/>
    <w:rsid w:val="00784FBE"/>
    <w:rsid w:val="0078512B"/>
    <w:rsid w:val="007909FF"/>
    <w:rsid w:val="00790E29"/>
    <w:rsid w:val="007918FF"/>
    <w:rsid w:val="00792CA2"/>
    <w:rsid w:val="00793E6C"/>
    <w:rsid w:val="00794B49"/>
    <w:rsid w:val="0079602B"/>
    <w:rsid w:val="00796EC5"/>
    <w:rsid w:val="00797BB6"/>
    <w:rsid w:val="007A0AB5"/>
    <w:rsid w:val="007A18B4"/>
    <w:rsid w:val="007A1E3A"/>
    <w:rsid w:val="007A22D7"/>
    <w:rsid w:val="007A55E5"/>
    <w:rsid w:val="007A5C67"/>
    <w:rsid w:val="007A5E59"/>
    <w:rsid w:val="007A6411"/>
    <w:rsid w:val="007A6BD9"/>
    <w:rsid w:val="007A76D0"/>
    <w:rsid w:val="007B1B9C"/>
    <w:rsid w:val="007B2AC0"/>
    <w:rsid w:val="007B342E"/>
    <w:rsid w:val="007B39C0"/>
    <w:rsid w:val="007B3A6D"/>
    <w:rsid w:val="007B54F3"/>
    <w:rsid w:val="007B5A23"/>
    <w:rsid w:val="007B5CD1"/>
    <w:rsid w:val="007B6A54"/>
    <w:rsid w:val="007B75EC"/>
    <w:rsid w:val="007B7E25"/>
    <w:rsid w:val="007C0332"/>
    <w:rsid w:val="007C1DC5"/>
    <w:rsid w:val="007C2334"/>
    <w:rsid w:val="007C30CC"/>
    <w:rsid w:val="007C5A43"/>
    <w:rsid w:val="007C5C59"/>
    <w:rsid w:val="007C5D58"/>
    <w:rsid w:val="007C6452"/>
    <w:rsid w:val="007C64D6"/>
    <w:rsid w:val="007C6DC5"/>
    <w:rsid w:val="007D00D1"/>
    <w:rsid w:val="007D21CF"/>
    <w:rsid w:val="007D4477"/>
    <w:rsid w:val="007D4F41"/>
    <w:rsid w:val="007D69EC"/>
    <w:rsid w:val="007D6C0B"/>
    <w:rsid w:val="007D7498"/>
    <w:rsid w:val="007D7EAF"/>
    <w:rsid w:val="007E05EE"/>
    <w:rsid w:val="007E0BD6"/>
    <w:rsid w:val="007E2540"/>
    <w:rsid w:val="007E3421"/>
    <w:rsid w:val="007E41FB"/>
    <w:rsid w:val="007E522D"/>
    <w:rsid w:val="007E634C"/>
    <w:rsid w:val="007E68BA"/>
    <w:rsid w:val="007E714F"/>
    <w:rsid w:val="007E751B"/>
    <w:rsid w:val="007F03DC"/>
    <w:rsid w:val="007F067C"/>
    <w:rsid w:val="007F0D0A"/>
    <w:rsid w:val="007F1114"/>
    <w:rsid w:val="007F1D33"/>
    <w:rsid w:val="007F2970"/>
    <w:rsid w:val="007F2FE2"/>
    <w:rsid w:val="007F3061"/>
    <w:rsid w:val="007F3C56"/>
    <w:rsid w:val="007F3D82"/>
    <w:rsid w:val="007F3FBD"/>
    <w:rsid w:val="007F465A"/>
    <w:rsid w:val="007F4D55"/>
    <w:rsid w:val="007F5A7E"/>
    <w:rsid w:val="007F6CBC"/>
    <w:rsid w:val="007F7588"/>
    <w:rsid w:val="007F7C98"/>
    <w:rsid w:val="008005FB"/>
    <w:rsid w:val="008008C1"/>
    <w:rsid w:val="00801B02"/>
    <w:rsid w:val="00801C98"/>
    <w:rsid w:val="00801CE0"/>
    <w:rsid w:val="00801F67"/>
    <w:rsid w:val="008026AA"/>
    <w:rsid w:val="0080287A"/>
    <w:rsid w:val="00803996"/>
    <w:rsid w:val="00804286"/>
    <w:rsid w:val="00804C2E"/>
    <w:rsid w:val="00805EB2"/>
    <w:rsid w:val="008107FD"/>
    <w:rsid w:val="00810A36"/>
    <w:rsid w:val="00810B33"/>
    <w:rsid w:val="00811E3C"/>
    <w:rsid w:val="0081477B"/>
    <w:rsid w:val="0081480D"/>
    <w:rsid w:val="0081518B"/>
    <w:rsid w:val="00815398"/>
    <w:rsid w:val="00815F83"/>
    <w:rsid w:val="00816825"/>
    <w:rsid w:val="00817947"/>
    <w:rsid w:val="00817BC4"/>
    <w:rsid w:val="0082008B"/>
    <w:rsid w:val="00820662"/>
    <w:rsid w:val="00822ABB"/>
    <w:rsid w:val="00823E24"/>
    <w:rsid w:val="00824BB0"/>
    <w:rsid w:val="00825F19"/>
    <w:rsid w:val="00827252"/>
    <w:rsid w:val="008306C1"/>
    <w:rsid w:val="00830E37"/>
    <w:rsid w:val="00831073"/>
    <w:rsid w:val="0083125E"/>
    <w:rsid w:val="0083171E"/>
    <w:rsid w:val="008317F2"/>
    <w:rsid w:val="0083219B"/>
    <w:rsid w:val="00833492"/>
    <w:rsid w:val="00833816"/>
    <w:rsid w:val="00835CA6"/>
    <w:rsid w:val="00836DF7"/>
    <w:rsid w:val="00840534"/>
    <w:rsid w:val="00840F83"/>
    <w:rsid w:val="00841023"/>
    <w:rsid w:val="00841DF2"/>
    <w:rsid w:val="00843106"/>
    <w:rsid w:val="00843548"/>
    <w:rsid w:val="00844CA0"/>
    <w:rsid w:val="008458DB"/>
    <w:rsid w:val="00845A83"/>
    <w:rsid w:val="00846EAF"/>
    <w:rsid w:val="0084761C"/>
    <w:rsid w:val="00847A1D"/>
    <w:rsid w:val="00847DCC"/>
    <w:rsid w:val="00850032"/>
    <w:rsid w:val="008511BB"/>
    <w:rsid w:val="008521B3"/>
    <w:rsid w:val="00853A3F"/>
    <w:rsid w:val="00854457"/>
    <w:rsid w:val="00854B5B"/>
    <w:rsid w:val="00854F8A"/>
    <w:rsid w:val="00855103"/>
    <w:rsid w:val="00855B51"/>
    <w:rsid w:val="0085641E"/>
    <w:rsid w:val="00856493"/>
    <w:rsid w:val="00857639"/>
    <w:rsid w:val="008602AD"/>
    <w:rsid w:val="008633C0"/>
    <w:rsid w:val="00864C4E"/>
    <w:rsid w:val="0086528A"/>
    <w:rsid w:val="008656E9"/>
    <w:rsid w:val="008661E6"/>
    <w:rsid w:val="00866262"/>
    <w:rsid w:val="00866894"/>
    <w:rsid w:val="00867811"/>
    <w:rsid w:val="008700D8"/>
    <w:rsid w:val="00870F68"/>
    <w:rsid w:val="00872246"/>
    <w:rsid w:val="008728B5"/>
    <w:rsid w:val="00873E64"/>
    <w:rsid w:val="00874006"/>
    <w:rsid w:val="00874515"/>
    <w:rsid w:val="00875859"/>
    <w:rsid w:val="00876FF7"/>
    <w:rsid w:val="008805ED"/>
    <w:rsid w:val="00882460"/>
    <w:rsid w:val="008826AE"/>
    <w:rsid w:val="00883665"/>
    <w:rsid w:val="00883DA4"/>
    <w:rsid w:val="00883E03"/>
    <w:rsid w:val="00883F2E"/>
    <w:rsid w:val="008853E6"/>
    <w:rsid w:val="00885AF7"/>
    <w:rsid w:val="00885D70"/>
    <w:rsid w:val="008861C7"/>
    <w:rsid w:val="008900A8"/>
    <w:rsid w:val="0089012E"/>
    <w:rsid w:val="008922A5"/>
    <w:rsid w:val="00892458"/>
    <w:rsid w:val="00892A20"/>
    <w:rsid w:val="00892D76"/>
    <w:rsid w:val="008937D8"/>
    <w:rsid w:val="00893BF1"/>
    <w:rsid w:val="008946FB"/>
    <w:rsid w:val="008952D4"/>
    <w:rsid w:val="0089775D"/>
    <w:rsid w:val="008A0256"/>
    <w:rsid w:val="008A0F52"/>
    <w:rsid w:val="008A145F"/>
    <w:rsid w:val="008A2B8F"/>
    <w:rsid w:val="008A2D69"/>
    <w:rsid w:val="008A4B23"/>
    <w:rsid w:val="008A55C6"/>
    <w:rsid w:val="008A5892"/>
    <w:rsid w:val="008A61CB"/>
    <w:rsid w:val="008A70CC"/>
    <w:rsid w:val="008A79FD"/>
    <w:rsid w:val="008B044E"/>
    <w:rsid w:val="008B0737"/>
    <w:rsid w:val="008B18F8"/>
    <w:rsid w:val="008B2A6D"/>
    <w:rsid w:val="008B2C29"/>
    <w:rsid w:val="008B4431"/>
    <w:rsid w:val="008B4EE5"/>
    <w:rsid w:val="008B516B"/>
    <w:rsid w:val="008B521D"/>
    <w:rsid w:val="008B643A"/>
    <w:rsid w:val="008B67FE"/>
    <w:rsid w:val="008B6C26"/>
    <w:rsid w:val="008B7323"/>
    <w:rsid w:val="008B7B2E"/>
    <w:rsid w:val="008C091C"/>
    <w:rsid w:val="008C1316"/>
    <w:rsid w:val="008C1B46"/>
    <w:rsid w:val="008C21F8"/>
    <w:rsid w:val="008C2756"/>
    <w:rsid w:val="008C29E4"/>
    <w:rsid w:val="008C2DB9"/>
    <w:rsid w:val="008C2FEC"/>
    <w:rsid w:val="008C314F"/>
    <w:rsid w:val="008C394C"/>
    <w:rsid w:val="008C4439"/>
    <w:rsid w:val="008C45EA"/>
    <w:rsid w:val="008C586A"/>
    <w:rsid w:val="008C5979"/>
    <w:rsid w:val="008C5C6A"/>
    <w:rsid w:val="008C6493"/>
    <w:rsid w:val="008C6B86"/>
    <w:rsid w:val="008C794F"/>
    <w:rsid w:val="008D1A0F"/>
    <w:rsid w:val="008D295A"/>
    <w:rsid w:val="008D3542"/>
    <w:rsid w:val="008D5A51"/>
    <w:rsid w:val="008D6A19"/>
    <w:rsid w:val="008D6F62"/>
    <w:rsid w:val="008D71D0"/>
    <w:rsid w:val="008D7259"/>
    <w:rsid w:val="008D7D81"/>
    <w:rsid w:val="008E014E"/>
    <w:rsid w:val="008E21A3"/>
    <w:rsid w:val="008E23F3"/>
    <w:rsid w:val="008E3039"/>
    <w:rsid w:val="008E3392"/>
    <w:rsid w:val="008E383D"/>
    <w:rsid w:val="008E3E4A"/>
    <w:rsid w:val="008E4CA0"/>
    <w:rsid w:val="008E52FB"/>
    <w:rsid w:val="008E5950"/>
    <w:rsid w:val="008E59B1"/>
    <w:rsid w:val="008E5DA8"/>
    <w:rsid w:val="008E6C25"/>
    <w:rsid w:val="008E790B"/>
    <w:rsid w:val="008E7F8D"/>
    <w:rsid w:val="008F1D01"/>
    <w:rsid w:val="008F23B0"/>
    <w:rsid w:val="008F3AD4"/>
    <w:rsid w:val="008F436A"/>
    <w:rsid w:val="008F4752"/>
    <w:rsid w:val="008F5C94"/>
    <w:rsid w:val="008F675E"/>
    <w:rsid w:val="008F703E"/>
    <w:rsid w:val="008F789B"/>
    <w:rsid w:val="00900880"/>
    <w:rsid w:val="00900B2E"/>
    <w:rsid w:val="009028A5"/>
    <w:rsid w:val="00904E72"/>
    <w:rsid w:val="00905A6D"/>
    <w:rsid w:val="00905F11"/>
    <w:rsid w:val="009078EC"/>
    <w:rsid w:val="009079A2"/>
    <w:rsid w:val="00913268"/>
    <w:rsid w:val="00913CE8"/>
    <w:rsid w:val="009143E9"/>
    <w:rsid w:val="00914405"/>
    <w:rsid w:val="00914DD8"/>
    <w:rsid w:val="00915188"/>
    <w:rsid w:val="0091521C"/>
    <w:rsid w:val="009157C5"/>
    <w:rsid w:val="0091623B"/>
    <w:rsid w:val="0092014A"/>
    <w:rsid w:val="00920BEA"/>
    <w:rsid w:val="00922751"/>
    <w:rsid w:val="009232B0"/>
    <w:rsid w:val="009236B7"/>
    <w:rsid w:val="00924CEC"/>
    <w:rsid w:val="009253C9"/>
    <w:rsid w:val="00926619"/>
    <w:rsid w:val="009273C6"/>
    <w:rsid w:val="0092790D"/>
    <w:rsid w:val="00930510"/>
    <w:rsid w:val="009330E0"/>
    <w:rsid w:val="00933404"/>
    <w:rsid w:val="00933FDD"/>
    <w:rsid w:val="00935899"/>
    <w:rsid w:val="00937211"/>
    <w:rsid w:val="00937A7C"/>
    <w:rsid w:val="00940E37"/>
    <w:rsid w:val="00941016"/>
    <w:rsid w:val="009426C0"/>
    <w:rsid w:val="00943C07"/>
    <w:rsid w:val="00945FA7"/>
    <w:rsid w:val="0094658D"/>
    <w:rsid w:val="00946A90"/>
    <w:rsid w:val="00946F49"/>
    <w:rsid w:val="00947C4B"/>
    <w:rsid w:val="00950649"/>
    <w:rsid w:val="00950ECE"/>
    <w:rsid w:val="00951001"/>
    <w:rsid w:val="009515AD"/>
    <w:rsid w:val="00952BB6"/>
    <w:rsid w:val="0095478E"/>
    <w:rsid w:val="00955F75"/>
    <w:rsid w:val="009563A9"/>
    <w:rsid w:val="00956FF3"/>
    <w:rsid w:val="009574FA"/>
    <w:rsid w:val="00960D0D"/>
    <w:rsid w:val="0096232C"/>
    <w:rsid w:val="0096243A"/>
    <w:rsid w:val="009624B5"/>
    <w:rsid w:val="009626FD"/>
    <w:rsid w:val="00962BF8"/>
    <w:rsid w:val="00963C39"/>
    <w:rsid w:val="00964E05"/>
    <w:rsid w:val="00964F44"/>
    <w:rsid w:val="009654DC"/>
    <w:rsid w:val="0096592D"/>
    <w:rsid w:val="00965A24"/>
    <w:rsid w:val="0096620D"/>
    <w:rsid w:val="00972A53"/>
    <w:rsid w:val="0097324B"/>
    <w:rsid w:val="0097385E"/>
    <w:rsid w:val="009740D6"/>
    <w:rsid w:val="00974BFD"/>
    <w:rsid w:val="0097506E"/>
    <w:rsid w:val="009759FE"/>
    <w:rsid w:val="009765A0"/>
    <w:rsid w:val="009775AC"/>
    <w:rsid w:val="0098028F"/>
    <w:rsid w:val="009802E3"/>
    <w:rsid w:val="0098248A"/>
    <w:rsid w:val="00982D9C"/>
    <w:rsid w:val="009831D9"/>
    <w:rsid w:val="00983E4E"/>
    <w:rsid w:val="00983F10"/>
    <w:rsid w:val="00983F53"/>
    <w:rsid w:val="0098438E"/>
    <w:rsid w:val="009845B7"/>
    <w:rsid w:val="009845DC"/>
    <w:rsid w:val="00984B54"/>
    <w:rsid w:val="00984CEE"/>
    <w:rsid w:val="00984DF7"/>
    <w:rsid w:val="00986653"/>
    <w:rsid w:val="00986B63"/>
    <w:rsid w:val="009871E8"/>
    <w:rsid w:val="009871FF"/>
    <w:rsid w:val="009900F3"/>
    <w:rsid w:val="00990121"/>
    <w:rsid w:val="00990529"/>
    <w:rsid w:val="009907A5"/>
    <w:rsid w:val="009914AA"/>
    <w:rsid w:val="009914F0"/>
    <w:rsid w:val="00992166"/>
    <w:rsid w:val="009926ED"/>
    <w:rsid w:val="009929BD"/>
    <w:rsid w:val="00993882"/>
    <w:rsid w:val="0099441D"/>
    <w:rsid w:val="00995697"/>
    <w:rsid w:val="009958DC"/>
    <w:rsid w:val="00995D40"/>
    <w:rsid w:val="00996078"/>
    <w:rsid w:val="00997287"/>
    <w:rsid w:val="00997A4C"/>
    <w:rsid w:val="009A056E"/>
    <w:rsid w:val="009A0A65"/>
    <w:rsid w:val="009A0F4F"/>
    <w:rsid w:val="009A15AC"/>
    <w:rsid w:val="009A2AA9"/>
    <w:rsid w:val="009A2D70"/>
    <w:rsid w:val="009A3602"/>
    <w:rsid w:val="009A42EF"/>
    <w:rsid w:val="009A62E5"/>
    <w:rsid w:val="009A69FE"/>
    <w:rsid w:val="009A6D99"/>
    <w:rsid w:val="009A7865"/>
    <w:rsid w:val="009A7E94"/>
    <w:rsid w:val="009B0D47"/>
    <w:rsid w:val="009B1E72"/>
    <w:rsid w:val="009B4DA7"/>
    <w:rsid w:val="009B5063"/>
    <w:rsid w:val="009B548D"/>
    <w:rsid w:val="009B58DB"/>
    <w:rsid w:val="009B6145"/>
    <w:rsid w:val="009B743E"/>
    <w:rsid w:val="009B782A"/>
    <w:rsid w:val="009B7E6B"/>
    <w:rsid w:val="009B7ECE"/>
    <w:rsid w:val="009C0802"/>
    <w:rsid w:val="009C0A7E"/>
    <w:rsid w:val="009C43D7"/>
    <w:rsid w:val="009C52D3"/>
    <w:rsid w:val="009C5F2C"/>
    <w:rsid w:val="009C62D5"/>
    <w:rsid w:val="009C673C"/>
    <w:rsid w:val="009C6FE8"/>
    <w:rsid w:val="009C750F"/>
    <w:rsid w:val="009C7F02"/>
    <w:rsid w:val="009C7FC7"/>
    <w:rsid w:val="009D0C8F"/>
    <w:rsid w:val="009D1E92"/>
    <w:rsid w:val="009D3DC6"/>
    <w:rsid w:val="009D4A32"/>
    <w:rsid w:val="009D5B21"/>
    <w:rsid w:val="009D6037"/>
    <w:rsid w:val="009D709F"/>
    <w:rsid w:val="009D7E47"/>
    <w:rsid w:val="009E1053"/>
    <w:rsid w:val="009E2705"/>
    <w:rsid w:val="009E2C82"/>
    <w:rsid w:val="009E2F39"/>
    <w:rsid w:val="009E59B2"/>
    <w:rsid w:val="009E60DF"/>
    <w:rsid w:val="009E6709"/>
    <w:rsid w:val="009E6ED4"/>
    <w:rsid w:val="009E701F"/>
    <w:rsid w:val="009F0FDC"/>
    <w:rsid w:val="009F1C01"/>
    <w:rsid w:val="009F20E4"/>
    <w:rsid w:val="009F3E71"/>
    <w:rsid w:val="009F4487"/>
    <w:rsid w:val="009F4B2F"/>
    <w:rsid w:val="009F55AD"/>
    <w:rsid w:val="009F6B04"/>
    <w:rsid w:val="009F7484"/>
    <w:rsid w:val="009F7979"/>
    <w:rsid w:val="00A00ACF"/>
    <w:rsid w:val="00A00BA1"/>
    <w:rsid w:val="00A0125C"/>
    <w:rsid w:val="00A01EB9"/>
    <w:rsid w:val="00A01EEA"/>
    <w:rsid w:val="00A02040"/>
    <w:rsid w:val="00A0233F"/>
    <w:rsid w:val="00A0255B"/>
    <w:rsid w:val="00A02E7B"/>
    <w:rsid w:val="00A0302F"/>
    <w:rsid w:val="00A03A67"/>
    <w:rsid w:val="00A03BFE"/>
    <w:rsid w:val="00A0448E"/>
    <w:rsid w:val="00A060B6"/>
    <w:rsid w:val="00A06693"/>
    <w:rsid w:val="00A07161"/>
    <w:rsid w:val="00A0752E"/>
    <w:rsid w:val="00A1169E"/>
    <w:rsid w:val="00A1211C"/>
    <w:rsid w:val="00A133AD"/>
    <w:rsid w:val="00A13A3E"/>
    <w:rsid w:val="00A14C7A"/>
    <w:rsid w:val="00A154BA"/>
    <w:rsid w:val="00A16650"/>
    <w:rsid w:val="00A17051"/>
    <w:rsid w:val="00A17810"/>
    <w:rsid w:val="00A21A16"/>
    <w:rsid w:val="00A2236A"/>
    <w:rsid w:val="00A23792"/>
    <w:rsid w:val="00A23ACC"/>
    <w:rsid w:val="00A243E9"/>
    <w:rsid w:val="00A24FFD"/>
    <w:rsid w:val="00A26DC7"/>
    <w:rsid w:val="00A30872"/>
    <w:rsid w:val="00A30E26"/>
    <w:rsid w:val="00A315F5"/>
    <w:rsid w:val="00A31BF3"/>
    <w:rsid w:val="00A3235B"/>
    <w:rsid w:val="00A32DA4"/>
    <w:rsid w:val="00A33318"/>
    <w:rsid w:val="00A33424"/>
    <w:rsid w:val="00A337E0"/>
    <w:rsid w:val="00A3613A"/>
    <w:rsid w:val="00A3680D"/>
    <w:rsid w:val="00A36920"/>
    <w:rsid w:val="00A37D54"/>
    <w:rsid w:val="00A37FB8"/>
    <w:rsid w:val="00A400D4"/>
    <w:rsid w:val="00A41837"/>
    <w:rsid w:val="00A4397B"/>
    <w:rsid w:val="00A43B5C"/>
    <w:rsid w:val="00A43DE6"/>
    <w:rsid w:val="00A443AD"/>
    <w:rsid w:val="00A44620"/>
    <w:rsid w:val="00A452D4"/>
    <w:rsid w:val="00A46340"/>
    <w:rsid w:val="00A46E21"/>
    <w:rsid w:val="00A50E1C"/>
    <w:rsid w:val="00A51A23"/>
    <w:rsid w:val="00A51BE7"/>
    <w:rsid w:val="00A52B68"/>
    <w:rsid w:val="00A53FB1"/>
    <w:rsid w:val="00A548A0"/>
    <w:rsid w:val="00A5628E"/>
    <w:rsid w:val="00A5790A"/>
    <w:rsid w:val="00A60275"/>
    <w:rsid w:val="00A6079A"/>
    <w:rsid w:val="00A60966"/>
    <w:rsid w:val="00A60BA1"/>
    <w:rsid w:val="00A6291B"/>
    <w:rsid w:val="00A63CBE"/>
    <w:rsid w:val="00A6434E"/>
    <w:rsid w:val="00A646E3"/>
    <w:rsid w:val="00A67603"/>
    <w:rsid w:val="00A7197D"/>
    <w:rsid w:val="00A72F96"/>
    <w:rsid w:val="00A73A2D"/>
    <w:rsid w:val="00A7585B"/>
    <w:rsid w:val="00A75BFF"/>
    <w:rsid w:val="00A777A0"/>
    <w:rsid w:val="00A80ABB"/>
    <w:rsid w:val="00A80C0D"/>
    <w:rsid w:val="00A81C48"/>
    <w:rsid w:val="00A823C8"/>
    <w:rsid w:val="00A840FE"/>
    <w:rsid w:val="00A849E7"/>
    <w:rsid w:val="00A85369"/>
    <w:rsid w:val="00A85CF6"/>
    <w:rsid w:val="00A869D6"/>
    <w:rsid w:val="00A8722C"/>
    <w:rsid w:val="00A91507"/>
    <w:rsid w:val="00A9186E"/>
    <w:rsid w:val="00A91D81"/>
    <w:rsid w:val="00A92246"/>
    <w:rsid w:val="00A92F03"/>
    <w:rsid w:val="00A93CD5"/>
    <w:rsid w:val="00A94A13"/>
    <w:rsid w:val="00A94C57"/>
    <w:rsid w:val="00A95800"/>
    <w:rsid w:val="00A964C7"/>
    <w:rsid w:val="00A965D7"/>
    <w:rsid w:val="00A9687E"/>
    <w:rsid w:val="00A96DD1"/>
    <w:rsid w:val="00A97F1B"/>
    <w:rsid w:val="00A97F5C"/>
    <w:rsid w:val="00AA019C"/>
    <w:rsid w:val="00AA0890"/>
    <w:rsid w:val="00AA0C94"/>
    <w:rsid w:val="00AA2492"/>
    <w:rsid w:val="00AA3B63"/>
    <w:rsid w:val="00AA4BDA"/>
    <w:rsid w:val="00AA565E"/>
    <w:rsid w:val="00AA59E7"/>
    <w:rsid w:val="00AA5FFB"/>
    <w:rsid w:val="00AA76D5"/>
    <w:rsid w:val="00AA7FB4"/>
    <w:rsid w:val="00AB0011"/>
    <w:rsid w:val="00AB0EA2"/>
    <w:rsid w:val="00AB2607"/>
    <w:rsid w:val="00AB267C"/>
    <w:rsid w:val="00AB2EB0"/>
    <w:rsid w:val="00AB3BFF"/>
    <w:rsid w:val="00AB68E9"/>
    <w:rsid w:val="00AC0683"/>
    <w:rsid w:val="00AC0FA3"/>
    <w:rsid w:val="00AC1574"/>
    <w:rsid w:val="00AC29A0"/>
    <w:rsid w:val="00AC2BF2"/>
    <w:rsid w:val="00AC39FF"/>
    <w:rsid w:val="00AC3A61"/>
    <w:rsid w:val="00AC3AD7"/>
    <w:rsid w:val="00AC46B7"/>
    <w:rsid w:val="00AC49D5"/>
    <w:rsid w:val="00AC516E"/>
    <w:rsid w:val="00AC5607"/>
    <w:rsid w:val="00AC5747"/>
    <w:rsid w:val="00AC68C0"/>
    <w:rsid w:val="00AC692F"/>
    <w:rsid w:val="00AC7228"/>
    <w:rsid w:val="00AC79C8"/>
    <w:rsid w:val="00AD1491"/>
    <w:rsid w:val="00AD3EE1"/>
    <w:rsid w:val="00AD3F5D"/>
    <w:rsid w:val="00AD3FC3"/>
    <w:rsid w:val="00AD4444"/>
    <w:rsid w:val="00AD5223"/>
    <w:rsid w:val="00AD5992"/>
    <w:rsid w:val="00AD5AD9"/>
    <w:rsid w:val="00AE041A"/>
    <w:rsid w:val="00AE178A"/>
    <w:rsid w:val="00AE1DD7"/>
    <w:rsid w:val="00AE4069"/>
    <w:rsid w:val="00AE4ED6"/>
    <w:rsid w:val="00AE5233"/>
    <w:rsid w:val="00AE7AEB"/>
    <w:rsid w:val="00AE7DBC"/>
    <w:rsid w:val="00AF0B93"/>
    <w:rsid w:val="00AF18B7"/>
    <w:rsid w:val="00AF1A63"/>
    <w:rsid w:val="00AF1C7F"/>
    <w:rsid w:val="00AF3C9E"/>
    <w:rsid w:val="00AF3D77"/>
    <w:rsid w:val="00AF4A8A"/>
    <w:rsid w:val="00AF4BDE"/>
    <w:rsid w:val="00AF6AFD"/>
    <w:rsid w:val="00AF71E8"/>
    <w:rsid w:val="00AF7215"/>
    <w:rsid w:val="00B00FA0"/>
    <w:rsid w:val="00B01950"/>
    <w:rsid w:val="00B023EE"/>
    <w:rsid w:val="00B02E49"/>
    <w:rsid w:val="00B03784"/>
    <w:rsid w:val="00B03A87"/>
    <w:rsid w:val="00B044C1"/>
    <w:rsid w:val="00B06101"/>
    <w:rsid w:val="00B067C1"/>
    <w:rsid w:val="00B07731"/>
    <w:rsid w:val="00B10A3C"/>
    <w:rsid w:val="00B10C4A"/>
    <w:rsid w:val="00B119DE"/>
    <w:rsid w:val="00B11B1E"/>
    <w:rsid w:val="00B12EA7"/>
    <w:rsid w:val="00B15197"/>
    <w:rsid w:val="00B15336"/>
    <w:rsid w:val="00B15F07"/>
    <w:rsid w:val="00B17068"/>
    <w:rsid w:val="00B177C9"/>
    <w:rsid w:val="00B2009F"/>
    <w:rsid w:val="00B20343"/>
    <w:rsid w:val="00B2077E"/>
    <w:rsid w:val="00B21398"/>
    <w:rsid w:val="00B22379"/>
    <w:rsid w:val="00B223F6"/>
    <w:rsid w:val="00B22EB6"/>
    <w:rsid w:val="00B22FD9"/>
    <w:rsid w:val="00B23FEE"/>
    <w:rsid w:val="00B2401A"/>
    <w:rsid w:val="00B2410D"/>
    <w:rsid w:val="00B2563A"/>
    <w:rsid w:val="00B25CBC"/>
    <w:rsid w:val="00B30DE6"/>
    <w:rsid w:val="00B31922"/>
    <w:rsid w:val="00B320DF"/>
    <w:rsid w:val="00B32D84"/>
    <w:rsid w:val="00B33890"/>
    <w:rsid w:val="00B349FD"/>
    <w:rsid w:val="00B35B90"/>
    <w:rsid w:val="00B366C9"/>
    <w:rsid w:val="00B36AE3"/>
    <w:rsid w:val="00B36E04"/>
    <w:rsid w:val="00B37471"/>
    <w:rsid w:val="00B40398"/>
    <w:rsid w:val="00B4040C"/>
    <w:rsid w:val="00B4067D"/>
    <w:rsid w:val="00B40B58"/>
    <w:rsid w:val="00B42003"/>
    <w:rsid w:val="00B4267D"/>
    <w:rsid w:val="00B42C4B"/>
    <w:rsid w:val="00B43598"/>
    <w:rsid w:val="00B43F1F"/>
    <w:rsid w:val="00B45449"/>
    <w:rsid w:val="00B4582A"/>
    <w:rsid w:val="00B45A03"/>
    <w:rsid w:val="00B527BC"/>
    <w:rsid w:val="00B52D5A"/>
    <w:rsid w:val="00B5372C"/>
    <w:rsid w:val="00B538D9"/>
    <w:rsid w:val="00B54525"/>
    <w:rsid w:val="00B545BC"/>
    <w:rsid w:val="00B54D81"/>
    <w:rsid w:val="00B552C0"/>
    <w:rsid w:val="00B55AFA"/>
    <w:rsid w:val="00B5604D"/>
    <w:rsid w:val="00B570DF"/>
    <w:rsid w:val="00B61123"/>
    <w:rsid w:val="00B61F46"/>
    <w:rsid w:val="00B62E06"/>
    <w:rsid w:val="00B63BAB"/>
    <w:rsid w:val="00B640E0"/>
    <w:rsid w:val="00B6551A"/>
    <w:rsid w:val="00B65FCD"/>
    <w:rsid w:val="00B66147"/>
    <w:rsid w:val="00B6750D"/>
    <w:rsid w:val="00B675AF"/>
    <w:rsid w:val="00B67B6C"/>
    <w:rsid w:val="00B70473"/>
    <w:rsid w:val="00B7066F"/>
    <w:rsid w:val="00B70AA2"/>
    <w:rsid w:val="00B70E68"/>
    <w:rsid w:val="00B71744"/>
    <w:rsid w:val="00B7287F"/>
    <w:rsid w:val="00B72C73"/>
    <w:rsid w:val="00B741F3"/>
    <w:rsid w:val="00B742D4"/>
    <w:rsid w:val="00B74585"/>
    <w:rsid w:val="00B74A78"/>
    <w:rsid w:val="00B751A5"/>
    <w:rsid w:val="00B757CC"/>
    <w:rsid w:val="00B75A1C"/>
    <w:rsid w:val="00B76CEE"/>
    <w:rsid w:val="00B77135"/>
    <w:rsid w:val="00B77373"/>
    <w:rsid w:val="00B77467"/>
    <w:rsid w:val="00B77A03"/>
    <w:rsid w:val="00B77BD4"/>
    <w:rsid w:val="00B8034D"/>
    <w:rsid w:val="00B8062E"/>
    <w:rsid w:val="00B80F0E"/>
    <w:rsid w:val="00B831DC"/>
    <w:rsid w:val="00B831DF"/>
    <w:rsid w:val="00B83467"/>
    <w:rsid w:val="00B83F5D"/>
    <w:rsid w:val="00B8400C"/>
    <w:rsid w:val="00B84391"/>
    <w:rsid w:val="00B84B75"/>
    <w:rsid w:val="00B85ADB"/>
    <w:rsid w:val="00B866E3"/>
    <w:rsid w:val="00B86A5E"/>
    <w:rsid w:val="00B87D8E"/>
    <w:rsid w:val="00B919E0"/>
    <w:rsid w:val="00B91A47"/>
    <w:rsid w:val="00B93B6E"/>
    <w:rsid w:val="00B941DB"/>
    <w:rsid w:val="00B946DF"/>
    <w:rsid w:val="00B94A63"/>
    <w:rsid w:val="00B94F17"/>
    <w:rsid w:val="00B96396"/>
    <w:rsid w:val="00B966D2"/>
    <w:rsid w:val="00BA0ABB"/>
    <w:rsid w:val="00BA0EA1"/>
    <w:rsid w:val="00BA36B1"/>
    <w:rsid w:val="00BA375D"/>
    <w:rsid w:val="00BA3B4D"/>
    <w:rsid w:val="00BA3DB6"/>
    <w:rsid w:val="00BA3DB9"/>
    <w:rsid w:val="00BA4BCF"/>
    <w:rsid w:val="00BA62A9"/>
    <w:rsid w:val="00BA72E0"/>
    <w:rsid w:val="00BA7425"/>
    <w:rsid w:val="00BA75AE"/>
    <w:rsid w:val="00BA7BBA"/>
    <w:rsid w:val="00BB187F"/>
    <w:rsid w:val="00BB1AA6"/>
    <w:rsid w:val="00BB306E"/>
    <w:rsid w:val="00BB5AE1"/>
    <w:rsid w:val="00BB5C42"/>
    <w:rsid w:val="00BB6401"/>
    <w:rsid w:val="00BB7613"/>
    <w:rsid w:val="00BB7B00"/>
    <w:rsid w:val="00BC058E"/>
    <w:rsid w:val="00BC0971"/>
    <w:rsid w:val="00BC2737"/>
    <w:rsid w:val="00BC287A"/>
    <w:rsid w:val="00BC2CC4"/>
    <w:rsid w:val="00BC3223"/>
    <w:rsid w:val="00BC390F"/>
    <w:rsid w:val="00BC392E"/>
    <w:rsid w:val="00BC3D87"/>
    <w:rsid w:val="00BC4A1B"/>
    <w:rsid w:val="00BC4E3E"/>
    <w:rsid w:val="00BC5DEE"/>
    <w:rsid w:val="00BD01EF"/>
    <w:rsid w:val="00BD0994"/>
    <w:rsid w:val="00BD0A1F"/>
    <w:rsid w:val="00BD2BC4"/>
    <w:rsid w:val="00BD4889"/>
    <w:rsid w:val="00BD4EB2"/>
    <w:rsid w:val="00BD4F67"/>
    <w:rsid w:val="00BD6660"/>
    <w:rsid w:val="00BD7C21"/>
    <w:rsid w:val="00BD7F02"/>
    <w:rsid w:val="00BE038E"/>
    <w:rsid w:val="00BE0E8B"/>
    <w:rsid w:val="00BE2FD8"/>
    <w:rsid w:val="00BE3978"/>
    <w:rsid w:val="00BE3BA2"/>
    <w:rsid w:val="00BE4870"/>
    <w:rsid w:val="00BE5426"/>
    <w:rsid w:val="00BE6722"/>
    <w:rsid w:val="00BE69BF"/>
    <w:rsid w:val="00BE6CA7"/>
    <w:rsid w:val="00BE7BDF"/>
    <w:rsid w:val="00BF0684"/>
    <w:rsid w:val="00BF1B90"/>
    <w:rsid w:val="00BF3E04"/>
    <w:rsid w:val="00BF4A9D"/>
    <w:rsid w:val="00BF4EFE"/>
    <w:rsid w:val="00BF5288"/>
    <w:rsid w:val="00C00099"/>
    <w:rsid w:val="00C002FE"/>
    <w:rsid w:val="00C01C78"/>
    <w:rsid w:val="00C0422E"/>
    <w:rsid w:val="00C04908"/>
    <w:rsid w:val="00C05233"/>
    <w:rsid w:val="00C05395"/>
    <w:rsid w:val="00C06153"/>
    <w:rsid w:val="00C0705F"/>
    <w:rsid w:val="00C07290"/>
    <w:rsid w:val="00C0757B"/>
    <w:rsid w:val="00C1085F"/>
    <w:rsid w:val="00C11551"/>
    <w:rsid w:val="00C11A57"/>
    <w:rsid w:val="00C11BCA"/>
    <w:rsid w:val="00C14DD2"/>
    <w:rsid w:val="00C15B2D"/>
    <w:rsid w:val="00C17010"/>
    <w:rsid w:val="00C17470"/>
    <w:rsid w:val="00C22DCA"/>
    <w:rsid w:val="00C24E97"/>
    <w:rsid w:val="00C254FB"/>
    <w:rsid w:val="00C30A58"/>
    <w:rsid w:val="00C3117A"/>
    <w:rsid w:val="00C316A3"/>
    <w:rsid w:val="00C336F4"/>
    <w:rsid w:val="00C33E2E"/>
    <w:rsid w:val="00C3449D"/>
    <w:rsid w:val="00C34591"/>
    <w:rsid w:val="00C35132"/>
    <w:rsid w:val="00C35228"/>
    <w:rsid w:val="00C354F2"/>
    <w:rsid w:val="00C35CE3"/>
    <w:rsid w:val="00C369DF"/>
    <w:rsid w:val="00C37249"/>
    <w:rsid w:val="00C37276"/>
    <w:rsid w:val="00C37289"/>
    <w:rsid w:val="00C37B07"/>
    <w:rsid w:val="00C4145C"/>
    <w:rsid w:val="00C43F21"/>
    <w:rsid w:val="00C444AB"/>
    <w:rsid w:val="00C44E99"/>
    <w:rsid w:val="00C4526B"/>
    <w:rsid w:val="00C456FB"/>
    <w:rsid w:val="00C508B0"/>
    <w:rsid w:val="00C50D23"/>
    <w:rsid w:val="00C50EA4"/>
    <w:rsid w:val="00C5160A"/>
    <w:rsid w:val="00C52A95"/>
    <w:rsid w:val="00C52AD3"/>
    <w:rsid w:val="00C5365D"/>
    <w:rsid w:val="00C53A66"/>
    <w:rsid w:val="00C53B69"/>
    <w:rsid w:val="00C53C5A"/>
    <w:rsid w:val="00C547D0"/>
    <w:rsid w:val="00C54DBC"/>
    <w:rsid w:val="00C5617F"/>
    <w:rsid w:val="00C56E6F"/>
    <w:rsid w:val="00C56EAB"/>
    <w:rsid w:val="00C56FFD"/>
    <w:rsid w:val="00C57426"/>
    <w:rsid w:val="00C603F0"/>
    <w:rsid w:val="00C60E17"/>
    <w:rsid w:val="00C60EB3"/>
    <w:rsid w:val="00C614D5"/>
    <w:rsid w:val="00C61B54"/>
    <w:rsid w:val="00C61D31"/>
    <w:rsid w:val="00C624E0"/>
    <w:rsid w:val="00C64EA0"/>
    <w:rsid w:val="00C66730"/>
    <w:rsid w:val="00C66B77"/>
    <w:rsid w:val="00C66C75"/>
    <w:rsid w:val="00C66D10"/>
    <w:rsid w:val="00C670EA"/>
    <w:rsid w:val="00C706E0"/>
    <w:rsid w:val="00C70A85"/>
    <w:rsid w:val="00C70D1E"/>
    <w:rsid w:val="00C70FC3"/>
    <w:rsid w:val="00C70FD3"/>
    <w:rsid w:val="00C73880"/>
    <w:rsid w:val="00C73B47"/>
    <w:rsid w:val="00C74392"/>
    <w:rsid w:val="00C74F23"/>
    <w:rsid w:val="00C7585B"/>
    <w:rsid w:val="00C75A56"/>
    <w:rsid w:val="00C75DBB"/>
    <w:rsid w:val="00C7676F"/>
    <w:rsid w:val="00C80592"/>
    <w:rsid w:val="00C805E9"/>
    <w:rsid w:val="00C807FE"/>
    <w:rsid w:val="00C809C5"/>
    <w:rsid w:val="00C80D52"/>
    <w:rsid w:val="00C81C04"/>
    <w:rsid w:val="00C82E84"/>
    <w:rsid w:val="00C846A6"/>
    <w:rsid w:val="00C84E1B"/>
    <w:rsid w:val="00C86353"/>
    <w:rsid w:val="00C86476"/>
    <w:rsid w:val="00C87669"/>
    <w:rsid w:val="00C87A08"/>
    <w:rsid w:val="00C87BCA"/>
    <w:rsid w:val="00C905F5"/>
    <w:rsid w:val="00C918F9"/>
    <w:rsid w:val="00C91A97"/>
    <w:rsid w:val="00C92ABD"/>
    <w:rsid w:val="00C9444D"/>
    <w:rsid w:val="00C94682"/>
    <w:rsid w:val="00C950D4"/>
    <w:rsid w:val="00C95B5F"/>
    <w:rsid w:val="00C95BDC"/>
    <w:rsid w:val="00C976FA"/>
    <w:rsid w:val="00C97C23"/>
    <w:rsid w:val="00CA0AD0"/>
    <w:rsid w:val="00CA0E57"/>
    <w:rsid w:val="00CA180E"/>
    <w:rsid w:val="00CA32E1"/>
    <w:rsid w:val="00CA43CB"/>
    <w:rsid w:val="00CA57C8"/>
    <w:rsid w:val="00CA7824"/>
    <w:rsid w:val="00CB019F"/>
    <w:rsid w:val="00CB0774"/>
    <w:rsid w:val="00CB21ED"/>
    <w:rsid w:val="00CB4968"/>
    <w:rsid w:val="00CB4FEA"/>
    <w:rsid w:val="00CB4FF3"/>
    <w:rsid w:val="00CB6F4E"/>
    <w:rsid w:val="00CB78AB"/>
    <w:rsid w:val="00CC391E"/>
    <w:rsid w:val="00CC42DD"/>
    <w:rsid w:val="00CC5B25"/>
    <w:rsid w:val="00CC5FF8"/>
    <w:rsid w:val="00CC64BB"/>
    <w:rsid w:val="00CC6F12"/>
    <w:rsid w:val="00CD007C"/>
    <w:rsid w:val="00CD0535"/>
    <w:rsid w:val="00CD0A15"/>
    <w:rsid w:val="00CD109C"/>
    <w:rsid w:val="00CD1539"/>
    <w:rsid w:val="00CD20DC"/>
    <w:rsid w:val="00CD251F"/>
    <w:rsid w:val="00CD2CF8"/>
    <w:rsid w:val="00CD2FE9"/>
    <w:rsid w:val="00CD31A6"/>
    <w:rsid w:val="00CD3377"/>
    <w:rsid w:val="00CD3774"/>
    <w:rsid w:val="00CD3C21"/>
    <w:rsid w:val="00CD3E6F"/>
    <w:rsid w:val="00CD41C5"/>
    <w:rsid w:val="00CD5FC7"/>
    <w:rsid w:val="00CD6900"/>
    <w:rsid w:val="00CE047D"/>
    <w:rsid w:val="00CE0A8C"/>
    <w:rsid w:val="00CE0D51"/>
    <w:rsid w:val="00CE1778"/>
    <w:rsid w:val="00CE21A1"/>
    <w:rsid w:val="00CE3884"/>
    <w:rsid w:val="00CE4E10"/>
    <w:rsid w:val="00CE58DE"/>
    <w:rsid w:val="00CE5A7A"/>
    <w:rsid w:val="00CE612B"/>
    <w:rsid w:val="00CE63C4"/>
    <w:rsid w:val="00CE6B7E"/>
    <w:rsid w:val="00CE769A"/>
    <w:rsid w:val="00CE76EA"/>
    <w:rsid w:val="00CE7857"/>
    <w:rsid w:val="00CF00E4"/>
    <w:rsid w:val="00CF049C"/>
    <w:rsid w:val="00CF07F2"/>
    <w:rsid w:val="00CF1B6C"/>
    <w:rsid w:val="00CF2482"/>
    <w:rsid w:val="00CF2A13"/>
    <w:rsid w:val="00CF4AD6"/>
    <w:rsid w:val="00CF69C8"/>
    <w:rsid w:val="00CF7A99"/>
    <w:rsid w:val="00CF7B88"/>
    <w:rsid w:val="00CF7C29"/>
    <w:rsid w:val="00D002F7"/>
    <w:rsid w:val="00D0168E"/>
    <w:rsid w:val="00D01B85"/>
    <w:rsid w:val="00D01CAF"/>
    <w:rsid w:val="00D022DC"/>
    <w:rsid w:val="00D038B6"/>
    <w:rsid w:val="00D03B84"/>
    <w:rsid w:val="00D041A1"/>
    <w:rsid w:val="00D04B70"/>
    <w:rsid w:val="00D050D1"/>
    <w:rsid w:val="00D05155"/>
    <w:rsid w:val="00D05492"/>
    <w:rsid w:val="00D06383"/>
    <w:rsid w:val="00D0656B"/>
    <w:rsid w:val="00D06EC2"/>
    <w:rsid w:val="00D06FCE"/>
    <w:rsid w:val="00D105E7"/>
    <w:rsid w:val="00D10CF5"/>
    <w:rsid w:val="00D12AE3"/>
    <w:rsid w:val="00D135D4"/>
    <w:rsid w:val="00D14FE1"/>
    <w:rsid w:val="00D15772"/>
    <w:rsid w:val="00D16396"/>
    <w:rsid w:val="00D16BB7"/>
    <w:rsid w:val="00D1754B"/>
    <w:rsid w:val="00D179D3"/>
    <w:rsid w:val="00D17ACB"/>
    <w:rsid w:val="00D17C10"/>
    <w:rsid w:val="00D17E79"/>
    <w:rsid w:val="00D202D9"/>
    <w:rsid w:val="00D208F3"/>
    <w:rsid w:val="00D21749"/>
    <w:rsid w:val="00D21EAC"/>
    <w:rsid w:val="00D22956"/>
    <w:rsid w:val="00D24E5B"/>
    <w:rsid w:val="00D25C72"/>
    <w:rsid w:val="00D25DB8"/>
    <w:rsid w:val="00D25DC0"/>
    <w:rsid w:val="00D263A4"/>
    <w:rsid w:val="00D26584"/>
    <w:rsid w:val="00D265CB"/>
    <w:rsid w:val="00D30C58"/>
    <w:rsid w:val="00D3234A"/>
    <w:rsid w:val="00D3337F"/>
    <w:rsid w:val="00D34ABF"/>
    <w:rsid w:val="00D359BE"/>
    <w:rsid w:val="00D35B02"/>
    <w:rsid w:val="00D373D4"/>
    <w:rsid w:val="00D3793D"/>
    <w:rsid w:val="00D379A6"/>
    <w:rsid w:val="00D41003"/>
    <w:rsid w:val="00D43E5B"/>
    <w:rsid w:val="00D44469"/>
    <w:rsid w:val="00D44608"/>
    <w:rsid w:val="00D44A5D"/>
    <w:rsid w:val="00D45275"/>
    <w:rsid w:val="00D454E7"/>
    <w:rsid w:val="00D4585E"/>
    <w:rsid w:val="00D4731E"/>
    <w:rsid w:val="00D4771E"/>
    <w:rsid w:val="00D47FEA"/>
    <w:rsid w:val="00D52929"/>
    <w:rsid w:val="00D552F7"/>
    <w:rsid w:val="00D55D0D"/>
    <w:rsid w:val="00D5615C"/>
    <w:rsid w:val="00D56755"/>
    <w:rsid w:val="00D56A44"/>
    <w:rsid w:val="00D5767B"/>
    <w:rsid w:val="00D57965"/>
    <w:rsid w:val="00D57A8E"/>
    <w:rsid w:val="00D57B9C"/>
    <w:rsid w:val="00D60193"/>
    <w:rsid w:val="00D6088B"/>
    <w:rsid w:val="00D60D43"/>
    <w:rsid w:val="00D61A53"/>
    <w:rsid w:val="00D63C37"/>
    <w:rsid w:val="00D66155"/>
    <w:rsid w:val="00D6662A"/>
    <w:rsid w:val="00D6749D"/>
    <w:rsid w:val="00D70C2C"/>
    <w:rsid w:val="00D70DE7"/>
    <w:rsid w:val="00D71297"/>
    <w:rsid w:val="00D72EFD"/>
    <w:rsid w:val="00D73D5F"/>
    <w:rsid w:val="00D741A1"/>
    <w:rsid w:val="00D744D9"/>
    <w:rsid w:val="00D760BE"/>
    <w:rsid w:val="00D76CA5"/>
    <w:rsid w:val="00D7751A"/>
    <w:rsid w:val="00D8019D"/>
    <w:rsid w:val="00D809AE"/>
    <w:rsid w:val="00D80A92"/>
    <w:rsid w:val="00D82365"/>
    <w:rsid w:val="00D83618"/>
    <w:rsid w:val="00D84561"/>
    <w:rsid w:val="00D847B6"/>
    <w:rsid w:val="00D85673"/>
    <w:rsid w:val="00D858E2"/>
    <w:rsid w:val="00D859BE"/>
    <w:rsid w:val="00D86589"/>
    <w:rsid w:val="00D86734"/>
    <w:rsid w:val="00D869D4"/>
    <w:rsid w:val="00D86D36"/>
    <w:rsid w:val="00D87CD9"/>
    <w:rsid w:val="00D91D84"/>
    <w:rsid w:val="00D93307"/>
    <w:rsid w:val="00D93EC1"/>
    <w:rsid w:val="00D93EC6"/>
    <w:rsid w:val="00D95008"/>
    <w:rsid w:val="00D95164"/>
    <w:rsid w:val="00D95665"/>
    <w:rsid w:val="00D96DFE"/>
    <w:rsid w:val="00DA2D66"/>
    <w:rsid w:val="00DA2E98"/>
    <w:rsid w:val="00DA32D3"/>
    <w:rsid w:val="00DA4935"/>
    <w:rsid w:val="00DA4FD5"/>
    <w:rsid w:val="00DA4FF8"/>
    <w:rsid w:val="00DA55FF"/>
    <w:rsid w:val="00DA5854"/>
    <w:rsid w:val="00DA5CD5"/>
    <w:rsid w:val="00DA6578"/>
    <w:rsid w:val="00DA6830"/>
    <w:rsid w:val="00DA6E4D"/>
    <w:rsid w:val="00DA7667"/>
    <w:rsid w:val="00DB078D"/>
    <w:rsid w:val="00DB09C6"/>
    <w:rsid w:val="00DB17DC"/>
    <w:rsid w:val="00DB1DB1"/>
    <w:rsid w:val="00DB1E25"/>
    <w:rsid w:val="00DB35FB"/>
    <w:rsid w:val="00DB4B1F"/>
    <w:rsid w:val="00DB4C59"/>
    <w:rsid w:val="00DB5758"/>
    <w:rsid w:val="00DB5A42"/>
    <w:rsid w:val="00DC167A"/>
    <w:rsid w:val="00DC18B8"/>
    <w:rsid w:val="00DC2A27"/>
    <w:rsid w:val="00DC3393"/>
    <w:rsid w:val="00DC35DA"/>
    <w:rsid w:val="00DC3AEE"/>
    <w:rsid w:val="00DC41F7"/>
    <w:rsid w:val="00DC46BF"/>
    <w:rsid w:val="00DD0BF2"/>
    <w:rsid w:val="00DD1833"/>
    <w:rsid w:val="00DD1CA7"/>
    <w:rsid w:val="00DD2773"/>
    <w:rsid w:val="00DD347C"/>
    <w:rsid w:val="00DD358E"/>
    <w:rsid w:val="00DD3EE2"/>
    <w:rsid w:val="00DD4645"/>
    <w:rsid w:val="00DD522F"/>
    <w:rsid w:val="00DD5C1B"/>
    <w:rsid w:val="00DD5FAA"/>
    <w:rsid w:val="00DD66FC"/>
    <w:rsid w:val="00DD6773"/>
    <w:rsid w:val="00DD6832"/>
    <w:rsid w:val="00DE2576"/>
    <w:rsid w:val="00DE3E09"/>
    <w:rsid w:val="00DE3F2E"/>
    <w:rsid w:val="00DE4719"/>
    <w:rsid w:val="00DE48FE"/>
    <w:rsid w:val="00DE4BC6"/>
    <w:rsid w:val="00DE6C6D"/>
    <w:rsid w:val="00DF1003"/>
    <w:rsid w:val="00DF120E"/>
    <w:rsid w:val="00DF158C"/>
    <w:rsid w:val="00DF2D0E"/>
    <w:rsid w:val="00DF2FD1"/>
    <w:rsid w:val="00DF43B0"/>
    <w:rsid w:val="00DF4A5D"/>
    <w:rsid w:val="00DF4DB5"/>
    <w:rsid w:val="00DF57F2"/>
    <w:rsid w:val="00DF5CD1"/>
    <w:rsid w:val="00DF5F67"/>
    <w:rsid w:val="00DF6E4B"/>
    <w:rsid w:val="00DF714E"/>
    <w:rsid w:val="00DF7975"/>
    <w:rsid w:val="00E00E59"/>
    <w:rsid w:val="00E0113C"/>
    <w:rsid w:val="00E023AA"/>
    <w:rsid w:val="00E0253A"/>
    <w:rsid w:val="00E0260E"/>
    <w:rsid w:val="00E02D7A"/>
    <w:rsid w:val="00E031CC"/>
    <w:rsid w:val="00E03F1A"/>
    <w:rsid w:val="00E0521C"/>
    <w:rsid w:val="00E05669"/>
    <w:rsid w:val="00E05814"/>
    <w:rsid w:val="00E0587C"/>
    <w:rsid w:val="00E05AC2"/>
    <w:rsid w:val="00E06315"/>
    <w:rsid w:val="00E07AA9"/>
    <w:rsid w:val="00E07E47"/>
    <w:rsid w:val="00E10264"/>
    <w:rsid w:val="00E10AE5"/>
    <w:rsid w:val="00E11165"/>
    <w:rsid w:val="00E11D34"/>
    <w:rsid w:val="00E12B4C"/>
    <w:rsid w:val="00E12F48"/>
    <w:rsid w:val="00E133B2"/>
    <w:rsid w:val="00E161F2"/>
    <w:rsid w:val="00E16C42"/>
    <w:rsid w:val="00E178A5"/>
    <w:rsid w:val="00E21235"/>
    <w:rsid w:val="00E2161A"/>
    <w:rsid w:val="00E2162E"/>
    <w:rsid w:val="00E21CAB"/>
    <w:rsid w:val="00E22067"/>
    <w:rsid w:val="00E221FD"/>
    <w:rsid w:val="00E229A8"/>
    <w:rsid w:val="00E22C08"/>
    <w:rsid w:val="00E22E8A"/>
    <w:rsid w:val="00E22F07"/>
    <w:rsid w:val="00E23A69"/>
    <w:rsid w:val="00E250B6"/>
    <w:rsid w:val="00E25887"/>
    <w:rsid w:val="00E25EE6"/>
    <w:rsid w:val="00E260DF"/>
    <w:rsid w:val="00E2689E"/>
    <w:rsid w:val="00E26E50"/>
    <w:rsid w:val="00E2780F"/>
    <w:rsid w:val="00E30C11"/>
    <w:rsid w:val="00E31355"/>
    <w:rsid w:val="00E31C8D"/>
    <w:rsid w:val="00E31EEF"/>
    <w:rsid w:val="00E3316D"/>
    <w:rsid w:val="00E34ECE"/>
    <w:rsid w:val="00E35324"/>
    <w:rsid w:val="00E3778F"/>
    <w:rsid w:val="00E42E2A"/>
    <w:rsid w:val="00E42EE8"/>
    <w:rsid w:val="00E43052"/>
    <w:rsid w:val="00E43395"/>
    <w:rsid w:val="00E434C1"/>
    <w:rsid w:val="00E43B32"/>
    <w:rsid w:val="00E43F6E"/>
    <w:rsid w:val="00E44364"/>
    <w:rsid w:val="00E4470C"/>
    <w:rsid w:val="00E44EC1"/>
    <w:rsid w:val="00E46664"/>
    <w:rsid w:val="00E474B2"/>
    <w:rsid w:val="00E47D9E"/>
    <w:rsid w:val="00E50C28"/>
    <w:rsid w:val="00E51BD0"/>
    <w:rsid w:val="00E5318B"/>
    <w:rsid w:val="00E53710"/>
    <w:rsid w:val="00E56635"/>
    <w:rsid w:val="00E575E6"/>
    <w:rsid w:val="00E57DFF"/>
    <w:rsid w:val="00E60111"/>
    <w:rsid w:val="00E60A9B"/>
    <w:rsid w:val="00E611A5"/>
    <w:rsid w:val="00E61376"/>
    <w:rsid w:val="00E61D60"/>
    <w:rsid w:val="00E627C5"/>
    <w:rsid w:val="00E634D6"/>
    <w:rsid w:val="00E63AD2"/>
    <w:rsid w:val="00E6430D"/>
    <w:rsid w:val="00E64356"/>
    <w:rsid w:val="00E64A54"/>
    <w:rsid w:val="00E652B8"/>
    <w:rsid w:val="00E6735B"/>
    <w:rsid w:val="00E709CB"/>
    <w:rsid w:val="00E71160"/>
    <w:rsid w:val="00E718DD"/>
    <w:rsid w:val="00E71B90"/>
    <w:rsid w:val="00E7413C"/>
    <w:rsid w:val="00E7467B"/>
    <w:rsid w:val="00E750A4"/>
    <w:rsid w:val="00E75564"/>
    <w:rsid w:val="00E75B82"/>
    <w:rsid w:val="00E760D2"/>
    <w:rsid w:val="00E76BEF"/>
    <w:rsid w:val="00E76C05"/>
    <w:rsid w:val="00E76E67"/>
    <w:rsid w:val="00E771DB"/>
    <w:rsid w:val="00E7728A"/>
    <w:rsid w:val="00E77CF5"/>
    <w:rsid w:val="00E806C5"/>
    <w:rsid w:val="00E80F49"/>
    <w:rsid w:val="00E81B0B"/>
    <w:rsid w:val="00E82A7E"/>
    <w:rsid w:val="00E8397C"/>
    <w:rsid w:val="00E84844"/>
    <w:rsid w:val="00E84A02"/>
    <w:rsid w:val="00E850BB"/>
    <w:rsid w:val="00E85A89"/>
    <w:rsid w:val="00E86C69"/>
    <w:rsid w:val="00E87CBE"/>
    <w:rsid w:val="00E90296"/>
    <w:rsid w:val="00E91900"/>
    <w:rsid w:val="00E91E37"/>
    <w:rsid w:val="00E9355E"/>
    <w:rsid w:val="00E93EC1"/>
    <w:rsid w:val="00E94F48"/>
    <w:rsid w:val="00E952CF"/>
    <w:rsid w:val="00E95B78"/>
    <w:rsid w:val="00E95D4D"/>
    <w:rsid w:val="00E96B64"/>
    <w:rsid w:val="00E971B4"/>
    <w:rsid w:val="00E97F65"/>
    <w:rsid w:val="00EA03BD"/>
    <w:rsid w:val="00EA0555"/>
    <w:rsid w:val="00EA0E4F"/>
    <w:rsid w:val="00EA1D37"/>
    <w:rsid w:val="00EA1FA1"/>
    <w:rsid w:val="00EA46FE"/>
    <w:rsid w:val="00EA540C"/>
    <w:rsid w:val="00EA7319"/>
    <w:rsid w:val="00EA76AE"/>
    <w:rsid w:val="00EB0351"/>
    <w:rsid w:val="00EB055D"/>
    <w:rsid w:val="00EB0ACA"/>
    <w:rsid w:val="00EB1298"/>
    <w:rsid w:val="00EB1DBF"/>
    <w:rsid w:val="00EB1F74"/>
    <w:rsid w:val="00EB3786"/>
    <w:rsid w:val="00EB3924"/>
    <w:rsid w:val="00EB409F"/>
    <w:rsid w:val="00EB5742"/>
    <w:rsid w:val="00EB5EF2"/>
    <w:rsid w:val="00EB5F03"/>
    <w:rsid w:val="00EB6160"/>
    <w:rsid w:val="00EB62A5"/>
    <w:rsid w:val="00EB6D77"/>
    <w:rsid w:val="00EB75A9"/>
    <w:rsid w:val="00EB7923"/>
    <w:rsid w:val="00EB7A40"/>
    <w:rsid w:val="00EC1D39"/>
    <w:rsid w:val="00EC1F63"/>
    <w:rsid w:val="00EC2225"/>
    <w:rsid w:val="00EC2DDE"/>
    <w:rsid w:val="00EC34B7"/>
    <w:rsid w:val="00EC389A"/>
    <w:rsid w:val="00EC3F7E"/>
    <w:rsid w:val="00EC426C"/>
    <w:rsid w:val="00EC530D"/>
    <w:rsid w:val="00EC5A62"/>
    <w:rsid w:val="00EC6CDE"/>
    <w:rsid w:val="00EC7D90"/>
    <w:rsid w:val="00ED06D4"/>
    <w:rsid w:val="00ED0B60"/>
    <w:rsid w:val="00ED3132"/>
    <w:rsid w:val="00ED3571"/>
    <w:rsid w:val="00ED4486"/>
    <w:rsid w:val="00ED4C88"/>
    <w:rsid w:val="00ED4FE7"/>
    <w:rsid w:val="00ED55F8"/>
    <w:rsid w:val="00ED6281"/>
    <w:rsid w:val="00ED74ED"/>
    <w:rsid w:val="00ED797A"/>
    <w:rsid w:val="00EE1878"/>
    <w:rsid w:val="00EE22C0"/>
    <w:rsid w:val="00EE25B6"/>
    <w:rsid w:val="00EE26BD"/>
    <w:rsid w:val="00EE3287"/>
    <w:rsid w:val="00EE3689"/>
    <w:rsid w:val="00EE4630"/>
    <w:rsid w:val="00EE67AD"/>
    <w:rsid w:val="00EE6B03"/>
    <w:rsid w:val="00EF00FB"/>
    <w:rsid w:val="00EF0A1D"/>
    <w:rsid w:val="00EF0C0A"/>
    <w:rsid w:val="00EF2556"/>
    <w:rsid w:val="00EF4103"/>
    <w:rsid w:val="00EF68DB"/>
    <w:rsid w:val="00EF73FD"/>
    <w:rsid w:val="00F00DA4"/>
    <w:rsid w:val="00F01E58"/>
    <w:rsid w:val="00F0304C"/>
    <w:rsid w:val="00F0337B"/>
    <w:rsid w:val="00F043E1"/>
    <w:rsid w:val="00F066CA"/>
    <w:rsid w:val="00F06BF0"/>
    <w:rsid w:val="00F072BE"/>
    <w:rsid w:val="00F07989"/>
    <w:rsid w:val="00F07A4D"/>
    <w:rsid w:val="00F1026D"/>
    <w:rsid w:val="00F1041D"/>
    <w:rsid w:val="00F114F9"/>
    <w:rsid w:val="00F12140"/>
    <w:rsid w:val="00F12F80"/>
    <w:rsid w:val="00F1307D"/>
    <w:rsid w:val="00F136E7"/>
    <w:rsid w:val="00F137F6"/>
    <w:rsid w:val="00F161C8"/>
    <w:rsid w:val="00F20554"/>
    <w:rsid w:val="00F2087F"/>
    <w:rsid w:val="00F215FF"/>
    <w:rsid w:val="00F21E1F"/>
    <w:rsid w:val="00F22FF9"/>
    <w:rsid w:val="00F2458F"/>
    <w:rsid w:val="00F2470B"/>
    <w:rsid w:val="00F24B2F"/>
    <w:rsid w:val="00F250E8"/>
    <w:rsid w:val="00F25639"/>
    <w:rsid w:val="00F25CFA"/>
    <w:rsid w:val="00F26C87"/>
    <w:rsid w:val="00F27BA5"/>
    <w:rsid w:val="00F30C69"/>
    <w:rsid w:val="00F313CC"/>
    <w:rsid w:val="00F31E05"/>
    <w:rsid w:val="00F31FE8"/>
    <w:rsid w:val="00F32DE6"/>
    <w:rsid w:val="00F32E1C"/>
    <w:rsid w:val="00F34149"/>
    <w:rsid w:val="00F356D0"/>
    <w:rsid w:val="00F35B5B"/>
    <w:rsid w:val="00F371B6"/>
    <w:rsid w:val="00F3736C"/>
    <w:rsid w:val="00F37D99"/>
    <w:rsid w:val="00F411FF"/>
    <w:rsid w:val="00F41287"/>
    <w:rsid w:val="00F41E94"/>
    <w:rsid w:val="00F4232A"/>
    <w:rsid w:val="00F42D7F"/>
    <w:rsid w:val="00F436D1"/>
    <w:rsid w:val="00F44CCD"/>
    <w:rsid w:val="00F45A6F"/>
    <w:rsid w:val="00F4632D"/>
    <w:rsid w:val="00F4654F"/>
    <w:rsid w:val="00F4729D"/>
    <w:rsid w:val="00F47397"/>
    <w:rsid w:val="00F50E39"/>
    <w:rsid w:val="00F52626"/>
    <w:rsid w:val="00F526C3"/>
    <w:rsid w:val="00F53D45"/>
    <w:rsid w:val="00F54C56"/>
    <w:rsid w:val="00F55B2B"/>
    <w:rsid w:val="00F56302"/>
    <w:rsid w:val="00F5705E"/>
    <w:rsid w:val="00F578A6"/>
    <w:rsid w:val="00F603AB"/>
    <w:rsid w:val="00F60EFD"/>
    <w:rsid w:val="00F6137E"/>
    <w:rsid w:val="00F62347"/>
    <w:rsid w:val="00F64BB4"/>
    <w:rsid w:val="00F64DDC"/>
    <w:rsid w:val="00F64E21"/>
    <w:rsid w:val="00F651F6"/>
    <w:rsid w:val="00F65623"/>
    <w:rsid w:val="00F65751"/>
    <w:rsid w:val="00F6598A"/>
    <w:rsid w:val="00F65F2C"/>
    <w:rsid w:val="00F6785A"/>
    <w:rsid w:val="00F70021"/>
    <w:rsid w:val="00F71E67"/>
    <w:rsid w:val="00F7205C"/>
    <w:rsid w:val="00F7257F"/>
    <w:rsid w:val="00F72654"/>
    <w:rsid w:val="00F73832"/>
    <w:rsid w:val="00F73CBF"/>
    <w:rsid w:val="00F7416C"/>
    <w:rsid w:val="00F74393"/>
    <w:rsid w:val="00F74CD4"/>
    <w:rsid w:val="00F74ECB"/>
    <w:rsid w:val="00F756F3"/>
    <w:rsid w:val="00F7642C"/>
    <w:rsid w:val="00F779EF"/>
    <w:rsid w:val="00F77B13"/>
    <w:rsid w:val="00F77C2B"/>
    <w:rsid w:val="00F80AF3"/>
    <w:rsid w:val="00F81828"/>
    <w:rsid w:val="00F82150"/>
    <w:rsid w:val="00F82BC2"/>
    <w:rsid w:val="00F83583"/>
    <w:rsid w:val="00F841D6"/>
    <w:rsid w:val="00F84B27"/>
    <w:rsid w:val="00F84E87"/>
    <w:rsid w:val="00F853AC"/>
    <w:rsid w:val="00F86054"/>
    <w:rsid w:val="00F863FE"/>
    <w:rsid w:val="00F86DCA"/>
    <w:rsid w:val="00F8726D"/>
    <w:rsid w:val="00F90169"/>
    <w:rsid w:val="00F90983"/>
    <w:rsid w:val="00F90B1A"/>
    <w:rsid w:val="00F923EC"/>
    <w:rsid w:val="00F92CEB"/>
    <w:rsid w:val="00F93DF5"/>
    <w:rsid w:val="00F93FA0"/>
    <w:rsid w:val="00F942A4"/>
    <w:rsid w:val="00F94ED5"/>
    <w:rsid w:val="00F94F37"/>
    <w:rsid w:val="00F959A6"/>
    <w:rsid w:val="00F9619C"/>
    <w:rsid w:val="00F9697F"/>
    <w:rsid w:val="00F971A7"/>
    <w:rsid w:val="00F974CE"/>
    <w:rsid w:val="00FA0EEC"/>
    <w:rsid w:val="00FA1952"/>
    <w:rsid w:val="00FA1A74"/>
    <w:rsid w:val="00FA1C3D"/>
    <w:rsid w:val="00FA1D41"/>
    <w:rsid w:val="00FA1EB1"/>
    <w:rsid w:val="00FA1F90"/>
    <w:rsid w:val="00FA2AAA"/>
    <w:rsid w:val="00FA2F53"/>
    <w:rsid w:val="00FA3F07"/>
    <w:rsid w:val="00FA3FE6"/>
    <w:rsid w:val="00FA48FD"/>
    <w:rsid w:val="00FA4902"/>
    <w:rsid w:val="00FA5EE3"/>
    <w:rsid w:val="00FA6EFD"/>
    <w:rsid w:val="00FA7461"/>
    <w:rsid w:val="00FA760C"/>
    <w:rsid w:val="00FB0718"/>
    <w:rsid w:val="00FB16B5"/>
    <w:rsid w:val="00FB1AB9"/>
    <w:rsid w:val="00FB272A"/>
    <w:rsid w:val="00FB2B3D"/>
    <w:rsid w:val="00FB30F5"/>
    <w:rsid w:val="00FB3951"/>
    <w:rsid w:val="00FB42C3"/>
    <w:rsid w:val="00FB4457"/>
    <w:rsid w:val="00FB4758"/>
    <w:rsid w:val="00FB4D84"/>
    <w:rsid w:val="00FB569C"/>
    <w:rsid w:val="00FB71C0"/>
    <w:rsid w:val="00FC06A1"/>
    <w:rsid w:val="00FC0C45"/>
    <w:rsid w:val="00FC31A8"/>
    <w:rsid w:val="00FC3517"/>
    <w:rsid w:val="00FC384A"/>
    <w:rsid w:val="00FC5C05"/>
    <w:rsid w:val="00FC5D0B"/>
    <w:rsid w:val="00FC5F4A"/>
    <w:rsid w:val="00FC6220"/>
    <w:rsid w:val="00FC63D6"/>
    <w:rsid w:val="00FC68F4"/>
    <w:rsid w:val="00FC70F9"/>
    <w:rsid w:val="00FC7159"/>
    <w:rsid w:val="00FD006B"/>
    <w:rsid w:val="00FD1356"/>
    <w:rsid w:val="00FD1378"/>
    <w:rsid w:val="00FD1596"/>
    <w:rsid w:val="00FD1F57"/>
    <w:rsid w:val="00FD3E25"/>
    <w:rsid w:val="00FD4013"/>
    <w:rsid w:val="00FD43F0"/>
    <w:rsid w:val="00FD4851"/>
    <w:rsid w:val="00FD550F"/>
    <w:rsid w:val="00FD6B99"/>
    <w:rsid w:val="00FD7161"/>
    <w:rsid w:val="00FD717F"/>
    <w:rsid w:val="00FD79E8"/>
    <w:rsid w:val="00FE01A0"/>
    <w:rsid w:val="00FE0840"/>
    <w:rsid w:val="00FE09A7"/>
    <w:rsid w:val="00FE2298"/>
    <w:rsid w:val="00FE3AFE"/>
    <w:rsid w:val="00FE3BB3"/>
    <w:rsid w:val="00FE5705"/>
    <w:rsid w:val="00FF0797"/>
    <w:rsid w:val="00FF2EB1"/>
    <w:rsid w:val="00FF3631"/>
    <w:rsid w:val="00FF4A53"/>
    <w:rsid w:val="00FF4CAD"/>
    <w:rsid w:val="071AF0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2CE262"/>
  <w15:docId w15:val="{D0B35F5E-997A-4F60-B8EA-251B49009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89D"/>
    <w:pPr>
      <w:spacing w:after="120" w:line="240" w:lineRule="auto"/>
    </w:pPr>
    <w:rPr>
      <w:rFonts w:ascii="Segoe UI" w:hAnsi="Segoe UI"/>
      <w:sz w:val="19"/>
      <w:lang w:val="en-AU"/>
    </w:rPr>
  </w:style>
  <w:style w:type="paragraph" w:styleId="Heading1">
    <w:name w:val="heading 1"/>
    <w:basedOn w:val="Normal"/>
    <w:next w:val="Normal"/>
    <w:link w:val="Heading1Char"/>
    <w:uiPriority w:val="1"/>
    <w:qFormat/>
    <w:rsid w:val="009F20E4"/>
    <w:pPr>
      <w:keepNext/>
      <w:numPr>
        <w:numId w:val="4"/>
      </w:numPr>
      <w:spacing w:before="480" w:after="240" w:line="44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
    <w:qFormat/>
    <w:rsid w:val="00A73A2D"/>
    <w:pPr>
      <w:keepNext/>
      <w:numPr>
        <w:ilvl w:val="1"/>
        <w:numId w:val="4"/>
      </w:numPr>
      <w:spacing w:before="480" w:after="180"/>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
    <w:qFormat/>
    <w:rsid w:val="00BA3DB6"/>
    <w:pPr>
      <w:keepNext/>
      <w:numPr>
        <w:ilvl w:val="2"/>
        <w:numId w:val="4"/>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
    <w:qFormat/>
    <w:rsid w:val="00D3337F"/>
    <w:pPr>
      <w:keepNext/>
      <w:numPr>
        <w:ilvl w:val="3"/>
        <w:numId w:val="4"/>
      </w:numPr>
      <w:spacing w:before="240" w:after="60"/>
      <w:outlineLvl w:val="3"/>
    </w:pPr>
    <w:rPr>
      <w:rFonts w:ascii="Segoe UI Semibold" w:eastAsia="Times New Roman" w:hAnsi="Segoe UI Semibold" w:cs="Times New Roman"/>
      <w:color w:val="00264D" w:themeColor="background2"/>
      <w:sz w:val="25"/>
      <w:szCs w:val="19"/>
      <w:lang w:eastAsia="en-AU"/>
    </w:rPr>
  </w:style>
  <w:style w:type="paragraph" w:styleId="Heading5">
    <w:name w:val="heading 5"/>
    <w:basedOn w:val="Normal"/>
    <w:next w:val="Normal"/>
    <w:link w:val="Heading5Char"/>
    <w:uiPriority w:val="19"/>
    <w:qFormat/>
    <w:rsid w:val="00D3337F"/>
    <w:pPr>
      <w:keepNext/>
      <w:numPr>
        <w:ilvl w:val="4"/>
        <w:numId w:val="4"/>
      </w:numPr>
      <w:spacing w:before="240" w:after="60"/>
      <w:outlineLvl w:val="4"/>
    </w:pPr>
    <w:rPr>
      <w:rFonts w:eastAsia="Times New Roman" w:cs="Times New Roman"/>
      <w:b/>
      <w:color w:val="808080" w:themeColor="background1" w:themeShade="80"/>
      <w:sz w:val="22"/>
      <w:szCs w:val="24"/>
      <w:lang w:eastAsia="en-AU"/>
    </w:rPr>
  </w:style>
  <w:style w:type="paragraph" w:styleId="Heading6">
    <w:name w:val="heading 6"/>
    <w:basedOn w:val="Normal"/>
    <w:next w:val="Normal"/>
    <w:link w:val="Heading6Char"/>
    <w:uiPriority w:val="19"/>
    <w:qFormat/>
    <w:rsid w:val="00BA3DB6"/>
    <w:pPr>
      <w:keepNext/>
      <w:keepLines/>
      <w:numPr>
        <w:ilvl w:val="5"/>
        <w:numId w:val="4"/>
      </w:numPr>
      <w:spacing w:before="200" w:after="60"/>
      <w:outlineLvl w:val="5"/>
    </w:pPr>
    <w:rPr>
      <w:rFonts w:eastAsiaTheme="majorEastAsia" w:cstheme="majorBidi"/>
      <w:b/>
      <w:i/>
      <w:iCs/>
      <w:color w:val="00264D"/>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5789D"/>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
    <w:rsid w:val="0005789D"/>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
    <w:rsid w:val="0005789D"/>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
    <w:rsid w:val="0005789D"/>
    <w:rPr>
      <w:rFonts w:ascii="Segoe UI Semibold" w:eastAsia="Times New Roman" w:hAnsi="Segoe UI Semibold" w:cs="Times New Roman"/>
      <w:color w:val="00264D" w:themeColor="background2"/>
      <w:sz w:val="25"/>
      <w:szCs w:val="19"/>
      <w:lang w:val="en-AU" w:eastAsia="en-AU"/>
    </w:rPr>
  </w:style>
  <w:style w:type="character" w:customStyle="1" w:styleId="Heading5Char">
    <w:name w:val="Heading 5 Char"/>
    <w:basedOn w:val="DefaultParagraphFont"/>
    <w:link w:val="Heading5"/>
    <w:uiPriority w:val="19"/>
    <w:rsid w:val="003B5517"/>
    <w:rPr>
      <w:rFonts w:ascii="Segoe UI" w:eastAsia="Times New Roman" w:hAnsi="Segoe UI" w:cs="Times New Roman"/>
      <w:b/>
      <w:color w:val="808080" w:themeColor="background1" w:themeShade="80"/>
      <w:szCs w:val="24"/>
      <w:lang w:val="en-AU" w:eastAsia="en-AU"/>
    </w:rPr>
  </w:style>
  <w:style w:type="character" w:customStyle="1" w:styleId="Heading6Char">
    <w:name w:val="Heading 6 Char"/>
    <w:basedOn w:val="DefaultParagraphFont"/>
    <w:link w:val="Heading6"/>
    <w:uiPriority w:val="19"/>
    <w:rsid w:val="006F5B5A"/>
    <w:rPr>
      <w:rFonts w:ascii="Segoe UI" w:eastAsiaTheme="majorEastAsia" w:hAnsi="Segoe UI" w:cstheme="majorBidi"/>
      <w:b/>
      <w:i/>
      <w:iCs/>
      <w:color w:val="00264D"/>
      <w:sz w:val="19"/>
      <w:szCs w:val="19"/>
      <w:lang w:val="en-AU" w:eastAsia="en-AU"/>
    </w:rPr>
  </w:style>
  <w:style w:type="paragraph" w:customStyle="1" w:styleId="Bullet">
    <w:name w:val="Bullet"/>
    <w:basedOn w:val="Normal"/>
    <w:link w:val="BulletChar"/>
    <w:uiPriority w:val="2"/>
    <w:qFormat/>
    <w:rsid w:val="003E02E5"/>
    <w:pPr>
      <w:numPr>
        <w:numId w:val="8"/>
      </w:numPr>
      <w:suppressAutoHyphens/>
      <w:ind w:left="360"/>
    </w:pPr>
    <w:rPr>
      <w:rFonts w:eastAsia="Times New Roman" w:cs="Times New Roman"/>
      <w:szCs w:val="19"/>
      <w:lang w:eastAsia="en-AU"/>
    </w:rPr>
  </w:style>
  <w:style w:type="paragraph" w:customStyle="1" w:styleId="TableNheader">
    <w:name w:val="Table N header"/>
    <w:basedOn w:val="Heading5"/>
    <w:uiPriority w:val="2"/>
    <w:qFormat/>
    <w:rsid w:val="009C750F"/>
    <w:pPr>
      <w:spacing w:before="40" w:after="40"/>
    </w:pPr>
    <w:rPr>
      <w:rFonts w:ascii="Segoe UI Semibold" w:hAnsi="Segoe UI Semibold"/>
      <w:b w:val="0"/>
      <w:color w:val="00264D" w:themeColor="background2"/>
      <w:sz w:val="18"/>
    </w:rPr>
  </w:style>
  <w:style w:type="paragraph" w:customStyle="1" w:styleId="TableNText">
    <w:name w:val="Table N Text"/>
    <w:basedOn w:val="TableNheader"/>
    <w:link w:val="TableNTextChar"/>
    <w:uiPriority w:val="2"/>
    <w:qFormat/>
    <w:rsid w:val="0023346F"/>
    <w:pPr>
      <w:numPr>
        <w:ilvl w:val="0"/>
        <w:numId w:val="0"/>
      </w:numPr>
    </w:pPr>
    <w:rPr>
      <w:rFonts w:ascii="Segoe UI" w:hAnsi="Segoe UI"/>
      <w:color w:val="auto"/>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basedOn w:val="Normal"/>
    <w:link w:val="FooterChar"/>
    <w:uiPriority w:val="89"/>
    <w:unhideWhenUsed/>
    <w:rsid w:val="00302076"/>
    <w:pPr>
      <w:tabs>
        <w:tab w:val="center" w:pos="4513"/>
        <w:tab w:val="right" w:pos="9026"/>
      </w:tabs>
      <w:spacing w:after="0"/>
    </w:pPr>
  </w:style>
  <w:style w:type="character" w:customStyle="1" w:styleId="FooterChar">
    <w:name w:val="Footer Char"/>
    <w:basedOn w:val="DefaultParagraphFont"/>
    <w:link w:val="Footer"/>
    <w:uiPriority w:val="89"/>
    <w:rsid w:val="00302076"/>
    <w:rPr>
      <w:rFonts w:ascii="Segoe UI" w:hAnsi="Segoe UI"/>
      <w:sz w:val="19"/>
    </w:rPr>
  </w:style>
  <w:style w:type="paragraph" w:styleId="Caption">
    <w:name w:val="caption"/>
    <w:basedOn w:val="Normal"/>
    <w:next w:val="Normal"/>
    <w:uiPriority w:val="35"/>
    <w:qFormat/>
    <w:rsid w:val="00413A52"/>
    <w:pPr>
      <w:spacing w:before="360"/>
    </w:pPr>
    <w:rPr>
      <w:rFonts w:ascii="Segoe UI Semibold" w:hAnsi="Segoe UI Semibold"/>
      <w:bCs/>
      <w:color w:val="00264D" w:themeColor="background2"/>
      <w:sz w:val="20"/>
      <w:szCs w:val="18"/>
    </w:rPr>
  </w:style>
  <w:style w:type="paragraph" w:customStyle="1" w:styleId="TableNBullet">
    <w:name w:val="Table N Bullet"/>
    <w:basedOn w:val="Bullet"/>
    <w:link w:val="TableNBulletChar"/>
    <w:uiPriority w:val="2"/>
    <w:qFormat/>
    <w:rsid w:val="000A13C3"/>
    <w:pPr>
      <w:numPr>
        <w:numId w:val="5"/>
      </w:numPr>
      <w:spacing w:before="40" w:after="40"/>
    </w:pPr>
    <w:rPr>
      <w:sz w:val="17"/>
    </w:rPr>
  </w:style>
  <w:style w:type="paragraph" w:customStyle="1" w:styleId="TableNListnumbered">
    <w:name w:val="Table N List (numbered)"/>
    <w:basedOn w:val="TableNBullet"/>
    <w:uiPriority w:val="1"/>
    <w:qFormat/>
    <w:rsid w:val="0029320C"/>
    <w:pPr>
      <w:numPr>
        <w:numId w:val="1"/>
      </w:numPr>
      <w:ind w:left="170" w:hanging="170"/>
    </w:pPr>
  </w:style>
  <w:style w:type="paragraph" w:customStyle="1" w:styleId="xAppendixLevel1">
    <w:name w:val="xAppendix Level 1"/>
    <w:basedOn w:val="Heading1"/>
    <w:next w:val="Normal"/>
    <w:uiPriority w:val="98"/>
    <w:qFormat/>
    <w:rsid w:val="002B5822"/>
    <w:pPr>
      <w:pageBreakBefore/>
      <w:numPr>
        <w:numId w:val="2"/>
      </w:numPr>
    </w:pPr>
    <w:rPr>
      <w:rFonts w:ascii="Segoe UI Semibold" w:hAnsi="Segoe UI Semibold"/>
      <w:b w:val="0"/>
      <w:bCs/>
      <w:sz w:val="44"/>
    </w:rPr>
  </w:style>
  <w:style w:type="paragraph" w:customStyle="1" w:styleId="xAppendixLevel2">
    <w:name w:val="xAppendix Level 2"/>
    <w:basedOn w:val="Heading2"/>
    <w:next w:val="Normal"/>
    <w:uiPriority w:val="98"/>
    <w:qFormat/>
    <w:rsid w:val="002B5822"/>
    <w:pPr>
      <w:numPr>
        <w:numId w:val="2"/>
      </w:numPr>
    </w:pPr>
    <w:rPr>
      <w:bCs/>
      <w:sz w:val="34"/>
    </w:rPr>
  </w:style>
  <w:style w:type="paragraph" w:customStyle="1" w:styleId="xAppendixLevel3">
    <w:name w:val="xAppendix Level 3"/>
    <w:basedOn w:val="Heading3"/>
    <w:next w:val="Normal"/>
    <w:uiPriority w:val="98"/>
    <w:qFormat/>
    <w:rsid w:val="002B5822"/>
    <w:pPr>
      <w:numPr>
        <w:numId w:val="2"/>
      </w:numPr>
    </w:pPr>
    <w:rPr>
      <w:bCs/>
    </w:rPr>
  </w:style>
  <w:style w:type="paragraph" w:customStyle="1" w:styleId="Listnumbered">
    <w:name w:val="List (numbered)"/>
    <w:basedOn w:val="Normal"/>
    <w:link w:val="ListnumberedChar"/>
    <w:uiPriority w:val="4"/>
    <w:qFormat/>
    <w:rsid w:val="00BE4870"/>
    <w:pPr>
      <w:numPr>
        <w:numId w:val="3"/>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2"/>
    <w:qFormat/>
    <w:rsid w:val="0029320C"/>
    <w:rPr>
      <w:sz w:val="16"/>
    </w:rPr>
  </w:style>
  <w:style w:type="paragraph" w:customStyle="1" w:styleId="Tableexpheader">
    <w:name w:val="Table exp header"/>
    <w:basedOn w:val="TableNheader"/>
    <w:uiPriority w:val="2"/>
    <w:qFormat/>
    <w:rsid w:val="0029320C"/>
    <w:rPr>
      <w:sz w:val="17"/>
    </w:rPr>
  </w:style>
  <w:style w:type="paragraph" w:customStyle="1" w:styleId="TableexpListnumbered">
    <w:name w:val="Table exp List (numbered)"/>
    <w:basedOn w:val="TableNListnumbered"/>
    <w:uiPriority w:val="2"/>
    <w:qFormat/>
    <w:rsid w:val="0029320C"/>
    <w:rPr>
      <w:sz w:val="16"/>
    </w:rPr>
  </w:style>
  <w:style w:type="paragraph" w:customStyle="1" w:styleId="TableExpText">
    <w:name w:val="Table Exp Text"/>
    <w:basedOn w:val="TableNText"/>
    <w:uiPriority w:val="2"/>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Tablecolumnheading">
    <w:name w:val="Table column heading"/>
    <w:basedOn w:val="Normal"/>
    <w:link w:val="TablecolumnheadingChar"/>
    <w:uiPriority w:val="1"/>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columnheadingChar">
    <w:name w:val="Table column heading Char"/>
    <w:basedOn w:val="DefaultParagraphFont"/>
    <w:link w:val="Tablecolumnheading"/>
    <w:uiPriority w:val="1"/>
    <w:rsid w:val="00653916"/>
    <w:rPr>
      <w:rFonts w:ascii="Segoe UI Semibold" w:eastAsia="Times New Roman" w:hAnsi="Segoe UI Semibold" w:cs="Times New Roman"/>
      <w:color w:val="00264D"/>
      <w:sz w:val="18"/>
      <w:szCs w:val="17"/>
      <w:lang w:val="en-AU" w:eastAsia="en-AU"/>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0A13C3"/>
    <w:rPr>
      <w:rFonts w:ascii="Segoe UI" w:eastAsia="Times New Roman" w:hAnsi="Segoe UI" w:cs="Times New Roman"/>
      <w:sz w:val="17"/>
      <w:szCs w:val="19"/>
      <w:lang w:val="en-AU" w:eastAsia="en-AU"/>
    </w:rPr>
  </w:style>
  <w:style w:type="table" w:styleId="TableGrid">
    <w:name w:val="Table Grid"/>
    <w:aliases w:val="Table,NOUS,NOUS Side Header,Nous Table"/>
    <w:basedOn w:val="TableNormal"/>
    <w:uiPriority w:val="39"/>
    <w:rsid w:val="00E031CC"/>
    <w:pPr>
      <w:spacing w:after="0" w:line="240" w:lineRule="auto"/>
    </w:pPr>
    <w:rPr>
      <w:rFonts w:ascii="Segoe UI" w:hAnsi="Segoe UI"/>
      <w:sz w:val="18"/>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w:hAnsi="Segoe UI"/>
        <w:b/>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BulletChar">
    <w:name w:val="Bullet Char"/>
    <w:basedOn w:val="DefaultParagraphFont"/>
    <w:link w:val="Bullet"/>
    <w:uiPriority w:val="2"/>
    <w:rsid w:val="003E02E5"/>
    <w:rPr>
      <w:rFonts w:ascii="Segoe UI" w:eastAsia="Times New Roman" w:hAnsi="Segoe UI" w:cs="Times New Roman"/>
      <w:sz w:val="19"/>
      <w:szCs w:val="19"/>
      <w:lang w:val="en-AU" w:eastAsia="en-AU"/>
    </w:rPr>
  </w:style>
  <w:style w:type="paragraph" w:styleId="ListParagraph">
    <w:name w:val="List Paragraph"/>
    <w:basedOn w:val="Normal"/>
    <w:uiPriority w:val="34"/>
    <w:qFormat/>
    <w:rsid w:val="00CF07F2"/>
    <w:pPr>
      <w:ind w:left="720"/>
      <w:contextualSpacing/>
    </w:p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SideTitle">
    <w:name w:val="Side Title"/>
    <w:basedOn w:val="TableNormal"/>
    <w:uiPriority w:val="99"/>
    <w:rsid w:val="001C1921"/>
    <w:pPr>
      <w:spacing w:after="0" w:line="240" w:lineRule="auto"/>
    </w:pPr>
    <w:rPr>
      <w:rFonts w:ascii="Segoe UI" w:hAnsi="Segoe UI"/>
      <w:sz w:val="18"/>
    </w:rPr>
    <w:tblPr>
      <w:tblBorders>
        <w:insideH w:val="single" w:sz="8" w:space="0" w:color="E6E6E1" w:themeColor="accent5"/>
      </w:tblBorders>
      <w:tblCellMar>
        <w:top w:w="57" w:type="dxa"/>
        <w:left w:w="85" w:type="dxa"/>
        <w:bottom w:w="57" w:type="dxa"/>
        <w:right w:w="85" w:type="dxa"/>
      </w:tblCellMar>
    </w:tblPr>
    <w:tblStylePr w:type="firstCol">
      <w:pPr>
        <w:jc w:val="center"/>
      </w:pPr>
      <w:rPr>
        <w:rFonts w:ascii="Segoe UI" w:hAnsi="Segoe UI"/>
        <w:b/>
        <w:color w:val="00264D" w:themeColor="background2"/>
        <w:sz w:val="18"/>
      </w:rPr>
      <w:tblPr/>
      <w:tcPr>
        <w:tcBorders>
          <w:top w:val="nil"/>
          <w:left w:val="single" w:sz="24" w:space="0" w:color="F8981D" w:themeColor="accent3"/>
          <w:bottom w:val="single" w:sz="8" w:space="0" w:color="FFFFFF" w:themeColor="background1"/>
          <w:right w:val="nil"/>
          <w:insideH w:val="nil"/>
          <w:insideV w:val="nil"/>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Styletopandsideheading">
    <w:name w:val="Nous Table Style top and side heading"/>
    <w:basedOn w:val="TableNormal"/>
    <w:uiPriority w:val="99"/>
    <w:rsid w:val="00F2470B"/>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w:hAnsi="Segoe UI"/>
        <w:b/>
        <w:color w:val="00264D" w:themeColor="background2"/>
        <w:sz w:val="18"/>
      </w:rPr>
      <w:tblPr/>
      <w:tcPr>
        <w:tcBorders>
          <w:left w:val="single" w:sz="24" w:space="0" w:color="F8981D" w:themeColor="accent3"/>
        </w:tcBorders>
        <w:shd w:val="clear" w:color="auto" w:fill="E6E6E1" w:themeFill="accent5"/>
        <w:vAlign w:val="center"/>
      </w:tcPr>
    </w:tblStylePr>
  </w:style>
  <w:style w:type="character" w:styleId="CommentReference">
    <w:name w:val="annotation reference"/>
    <w:basedOn w:val="DefaultParagraphFont"/>
    <w:uiPriority w:val="99"/>
    <w:semiHidden/>
    <w:unhideWhenUsed/>
    <w:rsid w:val="00D741A1"/>
    <w:rPr>
      <w:sz w:val="16"/>
      <w:szCs w:val="16"/>
    </w:rPr>
  </w:style>
  <w:style w:type="paragraph" w:styleId="CommentText">
    <w:name w:val="annotation text"/>
    <w:basedOn w:val="Normal"/>
    <w:link w:val="CommentTextChar"/>
    <w:uiPriority w:val="99"/>
    <w:unhideWhenUsed/>
    <w:rsid w:val="00D741A1"/>
    <w:rPr>
      <w:sz w:val="20"/>
      <w:szCs w:val="20"/>
    </w:rPr>
  </w:style>
  <w:style w:type="character" w:customStyle="1" w:styleId="CommentTextChar">
    <w:name w:val="Comment Text Char"/>
    <w:basedOn w:val="DefaultParagraphFont"/>
    <w:link w:val="CommentText"/>
    <w:uiPriority w:val="99"/>
    <w:rsid w:val="00D741A1"/>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D741A1"/>
    <w:rPr>
      <w:b/>
      <w:bCs/>
    </w:rPr>
  </w:style>
  <w:style w:type="character" w:customStyle="1" w:styleId="CommentSubjectChar">
    <w:name w:val="Comment Subject Char"/>
    <w:basedOn w:val="CommentTextChar"/>
    <w:link w:val="CommentSubject"/>
    <w:uiPriority w:val="99"/>
    <w:semiHidden/>
    <w:rsid w:val="00D741A1"/>
    <w:rPr>
      <w:rFonts w:ascii="Segoe UI" w:hAnsi="Segoe UI"/>
      <w:b/>
      <w:bCs/>
      <w:sz w:val="20"/>
      <w:szCs w:val="20"/>
      <w:lang w:val="en-AU"/>
    </w:rPr>
  </w:style>
  <w:style w:type="paragraph" w:styleId="Revision">
    <w:name w:val="Revision"/>
    <w:hidden/>
    <w:uiPriority w:val="99"/>
    <w:semiHidden/>
    <w:rsid w:val="003A23AC"/>
    <w:pPr>
      <w:spacing w:after="0" w:line="240" w:lineRule="auto"/>
    </w:pPr>
    <w:rPr>
      <w:rFonts w:ascii="Segoe UI" w:hAnsi="Segoe UI"/>
      <w:sz w:val="19"/>
      <w:lang w:val="en-AU"/>
    </w:rPr>
  </w:style>
  <w:style w:type="paragraph" w:styleId="FootnoteText">
    <w:name w:val="footnote text"/>
    <w:basedOn w:val="Normal"/>
    <w:link w:val="FootnoteTextChar"/>
    <w:uiPriority w:val="99"/>
    <w:unhideWhenUsed/>
    <w:rsid w:val="00116182"/>
    <w:pPr>
      <w:spacing w:after="0"/>
    </w:pPr>
    <w:rPr>
      <w:sz w:val="20"/>
      <w:szCs w:val="20"/>
    </w:rPr>
  </w:style>
  <w:style w:type="character" w:customStyle="1" w:styleId="FootnoteTextChar">
    <w:name w:val="Footnote Text Char"/>
    <w:basedOn w:val="DefaultParagraphFont"/>
    <w:link w:val="FootnoteText"/>
    <w:uiPriority w:val="99"/>
    <w:rsid w:val="00116182"/>
    <w:rPr>
      <w:rFonts w:ascii="Segoe UI" w:hAnsi="Segoe UI"/>
      <w:sz w:val="20"/>
      <w:szCs w:val="20"/>
      <w:lang w:val="en-AU"/>
    </w:rPr>
  </w:style>
  <w:style w:type="character" w:styleId="FootnoteReference">
    <w:name w:val="footnote reference"/>
    <w:basedOn w:val="DefaultParagraphFont"/>
    <w:uiPriority w:val="99"/>
    <w:unhideWhenUsed/>
    <w:rsid w:val="00116182"/>
    <w:rPr>
      <w:vertAlign w:val="superscript"/>
    </w:rPr>
  </w:style>
  <w:style w:type="paragraph" w:customStyle="1" w:styleId="Default">
    <w:name w:val="Default"/>
    <w:rsid w:val="00396DF4"/>
    <w:pPr>
      <w:autoSpaceDE w:val="0"/>
      <w:autoSpaceDN w:val="0"/>
      <w:adjustRightInd w:val="0"/>
      <w:spacing w:after="0" w:line="240" w:lineRule="auto"/>
    </w:pPr>
    <w:rPr>
      <w:rFonts w:ascii="Arial Narrow" w:hAnsi="Arial Narrow" w:cs="Arial Narrow"/>
      <w:color w:val="000000"/>
      <w:sz w:val="24"/>
      <w:szCs w:val="24"/>
      <w:lang w:val="en-AU"/>
    </w:rPr>
  </w:style>
  <w:style w:type="character" w:styleId="FollowedHyperlink">
    <w:name w:val="FollowedHyperlink"/>
    <w:basedOn w:val="DefaultParagraphFont"/>
    <w:uiPriority w:val="99"/>
    <w:semiHidden/>
    <w:unhideWhenUsed/>
    <w:rsid w:val="00DB4C59"/>
    <w:rPr>
      <w:color w:val="0048C7" w:themeColor="followedHyperlink"/>
      <w:u w:val="single"/>
    </w:rPr>
  </w:style>
  <w:style w:type="paragraph" w:styleId="NormalWeb">
    <w:name w:val="Normal (Web)"/>
    <w:basedOn w:val="Normal"/>
    <w:uiPriority w:val="99"/>
    <w:semiHidden/>
    <w:unhideWhenUsed/>
    <w:rsid w:val="002B758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istnumberedChar">
    <w:name w:val="List (numbered) Char"/>
    <w:basedOn w:val="DefaultParagraphFont"/>
    <w:link w:val="Listnumbered"/>
    <w:uiPriority w:val="4"/>
    <w:rsid w:val="009B4DA7"/>
    <w:rPr>
      <w:rFonts w:ascii="Segoe UI" w:hAnsi="Segoe UI"/>
      <w:sz w:val="19"/>
      <w:lang w:val="en-AU"/>
    </w:rPr>
  </w:style>
  <w:style w:type="paragraph" w:styleId="EndnoteText">
    <w:name w:val="endnote text"/>
    <w:basedOn w:val="Normal"/>
    <w:link w:val="EndnoteTextChar"/>
    <w:uiPriority w:val="99"/>
    <w:unhideWhenUsed/>
    <w:rsid w:val="00CD251F"/>
    <w:pPr>
      <w:spacing w:after="0"/>
    </w:pPr>
    <w:rPr>
      <w:sz w:val="20"/>
      <w:szCs w:val="20"/>
    </w:rPr>
  </w:style>
  <w:style w:type="character" w:customStyle="1" w:styleId="EndnoteTextChar">
    <w:name w:val="Endnote Text Char"/>
    <w:basedOn w:val="DefaultParagraphFont"/>
    <w:link w:val="EndnoteText"/>
    <w:uiPriority w:val="99"/>
    <w:rsid w:val="00CD251F"/>
    <w:rPr>
      <w:rFonts w:ascii="Segoe UI" w:hAnsi="Segoe UI"/>
      <w:sz w:val="20"/>
      <w:szCs w:val="20"/>
      <w:lang w:val="en-AU"/>
    </w:rPr>
  </w:style>
  <w:style w:type="character" w:styleId="EndnoteReference">
    <w:name w:val="endnote reference"/>
    <w:basedOn w:val="DefaultParagraphFont"/>
    <w:uiPriority w:val="99"/>
    <w:semiHidden/>
    <w:unhideWhenUsed/>
    <w:rsid w:val="00CD251F"/>
    <w:rPr>
      <w:vertAlign w:val="superscript"/>
    </w:rPr>
  </w:style>
  <w:style w:type="paragraph" w:customStyle="1" w:styleId="Covertitle">
    <w:name w:val="Cover title"/>
    <w:basedOn w:val="Normal"/>
    <w:link w:val="CovertitleChar"/>
    <w:uiPriority w:val="99"/>
    <w:semiHidden/>
    <w:rsid w:val="008B7323"/>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8B7323"/>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B7323"/>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8B7323"/>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B7323"/>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8B7323"/>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B7323"/>
    <w:rPr>
      <w:color w:val="808080"/>
    </w:rPr>
  </w:style>
  <w:style w:type="paragraph" w:styleId="TOCHeading">
    <w:name w:val="TOC Heading"/>
    <w:basedOn w:val="Heading1"/>
    <w:next w:val="Normal"/>
    <w:uiPriority w:val="39"/>
    <w:semiHidden/>
    <w:unhideWhenUsed/>
    <w:qFormat/>
    <w:rsid w:val="008B7323"/>
    <w:pPr>
      <w:keepLines/>
      <w:numPr>
        <w:numId w:val="0"/>
      </w:numPr>
      <w:spacing w:after="0" w:line="276" w:lineRule="auto"/>
      <w:outlineLvl w:val="9"/>
    </w:pPr>
    <w:rPr>
      <w:rFonts w:asciiTheme="majorHAnsi" w:eastAsiaTheme="majorEastAsia" w:hAnsiTheme="majorHAnsi" w:cstheme="majorBidi"/>
      <w:bCs/>
      <w:color w:val="EA0006" w:themeColor="accent1" w:themeShade="BF"/>
      <w:sz w:val="28"/>
      <w:szCs w:val="28"/>
      <w:lang w:val="en-US" w:eastAsia="ja-JP"/>
    </w:rPr>
  </w:style>
  <w:style w:type="paragraph" w:styleId="TOC1">
    <w:name w:val="toc 1"/>
    <w:basedOn w:val="Normal"/>
    <w:next w:val="Normal"/>
    <w:autoRedefine/>
    <w:uiPriority w:val="39"/>
    <w:unhideWhenUsed/>
    <w:rsid w:val="008B7323"/>
    <w:pPr>
      <w:spacing w:after="100"/>
    </w:pPr>
  </w:style>
  <w:style w:type="paragraph" w:styleId="TOC3">
    <w:name w:val="toc 3"/>
    <w:basedOn w:val="Normal"/>
    <w:next w:val="Normal"/>
    <w:autoRedefine/>
    <w:uiPriority w:val="39"/>
    <w:unhideWhenUsed/>
    <w:rsid w:val="008B7323"/>
    <w:pPr>
      <w:spacing w:after="100"/>
      <w:ind w:left="380"/>
    </w:pPr>
  </w:style>
  <w:style w:type="paragraph" w:styleId="TOC2">
    <w:name w:val="toc 2"/>
    <w:basedOn w:val="Normal"/>
    <w:next w:val="Normal"/>
    <w:autoRedefine/>
    <w:uiPriority w:val="39"/>
    <w:unhideWhenUsed/>
    <w:rsid w:val="008B7323"/>
    <w:pPr>
      <w:spacing w:after="100"/>
      <w:ind w:left="190"/>
    </w:pPr>
  </w:style>
  <w:style w:type="paragraph" w:customStyle="1" w:styleId="paragraph">
    <w:name w:val="paragraph"/>
    <w:basedOn w:val="Normal"/>
    <w:rsid w:val="006657BA"/>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624280"/>
    <w:rPr>
      <w:i/>
      <w:iCs/>
    </w:rPr>
  </w:style>
  <w:style w:type="character" w:customStyle="1" w:styleId="TableNTextChar">
    <w:name w:val="Table N Text Char"/>
    <w:basedOn w:val="DefaultParagraphFont"/>
    <w:link w:val="TableNText"/>
    <w:uiPriority w:val="2"/>
    <w:rsid w:val="007F2970"/>
    <w:rPr>
      <w:rFonts w:ascii="Segoe UI" w:eastAsia="Times New Roman" w:hAnsi="Segoe UI" w:cs="Times New Roman"/>
      <w:sz w:val="17"/>
      <w:szCs w:val="24"/>
      <w:lang w:val="en-AU" w:eastAsia="en-AU"/>
    </w:rPr>
  </w:style>
  <w:style w:type="character" w:customStyle="1" w:styleId="UnresolvedMention">
    <w:name w:val="Unresolved Mention"/>
    <w:basedOn w:val="DefaultParagraphFont"/>
    <w:uiPriority w:val="99"/>
    <w:unhideWhenUsed/>
    <w:rsid w:val="00545A47"/>
    <w:rPr>
      <w:color w:val="605E5C"/>
      <w:shd w:val="clear" w:color="auto" w:fill="E1DFDD"/>
    </w:rPr>
  </w:style>
  <w:style w:type="character" w:customStyle="1" w:styleId="Mention">
    <w:name w:val="Mention"/>
    <w:basedOn w:val="DefaultParagraphFont"/>
    <w:uiPriority w:val="99"/>
    <w:unhideWhenUsed/>
    <w:rsid w:val="00545A4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5085">
      <w:bodyDiv w:val="1"/>
      <w:marLeft w:val="0"/>
      <w:marRight w:val="0"/>
      <w:marTop w:val="0"/>
      <w:marBottom w:val="0"/>
      <w:divBdr>
        <w:top w:val="none" w:sz="0" w:space="0" w:color="auto"/>
        <w:left w:val="none" w:sz="0" w:space="0" w:color="auto"/>
        <w:bottom w:val="none" w:sz="0" w:space="0" w:color="auto"/>
        <w:right w:val="none" w:sz="0" w:space="0" w:color="auto"/>
      </w:divBdr>
    </w:div>
    <w:div w:id="419107127">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998191403">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36585338">
      <w:bodyDiv w:val="1"/>
      <w:marLeft w:val="0"/>
      <w:marRight w:val="0"/>
      <w:marTop w:val="0"/>
      <w:marBottom w:val="0"/>
      <w:divBdr>
        <w:top w:val="none" w:sz="0" w:space="0" w:color="auto"/>
        <w:left w:val="none" w:sz="0" w:space="0" w:color="auto"/>
        <w:bottom w:val="none" w:sz="0" w:space="0" w:color="auto"/>
        <w:right w:val="none" w:sz="0" w:space="0" w:color="auto"/>
      </w:divBdr>
    </w:div>
    <w:div w:id="1221555936">
      <w:bodyDiv w:val="1"/>
      <w:marLeft w:val="0"/>
      <w:marRight w:val="0"/>
      <w:marTop w:val="0"/>
      <w:marBottom w:val="0"/>
      <w:divBdr>
        <w:top w:val="none" w:sz="0" w:space="0" w:color="auto"/>
        <w:left w:val="none" w:sz="0" w:space="0" w:color="auto"/>
        <w:bottom w:val="none" w:sz="0" w:space="0" w:color="auto"/>
        <w:right w:val="none" w:sz="0" w:space="0" w:color="auto"/>
      </w:divBdr>
    </w:div>
    <w:div w:id="1543636074">
      <w:bodyDiv w:val="1"/>
      <w:marLeft w:val="0"/>
      <w:marRight w:val="0"/>
      <w:marTop w:val="0"/>
      <w:marBottom w:val="0"/>
      <w:divBdr>
        <w:top w:val="none" w:sz="0" w:space="0" w:color="auto"/>
        <w:left w:val="none" w:sz="0" w:space="0" w:color="auto"/>
        <w:bottom w:val="none" w:sz="0" w:space="0" w:color="auto"/>
        <w:right w:val="none" w:sz="0" w:space="0" w:color="auto"/>
      </w:divBdr>
    </w:div>
    <w:div w:id="1561134644">
      <w:bodyDiv w:val="1"/>
      <w:marLeft w:val="0"/>
      <w:marRight w:val="0"/>
      <w:marTop w:val="0"/>
      <w:marBottom w:val="0"/>
      <w:divBdr>
        <w:top w:val="none" w:sz="0" w:space="0" w:color="auto"/>
        <w:left w:val="none" w:sz="0" w:space="0" w:color="auto"/>
        <w:bottom w:val="none" w:sz="0" w:space="0" w:color="auto"/>
        <w:right w:val="none" w:sz="0" w:space="0" w:color="auto"/>
      </w:divBdr>
    </w:div>
    <w:div w:id="1664118937">
      <w:bodyDiv w:val="1"/>
      <w:marLeft w:val="0"/>
      <w:marRight w:val="0"/>
      <w:marTop w:val="0"/>
      <w:marBottom w:val="0"/>
      <w:divBdr>
        <w:top w:val="none" w:sz="0" w:space="0" w:color="auto"/>
        <w:left w:val="none" w:sz="0" w:space="0" w:color="auto"/>
        <w:bottom w:val="none" w:sz="0" w:space="0" w:color="auto"/>
        <w:right w:val="none" w:sz="0" w:space="0" w:color="auto"/>
      </w:divBdr>
    </w:div>
    <w:div w:id="183529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a:solidFill>
            <a:schemeClr val="accent3"/>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25400">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2021-03-29T00:00:00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66541c0-0594-4e6a-9105-c24d4b6de6f7">
      <UserInfo>
        <DisplayName>Camilla Lonsdale</DisplayName>
        <AccountId>17</AccountId>
        <AccountType/>
      </UserInfo>
    </SharedWithUsers>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DOC22-48345</ShareHubID>
    <TaxCatchAll xmlns="166541c0-0594-4e6a-9105-c24d4b6de6f7">
      <Value>18</Value>
      <Value>57</Value>
    </TaxCatchAll>
    <PMCNotes xmlns="166541c0-0594-4e6a-9105-c24d4b6de6f7" xsi:nil="true"/>
    <NonRecordJustification xmlns="685f9fda-bd71-4433-b331-92feb9553089">None</NonRecordJustification>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091001-41FC-423B-BC98-B7AE0916B3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4.xml><?xml version="1.0" encoding="utf-8"?>
<ds:datastoreItem xmlns:ds="http://schemas.openxmlformats.org/officeDocument/2006/customXml" ds:itemID="{6CB462EA-10A7-4754-94DC-A6846B7C0C55}">
  <ds:schemaRefs>
    <ds:schemaRef ds:uri="http://purl.org/dc/dcmitype/"/>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685f9fda-bd71-4433-b331-92feb9553089"/>
    <ds:schemaRef ds:uri="http://purl.org/dc/terms/"/>
    <ds:schemaRef ds:uri="166541c0-0594-4e6a-9105-c24d4b6de6f7"/>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1691AF84-14AA-4FED-AE85-42C2E21A1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27</Pages>
  <Words>7873</Words>
  <Characters>44877</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Review of Performance as a Native Title Representative Body: Kimberley Land Council</vt:lpstr>
    </vt:vector>
  </TitlesOfParts>
  <Company>The Nous Group</Company>
  <LinksUpToDate>false</LinksUpToDate>
  <CharactersWithSpaces>52645</CharactersWithSpaces>
  <SharedDoc>false</SharedDoc>
  <HLinks>
    <vt:vector size="48" baseType="variant">
      <vt:variant>
        <vt:i4>1114169</vt:i4>
      </vt:variant>
      <vt:variant>
        <vt:i4>44</vt:i4>
      </vt:variant>
      <vt:variant>
        <vt:i4>0</vt:i4>
      </vt:variant>
      <vt:variant>
        <vt:i4>5</vt:i4>
      </vt:variant>
      <vt:variant>
        <vt:lpwstr/>
      </vt:variant>
      <vt:variant>
        <vt:lpwstr>_Toc37923605</vt:lpwstr>
      </vt:variant>
      <vt:variant>
        <vt:i4>1048633</vt:i4>
      </vt:variant>
      <vt:variant>
        <vt:i4>38</vt:i4>
      </vt:variant>
      <vt:variant>
        <vt:i4>0</vt:i4>
      </vt:variant>
      <vt:variant>
        <vt:i4>5</vt:i4>
      </vt:variant>
      <vt:variant>
        <vt:lpwstr/>
      </vt:variant>
      <vt:variant>
        <vt:lpwstr>_Toc37923604</vt:lpwstr>
      </vt:variant>
      <vt:variant>
        <vt:i4>1507385</vt:i4>
      </vt:variant>
      <vt:variant>
        <vt:i4>32</vt:i4>
      </vt:variant>
      <vt:variant>
        <vt:i4>0</vt:i4>
      </vt:variant>
      <vt:variant>
        <vt:i4>5</vt:i4>
      </vt:variant>
      <vt:variant>
        <vt:lpwstr/>
      </vt:variant>
      <vt:variant>
        <vt:lpwstr>_Toc37923603</vt:lpwstr>
      </vt:variant>
      <vt:variant>
        <vt:i4>1441849</vt:i4>
      </vt:variant>
      <vt:variant>
        <vt:i4>26</vt:i4>
      </vt:variant>
      <vt:variant>
        <vt:i4>0</vt:i4>
      </vt:variant>
      <vt:variant>
        <vt:i4>5</vt:i4>
      </vt:variant>
      <vt:variant>
        <vt:lpwstr/>
      </vt:variant>
      <vt:variant>
        <vt:lpwstr>_Toc37923602</vt:lpwstr>
      </vt:variant>
      <vt:variant>
        <vt:i4>1376313</vt:i4>
      </vt:variant>
      <vt:variant>
        <vt:i4>20</vt:i4>
      </vt:variant>
      <vt:variant>
        <vt:i4>0</vt:i4>
      </vt:variant>
      <vt:variant>
        <vt:i4>5</vt:i4>
      </vt:variant>
      <vt:variant>
        <vt:lpwstr/>
      </vt:variant>
      <vt:variant>
        <vt:lpwstr>_Toc37923601</vt:lpwstr>
      </vt:variant>
      <vt:variant>
        <vt:i4>1310777</vt:i4>
      </vt:variant>
      <vt:variant>
        <vt:i4>14</vt:i4>
      </vt:variant>
      <vt:variant>
        <vt:i4>0</vt:i4>
      </vt:variant>
      <vt:variant>
        <vt:i4>5</vt:i4>
      </vt:variant>
      <vt:variant>
        <vt:lpwstr/>
      </vt:variant>
      <vt:variant>
        <vt:lpwstr>_Toc37923600</vt:lpwstr>
      </vt:variant>
      <vt:variant>
        <vt:i4>1966128</vt:i4>
      </vt:variant>
      <vt:variant>
        <vt:i4>8</vt:i4>
      </vt:variant>
      <vt:variant>
        <vt:i4>0</vt:i4>
      </vt:variant>
      <vt:variant>
        <vt:i4>5</vt:i4>
      </vt:variant>
      <vt:variant>
        <vt:lpwstr/>
      </vt:variant>
      <vt:variant>
        <vt:lpwstr>_Toc37923599</vt:lpwstr>
      </vt:variant>
      <vt:variant>
        <vt:i4>2031664</vt:i4>
      </vt:variant>
      <vt:variant>
        <vt:i4>2</vt:i4>
      </vt:variant>
      <vt:variant>
        <vt:i4>0</vt:i4>
      </vt:variant>
      <vt:variant>
        <vt:i4>5</vt:i4>
      </vt:variant>
      <vt:variant>
        <vt:lpwstr/>
      </vt:variant>
      <vt:variant>
        <vt:lpwstr>_Toc37923598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Performance as a Native Title Representative Body: Kimberley Land Council</dc:title>
  <dc:subject>Summary Report</dc:subject>
  <dc:creator>Nicholas Dillon</dc:creator>
  <cp:keywords/>
  <cp:lastModifiedBy>NTFM</cp:lastModifiedBy>
  <cp:revision>286</cp:revision>
  <cp:lastPrinted>2021-03-29T23:59:00Z</cp:lastPrinted>
  <dcterms:created xsi:type="dcterms:W3CDTF">2020-04-07T17:51:00Z</dcterms:created>
  <dcterms:modified xsi:type="dcterms:W3CDTF">2022-02-08T02:29:00Z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Doc type - level 2">
    <vt:lpwstr/>
  </property>
  <property fmtid="{D5CDD505-2E9C-101B-9397-08002B2CF9AE}" pid="4" name="Project doc type">
    <vt:lpwstr>36;#Reports|2362088c-9416-420b-887a-88c6ccd422fb</vt:lpwstr>
  </property>
  <property fmtid="{D5CDD505-2E9C-101B-9397-08002B2CF9AE}" pid="5" name="HPRMSecurityLevel">
    <vt:lpwstr>57;#OFFICIAL|11463c70-78df-4e3b-b0ff-f66cd3cb26ec</vt:lpwstr>
  </property>
  <property fmtid="{D5CDD505-2E9C-101B-9397-08002B2CF9AE}" pid="6" name="ESearchTags">
    <vt:lpwstr>18;#Cabinet|84cba657-17c1-4642-9e59-a0df180c2be5</vt:lpwstr>
  </property>
  <property fmtid="{D5CDD505-2E9C-101B-9397-08002B2CF9AE}" pid="7" name="PMC.ESearch.TagGeneratedTime">
    <vt:lpwstr>2022-03-01T09:52:44</vt:lpwstr>
  </property>
  <property fmtid="{D5CDD505-2E9C-101B-9397-08002B2CF9AE}" pid="8" name="HPRMSecurityCaveat">
    <vt:lpwstr/>
  </property>
</Properties>
</file>