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BF21B82" w14:textId="7A7B5332" w:rsidR="000A7531" w:rsidRPr="00E36891" w:rsidRDefault="000A7531" w:rsidP="000A7531">
      <w:pPr>
        <w:pStyle w:val="Covertitle"/>
        <w:rPr>
          <w:rFonts w:cs="Segoe UI"/>
          <w:b/>
          <w:color w:val="FFFFFF" w:themeColor="background1"/>
          <w:sz w:val="64"/>
          <w:szCs w:val="64"/>
        </w:rPr>
      </w:pPr>
      <w:bookmarkStart w:id="0" w:name="_Hlk37147267"/>
      <w:bookmarkEnd w:id="0"/>
      <w:r>
        <w:rPr>
          <w:noProof/>
        </w:rPr>
        <w:drawing>
          <wp:anchor distT="0" distB="0" distL="114300" distR="114300" simplePos="0" relativeHeight="251658240" behindDoc="1" locked="0" layoutInCell="1" allowOverlap="1" wp14:anchorId="21BF928D" wp14:editId="6B4563C3">
            <wp:simplePos x="0" y="0"/>
            <wp:positionH relativeFrom="column">
              <wp:posOffset>-986922</wp:posOffset>
            </wp:positionH>
            <wp:positionV relativeFrom="paragraph">
              <wp:posOffset>-3060700</wp:posOffset>
            </wp:positionV>
            <wp:extent cx="7546602" cy="10674792"/>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 cover_blue murmuration1.png"/>
                    <pic:cNvPicPr/>
                  </pic:nvPicPr>
                  <pic:blipFill>
                    <a:blip r:embed="rId12">
                      <a:extLst>
                        <a:ext uri="{28A0092B-C50C-407E-A947-70E740481C1C}">
                          <a14:useLocalDpi xmlns:a14="http://schemas.microsoft.com/office/drawing/2010/main" val="0"/>
                        </a:ext>
                      </a:extLst>
                    </a:blip>
                    <a:stretch>
                      <a:fillRect/>
                    </a:stretch>
                  </pic:blipFill>
                  <pic:spPr>
                    <a:xfrm>
                      <a:off x="0" y="0"/>
                      <a:ext cx="7546602" cy="10674792"/>
                    </a:xfrm>
                    <a:prstGeom prst="rect">
                      <a:avLst/>
                    </a:prstGeom>
                  </pic:spPr>
                </pic:pic>
              </a:graphicData>
            </a:graphic>
            <wp14:sizeRelH relativeFrom="page">
              <wp14:pctWidth>0</wp14:pctWidth>
            </wp14:sizeRelH>
            <wp14:sizeRelV relativeFrom="page">
              <wp14:pctHeight>0</wp14:pctHeight>
            </wp14:sizeRelV>
          </wp:anchor>
        </w:drawing>
      </w:r>
      <w:bookmarkStart w:id="1" w:name="_Ref502845333"/>
      <w:bookmarkEnd w:id="1"/>
      <w:sdt>
        <w:sdtPr>
          <w:rPr>
            <w:rFonts w:cs="Segoe UI"/>
            <w:b/>
            <w:color w:val="FFFFFF" w:themeColor="background1"/>
            <w:sz w:val="64"/>
            <w:szCs w:val="64"/>
          </w:rPr>
          <w:id w:val="-403298040"/>
          <w:docPartObj>
            <w:docPartGallery w:val="Cover Pages"/>
            <w:docPartUnique/>
          </w:docPartObj>
        </w:sdtPr>
        <w:sdtEndPr>
          <w:rPr>
            <w:sz w:val="36"/>
            <w:szCs w:val="36"/>
          </w:rPr>
        </w:sdtEndPr>
        <w:sdtContent>
          <w:sdt>
            <w:sdtPr>
              <w:rPr>
                <w:rFonts w:cs="Segoe UI"/>
                <w:b/>
                <w:color w:val="FFFFFF" w:themeColor="background1"/>
                <w:sz w:val="64"/>
                <w:szCs w:val="64"/>
              </w:rPr>
              <w:alias w:val="Title"/>
              <w:tag w:val=""/>
              <w:id w:val="1842583531"/>
              <w:dataBinding w:prefixMappings="xmlns:ns0='http://purl.org/dc/elements/1.1/' xmlns:ns1='http://schemas.openxmlformats.org/package/2006/metadata/core-properties' " w:xpath="/ns1:coreProperties[1]/ns0:title[1]" w:storeItemID="{6C3C8BC8-F283-45AE-878A-BAB7291924A1}"/>
              <w:text/>
            </w:sdtPr>
            <w:sdtEndPr/>
            <w:sdtContent>
              <w:r w:rsidR="00C85610">
                <w:rPr>
                  <w:rFonts w:cs="Segoe UI"/>
                  <w:b/>
                  <w:color w:val="FFFFFF" w:themeColor="background1"/>
                  <w:sz w:val="64"/>
                  <w:szCs w:val="64"/>
                </w:rPr>
                <w:t xml:space="preserve">Review of Performance as a Native Title Representative Body: </w:t>
              </w:r>
              <w:r w:rsidR="001A1744">
                <w:rPr>
                  <w:rFonts w:cs="Segoe UI"/>
                  <w:b/>
                  <w:color w:val="FFFFFF" w:themeColor="background1"/>
                  <w:sz w:val="64"/>
                  <w:szCs w:val="64"/>
                </w:rPr>
                <w:t>Carpentaria Land Council Aboriginal Corporation</w:t>
              </w:r>
            </w:sdtContent>
          </w:sdt>
        </w:sdtContent>
      </w:sdt>
    </w:p>
    <w:p w14:paraId="6215FE9A" w14:textId="21602D3B" w:rsidR="000A7531" w:rsidRPr="00F75386" w:rsidRDefault="003B61BB" w:rsidP="000A7531">
      <w:pPr>
        <w:pStyle w:val="CoverPage-Client"/>
        <w:spacing w:before="360"/>
        <w:rPr>
          <w:rFonts w:cs="Segoe UI"/>
          <w:color w:val="F8981D" w:themeColor="accent3"/>
        </w:rPr>
      </w:pPr>
      <w:sdt>
        <w:sdtPr>
          <w:rPr>
            <w:rStyle w:val="CoverPage-ClientChar"/>
            <w:rFonts w:cs="Segoe UI"/>
            <w:color w:val="F8981D" w:themeColor="accent3"/>
          </w:rPr>
          <w:alias w:val="Subject"/>
          <w:tag w:val=""/>
          <w:id w:val="1921753657"/>
          <w:dataBinding w:prefixMappings="xmlns:ns0='http://purl.org/dc/elements/1.1/' xmlns:ns1='http://schemas.openxmlformats.org/package/2006/metadata/core-properties' " w:xpath="/ns1:coreProperties[1]/ns0:subject[1]" w:storeItemID="{6C3C8BC8-F283-45AE-878A-BAB7291924A1}"/>
          <w:text/>
        </w:sdtPr>
        <w:sdtEndPr>
          <w:rPr>
            <w:rStyle w:val="CoverPage-ClientChar"/>
          </w:rPr>
        </w:sdtEndPr>
        <w:sdtContent>
          <w:r w:rsidR="005C51DC">
            <w:rPr>
              <w:rStyle w:val="CoverPage-ClientChar"/>
              <w:rFonts w:cs="Segoe UI"/>
              <w:color w:val="F8981D" w:themeColor="accent3"/>
            </w:rPr>
            <w:t>Summary Report</w:t>
          </w:r>
        </w:sdtContent>
      </w:sdt>
    </w:p>
    <w:p w14:paraId="00D53284" w14:textId="71DCD15A" w:rsidR="000A7531" w:rsidRPr="00E36891" w:rsidRDefault="002E3105" w:rsidP="000A7531">
      <w:pPr>
        <w:pStyle w:val="CoverPage-Date"/>
        <w:spacing w:before="240"/>
        <w:rPr>
          <w:color w:val="FFFFFF" w:themeColor="background1"/>
        </w:rPr>
      </w:pPr>
      <w:r>
        <w:rPr>
          <w:rStyle w:val="CoverPage-DateChar"/>
          <w:rFonts w:cs="Segoe UI"/>
          <w:color w:val="FFFFFF" w:themeColor="background1"/>
          <w:sz w:val="20"/>
          <w:szCs w:val="20"/>
        </w:rPr>
        <w:t>March 2021</w:t>
      </w:r>
    </w:p>
    <w:p w14:paraId="0DFF99E5" w14:textId="77777777" w:rsidR="000A7531" w:rsidRDefault="000A7531" w:rsidP="000A7531">
      <w:pPr>
        <w:suppressAutoHyphens/>
        <w:spacing w:after="0" w:line="680" w:lineRule="exact"/>
        <w:sectPr w:rsidR="000A7531" w:rsidSect="000A7531">
          <w:headerReference w:type="default" r:id="rId13"/>
          <w:footerReference w:type="default" r:id="rId14"/>
          <w:headerReference w:type="first" r:id="rId15"/>
          <w:pgSz w:w="11907" w:h="16839" w:code="9"/>
          <w:pgMar w:top="4820" w:right="1418" w:bottom="1701" w:left="1559" w:header="737" w:footer="567" w:gutter="0"/>
          <w:pgNumType w:start="0"/>
          <w:cols w:space="720"/>
          <w:titlePg/>
          <w:docGrid w:linePitch="360"/>
        </w:sectPr>
      </w:pPr>
    </w:p>
    <w:sdt>
      <w:sdtPr>
        <w:id w:val="-422653185"/>
        <w:docPartObj>
          <w:docPartGallery w:val="Table of Contents"/>
          <w:docPartUnique/>
        </w:docPartObj>
      </w:sdtPr>
      <w:sdtEndPr>
        <w:rPr>
          <w:b/>
          <w:bCs/>
          <w:noProof/>
        </w:rPr>
      </w:sdtEndPr>
      <w:sdtContent>
        <w:p w14:paraId="1B882AF0" w14:textId="60E2E033" w:rsidR="00AA5FFB" w:rsidRDefault="00AA5FFB" w:rsidP="00AA5FFB"/>
        <w:p w14:paraId="51E3E758" w14:textId="77777777" w:rsidR="00AA5FFB" w:rsidRDefault="00AA5FFB" w:rsidP="00AA5FFB"/>
        <w:p w14:paraId="2F2EF09D" w14:textId="77777777" w:rsidR="00AA5FFB" w:rsidRDefault="00AA5FFB" w:rsidP="00AA5FFB"/>
        <w:p w14:paraId="36D1821D" w14:textId="77777777" w:rsidR="00AA5FFB" w:rsidRDefault="00AA5FFB" w:rsidP="00AA5FFB"/>
        <w:p w14:paraId="1E796C87" w14:textId="77777777" w:rsidR="00AA5FFB" w:rsidRDefault="00AA5FFB" w:rsidP="00AA5FFB"/>
        <w:p w14:paraId="3345304A" w14:textId="77777777" w:rsidR="00AA5FFB" w:rsidRDefault="00AA5FFB" w:rsidP="00AA5FFB"/>
        <w:p w14:paraId="005A5809" w14:textId="77777777" w:rsidR="00AA5FFB" w:rsidRDefault="00AA5FFB" w:rsidP="00AA5FFB"/>
        <w:p w14:paraId="24EFF9E2" w14:textId="77777777" w:rsidR="00AA5FFB" w:rsidRDefault="00AA5FFB" w:rsidP="00AA5FFB"/>
        <w:p w14:paraId="255217D0" w14:textId="77777777" w:rsidR="00AA5FFB" w:rsidRDefault="00AA5FFB" w:rsidP="00AA5FFB"/>
        <w:p w14:paraId="59685E14" w14:textId="77777777" w:rsidR="00AA5FFB" w:rsidRDefault="00AA5FFB" w:rsidP="00AA5FFB"/>
        <w:p w14:paraId="13EE051A" w14:textId="77777777" w:rsidR="00AA5FFB" w:rsidRDefault="00AA5FFB" w:rsidP="00AA5FFB">
          <w:pPr>
            <w:rPr>
              <w:i/>
            </w:rPr>
          </w:pPr>
        </w:p>
        <w:p w14:paraId="2D467623" w14:textId="77777777" w:rsidR="00AA5FFB" w:rsidRDefault="00AA5FFB" w:rsidP="00AA5FFB">
          <w:pPr>
            <w:rPr>
              <w:i/>
            </w:rPr>
          </w:pPr>
        </w:p>
        <w:p w14:paraId="032EDF55" w14:textId="77777777" w:rsidR="00AA5FFB" w:rsidRDefault="00AA5FFB" w:rsidP="00AA5FFB">
          <w:pPr>
            <w:rPr>
              <w:i/>
            </w:rPr>
          </w:pPr>
        </w:p>
        <w:p w14:paraId="383A5F59" w14:textId="77777777" w:rsidR="00AA5FFB" w:rsidRDefault="00AA5FFB" w:rsidP="00AA5FFB">
          <w:pPr>
            <w:rPr>
              <w:i/>
            </w:rPr>
          </w:pPr>
        </w:p>
        <w:p w14:paraId="3268BE44" w14:textId="77777777" w:rsidR="00AA5FFB" w:rsidRDefault="00AA5FFB" w:rsidP="00AA5FFB">
          <w:pPr>
            <w:rPr>
              <w:i/>
            </w:rPr>
          </w:pPr>
        </w:p>
        <w:p w14:paraId="7757F484" w14:textId="77777777" w:rsidR="00AA5FFB" w:rsidRDefault="00AA5FFB" w:rsidP="00AA5FFB">
          <w:pPr>
            <w:rPr>
              <w:i/>
            </w:rPr>
          </w:pPr>
        </w:p>
        <w:p w14:paraId="044C668A" w14:textId="77777777" w:rsidR="00AA5FFB" w:rsidRDefault="00AA5FFB" w:rsidP="00AA5FFB">
          <w:pPr>
            <w:rPr>
              <w:i/>
            </w:rPr>
          </w:pPr>
        </w:p>
        <w:p w14:paraId="020675E8" w14:textId="77777777" w:rsidR="00AA5FFB" w:rsidRDefault="00AA5FFB" w:rsidP="00AA5FFB">
          <w:pPr>
            <w:rPr>
              <w:i/>
            </w:rPr>
          </w:pPr>
        </w:p>
        <w:p w14:paraId="4CE5FA7B" w14:textId="77777777" w:rsidR="00AA5FFB" w:rsidRDefault="00AA5FFB" w:rsidP="00AA5FFB">
          <w:pPr>
            <w:rPr>
              <w:i/>
            </w:rPr>
          </w:pPr>
        </w:p>
        <w:p w14:paraId="2DC7192D" w14:textId="77777777" w:rsidR="00AA5FFB" w:rsidRDefault="00AA5FFB" w:rsidP="00AA5FFB">
          <w:pPr>
            <w:rPr>
              <w:i/>
            </w:rPr>
          </w:pPr>
        </w:p>
        <w:p w14:paraId="4A1DB1AF" w14:textId="77777777" w:rsidR="00AA5FFB" w:rsidRDefault="00AA5FFB" w:rsidP="00AA5FFB">
          <w:pPr>
            <w:rPr>
              <w:i/>
            </w:rPr>
          </w:pPr>
        </w:p>
        <w:p w14:paraId="70365459" w14:textId="77777777" w:rsidR="00AA5FFB" w:rsidRDefault="00AA5FFB" w:rsidP="00AA5FFB">
          <w:pPr>
            <w:rPr>
              <w:i/>
            </w:rPr>
          </w:pPr>
        </w:p>
        <w:p w14:paraId="6F4EC900" w14:textId="77777777" w:rsidR="00AA5FFB" w:rsidRDefault="00AA5FFB" w:rsidP="00AA5FFB">
          <w:pPr>
            <w:rPr>
              <w:i/>
            </w:rPr>
          </w:pPr>
        </w:p>
        <w:p w14:paraId="3C81E9C7" w14:textId="77777777" w:rsidR="00AA5FFB" w:rsidRDefault="00AA5FFB" w:rsidP="00AA5FFB">
          <w:pPr>
            <w:rPr>
              <w:i/>
            </w:rPr>
          </w:pPr>
        </w:p>
        <w:p w14:paraId="006AE14E" w14:textId="77777777" w:rsidR="00AA5FFB" w:rsidRPr="00D55E77" w:rsidRDefault="00AA5FFB" w:rsidP="00AA5FFB">
          <w:pPr>
            <w:rPr>
              <w:i/>
            </w:rPr>
          </w:pPr>
        </w:p>
        <w:p w14:paraId="0D4EBA73" w14:textId="77777777" w:rsidR="00F64BB4" w:rsidRPr="00D55E77" w:rsidRDefault="00F64BB4" w:rsidP="00F64BB4">
          <w:pPr>
            <w:rPr>
              <w:b/>
              <w:i/>
            </w:rPr>
          </w:pPr>
          <w:r w:rsidRPr="00D55E77">
            <w:rPr>
              <w:b/>
              <w:i/>
            </w:rPr>
            <w:t xml:space="preserve">Disclaimer: </w:t>
          </w:r>
        </w:p>
        <w:p w14:paraId="3BAC3DFB" w14:textId="77777777" w:rsidR="005C51DC" w:rsidRDefault="005C51DC" w:rsidP="005C51DC">
          <w:pPr>
            <w:rPr>
              <w:i/>
            </w:rPr>
          </w:pPr>
          <w:r w:rsidRPr="00D55E77">
            <w:rPr>
              <w:i/>
            </w:rPr>
            <w:t>Nous Group (</w:t>
          </w:r>
          <w:r w:rsidRPr="008461BE">
            <w:rPr>
              <w:b/>
              <w:i/>
            </w:rPr>
            <w:t>Nous</w:t>
          </w:r>
          <w:r w:rsidRPr="00D55E77">
            <w:rPr>
              <w:i/>
            </w:rPr>
            <w:t>) has prepared this report for the benefit of</w:t>
          </w:r>
          <w:r>
            <w:rPr>
              <w:i/>
            </w:rPr>
            <w:t xml:space="preserve"> the</w:t>
          </w:r>
          <w:r w:rsidRPr="008B1C39">
            <w:rPr>
              <w:i/>
            </w:rPr>
            <w:t xml:space="preserve"> National Indigenous Australians Agenc</w:t>
          </w:r>
          <w:r>
            <w:rPr>
              <w:i/>
            </w:rPr>
            <w:t xml:space="preserve">y </w:t>
          </w:r>
          <w:r w:rsidRPr="00D55E77">
            <w:rPr>
              <w:i/>
            </w:rPr>
            <w:t xml:space="preserve">(the </w:t>
          </w:r>
          <w:r w:rsidRPr="00031684">
            <w:rPr>
              <w:b/>
              <w:i/>
            </w:rPr>
            <w:t>Client</w:t>
          </w:r>
          <w:r w:rsidRPr="00D55E77">
            <w:rPr>
              <w:i/>
            </w:rPr>
            <w:t>).</w:t>
          </w:r>
          <w:r>
            <w:rPr>
              <w:i/>
            </w:rPr>
            <w:t xml:space="preserve"> </w:t>
          </w:r>
        </w:p>
        <w:p w14:paraId="59D28AAB" w14:textId="77777777" w:rsidR="005C51DC" w:rsidRDefault="005C51DC" w:rsidP="005C51DC">
          <w:pPr>
            <w:rPr>
              <w:i/>
            </w:rPr>
          </w:pPr>
          <w:r w:rsidRPr="00D55E77">
            <w:rPr>
              <w:i/>
            </w:rPr>
            <w:t>The report should not be used or relied upon for any purpose other than as an expression of the conclusions and recommendations of Nous to the Client as to the matters within the scope of the report. Nous and its officers and employees expressly disclaim any liability to any person other than the Client who relies or purports to rely on the report for any other purpose. Nous has prepared the report with care and diligence. The conclusions and recommendations given by Nous in the report are given in good faith and in the reasonable belief that they are correct and not misleading. The report has been prepared by Nous based on information provided by the Client and by other persons. Nous has relied on that information and has not independently verified or audited that information.</w:t>
          </w:r>
        </w:p>
        <w:p w14:paraId="7D1E9CB5" w14:textId="77777777" w:rsidR="005C51DC" w:rsidRDefault="005C51DC" w:rsidP="005C51DC">
          <w:pPr>
            <w:rPr>
              <w:i/>
            </w:rPr>
          </w:pPr>
          <w:r>
            <w:rPr>
              <w:i/>
            </w:rPr>
            <w:t xml:space="preserve">This Review covered the period </w:t>
          </w:r>
          <w:r w:rsidRPr="005C51DC">
            <w:rPr>
              <w:i/>
            </w:rPr>
            <w:t>from July 2015 to June 2018. Findings relate to this time period unless otherwise stated. Nous conducted the Review between September 2018 and April 2019. This summary document was prepared in 2020 and includes responses to recommendations by the NTRB</w:t>
          </w:r>
          <w:r>
            <w:rPr>
              <w:i/>
            </w:rPr>
            <w:t>-SP in 2020.</w:t>
          </w:r>
        </w:p>
        <w:p w14:paraId="2B7211A7" w14:textId="2E7C6C8E" w:rsidR="000A7531" w:rsidRPr="000A7531" w:rsidRDefault="000A7531" w:rsidP="00AA5FFB">
          <w:pPr>
            <w:rPr>
              <w:rFonts w:ascii="Segoe UI Semibold" w:hAnsi="Segoe UI Semibold"/>
              <w:color w:val="00264D" w:themeColor="background2"/>
              <w:sz w:val="36"/>
              <w:szCs w:val="36"/>
            </w:rPr>
          </w:pPr>
          <w:r w:rsidRPr="00C846A6">
            <w:rPr>
              <w:rFonts w:ascii="Segoe UI Semibold" w:hAnsi="Segoe UI Semibold"/>
              <w:color w:val="00264D" w:themeColor="background2"/>
              <w:sz w:val="36"/>
              <w:szCs w:val="36"/>
            </w:rPr>
            <w:lastRenderedPageBreak/>
            <w:t>Contents</w:t>
          </w:r>
        </w:p>
        <w:p w14:paraId="5117BD18" w14:textId="6D6ED9B7" w:rsidR="00270623" w:rsidRDefault="000A7531">
          <w:pPr>
            <w:pStyle w:val="TOC1"/>
            <w:tabs>
              <w:tab w:val="left" w:pos="380"/>
              <w:tab w:val="right" w:leader="dot" w:pos="8920"/>
            </w:tabs>
            <w:rPr>
              <w:rFonts w:asciiTheme="minorHAnsi" w:eastAsiaTheme="minorEastAsia" w:hAnsiTheme="minorHAnsi"/>
              <w:noProof/>
              <w:sz w:val="22"/>
              <w:lang w:eastAsia="en-AU"/>
            </w:rPr>
          </w:pPr>
          <w:r>
            <w:fldChar w:fldCharType="begin"/>
          </w:r>
          <w:r>
            <w:instrText xml:space="preserve"> TOC \o "1-3" \h \z \u </w:instrText>
          </w:r>
          <w:r>
            <w:fldChar w:fldCharType="separate"/>
          </w:r>
          <w:hyperlink w:anchor="_Toc68071470" w:history="1">
            <w:r w:rsidR="00270623" w:rsidRPr="00887CE2">
              <w:rPr>
                <w:rStyle w:val="Hyperlink"/>
                <w:noProof/>
              </w:rPr>
              <w:t>1</w:t>
            </w:r>
            <w:r w:rsidR="00270623">
              <w:rPr>
                <w:rFonts w:asciiTheme="minorHAnsi" w:eastAsiaTheme="minorEastAsia" w:hAnsiTheme="minorHAnsi"/>
                <w:noProof/>
                <w:sz w:val="22"/>
                <w:lang w:eastAsia="en-AU"/>
              </w:rPr>
              <w:tab/>
            </w:r>
            <w:r w:rsidR="00270623" w:rsidRPr="00887CE2">
              <w:rPr>
                <w:rStyle w:val="Hyperlink"/>
                <w:noProof/>
              </w:rPr>
              <w:t>About the Review</w:t>
            </w:r>
            <w:r w:rsidR="00270623">
              <w:rPr>
                <w:noProof/>
                <w:webHidden/>
              </w:rPr>
              <w:tab/>
            </w:r>
            <w:r w:rsidR="00270623">
              <w:rPr>
                <w:noProof/>
                <w:webHidden/>
              </w:rPr>
              <w:fldChar w:fldCharType="begin"/>
            </w:r>
            <w:r w:rsidR="00270623">
              <w:rPr>
                <w:noProof/>
                <w:webHidden/>
              </w:rPr>
              <w:instrText xml:space="preserve"> PAGEREF _Toc68071470 \h </w:instrText>
            </w:r>
            <w:r w:rsidR="00270623">
              <w:rPr>
                <w:noProof/>
                <w:webHidden/>
              </w:rPr>
            </w:r>
            <w:r w:rsidR="00270623">
              <w:rPr>
                <w:noProof/>
                <w:webHidden/>
              </w:rPr>
              <w:fldChar w:fldCharType="separate"/>
            </w:r>
            <w:r w:rsidR="00270623">
              <w:rPr>
                <w:noProof/>
                <w:webHidden/>
              </w:rPr>
              <w:t>3</w:t>
            </w:r>
            <w:r w:rsidR="00270623">
              <w:rPr>
                <w:noProof/>
                <w:webHidden/>
              </w:rPr>
              <w:fldChar w:fldCharType="end"/>
            </w:r>
          </w:hyperlink>
        </w:p>
        <w:p w14:paraId="16BE241A" w14:textId="6ED219C2" w:rsidR="00270623" w:rsidRDefault="003B61BB">
          <w:pPr>
            <w:pStyle w:val="TOC1"/>
            <w:tabs>
              <w:tab w:val="left" w:pos="380"/>
              <w:tab w:val="right" w:leader="dot" w:pos="8920"/>
            </w:tabs>
            <w:rPr>
              <w:rFonts w:asciiTheme="minorHAnsi" w:eastAsiaTheme="minorEastAsia" w:hAnsiTheme="minorHAnsi"/>
              <w:noProof/>
              <w:sz w:val="22"/>
              <w:lang w:eastAsia="en-AU"/>
            </w:rPr>
          </w:pPr>
          <w:hyperlink w:anchor="_Toc68071471" w:history="1">
            <w:r w:rsidR="00270623" w:rsidRPr="00887CE2">
              <w:rPr>
                <w:rStyle w:val="Hyperlink"/>
                <w:noProof/>
              </w:rPr>
              <w:t>2</w:t>
            </w:r>
            <w:r w:rsidR="00270623">
              <w:rPr>
                <w:rFonts w:asciiTheme="minorHAnsi" w:eastAsiaTheme="minorEastAsia" w:hAnsiTheme="minorHAnsi"/>
                <w:noProof/>
                <w:sz w:val="22"/>
                <w:lang w:eastAsia="en-AU"/>
              </w:rPr>
              <w:tab/>
            </w:r>
            <w:r w:rsidR="00270623" w:rsidRPr="00887CE2">
              <w:rPr>
                <w:rStyle w:val="Hyperlink"/>
                <w:noProof/>
              </w:rPr>
              <w:t xml:space="preserve">Profile of </w:t>
            </w:r>
            <w:r w:rsidR="00270623" w:rsidRPr="00887CE2">
              <w:rPr>
                <w:rStyle w:val="Hyperlink"/>
                <w:caps/>
                <w:noProof/>
              </w:rPr>
              <w:t>CLCAC</w:t>
            </w:r>
            <w:r w:rsidR="00270623" w:rsidRPr="00887CE2">
              <w:rPr>
                <w:rStyle w:val="Hyperlink"/>
                <w:noProof/>
              </w:rPr>
              <w:t xml:space="preserve"> at a glance</w:t>
            </w:r>
            <w:r w:rsidR="00270623">
              <w:rPr>
                <w:noProof/>
                <w:webHidden/>
              </w:rPr>
              <w:tab/>
            </w:r>
            <w:r w:rsidR="00270623">
              <w:rPr>
                <w:noProof/>
                <w:webHidden/>
              </w:rPr>
              <w:fldChar w:fldCharType="begin"/>
            </w:r>
            <w:r w:rsidR="00270623">
              <w:rPr>
                <w:noProof/>
                <w:webHidden/>
              </w:rPr>
              <w:instrText xml:space="preserve"> PAGEREF _Toc68071471 \h </w:instrText>
            </w:r>
            <w:r w:rsidR="00270623">
              <w:rPr>
                <w:noProof/>
                <w:webHidden/>
              </w:rPr>
            </w:r>
            <w:r w:rsidR="00270623">
              <w:rPr>
                <w:noProof/>
                <w:webHidden/>
              </w:rPr>
              <w:fldChar w:fldCharType="separate"/>
            </w:r>
            <w:r w:rsidR="00270623">
              <w:rPr>
                <w:noProof/>
                <w:webHidden/>
              </w:rPr>
              <w:t>4</w:t>
            </w:r>
            <w:r w:rsidR="00270623">
              <w:rPr>
                <w:noProof/>
                <w:webHidden/>
              </w:rPr>
              <w:fldChar w:fldCharType="end"/>
            </w:r>
          </w:hyperlink>
        </w:p>
        <w:p w14:paraId="177BBFE1" w14:textId="5FE472F4" w:rsidR="00270623" w:rsidRDefault="003B61BB">
          <w:pPr>
            <w:pStyle w:val="TOC1"/>
            <w:tabs>
              <w:tab w:val="left" w:pos="380"/>
              <w:tab w:val="right" w:leader="dot" w:pos="8920"/>
            </w:tabs>
            <w:rPr>
              <w:rFonts w:asciiTheme="minorHAnsi" w:eastAsiaTheme="minorEastAsia" w:hAnsiTheme="minorHAnsi"/>
              <w:noProof/>
              <w:sz w:val="22"/>
              <w:lang w:eastAsia="en-AU"/>
            </w:rPr>
          </w:pPr>
          <w:hyperlink w:anchor="_Toc68071472" w:history="1">
            <w:r w:rsidR="00270623" w:rsidRPr="00887CE2">
              <w:rPr>
                <w:rStyle w:val="Hyperlink"/>
                <w:noProof/>
              </w:rPr>
              <w:t>3</w:t>
            </w:r>
            <w:r w:rsidR="00270623">
              <w:rPr>
                <w:rFonts w:asciiTheme="minorHAnsi" w:eastAsiaTheme="minorEastAsia" w:hAnsiTheme="minorHAnsi"/>
                <w:noProof/>
                <w:sz w:val="22"/>
                <w:lang w:eastAsia="en-AU"/>
              </w:rPr>
              <w:tab/>
            </w:r>
            <w:r w:rsidR="00270623" w:rsidRPr="00887CE2">
              <w:rPr>
                <w:rStyle w:val="Hyperlink"/>
                <w:noProof/>
              </w:rPr>
              <w:t>Findings and recommendations by Terms of Reference</w:t>
            </w:r>
            <w:r w:rsidR="00270623">
              <w:rPr>
                <w:noProof/>
                <w:webHidden/>
              </w:rPr>
              <w:tab/>
            </w:r>
            <w:r w:rsidR="00270623">
              <w:rPr>
                <w:noProof/>
                <w:webHidden/>
              </w:rPr>
              <w:fldChar w:fldCharType="begin"/>
            </w:r>
            <w:r w:rsidR="00270623">
              <w:rPr>
                <w:noProof/>
                <w:webHidden/>
              </w:rPr>
              <w:instrText xml:space="preserve"> PAGEREF _Toc68071472 \h </w:instrText>
            </w:r>
            <w:r w:rsidR="00270623">
              <w:rPr>
                <w:noProof/>
                <w:webHidden/>
              </w:rPr>
            </w:r>
            <w:r w:rsidR="00270623">
              <w:rPr>
                <w:noProof/>
                <w:webHidden/>
              </w:rPr>
              <w:fldChar w:fldCharType="separate"/>
            </w:r>
            <w:r w:rsidR="00270623">
              <w:rPr>
                <w:noProof/>
                <w:webHidden/>
              </w:rPr>
              <w:t>5</w:t>
            </w:r>
            <w:r w:rsidR="00270623">
              <w:rPr>
                <w:noProof/>
                <w:webHidden/>
              </w:rPr>
              <w:fldChar w:fldCharType="end"/>
            </w:r>
          </w:hyperlink>
        </w:p>
        <w:p w14:paraId="017CEAB1" w14:textId="5EE734FB" w:rsidR="00270623" w:rsidRDefault="003B61BB">
          <w:pPr>
            <w:pStyle w:val="TOC1"/>
            <w:tabs>
              <w:tab w:val="left" w:pos="1320"/>
              <w:tab w:val="right" w:leader="dot" w:pos="8920"/>
            </w:tabs>
            <w:rPr>
              <w:rFonts w:asciiTheme="minorHAnsi" w:eastAsiaTheme="minorEastAsia" w:hAnsiTheme="minorHAnsi"/>
              <w:noProof/>
              <w:sz w:val="22"/>
              <w:lang w:eastAsia="en-AU"/>
            </w:rPr>
          </w:pPr>
          <w:hyperlink w:anchor="_Toc68071473" w:history="1">
            <w:r w:rsidR="00270623" w:rsidRPr="00887CE2">
              <w:rPr>
                <w:rStyle w:val="Hyperlink"/>
                <w:noProof/>
              </w:rPr>
              <w:t>Appendix A</w:t>
            </w:r>
            <w:r w:rsidR="00270623">
              <w:rPr>
                <w:rFonts w:asciiTheme="minorHAnsi" w:eastAsiaTheme="minorEastAsia" w:hAnsiTheme="minorHAnsi"/>
                <w:noProof/>
                <w:sz w:val="22"/>
                <w:lang w:eastAsia="en-AU"/>
              </w:rPr>
              <w:tab/>
            </w:r>
            <w:r w:rsidR="00270623" w:rsidRPr="00887CE2">
              <w:rPr>
                <w:rStyle w:val="Hyperlink"/>
                <w:noProof/>
              </w:rPr>
              <w:t>Terms of Reference</w:t>
            </w:r>
            <w:r w:rsidR="00270623">
              <w:rPr>
                <w:noProof/>
                <w:webHidden/>
              </w:rPr>
              <w:tab/>
            </w:r>
            <w:r w:rsidR="00270623">
              <w:rPr>
                <w:noProof/>
                <w:webHidden/>
              </w:rPr>
              <w:fldChar w:fldCharType="begin"/>
            </w:r>
            <w:r w:rsidR="00270623">
              <w:rPr>
                <w:noProof/>
                <w:webHidden/>
              </w:rPr>
              <w:instrText xml:space="preserve"> PAGEREF _Toc68071473 \h </w:instrText>
            </w:r>
            <w:r w:rsidR="00270623">
              <w:rPr>
                <w:noProof/>
                <w:webHidden/>
              </w:rPr>
            </w:r>
            <w:r w:rsidR="00270623">
              <w:rPr>
                <w:noProof/>
                <w:webHidden/>
              </w:rPr>
              <w:fldChar w:fldCharType="separate"/>
            </w:r>
            <w:r w:rsidR="00270623">
              <w:rPr>
                <w:noProof/>
                <w:webHidden/>
              </w:rPr>
              <w:t>17</w:t>
            </w:r>
            <w:r w:rsidR="00270623">
              <w:rPr>
                <w:noProof/>
                <w:webHidden/>
              </w:rPr>
              <w:fldChar w:fldCharType="end"/>
            </w:r>
          </w:hyperlink>
        </w:p>
        <w:p w14:paraId="30443482" w14:textId="045993F6" w:rsidR="00270623" w:rsidRDefault="003B61BB">
          <w:pPr>
            <w:pStyle w:val="TOC1"/>
            <w:tabs>
              <w:tab w:val="left" w:pos="1320"/>
              <w:tab w:val="right" w:leader="dot" w:pos="8920"/>
            </w:tabs>
            <w:rPr>
              <w:rFonts w:asciiTheme="minorHAnsi" w:eastAsiaTheme="minorEastAsia" w:hAnsiTheme="minorHAnsi"/>
              <w:noProof/>
              <w:sz w:val="22"/>
              <w:lang w:eastAsia="en-AU"/>
            </w:rPr>
          </w:pPr>
          <w:hyperlink w:anchor="_Toc68071474" w:history="1">
            <w:r w:rsidR="00270623" w:rsidRPr="00887CE2">
              <w:rPr>
                <w:rStyle w:val="Hyperlink"/>
                <w:noProof/>
              </w:rPr>
              <w:t>Appendix B</w:t>
            </w:r>
            <w:r w:rsidR="00270623">
              <w:rPr>
                <w:rFonts w:asciiTheme="minorHAnsi" w:eastAsiaTheme="minorEastAsia" w:hAnsiTheme="minorHAnsi"/>
                <w:noProof/>
                <w:sz w:val="22"/>
                <w:lang w:eastAsia="en-AU"/>
              </w:rPr>
              <w:tab/>
            </w:r>
            <w:r w:rsidR="00270623" w:rsidRPr="00887CE2">
              <w:rPr>
                <w:rStyle w:val="Hyperlink"/>
                <w:noProof/>
              </w:rPr>
              <w:t>NTRB-SPs under review</w:t>
            </w:r>
            <w:r w:rsidR="00270623">
              <w:rPr>
                <w:noProof/>
                <w:webHidden/>
              </w:rPr>
              <w:tab/>
            </w:r>
            <w:r w:rsidR="00270623">
              <w:rPr>
                <w:noProof/>
                <w:webHidden/>
              </w:rPr>
              <w:fldChar w:fldCharType="begin"/>
            </w:r>
            <w:r w:rsidR="00270623">
              <w:rPr>
                <w:noProof/>
                <w:webHidden/>
              </w:rPr>
              <w:instrText xml:space="preserve"> PAGEREF _Toc68071474 \h </w:instrText>
            </w:r>
            <w:r w:rsidR="00270623">
              <w:rPr>
                <w:noProof/>
                <w:webHidden/>
              </w:rPr>
            </w:r>
            <w:r w:rsidR="00270623">
              <w:rPr>
                <w:noProof/>
                <w:webHidden/>
              </w:rPr>
              <w:fldChar w:fldCharType="separate"/>
            </w:r>
            <w:r w:rsidR="00270623">
              <w:rPr>
                <w:noProof/>
                <w:webHidden/>
              </w:rPr>
              <w:t>18</w:t>
            </w:r>
            <w:r w:rsidR="00270623">
              <w:rPr>
                <w:noProof/>
                <w:webHidden/>
              </w:rPr>
              <w:fldChar w:fldCharType="end"/>
            </w:r>
          </w:hyperlink>
        </w:p>
        <w:p w14:paraId="439F3F83" w14:textId="4CC2D298" w:rsidR="00270623" w:rsidRDefault="003B61BB">
          <w:pPr>
            <w:pStyle w:val="TOC1"/>
            <w:tabs>
              <w:tab w:val="left" w:pos="1320"/>
              <w:tab w:val="right" w:leader="dot" w:pos="8920"/>
            </w:tabs>
            <w:rPr>
              <w:rFonts w:asciiTheme="minorHAnsi" w:eastAsiaTheme="minorEastAsia" w:hAnsiTheme="minorHAnsi"/>
              <w:noProof/>
              <w:sz w:val="22"/>
              <w:lang w:eastAsia="en-AU"/>
            </w:rPr>
          </w:pPr>
          <w:hyperlink w:anchor="_Toc68071475" w:history="1">
            <w:r w:rsidR="00270623" w:rsidRPr="00887CE2">
              <w:rPr>
                <w:rStyle w:val="Hyperlink"/>
                <w:noProof/>
              </w:rPr>
              <w:t>Appendix C</w:t>
            </w:r>
            <w:r w:rsidR="00270623">
              <w:rPr>
                <w:rFonts w:asciiTheme="minorHAnsi" w:eastAsiaTheme="minorEastAsia" w:hAnsiTheme="minorHAnsi"/>
                <w:noProof/>
                <w:sz w:val="22"/>
                <w:lang w:eastAsia="en-AU"/>
              </w:rPr>
              <w:tab/>
            </w:r>
            <w:r w:rsidR="00270623" w:rsidRPr="00887CE2">
              <w:rPr>
                <w:rStyle w:val="Hyperlink"/>
                <w:noProof/>
              </w:rPr>
              <w:t>Stakeholders consulted</w:t>
            </w:r>
            <w:r w:rsidR="00270623">
              <w:rPr>
                <w:noProof/>
                <w:webHidden/>
              </w:rPr>
              <w:tab/>
            </w:r>
            <w:r w:rsidR="00270623">
              <w:rPr>
                <w:noProof/>
                <w:webHidden/>
              </w:rPr>
              <w:fldChar w:fldCharType="begin"/>
            </w:r>
            <w:r w:rsidR="00270623">
              <w:rPr>
                <w:noProof/>
                <w:webHidden/>
              </w:rPr>
              <w:instrText xml:space="preserve"> PAGEREF _Toc68071475 \h </w:instrText>
            </w:r>
            <w:r w:rsidR="00270623">
              <w:rPr>
                <w:noProof/>
                <w:webHidden/>
              </w:rPr>
            </w:r>
            <w:r w:rsidR="00270623">
              <w:rPr>
                <w:noProof/>
                <w:webHidden/>
              </w:rPr>
              <w:fldChar w:fldCharType="separate"/>
            </w:r>
            <w:r w:rsidR="00270623">
              <w:rPr>
                <w:noProof/>
                <w:webHidden/>
              </w:rPr>
              <w:t>19</w:t>
            </w:r>
            <w:r w:rsidR="00270623">
              <w:rPr>
                <w:noProof/>
                <w:webHidden/>
              </w:rPr>
              <w:fldChar w:fldCharType="end"/>
            </w:r>
          </w:hyperlink>
        </w:p>
        <w:p w14:paraId="4F54533A" w14:textId="28D39171" w:rsidR="00270623" w:rsidRDefault="003B61BB">
          <w:pPr>
            <w:pStyle w:val="TOC1"/>
            <w:tabs>
              <w:tab w:val="left" w:pos="1320"/>
              <w:tab w:val="right" w:leader="dot" w:pos="8920"/>
            </w:tabs>
            <w:rPr>
              <w:rFonts w:asciiTheme="minorHAnsi" w:eastAsiaTheme="minorEastAsia" w:hAnsiTheme="minorHAnsi"/>
              <w:noProof/>
              <w:sz w:val="22"/>
              <w:lang w:eastAsia="en-AU"/>
            </w:rPr>
          </w:pPr>
          <w:hyperlink w:anchor="_Toc68071476" w:history="1">
            <w:r w:rsidR="00270623" w:rsidRPr="00887CE2">
              <w:rPr>
                <w:rStyle w:val="Hyperlink"/>
                <w:noProof/>
              </w:rPr>
              <w:t>Appendix D</w:t>
            </w:r>
            <w:r w:rsidR="00270623">
              <w:rPr>
                <w:rFonts w:asciiTheme="minorHAnsi" w:eastAsiaTheme="minorEastAsia" w:hAnsiTheme="minorHAnsi"/>
                <w:noProof/>
                <w:sz w:val="22"/>
                <w:lang w:eastAsia="en-AU"/>
              </w:rPr>
              <w:tab/>
            </w:r>
            <w:r w:rsidR="00270623" w:rsidRPr="00887CE2">
              <w:rPr>
                <w:rStyle w:val="Hyperlink"/>
                <w:noProof/>
              </w:rPr>
              <w:t>Methodology</w:t>
            </w:r>
            <w:r w:rsidR="00270623">
              <w:rPr>
                <w:noProof/>
                <w:webHidden/>
              </w:rPr>
              <w:tab/>
            </w:r>
            <w:r w:rsidR="00270623">
              <w:rPr>
                <w:noProof/>
                <w:webHidden/>
              </w:rPr>
              <w:fldChar w:fldCharType="begin"/>
            </w:r>
            <w:r w:rsidR="00270623">
              <w:rPr>
                <w:noProof/>
                <w:webHidden/>
              </w:rPr>
              <w:instrText xml:space="preserve"> PAGEREF _Toc68071476 \h </w:instrText>
            </w:r>
            <w:r w:rsidR="00270623">
              <w:rPr>
                <w:noProof/>
                <w:webHidden/>
              </w:rPr>
            </w:r>
            <w:r w:rsidR="00270623">
              <w:rPr>
                <w:noProof/>
                <w:webHidden/>
              </w:rPr>
              <w:fldChar w:fldCharType="separate"/>
            </w:r>
            <w:r w:rsidR="00270623">
              <w:rPr>
                <w:noProof/>
                <w:webHidden/>
              </w:rPr>
              <w:t>20</w:t>
            </w:r>
            <w:r w:rsidR="00270623">
              <w:rPr>
                <w:noProof/>
                <w:webHidden/>
              </w:rPr>
              <w:fldChar w:fldCharType="end"/>
            </w:r>
          </w:hyperlink>
        </w:p>
        <w:p w14:paraId="7109B6ED" w14:textId="150503CE" w:rsidR="00270623" w:rsidRDefault="003B61BB">
          <w:pPr>
            <w:pStyle w:val="TOC1"/>
            <w:tabs>
              <w:tab w:val="left" w:pos="1320"/>
              <w:tab w:val="right" w:leader="dot" w:pos="8920"/>
            </w:tabs>
            <w:rPr>
              <w:rFonts w:asciiTheme="minorHAnsi" w:eastAsiaTheme="minorEastAsia" w:hAnsiTheme="minorHAnsi"/>
              <w:noProof/>
              <w:sz w:val="22"/>
              <w:lang w:eastAsia="en-AU"/>
            </w:rPr>
          </w:pPr>
          <w:hyperlink w:anchor="_Toc68071477" w:history="1">
            <w:r w:rsidR="00270623" w:rsidRPr="00887CE2">
              <w:rPr>
                <w:rStyle w:val="Hyperlink"/>
                <w:noProof/>
              </w:rPr>
              <w:t>Appendix E</w:t>
            </w:r>
            <w:r w:rsidR="00270623">
              <w:rPr>
                <w:rFonts w:asciiTheme="minorHAnsi" w:eastAsiaTheme="minorEastAsia" w:hAnsiTheme="minorHAnsi"/>
                <w:noProof/>
                <w:sz w:val="22"/>
                <w:lang w:eastAsia="en-AU"/>
              </w:rPr>
              <w:tab/>
            </w:r>
            <w:r w:rsidR="00270623" w:rsidRPr="00887CE2">
              <w:rPr>
                <w:rStyle w:val="Hyperlink"/>
                <w:noProof/>
              </w:rPr>
              <w:t>Glossary</w:t>
            </w:r>
            <w:r w:rsidR="00270623">
              <w:rPr>
                <w:noProof/>
                <w:webHidden/>
              </w:rPr>
              <w:tab/>
            </w:r>
            <w:r w:rsidR="00270623">
              <w:rPr>
                <w:noProof/>
                <w:webHidden/>
              </w:rPr>
              <w:fldChar w:fldCharType="begin"/>
            </w:r>
            <w:r w:rsidR="00270623">
              <w:rPr>
                <w:noProof/>
                <w:webHidden/>
              </w:rPr>
              <w:instrText xml:space="preserve"> PAGEREF _Toc68071477 \h </w:instrText>
            </w:r>
            <w:r w:rsidR="00270623">
              <w:rPr>
                <w:noProof/>
                <w:webHidden/>
              </w:rPr>
            </w:r>
            <w:r w:rsidR="00270623">
              <w:rPr>
                <w:noProof/>
                <w:webHidden/>
              </w:rPr>
              <w:fldChar w:fldCharType="separate"/>
            </w:r>
            <w:r w:rsidR="00270623">
              <w:rPr>
                <w:noProof/>
                <w:webHidden/>
              </w:rPr>
              <w:t>21</w:t>
            </w:r>
            <w:r w:rsidR="00270623">
              <w:rPr>
                <w:noProof/>
                <w:webHidden/>
              </w:rPr>
              <w:fldChar w:fldCharType="end"/>
            </w:r>
          </w:hyperlink>
        </w:p>
        <w:p w14:paraId="521BFFDF" w14:textId="1CBBA0A7" w:rsidR="000A7531" w:rsidRDefault="000A7531">
          <w:r>
            <w:rPr>
              <w:b/>
              <w:bCs/>
              <w:noProof/>
            </w:rPr>
            <w:fldChar w:fldCharType="end"/>
          </w:r>
        </w:p>
      </w:sdtContent>
    </w:sdt>
    <w:p w14:paraId="12FB0C8D" w14:textId="77777777" w:rsidR="000A7531" w:rsidRDefault="000A7531" w:rsidP="000A7531">
      <w:pPr>
        <w:rPr>
          <w:rFonts w:eastAsia="Times New Roman" w:cs="Times New Roman"/>
          <w:b/>
          <w:color w:val="00264D"/>
          <w:sz w:val="36"/>
          <w:szCs w:val="19"/>
          <w:lang w:eastAsia="en-AU"/>
        </w:rPr>
      </w:pPr>
      <w:r>
        <w:br w:type="page"/>
      </w:r>
    </w:p>
    <w:p w14:paraId="0381B7F5" w14:textId="7B3F4F7B" w:rsidR="00525012" w:rsidRDefault="00E5318B" w:rsidP="00525012">
      <w:pPr>
        <w:pStyle w:val="Heading1"/>
        <w:numPr>
          <w:ilvl w:val="0"/>
          <w:numId w:val="24"/>
        </w:numPr>
      </w:pPr>
      <w:bookmarkStart w:id="2" w:name="_Toc68071470"/>
      <w:r>
        <w:lastRenderedPageBreak/>
        <w:t>About the Review</w:t>
      </w:r>
      <w:bookmarkEnd w:id="2"/>
    </w:p>
    <w:p w14:paraId="53A41B6A" w14:textId="60682204" w:rsidR="00C85610" w:rsidRDefault="00C85610" w:rsidP="00C85610">
      <w:pPr>
        <w:rPr>
          <w:lang w:eastAsia="en-AU"/>
        </w:rPr>
      </w:pPr>
      <w:bookmarkStart w:id="3" w:name="_Hlk41335110"/>
      <w:bookmarkStart w:id="4" w:name="_Toc502668013"/>
      <w:bookmarkStart w:id="5" w:name="_Toc502839775"/>
      <w:bookmarkStart w:id="6" w:name="_Toc502843251"/>
      <w:bookmarkStart w:id="7" w:name="_Toc502847614"/>
      <w:bookmarkStart w:id="8" w:name="_Toc502850758"/>
      <w:bookmarkStart w:id="9" w:name="_Toc502855190"/>
      <w:bookmarkStart w:id="10" w:name="_Toc503117089"/>
      <w:bookmarkStart w:id="11" w:name="_Toc505259166"/>
      <w:bookmarkStart w:id="12" w:name="_Toc505256233"/>
      <w:bookmarkStart w:id="13" w:name="_Toc505618276"/>
      <w:r>
        <w:rPr>
          <w:lang w:eastAsia="en-AU"/>
        </w:rPr>
        <w:t>The Department of the Prime Minister and Cabinet</w:t>
      </w:r>
      <w:r>
        <w:rPr>
          <w:rStyle w:val="FootnoteReference"/>
          <w:lang w:eastAsia="en-AU"/>
        </w:rPr>
        <w:footnoteReference w:id="2"/>
      </w:r>
      <w:r>
        <w:rPr>
          <w:lang w:eastAsia="en-AU"/>
        </w:rPr>
        <w:t xml:space="preserve"> commissioned this Review as part of a series of reviews to assess the efficiency and effectiveness of </w:t>
      </w:r>
      <w:r w:rsidR="00E50778">
        <w:rPr>
          <w:lang w:eastAsia="en-AU"/>
        </w:rPr>
        <w:t>14</w:t>
      </w:r>
      <w:r>
        <w:rPr>
          <w:lang w:eastAsia="en-AU"/>
        </w:rPr>
        <w:t xml:space="preserve"> Native Title Representative Bodies and Service Providers (NTRB-SPs) in carrying out their functions under the </w:t>
      </w:r>
      <w:r w:rsidRPr="00EA47FA">
        <w:rPr>
          <w:i/>
          <w:iCs/>
          <w:lang w:eastAsia="en-AU"/>
        </w:rPr>
        <w:t>Native Title Act 1993</w:t>
      </w:r>
      <w:r>
        <w:rPr>
          <w:i/>
          <w:iCs/>
          <w:lang w:eastAsia="en-AU"/>
        </w:rPr>
        <w:t xml:space="preserve"> (</w:t>
      </w:r>
      <w:proofErr w:type="spellStart"/>
      <w:r>
        <w:rPr>
          <w:i/>
          <w:iCs/>
          <w:lang w:eastAsia="en-AU"/>
        </w:rPr>
        <w:t>Cth</w:t>
      </w:r>
      <w:proofErr w:type="spellEnd"/>
      <w:r>
        <w:rPr>
          <w:i/>
          <w:iCs/>
          <w:lang w:eastAsia="en-AU"/>
        </w:rPr>
        <w:t xml:space="preserve">) </w:t>
      </w:r>
      <w:r w:rsidRPr="00BB7B00">
        <w:t>(</w:t>
      </w:r>
      <w:r w:rsidRPr="005124CF">
        <w:t>her</w:t>
      </w:r>
      <w:r>
        <w:t>e</w:t>
      </w:r>
      <w:r w:rsidRPr="005124CF">
        <w:t>in</w:t>
      </w:r>
      <w:r>
        <w:rPr>
          <w:i/>
        </w:rPr>
        <w:t xml:space="preserve"> </w:t>
      </w:r>
      <w:r w:rsidRPr="00A44C47">
        <w:rPr>
          <w:iCs/>
        </w:rPr>
        <w:t>NTA</w:t>
      </w:r>
      <w:r w:rsidRPr="00BB7B00">
        <w:t>)</w:t>
      </w:r>
      <w:r>
        <w:rPr>
          <w:lang w:eastAsia="en-AU"/>
        </w:rPr>
        <w:t xml:space="preserve">. </w:t>
      </w:r>
      <w:r w:rsidRPr="00AC1574">
        <w:rPr>
          <w:lang w:eastAsia="en-AU"/>
        </w:rPr>
        <w:t xml:space="preserve">The </w:t>
      </w:r>
      <w:r>
        <w:rPr>
          <w:lang w:eastAsia="en-AU"/>
        </w:rPr>
        <w:t xml:space="preserve">complete </w:t>
      </w:r>
      <w:r w:rsidRPr="00AC1574">
        <w:rPr>
          <w:lang w:eastAsia="en-AU"/>
        </w:rPr>
        <w:t>Terms of Reference</w:t>
      </w:r>
      <w:r>
        <w:rPr>
          <w:lang w:eastAsia="en-AU"/>
        </w:rPr>
        <w:t xml:space="preserve"> (TOR)</w:t>
      </w:r>
      <w:r w:rsidRPr="00AC1574">
        <w:rPr>
          <w:lang w:eastAsia="en-AU"/>
        </w:rPr>
        <w:t xml:space="preserve"> provided </w:t>
      </w:r>
      <w:r>
        <w:rPr>
          <w:lang w:eastAsia="en-AU"/>
        </w:rPr>
        <w:t>f</w:t>
      </w:r>
      <w:r w:rsidRPr="00AC1574">
        <w:rPr>
          <w:lang w:eastAsia="en-AU"/>
        </w:rPr>
        <w:t>or the Review are</w:t>
      </w:r>
      <w:r>
        <w:rPr>
          <w:lang w:eastAsia="en-AU"/>
        </w:rPr>
        <w:t xml:space="preserve"> included in </w:t>
      </w:r>
      <w:r>
        <w:rPr>
          <w:lang w:eastAsia="en-AU"/>
        </w:rPr>
        <w:fldChar w:fldCharType="begin"/>
      </w:r>
      <w:r>
        <w:rPr>
          <w:lang w:eastAsia="en-AU"/>
        </w:rPr>
        <w:instrText xml:space="preserve"> REF _Ref500494833 \r \h </w:instrText>
      </w:r>
      <w:r>
        <w:rPr>
          <w:lang w:eastAsia="en-AU"/>
        </w:rPr>
      </w:r>
      <w:r>
        <w:rPr>
          <w:lang w:eastAsia="en-AU"/>
        </w:rPr>
        <w:fldChar w:fldCharType="separate"/>
      </w:r>
      <w:r w:rsidR="00270623">
        <w:rPr>
          <w:lang w:eastAsia="en-AU"/>
        </w:rPr>
        <w:t>Appendix A</w:t>
      </w:r>
      <w:r>
        <w:rPr>
          <w:lang w:eastAsia="en-AU"/>
        </w:rPr>
        <w:fldChar w:fldCharType="end"/>
      </w:r>
      <w:r>
        <w:rPr>
          <w:lang w:eastAsia="en-AU"/>
        </w:rPr>
        <w:t xml:space="preserve">. The </w:t>
      </w:r>
      <w:r w:rsidR="002E3105">
        <w:rPr>
          <w:lang w:eastAsia="en-AU"/>
        </w:rPr>
        <w:t>14</w:t>
      </w:r>
      <w:r>
        <w:rPr>
          <w:lang w:eastAsia="en-AU"/>
        </w:rPr>
        <w:t xml:space="preserve"> organisations reviewed are listed in </w:t>
      </w:r>
      <w:r w:rsidR="00D51080">
        <w:rPr>
          <w:lang w:eastAsia="en-AU"/>
        </w:rPr>
        <w:fldChar w:fldCharType="begin"/>
      </w:r>
      <w:r w:rsidR="00D51080">
        <w:rPr>
          <w:lang w:eastAsia="en-AU"/>
        </w:rPr>
        <w:instrText xml:space="preserve"> REF _Ref37158564 \n \h </w:instrText>
      </w:r>
      <w:r w:rsidR="00D51080">
        <w:rPr>
          <w:lang w:eastAsia="en-AU"/>
        </w:rPr>
      </w:r>
      <w:r w:rsidR="00D51080">
        <w:rPr>
          <w:lang w:eastAsia="en-AU"/>
        </w:rPr>
        <w:fldChar w:fldCharType="separate"/>
      </w:r>
      <w:r w:rsidR="00270623">
        <w:rPr>
          <w:lang w:eastAsia="en-AU"/>
        </w:rPr>
        <w:t>Appendix B</w:t>
      </w:r>
      <w:r w:rsidR="00D51080">
        <w:rPr>
          <w:lang w:eastAsia="en-AU"/>
        </w:rPr>
        <w:fldChar w:fldCharType="end"/>
      </w:r>
      <w:r>
        <w:rPr>
          <w:lang w:eastAsia="en-AU"/>
        </w:rPr>
        <w:t xml:space="preserve">. </w:t>
      </w:r>
    </w:p>
    <w:bookmarkEnd w:id="3"/>
    <w:p w14:paraId="429F569D" w14:textId="6BF3C4F6" w:rsidR="00C0422E" w:rsidRPr="00A20697" w:rsidRDefault="003238D1" w:rsidP="00B5372C">
      <w:pPr>
        <w:rPr>
          <w:b/>
          <w:lang w:eastAsia="en-AU"/>
        </w:rPr>
      </w:pPr>
      <w:r>
        <w:rPr>
          <w:b/>
          <w:lang w:eastAsia="en-AU"/>
        </w:rPr>
        <w:t>C</w:t>
      </w:r>
      <w:r w:rsidR="00D84C69">
        <w:rPr>
          <w:b/>
          <w:lang w:eastAsia="en-AU"/>
        </w:rPr>
        <w:t>arpentaria Land Council Aboriginal Corporation (CLCAC</w:t>
      </w:r>
      <w:r w:rsidR="00FA4902" w:rsidRPr="006A40AF">
        <w:rPr>
          <w:b/>
          <w:lang w:eastAsia="en-AU"/>
        </w:rPr>
        <w:t>)</w:t>
      </w:r>
      <w:r w:rsidR="00FA4902">
        <w:rPr>
          <w:lang w:eastAsia="en-AU"/>
        </w:rPr>
        <w:t xml:space="preserve"> </w:t>
      </w:r>
      <w:r w:rsidR="0070030A">
        <w:rPr>
          <w:lang w:eastAsia="en-AU"/>
        </w:rPr>
        <w:t xml:space="preserve">was </w:t>
      </w:r>
      <w:r w:rsidR="000F6ED7">
        <w:rPr>
          <w:lang w:eastAsia="en-AU"/>
        </w:rPr>
        <w:t xml:space="preserve">reviewed </w:t>
      </w:r>
      <w:r w:rsidR="00FC09C8">
        <w:rPr>
          <w:lang w:eastAsia="en-AU"/>
        </w:rPr>
        <w:t>from</w:t>
      </w:r>
      <w:r w:rsidR="0070030A">
        <w:rPr>
          <w:lang w:eastAsia="en-AU"/>
        </w:rPr>
        <w:t xml:space="preserve"> </w:t>
      </w:r>
      <w:r w:rsidR="00E14BF2" w:rsidRPr="00FC09C8">
        <w:rPr>
          <w:bCs/>
          <w:lang w:eastAsia="en-AU"/>
        </w:rPr>
        <w:t>September</w:t>
      </w:r>
      <w:r w:rsidR="006A40AF" w:rsidRPr="00FC09C8">
        <w:rPr>
          <w:bCs/>
          <w:lang w:eastAsia="en-AU"/>
        </w:rPr>
        <w:t xml:space="preserve"> 201</w:t>
      </w:r>
      <w:r w:rsidR="00E14BF2" w:rsidRPr="00FC09C8">
        <w:rPr>
          <w:bCs/>
          <w:lang w:eastAsia="en-AU"/>
        </w:rPr>
        <w:t>8</w:t>
      </w:r>
      <w:r w:rsidR="006A40AF" w:rsidRPr="00FC09C8">
        <w:rPr>
          <w:bCs/>
          <w:lang w:eastAsia="en-AU"/>
        </w:rPr>
        <w:t xml:space="preserve"> to </w:t>
      </w:r>
      <w:r w:rsidR="00E14BF2" w:rsidRPr="00FC09C8">
        <w:rPr>
          <w:bCs/>
          <w:lang w:eastAsia="en-AU"/>
        </w:rPr>
        <w:t>April</w:t>
      </w:r>
      <w:r w:rsidR="006A40AF" w:rsidRPr="00FC09C8">
        <w:rPr>
          <w:bCs/>
          <w:lang w:eastAsia="en-AU"/>
        </w:rPr>
        <w:t xml:space="preserve"> 201</w:t>
      </w:r>
      <w:r w:rsidR="00E14BF2" w:rsidRPr="00FC09C8">
        <w:rPr>
          <w:bCs/>
          <w:lang w:eastAsia="en-AU"/>
        </w:rPr>
        <w:t>9</w:t>
      </w:r>
      <w:r w:rsidR="00FC09C8">
        <w:rPr>
          <w:b/>
          <w:lang w:eastAsia="en-AU"/>
        </w:rPr>
        <w:t xml:space="preserve"> in relation to the previous three-year period (</w:t>
      </w:r>
      <w:r w:rsidR="00C0422E" w:rsidRPr="006A40AF">
        <w:rPr>
          <w:b/>
          <w:lang w:eastAsia="en-AU"/>
        </w:rPr>
        <w:t>July 201</w:t>
      </w:r>
      <w:r w:rsidR="00E14BF2">
        <w:rPr>
          <w:b/>
          <w:lang w:eastAsia="en-AU"/>
        </w:rPr>
        <w:t>5</w:t>
      </w:r>
      <w:r w:rsidR="00C0422E" w:rsidRPr="006A40AF">
        <w:rPr>
          <w:b/>
          <w:lang w:eastAsia="en-AU"/>
        </w:rPr>
        <w:t xml:space="preserve"> to June 201</w:t>
      </w:r>
      <w:r w:rsidR="00E14BF2">
        <w:rPr>
          <w:b/>
          <w:lang w:eastAsia="en-AU"/>
        </w:rPr>
        <w:t>8</w:t>
      </w:r>
      <w:r w:rsidR="00FC09C8">
        <w:rPr>
          <w:b/>
          <w:lang w:eastAsia="en-AU"/>
        </w:rPr>
        <w:t>)</w:t>
      </w:r>
      <w:r w:rsidR="00C0422E" w:rsidRPr="006A40AF">
        <w:rPr>
          <w:b/>
          <w:lang w:eastAsia="en-AU"/>
        </w:rPr>
        <w:t>.</w:t>
      </w:r>
      <w:r w:rsidR="00FC09C8">
        <w:rPr>
          <w:b/>
          <w:lang w:eastAsia="en-AU"/>
        </w:rPr>
        <w:t xml:space="preserve"> This document contains a summary of the Review’s overarching findings and recommendations for CLCAC. It also includes CLCAC</w:t>
      </w:r>
      <w:r w:rsidR="00A20697">
        <w:rPr>
          <w:b/>
          <w:lang w:eastAsia="en-AU"/>
        </w:rPr>
        <w:t>’s</w:t>
      </w:r>
      <w:r w:rsidR="00FC09C8">
        <w:rPr>
          <w:b/>
          <w:lang w:eastAsia="en-AU"/>
        </w:rPr>
        <w:t xml:space="preserve"> responses to the recomme</w:t>
      </w:r>
      <w:r w:rsidR="00FC09C8" w:rsidRPr="00A20697">
        <w:rPr>
          <w:b/>
          <w:lang w:eastAsia="en-AU"/>
        </w:rPr>
        <w:t>ndations made by the Review.</w:t>
      </w:r>
    </w:p>
    <w:p w14:paraId="25DE47FE" w14:textId="459C6A5B" w:rsidR="00A20697" w:rsidRPr="00A20697" w:rsidRDefault="00A20697" w:rsidP="00B5372C">
      <w:pPr>
        <w:rPr>
          <w:lang w:eastAsia="en-AU"/>
        </w:rPr>
      </w:pPr>
      <w:r w:rsidRPr="00A20697">
        <w:rPr>
          <w:b/>
          <w:lang w:eastAsia="en-AU"/>
        </w:rPr>
        <w:t>Findings and recommendations represent an assessment of performance at the time of the Review and have not been subsequently amended or updated.</w:t>
      </w:r>
    </w:p>
    <w:p w14:paraId="5A9F9666" w14:textId="42390153" w:rsidR="00F64BB4" w:rsidRDefault="00FA1EB1" w:rsidP="00BB5C42">
      <w:pPr>
        <w:rPr>
          <w:lang w:eastAsia="en-AU"/>
        </w:rPr>
      </w:pPr>
      <w:r w:rsidRPr="00FA1EB1">
        <w:rPr>
          <w:lang w:eastAsia="en-AU"/>
        </w:rPr>
        <w:t>In addition to the individual reports, Nous</w:t>
      </w:r>
      <w:r w:rsidR="0053261A">
        <w:rPr>
          <w:lang w:eastAsia="en-AU"/>
        </w:rPr>
        <w:t xml:space="preserve"> Group (Nous)</w:t>
      </w:r>
      <w:r w:rsidRPr="00FA1EB1">
        <w:rPr>
          <w:lang w:eastAsia="en-AU"/>
        </w:rPr>
        <w:t xml:space="preserve"> has developed a de-identified comparative report which considers the performance of </w:t>
      </w:r>
      <w:r w:rsidR="00A20697">
        <w:rPr>
          <w:lang w:eastAsia="en-AU"/>
        </w:rPr>
        <w:t xml:space="preserve">all </w:t>
      </w:r>
      <w:r w:rsidRPr="00FA1EB1">
        <w:rPr>
          <w:lang w:eastAsia="en-AU"/>
        </w:rPr>
        <w:t>the organisations across the TORs</w:t>
      </w:r>
      <w:r w:rsidR="00CD3774">
        <w:rPr>
          <w:lang w:eastAsia="en-AU"/>
        </w:rPr>
        <w:t xml:space="preserve">. The report presents </w:t>
      </w:r>
      <w:r w:rsidR="002D067D" w:rsidRPr="00C4471D">
        <w:t xml:space="preserve">a discussion of </w:t>
      </w:r>
      <w:r w:rsidR="002D067D">
        <w:t xml:space="preserve">systemic issues within each TOR </w:t>
      </w:r>
      <w:r w:rsidR="002D067D" w:rsidRPr="00C4471D">
        <w:t xml:space="preserve">that </w:t>
      </w:r>
      <w:r w:rsidR="002D067D">
        <w:t xml:space="preserve">arose in all or most of the organisations across </w:t>
      </w:r>
      <w:r w:rsidR="00351DEB">
        <w:t>all</w:t>
      </w:r>
      <w:r w:rsidR="002D067D">
        <w:t xml:space="preserve"> tranches of the Review and that are pertinent to the broader native title system.</w:t>
      </w:r>
    </w:p>
    <w:p w14:paraId="6DA2D4E3" w14:textId="5E8D8C0E" w:rsidR="005C51DC" w:rsidRDefault="00F64BB4" w:rsidP="00F64BB4">
      <w:pPr>
        <w:rPr>
          <w:lang w:eastAsia="en-AU"/>
        </w:rPr>
      </w:pPr>
      <w:r>
        <w:rPr>
          <w:lang w:eastAsia="en-AU"/>
        </w:rPr>
        <w:t xml:space="preserve">Nous has used a consistent </w:t>
      </w:r>
      <w:r w:rsidRPr="00537AF0">
        <w:rPr>
          <w:lang w:eastAsia="en-AU"/>
        </w:rPr>
        <w:t>methodology</w:t>
      </w:r>
      <w:r w:rsidR="00A20697">
        <w:rPr>
          <w:lang w:eastAsia="en-AU"/>
        </w:rPr>
        <w:t xml:space="preserve"> for all the Reviews</w:t>
      </w:r>
      <w:r w:rsidRPr="00D47620">
        <w:rPr>
          <w:lang w:eastAsia="en-AU"/>
        </w:rPr>
        <w:t xml:space="preserve"> to support a comparative and transparent assessment of </w:t>
      </w:r>
      <w:r w:rsidR="00E14BF2">
        <w:rPr>
          <w:lang w:eastAsia="en-AU"/>
        </w:rPr>
        <w:t>CLCAC</w:t>
      </w:r>
      <w:r>
        <w:rPr>
          <w:lang w:eastAsia="en-AU"/>
        </w:rPr>
        <w:t xml:space="preserve"> and </w:t>
      </w:r>
      <w:r w:rsidRPr="00D47620">
        <w:rPr>
          <w:lang w:eastAsia="en-AU"/>
        </w:rPr>
        <w:t xml:space="preserve">the </w:t>
      </w:r>
      <w:r>
        <w:rPr>
          <w:lang w:eastAsia="en-AU"/>
        </w:rPr>
        <w:t>other NTRB-SPs</w:t>
      </w:r>
      <w:r w:rsidRPr="00D47620">
        <w:rPr>
          <w:lang w:eastAsia="en-AU"/>
        </w:rPr>
        <w:t xml:space="preserve">. </w:t>
      </w:r>
      <w:r w:rsidR="00A20697">
        <w:rPr>
          <w:lang w:eastAsia="en-AU"/>
        </w:rPr>
        <w:t xml:space="preserve">The methodology </w:t>
      </w:r>
      <w:r>
        <w:rPr>
          <w:lang w:eastAsia="en-AU"/>
        </w:rPr>
        <w:t xml:space="preserve">used a mixed method approach including quantitative data on the progress of claims, future acts and Indigenous Land Use Agreements (ILUAs), performance against milestones, budgetary performance, staffing, and broader social and geographical factors that impact performance. The quantitative analytics was complemented by </w:t>
      </w:r>
      <w:r w:rsidR="00FC3E99">
        <w:rPr>
          <w:lang w:eastAsia="en-AU"/>
        </w:rPr>
        <w:t>interviews with clients, potential clients, staff, CLCAC Board Directors, the Federal Court, the National Native Title Tribunal (NNTT) and the QLD Government.</w:t>
      </w:r>
      <w:r>
        <w:rPr>
          <w:lang w:eastAsia="en-AU"/>
        </w:rPr>
        <w:t xml:space="preserve"> </w:t>
      </w:r>
      <w:r w:rsidR="0034079F">
        <w:rPr>
          <w:lang w:eastAsia="en-AU"/>
        </w:rPr>
        <w:t xml:space="preserve">A list of stakeholders consulted is included in </w:t>
      </w:r>
      <w:r w:rsidR="0034079F">
        <w:rPr>
          <w:lang w:eastAsia="en-AU"/>
        </w:rPr>
        <w:fldChar w:fldCharType="begin"/>
      </w:r>
      <w:r w:rsidR="0034079F">
        <w:rPr>
          <w:lang w:eastAsia="en-AU"/>
        </w:rPr>
        <w:instrText xml:space="preserve"> REF _Ref37158591 \r \h </w:instrText>
      </w:r>
      <w:r w:rsidR="0034079F">
        <w:rPr>
          <w:lang w:eastAsia="en-AU"/>
        </w:rPr>
      </w:r>
      <w:r w:rsidR="0034079F">
        <w:rPr>
          <w:lang w:eastAsia="en-AU"/>
        </w:rPr>
        <w:fldChar w:fldCharType="separate"/>
      </w:r>
      <w:r w:rsidR="00270623">
        <w:rPr>
          <w:lang w:eastAsia="en-AU"/>
        </w:rPr>
        <w:t>Appendix C</w:t>
      </w:r>
      <w:r w:rsidR="0034079F">
        <w:rPr>
          <w:lang w:eastAsia="en-AU"/>
        </w:rPr>
        <w:fldChar w:fldCharType="end"/>
      </w:r>
      <w:r w:rsidR="0034079F">
        <w:rPr>
          <w:lang w:eastAsia="en-AU"/>
        </w:rPr>
        <w:t xml:space="preserve">. </w:t>
      </w:r>
    </w:p>
    <w:p w14:paraId="0621EFFC" w14:textId="5B7BCF93" w:rsidR="00F64BB4" w:rsidRDefault="005C51DC" w:rsidP="00F64BB4">
      <w:r w:rsidRPr="005C51DC">
        <w:t xml:space="preserve">CLCAC </w:t>
      </w:r>
      <w:r>
        <w:t xml:space="preserve">was given the opportunity to review the full report in 2019 and has also provided written responses on actions they are taking in response to recommendations made by the Review, which </w:t>
      </w:r>
      <w:r w:rsidR="00C85610">
        <w:t>are</w:t>
      </w:r>
      <w:r>
        <w:t xml:space="preserve"> included in this summary document. A description of the </w:t>
      </w:r>
      <w:r w:rsidR="00A20697">
        <w:t xml:space="preserve">complete </w:t>
      </w:r>
      <w:r>
        <w:t xml:space="preserve">methodology is included in </w:t>
      </w:r>
      <w:r w:rsidR="0034079F">
        <w:fldChar w:fldCharType="begin"/>
      </w:r>
      <w:r w:rsidR="0034079F">
        <w:instrText xml:space="preserve"> REF _Ref37158604 \r \h </w:instrText>
      </w:r>
      <w:r w:rsidR="0034079F">
        <w:fldChar w:fldCharType="separate"/>
      </w:r>
      <w:r w:rsidR="00270623">
        <w:t>Appendix D</w:t>
      </w:r>
      <w:r w:rsidR="0034079F">
        <w:fldChar w:fldCharType="end"/>
      </w:r>
      <w:r w:rsidR="002770F2">
        <w:t>.</w:t>
      </w:r>
    </w:p>
    <w:p w14:paraId="567E7064" w14:textId="2C67AF1A" w:rsidR="009A7B87" w:rsidRDefault="009A7B87" w:rsidP="00F64BB4">
      <w:pPr>
        <w:rPr>
          <w:lang w:eastAsia="en-AU"/>
        </w:rPr>
      </w:pPr>
      <w:r>
        <w:rPr>
          <w:lang w:eastAsia="en-AU"/>
        </w:rPr>
        <w:br w:type="page"/>
      </w:r>
    </w:p>
    <w:p w14:paraId="6034A7EF" w14:textId="654A0116" w:rsidR="00525012" w:rsidRDefault="00525012" w:rsidP="00633247">
      <w:pPr>
        <w:pStyle w:val="Heading1"/>
        <w:jc w:val="both"/>
      </w:pPr>
      <w:bookmarkStart w:id="14" w:name="_Toc68071471"/>
      <w:r>
        <w:lastRenderedPageBreak/>
        <w:t xml:space="preserve">Profile of </w:t>
      </w:r>
      <w:r w:rsidR="00633247">
        <w:rPr>
          <w:caps/>
        </w:rPr>
        <w:t>CLCAC</w:t>
      </w:r>
      <w:r>
        <w:t xml:space="preserve"> at a glance</w:t>
      </w:r>
      <w:bookmarkEnd w:id="4"/>
      <w:bookmarkEnd w:id="5"/>
      <w:bookmarkEnd w:id="6"/>
      <w:bookmarkEnd w:id="7"/>
      <w:bookmarkEnd w:id="8"/>
      <w:bookmarkEnd w:id="9"/>
      <w:bookmarkEnd w:id="10"/>
      <w:bookmarkEnd w:id="11"/>
      <w:bookmarkEnd w:id="12"/>
      <w:bookmarkEnd w:id="13"/>
      <w:bookmarkEnd w:id="14"/>
    </w:p>
    <w:p w14:paraId="4DD7C0D1" w14:textId="77777777" w:rsidR="009A7B87" w:rsidRPr="00C72787" w:rsidRDefault="009A7B87" w:rsidP="00C72787">
      <w:pPr>
        <w:rPr>
          <w:b/>
          <w:bCs/>
          <w:i/>
          <w:iCs/>
        </w:rPr>
      </w:pPr>
      <w:bookmarkStart w:id="15" w:name="_Toc502668014"/>
      <w:bookmarkStart w:id="16" w:name="_Toc502839776"/>
      <w:bookmarkStart w:id="17" w:name="_Toc502843252"/>
      <w:bookmarkStart w:id="18" w:name="_Toc502847615"/>
      <w:bookmarkStart w:id="19" w:name="_Toc502850759"/>
      <w:bookmarkStart w:id="20" w:name="_Toc502855191"/>
      <w:bookmarkStart w:id="21" w:name="_Toc503117090"/>
      <w:bookmarkStart w:id="22" w:name="_Toc505259167"/>
      <w:bookmarkStart w:id="23" w:name="_Toc505256234"/>
      <w:bookmarkStart w:id="24" w:name="_Toc505618277"/>
      <w:r w:rsidRPr="00C72787">
        <w:rPr>
          <w:b/>
          <w:bCs/>
          <w:i/>
          <w:iCs/>
        </w:rPr>
        <w:t>The Carpentaria Land Council Aboriginal Corporation (CLCAC) is based in Burketown, Cairns and Normanton and provides services in the south of the gulf region</w:t>
      </w:r>
    </w:p>
    <w:p w14:paraId="690CF880" w14:textId="18F26EFC" w:rsidR="009A7B87" w:rsidRDefault="009A7B87" w:rsidP="009A7B87">
      <w:pPr>
        <w:rPr>
          <w:lang w:eastAsia="en-AU"/>
        </w:rPr>
      </w:pPr>
      <w:r>
        <w:rPr>
          <w:lang w:eastAsia="en-AU"/>
        </w:rPr>
        <w:t>CLCAC was established in 1982 as a community-based organisation and</w:t>
      </w:r>
      <w:r>
        <w:rPr>
          <w:rStyle w:val="CommentReference"/>
        </w:rPr>
        <w:t xml:space="preserve"> i</w:t>
      </w:r>
      <w:r>
        <w:rPr>
          <w:lang w:eastAsia="en-AU"/>
        </w:rPr>
        <w:t xml:space="preserve">ncorporated under the </w:t>
      </w:r>
      <w:r w:rsidRPr="004715E6">
        <w:rPr>
          <w:i/>
          <w:lang w:eastAsia="en-AU"/>
        </w:rPr>
        <w:t>Aboriginal Councils and Associations Act</w:t>
      </w:r>
      <w:r>
        <w:rPr>
          <w:lang w:eastAsia="en-AU"/>
        </w:rPr>
        <w:t xml:space="preserve"> in April 1984. </w:t>
      </w:r>
      <w:r>
        <w:t xml:space="preserve">On 30 June 1994, CLCAC was recognised as the official Native Title Representative Body for the Carpentaria Gulf </w:t>
      </w:r>
      <w:r w:rsidRPr="04F3A72A">
        <w:rPr>
          <w:lang w:eastAsia="en-AU"/>
        </w:rPr>
        <w:t>Representative Aboriginal/Torres Strait Islander Body (RATSIB) Area</w:t>
      </w:r>
      <w:r>
        <w:t>.</w:t>
      </w:r>
    </w:p>
    <w:p w14:paraId="31A639E4" w14:textId="33CF3687" w:rsidR="009A7B87" w:rsidRDefault="009A7B87" w:rsidP="009A7B87">
      <w:pPr>
        <w:rPr>
          <w:lang w:eastAsia="en-AU"/>
        </w:rPr>
      </w:pPr>
      <w:r w:rsidRPr="00C93323">
        <w:rPr>
          <w:noProof/>
          <w:lang w:eastAsia="en-AU"/>
        </w:rPr>
        <w:drawing>
          <wp:anchor distT="0" distB="0" distL="114300" distR="114300" simplePos="0" relativeHeight="251660289" behindDoc="0" locked="0" layoutInCell="1" allowOverlap="1" wp14:anchorId="57342545" wp14:editId="0FCB828C">
            <wp:simplePos x="0" y="0"/>
            <wp:positionH relativeFrom="column">
              <wp:posOffset>3520440</wp:posOffset>
            </wp:positionH>
            <wp:positionV relativeFrom="paragraph">
              <wp:posOffset>7620</wp:posOffset>
            </wp:positionV>
            <wp:extent cx="2197100" cy="2838450"/>
            <wp:effectExtent l="0" t="0" r="0" b="0"/>
            <wp:wrapSquare wrapText="bothSides"/>
            <wp:docPr id="8" name="Picture 8" descr="Map&#10;&#10;The Carpentaria Gulf RATSIB area, pictured right, covers 83,549 square kilometres (not including sea territory), accounting for approximately 5% of Queensland. This is one of the smallest RATSIB areas in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Map&#10;&#10;The Carpentaria Gulf RATSIB area, pictured right, covers 83,549 square kilometres (not including sea territory), accounting for approximately 5% of Queensland. This is one of the smallest RATSIB areas in Australi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97100" cy="283845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eastAsia="en-AU"/>
        </w:rPr>
        <w:t>The Carpentaria Gulf RATSIB area, pictured right,</w:t>
      </w:r>
      <w:r w:rsidDel="00396616">
        <w:rPr>
          <w:lang w:eastAsia="en-AU"/>
        </w:rPr>
        <w:t xml:space="preserve"> </w:t>
      </w:r>
      <w:r>
        <w:rPr>
          <w:lang w:eastAsia="en-AU"/>
        </w:rPr>
        <w:t>cover</w:t>
      </w:r>
      <w:r w:rsidR="005C51DC">
        <w:rPr>
          <w:lang w:eastAsia="en-AU"/>
        </w:rPr>
        <w:t>s</w:t>
      </w:r>
      <w:r>
        <w:rPr>
          <w:lang w:eastAsia="en-AU"/>
        </w:rPr>
        <w:t xml:space="preserve"> 83,549</w:t>
      </w:r>
      <w:r w:rsidRPr="000759F7">
        <w:rPr>
          <w:lang w:eastAsia="en-AU"/>
        </w:rPr>
        <w:t xml:space="preserve"> </w:t>
      </w:r>
      <w:r>
        <w:rPr>
          <w:lang w:eastAsia="en-AU"/>
        </w:rPr>
        <w:t>square kilometres (not including sea territory), accounting for approximately 5</w:t>
      </w:r>
      <w:r w:rsidRPr="00D432AE">
        <w:rPr>
          <w:lang w:eastAsia="en-AU"/>
        </w:rPr>
        <w:t xml:space="preserve">% </w:t>
      </w:r>
      <w:r>
        <w:rPr>
          <w:lang w:eastAsia="en-AU"/>
        </w:rPr>
        <w:t>of Queensland. This is one of the smallest RATSIB areas in Australia.</w:t>
      </w:r>
    </w:p>
    <w:p w14:paraId="5107AF2D" w14:textId="7ABA283B" w:rsidR="009A7B87" w:rsidRDefault="009A7B87" w:rsidP="009A7B87">
      <w:pPr>
        <w:rPr>
          <w:lang w:eastAsia="en-AU"/>
        </w:rPr>
      </w:pPr>
      <w:r>
        <w:rPr>
          <w:lang w:eastAsia="en-AU"/>
        </w:rPr>
        <w:t xml:space="preserve">There </w:t>
      </w:r>
      <w:r w:rsidR="001946F1">
        <w:rPr>
          <w:lang w:eastAsia="en-AU"/>
        </w:rPr>
        <w:t>we</w:t>
      </w:r>
      <w:r>
        <w:rPr>
          <w:lang w:eastAsia="en-AU"/>
        </w:rPr>
        <w:t xml:space="preserve">re five active claims in the Carpentaria Gulf RATSIB area awaiting a determination as of 30 June 2018. CLCAC </w:t>
      </w:r>
      <w:r w:rsidR="001946F1">
        <w:rPr>
          <w:lang w:eastAsia="en-AU"/>
        </w:rPr>
        <w:t>was</w:t>
      </w:r>
      <w:r>
        <w:rPr>
          <w:lang w:eastAsia="en-AU"/>
        </w:rPr>
        <w:t xml:space="preserve"> not listed as the representative for any of these claims; however, this is because CLCAC briefs the legal work for its claims out to HWL Ebsworth Lawyers, P&amp;E Law and Chalk &amp; Behrendt Solicitors.</w:t>
      </w:r>
    </w:p>
    <w:p w14:paraId="2ED838E6" w14:textId="1FED05BC" w:rsidR="009A7B87" w:rsidRDefault="005C51DC" w:rsidP="009A7B87">
      <w:pPr>
        <w:rPr>
          <w:lang w:eastAsia="en-AU"/>
        </w:rPr>
      </w:pPr>
      <w:r>
        <w:rPr>
          <w:lang w:eastAsia="en-AU"/>
        </w:rPr>
        <w:t xml:space="preserve">At the time of the </w:t>
      </w:r>
      <w:r w:rsidR="00A20697">
        <w:rPr>
          <w:lang w:eastAsia="en-AU"/>
        </w:rPr>
        <w:t>R</w:t>
      </w:r>
      <w:r>
        <w:rPr>
          <w:lang w:eastAsia="en-AU"/>
        </w:rPr>
        <w:t>eview,</w:t>
      </w:r>
      <w:r w:rsidR="00E9390D">
        <w:rPr>
          <w:lang w:eastAsia="en-AU"/>
        </w:rPr>
        <w:t xml:space="preserve"> t</w:t>
      </w:r>
      <w:r w:rsidR="009A7B87">
        <w:rPr>
          <w:lang w:eastAsia="en-AU"/>
        </w:rPr>
        <w:t xml:space="preserve">here </w:t>
      </w:r>
      <w:r w:rsidR="00E9390D">
        <w:rPr>
          <w:lang w:eastAsia="en-AU"/>
        </w:rPr>
        <w:t>we</w:t>
      </w:r>
      <w:r w:rsidR="009A7B87">
        <w:rPr>
          <w:lang w:eastAsia="en-AU"/>
        </w:rPr>
        <w:t>re three P</w:t>
      </w:r>
      <w:r w:rsidR="00AD6D89">
        <w:rPr>
          <w:lang w:eastAsia="en-AU"/>
        </w:rPr>
        <w:t>rescribed Bodies Corporate (P</w:t>
      </w:r>
      <w:r w:rsidR="009A7B87">
        <w:rPr>
          <w:lang w:eastAsia="en-AU"/>
        </w:rPr>
        <w:t>BCs</w:t>
      </w:r>
      <w:r w:rsidR="00AD6D89">
        <w:rPr>
          <w:lang w:eastAsia="en-AU"/>
        </w:rPr>
        <w:t>)</w:t>
      </w:r>
      <w:r w:rsidR="009A7B87">
        <w:rPr>
          <w:lang w:eastAsia="en-AU"/>
        </w:rPr>
        <w:t xml:space="preserve"> within the RATSIB area. CLCAC supported all three of these PBCs in 2017/18. </w:t>
      </w:r>
      <w:r w:rsidR="00E9390D">
        <w:rPr>
          <w:lang w:eastAsia="en-AU"/>
        </w:rPr>
        <w:t>M</w:t>
      </w:r>
      <w:r w:rsidR="009A7B87">
        <w:rPr>
          <w:lang w:eastAsia="en-AU"/>
        </w:rPr>
        <w:t xml:space="preserve">ore PBCs </w:t>
      </w:r>
      <w:r w:rsidR="00E9390D">
        <w:rPr>
          <w:lang w:eastAsia="en-AU"/>
        </w:rPr>
        <w:t xml:space="preserve">were </w:t>
      </w:r>
      <w:r w:rsidR="009A7B87">
        <w:rPr>
          <w:lang w:eastAsia="en-AU"/>
        </w:rPr>
        <w:t>expected to be established prior to the end of 2019.</w:t>
      </w:r>
    </w:p>
    <w:p w14:paraId="380BAA72" w14:textId="579BD76A" w:rsidR="009A7B87" w:rsidRDefault="00E9390D" w:rsidP="009A7B87">
      <w:r>
        <w:t xml:space="preserve">At </w:t>
      </w:r>
      <w:r w:rsidR="005C51DC">
        <w:t xml:space="preserve">the time of the </w:t>
      </w:r>
      <w:r w:rsidR="00A20697">
        <w:t>R</w:t>
      </w:r>
      <w:r w:rsidR="005C51DC">
        <w:t xml:space="preserve">eview, </w:t>
      </w:r>
      <w:r>
        <w:t>t</w:t>
      </w:r>
      <w:r w:rsidR="009A7B87">
        <w:t>here ha</w:t>
      </w:r>
      <w:r>
        <w:t>d</w:t>
      </w:r>
      <w:r w:rsidR="009A7B87">
        <w:t xml:space="preserve"> been 6 determinations of native title within the Carpentaria Gulf RATSIB area since the passage of the </w:t>
      </w:r>
      <w:r w:rsidR="009A7B87" w:rsidRPr="7E6A3691">
        <w:rPr>
          <w:i/>
          <w:iCs/>
        </w:rPr>
        <w:t>Native Title Act</w:t>
      </w:r>
      <w:r w:rsidR="009A7B87">
        <w:t xml:space="preserve"> </w:t>
      </w:r>
      <w:r w:rsidR="009A7B87" w:rsidRPr="7E6A3691">
        <w:rPr>
          <w:i/>
          <w:iCs/>
        </w:rPr>
        <w:t>1993</w:t>
      </w:r>
      <w:r w:rsidR="009A7B87">
        <w:t xml:space="preserve">, none of which occurred between 2015/16 and 2017/18. </w:t>
      </w:r>
    </w:p>
    <w:p w14:paraId="3296978E" w14:textId="05702B51" w:rsidR="009A7B87" w:rsidRDefault="009A7B87" w:rsidP="009A7B87">
      <w:pPr>
        <w:rPr>
          <w:lang w:eastAsia="en-AU"/>
        </w:rPr>
      </w:pPr>
      <w:r>
        <w:rPr>
          <w:lang w:eastAsia="en-AU"/>
        </w:rPr>
        <w:t>CLCAC received $2,871</w:t>
      </w:r>
      <w:r w:rsidRPr="0004446A">
        <w:rPr>
          <w:lang w:eastAsia="en-AU"/>
        </w:rPr>
        <w:t>,000</w:t>
      </w:r>
      <w:r>
        <w:rPr>
          <w:lang w:eastAsia="en-AU"/>
        </w:rPr>
        <w:t xml:space="preserve"> in native title funding from </w:t>
      </w:r>
      <w:r w:rsidR="00E9390D">
        <w:rPr>
          <w:lang w:eastAsia="en-AU"/>
        </w:rPr>
        <w:t>the NIAA</w:t>
      </w:r>
      <w:r>
        <w:rPr>
          <w:lang w:eastAsia="en-AU"/>
        </w:rPr>
        <w:t xml:space="preserve"> in 2017/18</w:t>
      </w:r>
      <w:r w:rsidRPr="0004446A">
        <w:rPr>
          <w:lang w:eastAsia="en-AU"/>
        </w:rPr>
        <w:t>.</w:t>
      </w:r>
      <w:r>
        <w:rPr>
          <w:lang w:eastAsia="en-AU"/>
        </w:rPr>
        <w:t xml:space="preserve"> </w:t>
      </w:r>
      <w:r w:rsidRPr="0004446A">
        <w:rPr>
          <w:lang w:eastAsia="en-AU"/>
        </w:rPr>
        <w:t>This was an increase from 2016/17 (</w:t>
      </w:r>
      <w:r>
        <w:rPr>
          <w:lang w:eastAsia="en-AU"/>
        </w:rPr>
        <w:t>$2,572</w:t>
      </w:r>
      <w:r w:rsidRPr="0004446A">
        <w:rPr>
          <w:lang w:eastAsia="en-AU"/>
        </w:rPr>
        <w:t>,000</w:t>
      </w:r>
      <w:r>
        <w:rPr>
          <w:lang w:eastAsia="en-AU"/>
        </w:rPr>
        <w:t>) and 2015/16</w:t>
      </w:r>
      <w:r w:rsidRPr="0004446A">
        <w:rPr>
          <w:lang w:eastAsia="en-AU"/>
        </w:rPr>
        <w:t xml:space="preserve"> ($2,</w:t>
      </w:r>
      <w:r>
        <w:rPr>
          <w:lang w:eastAsia="en-AU"/>
        </w:rPr>
        <w:t>22</w:t>
      </w:r>
      <w:r w:rsidRPr="0004446A">
        <w:rPr>
          <w:lang w:eastAsia="en-AU"/>
        </w:rPr>
        <w:t>1,000).</w:t>
      </w:r>
      <w:r>
        <w:rPr>
          <w:rStyle w:val="FootnoteReference"/>
          <w:lang w:eastAsia="en-AU"/>
        </w:rPr>
        <w:footnoteReference w:id="3"/>
      </w:r>
      <w:r>
        <w:rPr>
          <w:lang w:eastAsia="en-AU"/>
        </w:rPr>
        <w:t xml:space="preserve"> </w:t>
      </w:r>
      <w:r w:rsidR="00E9390D">
        <w:rPr>
          <w:lang w:eastAsia="en-AU"/>
        </w:rPr>
        <w:t>NIAA</w:t>
      </w:r>
      <w:r>
        <w:rPr>
          <w:lang w:eastAsia="en-AU"/>
        </w:rPr>
        <w:t xml:space="preserve"> Native Title funding represents less than half of total CLCAC revenue, with CLCAC receiving funding from other Australian Government and Queensland Government agencies for non-native title related functions.</w:t>
      </w:r>
    </w:p>
    <w:p w14:paraId="5640E8A5" w14:textId="7869A46C" w:rsidR="009A7B87" w:rsidRPr="00540A8B" w:rsidRDefault="00E9390D" w:rsidP="009A7B87">
      <w:pPr>
        <w:pStyle w:val="Bullet"/>
        <w:numPr>
          <w:ilvl w:val="0"/>
          <w:numId w:val="0"/>
        </w:numPr>
      </w:pPr>
      <w:r>
        <w:t xml:space="preserve">At </w:t>
      </w:r>
      <w:r w:rsidR="005C51DC">
        <w:t xml:space="preserve">the time of the </w:t>
      </w:r>
      <w:r w:rsidR="00A20697">
        <w:t>R</w:t>
      </w:r>
      <w:r w:rsidR="005C51DC">
        <w:t>eview,</w:t>
      </w:r>
      <w:r>
        <w:t xml:space="preserve"> </w:t>
      </w:r>
      <w:r w:rsidR="009A7B87">
        <w:t>CLCAC d</w:t>
      </w:r>
      <w:r>
        <w:t>id</w:t>
      </w:r>
      <w:r w:rsidR="009A7B87">
        <w:t xml:space="preserve"> not operate or have full or part ownership over any subsidiary entities. Outside of their native title functions, CLCAC </w:t>
      </w:r>
      <w:r w:rsidR="009A7B87" w:rsidRPr="00540A8B">
        <w:t>operate</w:t>
      </w:r>
      <w:r>
        <w:t>d</w:t>
      </w:r>
      <w:r w:rsidR="009A7B87" w:rsidRPr="00540A8B">
        <w:t xml:space="preserve"> a</w:t>
      </w:r>
      <w:r w:rsidR="009A7B87">
        <w:t xml:space="preserve"> large</w:t>
      </w:r>
      <w:r w:rsidR="009A7B87" w:rsidRPr="00540A8B">
        <w:t xml:space="preserve"> </w:t>
      </w:r>
      <w:r w:rsidR="009A7B87">
        <w:t>Ranger program (a Land and Environment Program)</w:t>
      </w:r>
      <w:r>
        <w:t xml:space="preserve"> as</w:t>
      </w:r>
      <w:r w:rsidR="009A7B87">
        <w:t xml:space="preserve"> part of their approach to land rights.</w:t>
      </w:r>
    </w:p>
    <w:p w14:paraId="1329D56A" w14:textId="2FB18642" w:rsidR="009A7B87" w:rsidRDefault="00E9390D" w:rsidP="009A7B87">
      <w:pPr>
        <w:rPr>
          <w:lang w:eastAsia="en-AU"/>
        </w:rPr>
      </w:pPr>
      <w:r>
        <w:rPr>
          <w:lang w:eastAsia="en-AU"/>
        </w:rPr>
        <w:t xml:space="preserve">At </w:t>
      </w:r>
      <w:r w:rsidR="005C51DC">
        <w:rPr>
          <w:lang w:eastAsia="en-AU"/>
        </w:rPr>
        <w:t xml:space="preserve">the time of the </w:t>
      </w:r>
      <w:r w:rsidR="00A20697">
        <w:rPr>
          <w:lang w:eastAsia="en-AU"/>
        </w:rPr>
        <w:t>R</w:t>
      </w:r>
      <w:r w:rsidR="005C51DC">
        <w:rPr>
          <w:lang w:eastAsia="en-AU"/>
        </w:rPr>
        <w:t>eview,</w:t>
      </w:r>
      <w:r>
        <w:rPr>
          <w:lang w:eastAsia="en-AU"/>
        </w:rPr>
        <w:t xml:space="preserve"> </w:t>
      </w:r>
      <w:r w:rsidR="009A7B87">
        <w:rPr>
          <w:lang w:eastAsia="en-AU"/>
        </w:rPr>
        <w:t>CLCAC ha</w:t>
      </w:r>
      <w:r>
        <w:rPr>
          <w:lang w:eastAsia="en-AU"/>
        </w:rPr>
        <w:t>d</w:t>
      </w:r>
      <w:r w:rsidR="009A7B87">
        <w:rPr>
          <w:lang w:eastAsia="en-AU"/>
        </w:rPr>
        <w:t xml:space="preserve"> a representative board which consist</w:t>
      </w:r>
      <w:r>
        <w:rPr>
          <w:lang w:eastAsia="en-AU"/>
        </w:rPr>
        <w:t>ed</w:t>
      </w:r>
      <w:r w:rsidR="009A7B87">
        <w:rPr>
          <w:lang w:eastAsia="en-AU"/>
        </w:rPr>
        <w:t xml:space="preserve"> of nine directors, one member from each of the region’s nine Traditional Owner groups. Board members serve a term of two years. Each Traditional Owner group also nominates one alternate member. The nine language groups in the region are </w:t>
      </w:r>
      <w:proofErr w:type="spellStart"/>
      <w:r w:rsidR="009A7B87">
        <w:t>Kurtijar</w:t>
      </w:r>
      <w:proofErr w:type="spellEnd"/>
      <w:r w:rsidR="009A7B87">
        <w:t xml:space="preserve">, </w:t>
      </w:r>
      <w:proofErr w:type="spellStart"/>
      <w:r w:rsidR="009A7B87">
        <w:t>Gkuthaarn</w:t>
      </w:r>
      <w:proofErr w:type="spellEnd"/>
      <w:r w:rsidR="009A7B87">
        <w:t xml:space="preserve">, </w:t>
      </w:r>
      <w:proofErr w:type="spellStart"/>
      <w:r w:rsidR="009A7B87">
        <w:t>Kukatj</w:t>
      </w:r>
      <w:proofErr w:type="spellEnd"/>
      <w:r w:rsidR="009A7B87">
        <w:t xml:space="preserve">, </w:t>
      </w:r>
      <w:proofErr w:type="spellStart"/>
      <w:r w:rsidR="009A7B87">
        <w:t>Gangalidda</w:t>
      </w:r>
      <w:proofErr w:type="spellEnd"/>
      <w:r w:rsidR="009A7B87">
        <w:t xml:space="preserve">, </w:t>
      </w:r>
      <w:proofErr w:type="spellStart"/>
      <w:r w:rsidR="009A7B87">
        <w:t>Kaiadilt</w:t>
      </w:r>
      <w:proofErr w:type="spellEnd"/>
      <w:r w:rsidR="009A7B87">
        <w:t xml:space="preserve">, Lardil, </w:t>
      </w:r>
      <w:proofErr w:type="spellStart"/>
      <w:r w:rsidR="009A7B87">
        <w:t>Yangkaal</w:t>
      </w:r>
      <w:proofErr w:type="spellEnd"/>
      <w:r w:rsidR="009A7B87">
        <w:t xml:space="preserve">, </w:t>
      </w:r>
      <w:proofErr w:type="spellStart"/>
      <w:r w:rsidR="009A7B87">
        <w:t>Waanyi</w:t>
      </w:r>
      <w:proofErr w:type="spellEnd"/>
      <w:r w:rsidR="009A7B87">
        <w:t xml:space="preserve"> and Garawa. </w:t>
      </w:r>
    </w:p>
    <w:p w14:paraId="46ED0452" w14:textId="46FEC674" w:rsidR="009A7B87" w:rsidRDefault="009A7B87" w:rsidP="009A7B87">
      <w:pPr>
        <w:rPr>
          <w:lang w:eastAsia="en-AU"/>
        </w:rPr>
      </w:pPr>
      <w:r>
        <w:rPr>
          <w:lang w:eastAsia="en-AU"/>
        </w:rPr>
        <w:t>As of 2018, CLCAC ha</w:t>
      </w:r>
      <w:r w:rsidR="00E9390D">
        <w:rPr>
          <w:lang w:eastAsia="en-AU"/>
        </w:rPr>
        <w:t>d</w:t>
      </w:r>
      <w:r>
        <w:rPr>
          <w:lang w:eastAsia="en-AU"/>
        </w:rPr>
        <w:t xml:space="preserve"> three executive management positions; CEO, Deputy CEO and PLO. The organisation has three offices – one in each Burketown, Cairns and Normanton.</w:t>
      </w:r>
    </w:p>
    <w:p w14:paraId="37103033" w14:textId="2F97F6B7" w:rsidR="00E9390D" w:rsidRDefault="00E9390D" w:rsidP="009A7B87">
      <w:pPr>
        <w:rPr>
          <w:lang w:eastAsia="en-AU"/>
        </w:rPr>
      </w:pPr>
      <w:r>
        <w:rPr>
          <w:lang w:eastAsia="en-AU"/>
        </w:rPr>
        <w:br w:type="page"/>
      </w:r>
    </w:p>
    <w:p w14:paraId="5FE8A568" w14:textId="432BEBB2" w:rsidR="00525012" w:rsidRPr="009958DC" w:rsidRDefault="00E5318B" w:rsidP="00525012">
      <w:pPr>
        <w:pStyle w:val="Heading1"/>
      </w:pPr>
      <w:bookmarkStart w:id="26" w:name="_Toc68071472"/>
      <w:bookmarkEnd w:id="15"/>
      <w:bookmarkEnd w:id="16"/>
      <w:bookmarkEnd w:id="17"/>
      <w:bookmarkEnd w:id="18"/>
      <w:bookmarkEnd w:id="19"/>
      <w:bookmarkEnd w:id="20"/>
      <w:bookmarkEnd w:id="21"/>
      <w:bookmarkEnd w:id="22"/>
      <w:bookmarkEnd w:id="23"/>
      <w:bookmarkEnd w:id="24"/>
      <w:r>
        <w:lastRenderedPageBreak/>
        <w:t>Findings and recommendations by Terms of Reference</w:t>
      </w:r>
      <w:bookmarkEnd w:id="26"/>
    </w:p>
    <w:p w14:paraId="734BDD14" w14:textId="346E07F5" w:rsidR="00E7728A" w:rsidRPr="009958DC" w:rsidRDefault="00E7728A" w:rsidP="00E7728A">
      <w:r w:rsidRPr="009958DC">
        <w:rPr>
          <w:lang w:eastAsia="en-AU"/>
        </w:rPr>
        <w:t xml:space="preserve">The following sections of the report provide a </w:t>
      </w:r>
      <w:r w:rsidR="009958DC" w:rsidRPr="009958DC">
        <w:rPr>
          <w:lang w:eastAsia="en-AU"/>
        </w:rPr>
        <w:t>summary</w:t>
      </w:r>
      <w:r w:rsidRPr="009958DC">
        <w:rPr>
          <w:lang w:eastAsia="en-AU"/>
        </w:rPr>
        <w:t xml:space="preserve"> of </w:t>
      </w:r>
      <w:r w:rsidR="00AD54EC">
        <w:rPr>
          <w:lang w:eastAsia="en-AU"/>
        </w:rPr>
        <w:t>CLCAC’s</w:t>
      </w:r>
      <w:r w:rsidR="0039690F" w:rsidRPr="009958DC">
        <w:rPr>
          <w:lang w:eastAsia="en-AU"/>
        </w:rPr>
        <w:t xml:space="preserve"> performance against the T</w:t>
      </w:r>
      <w:r w:rsidRPr="009958DC">
        <w:rPr>
          <w:lang w:eastAsia="en-AU"/>
        </w:rPr>
        <w:t xml:space="preserve">erms of </w:t>
      </w:r>
      <w:r w:rsidR="0039690F" w:rsidRPr="009958DC">
        <w:rPr>
          <w:lang w:eastAsia="en-AU"/>
        </w:rPr>
        <w:t>R</w:t>
      </w:r>
      <w:r w:rsidRPr="009958DC">
        <w:rPr>
          <w:lang w:eastAsia="en-AU"/>
        </w:rPr>
        <w:t>eference for the Review</w:t>
      </w:r>
      <w:r w:rsidR="008F436A">
        <w:rPr>
          <w:lang w:eastAsia="en-AU"/>
        </w:rPr>
        <w:t>.</w:t>
      </w:r>
    </w:p>
    <w:p w14:paraId="1F9E353F" w14:textId="0EB703F9" w:rsidR="00416856" w:rsidRPr="0084761C" w:rsidRDefault="00DA55FF" w:rsidP="00C72787">
      <w:pPr>
        <w:pStyle w:val="Heading2"/>
      </w:pPr>
      <w:bookmarkStart w:id="27" w:name="_Ref501893080"/>
      <w:bookmarkStart w:id="28" w:name="_Toc502839777"/>
      <w:bookmarkStart w:id="29" w:name="_Toc502843253"/>
      <w:bookmarkStart w:id="30" w:name="_Toc502847616"/>
      <w:bookmarkStart w:id="31" w:name="_Toc502850760"/>
      <w:bookmarkStart w:id="32" w:name="_Toc502855192"/>
      <w:bookmarkStart w:id="33" w:name="_Toc503117091"/>
      <w:bookmarkStart w:id="34" w:name="_Toc505259168"/>
      <w:bookmarkStart w:id="35" w:name="_Toc505256235"/>
      <w:bookmarkStart w:id="36" w:name="_Toc505618278"/>
      <w:r w:rsidRPr="0084761C">
        <w:t>T</w:t>
      </w:r>
      <w:r w:rsidR="00F64BB4" w:rsidRPr="0084761C">
        <w:t>OR</w:t>
      </w:r>
      <w:r w:rsidRPr="0084761C">
        <w:t xml:space="preserve"> 1.1 </w:t>
      </w:r>
      <w:r w:rsidR="00E87CBE" w:rsidRPr="0084761C">
        <w:t xml:space="preserve">| </w:t>
      </w:r>
      <w:r w:rsidR="00EB1298" w:rsidRPr="0084761C">
        <w:t xml:space="preserve">Review and assess each organisation’s efficiency and effectiveness in performing the functions of a native title representative body over the past 3 years (with the main focus on recent performance) including: native title claim outcomes achieved for clients. </w:t>
      </w:r>
      <w:bookmarkEnd w:id="27"/>
      <w:bookmarkEnd w:id="28"/>
      <w:bookmarkEnd w:id="29"/>
      <w:bookmarkEnd w:id="30"/>
      <w:bookmarkEnd w:id="31"/>
      <w:bookmarkEnd w:id="32"/>
      <w:bookmarkEnd w:id="33"/>
      <w:bookmarkEnd w:id="34"/>
      <w:bookmarkEnd w:id="35"/>
      <w:bookmarkEnd w:id="36"/>
    </w:p>
    <w:p w14:paraId="1E202A25" w14:textId="77777777" w:rsidR="00F64BB4" w:rsidRPr="00F64BB4" w:rsidRDefault="00F64BB4" w:rsidP="00F64BB4">
      <w:pPr>
        <w:rPr>
          <w:lang w:eastAsia="en-AU"/>
        </w:rPr>
      </w:pPr>
    </w:p>
    <w:p w14:paraId="712770C5" w14:textId="77777777" w:rsidR="00C72787" w:rsidRPr="00C72787" w:rsidRDefault="00C72787" w:rsidP="00C72787">
      <w:pPr>
        <w:shd w:val="clear" w:color="auto" w:fill="E6E6E1" w:themeFill="accent5"/>
        <w:spacing w:after="165" w:line="259" w:lineRule="auto"/>
        <w:rPr>
          <w:rFonts w:eastAsia="Times New Roman"/>
          <w:b/>
          <w:bCs/>
          <w:color w:val="00264D" w:themeColor="background2"/>
          <w:lang w:eastAsia="en-AU"/>
        </w:rPr>
      </w:pPr>
      <w:r w:rsidRPr="00C72787">
        <w:rPr>
          <w:rFonts w:eastAsia="Times New Roman"/>
          <w:b/>
          <w:color w:val="00264D" w:themeColor="background2"/>
          <w:lang w:eastAsia="en-AU"/>
        </w:rPr>
        <w:t>CLCAC has a successful history of achieving native title outcomes for clients, supporting seven positive native title determinations within the RATSIB area.</w:t>
      </w:r>
      <w:r w:rsidRPr="00C72787">
        <w:rPr>
          <w:rFonts w:eastAsia="Times New Roman"/>
          <w:bCs/>
          <w:color w:val="00264D" w:themeColor="background2"/>
          <w:lang w:eastAsia="en-AU"/>
        </w:rPr>
        <w:t xml:space="preserve"> Over the three-year period which is the focus of the Review, no CLCAC clients have achieved native title determinations, but CLCAC has filed four claims. There are currently five active claims, with upcoming determinations expected. CLCAC reports that it expects all these claims to be finalised over the next two years. Native title represents one element of CLCAC’s holistic approach to land rights, management and development.</w:t>
      </w:r>
    </w:p>
    <w:p w14:paraId="111E2DAE" w14:textId="77777777" w:rsidR="00C72787" w:rsidRPr="00C72787" w:rsidRDefault="00C72787" w:rsidP="00C72787">
      <w:pPr>
        <w:shd w:val="clear" w:color="auto" w:fill="E6E6E1" w:themeFill="accent5"/>
        <w:spacing w:after="165" w:line="259" w:lineRule="auto"/>
        <w:rPr>
          <w:rFonts w:eastAsia="Times New Roman"/>
          <w:b/>
          <w:bCs/>
          <w:color w:val="00264D" w:themeColor="background2"/>
          <w:lang w:eastAsia="en-AU"/>
        </w:rPr>
      </w:pPr>
      <w:r w:rsidRPr="00C72787">
        <w:rPr>
          <w:rFonts w:eastAsia="Times New Roman"/>
          <w:bCs/>
          <w:color w:val="00264D" w:themeColor="background2"/>
          <w:lang w:eastAsia="en-AU"/>
        </w:rPr>
        <w:t xml:space="preserve">CLCAC adopts a distinct model compared to many other NTRB-SPs. All claims related work is briefed out to external legal representation and expert anthropologists. For this reason, CLCAC has limited internal capacity in these areas, with CLCAC playing a more facilitative and independent role. This approach has proven effective in achieving native title outcomes for clients and is appropriate given the distinct region within which CLCAC operates. CLCAC clients have expressed satisfaction with the support they have received in obtaining native title. </w:t>
      </w:r>
    </w:p>
    <w:p w14:paraId="4DCB2648" w14:textId="77777777" w:rsidR="00C72787" w:rsidRPr="00C72787" w:rsidRDefault="00C72787" w:rsidP="00C72787">
      <w:pPr>
        <w:shd w:val="clear" w:color="auto" w:fill="E6E6E1" w:themeFill="accent5"/>
        <w:spacing w:after="0" w:line="259" w:lineRule="auto"/>
        <w:rPr>
          <w:b/>
          <w:color w:val="00264D" w:themeColor="background2"/>
        </w:rPr>
      </w:pPr>
      <w:r w:rsidRPr="00C72787">
        <w:rPr>
          <w:rFonts w:eastAsia="Times New Roman"/>
          <w:bCs/>
          <w:color w:val="00264D" w:themeColor="background2"/>
          <w:lang w:eastAsia="en-AU"/>
        </w:rPr>
        <w:t>CLCAC also delivers future act services to clients, through a combination of in-house support and external legal work. CLCAC has also supported clients to receive benefits from ILUAs in the RATSIB area.</w:t>
      </w:r>
    </w:p>
    <w:p w14:paraId="08CB3F05" w14:textId="77777777" w:rsidR="00240113" w:rsidRPr="008F436A" w:rsidRDefault="00240113" w:rsidP="008F436A">
      <w:pPr>
        <w:rPr>
          <w:lang w:eastAsia="en-AU"/>
        </w:rPr>
      </w:pPr>
    </w:p>
    <w:p w14:paraId="25052B16" w14:textId="77777777" w:rsidR="005140DB" w:rsidRPr="00C72787" w:rsidRDefault="005140DB" w:rsidP="003B61BB">
      <w:pPr>
        <w:outlineLvl w:val="2"/>
        <w:rPr>
          <w:b/>
          <w:bCs/>
          <w:i/>
          <w:iCs/>
          <w:color w:val="00264D" w:themeColor="background2"/>
        </w:rPr>
      </w:pPr>
      <w:bookmarkStart w:id="37" w:name="_Hlk534787724"/>
      <w:r w:rsidRPr="00C72787">
        <w:rPr>
          <w:b/>
          <w:bCs/>
          <w:i/>
          <w:iCs/>
          <w:color w:val="00264D" w:themeColor="background2"/>
        </w:rPr>
        <w:t>CLCAC has been successful in delivering native title outcomes for many clients</w:t>
      </w:r>
    </w:p>
    <w:bookmarkEnd w:id="37"/>
    <w:p w14:paraId="5252A1FD" w14:textId="77777777" w:rsidR="005140DB" w:rsidRDefault="005140DB" w:rsidP="005140DB">
      <w:pPr>
        <w:rPr>
          <w:lang w:eastAsia="en-AU"/>
        </w:rPr>
      </w:pPr>
      <w:r>
        <w:rPr>
          <w:lang w:eastAsia="en-AU"/>
        </w:rPr>
        <w:t xml:space="preserve">CLCAC has performed well in achieving native title outcomes for clients since its establishment </w:t>
      </w:r>
      <w:r w:rsidRPr="00F2203B">
        <w:rPr>
          <w:lang w:eastAsia="en-AU"/>
        </w:rPr>
        <w:t>in 1982.</w:t>
      </w:r>
      <w:r>
        <w:rPr>
          <w:lang w:eastAsia="en-AU"/>
        </w:rPr>
        <w:t xml:space="preserve"> In 1994, CLCAC was recognised under the </w:t>
      </w:r>
      <w:r>
        <w:rPr>
          <w:i/>
          <w:lang w:eastAsia="en-AU"/>
        </w:rPr>
        <w:t xml:space="preserve">Native Title Act 1993 </w:t>
      </w:r>
      <w:r w:rsidRPr="000F0EF7">
        <w:rPr>
          <w:lang w:eastAsia="en-AU"/>
        </w:rPr>
        <w:t>(</w:t>
      </w:r>
      <w:proofErr w:type="spellStart"/>
      <w:r w:rsidRPr="000F0EF7">
        <w:rPr>
          <w:lang w:eastAsia="en-AU"/>
        </w:rPr>
        <w:t>Cth</w:t>
      </w:r>
      <w:proofErr w:type="spellEnd"/>
      <w:r w:rsidRPr="000F0EF7">
        <w:rPr>
          <w:lang w:eastAsia="en-AU"/>
        </w:rPr>
        <w:t>)</w:t>
      </w:r>
      <w:r w:rsidRPr="00BD39EF">
        <w:rPr>
          <w:i/>
          <w:lang w:eastAsia="en-AU"/>
        </w:rPr>
        <w:t xml:space="preserve"> </w:t>
      </w:r>
      <w:r>
        <w:rPr>
          <w:lang w:eastAsia="en-AU"/>
        </w:rPr>
        <w:t xml:space="preserve">as the representative Aboriginal/Torres Strait Islander body for the Gulf Region. Since then, </w:t>
      </w:r>
      <w:r w:rsidRPr="00F2203B">
        <w:rPr>
          <w:lang w:eastAsia="en-AU"/>
        </w:rPr>
        <w:t>CLCAC</w:t>
      </w:r>
      <w:r>
        <w:rPr>
          <w:lang w:eastAsia="en-AU"/>
        </w:rPr>
        <w:t xml:space="preserve"> has assisted in </w:t>
      </w:r>
      <w:r w:rsidRPr="00F2203B">
        <w:rPr>
          <w:lang w:eastAsia="en-AU"/>
        </w:rPr>
        <w:t>seven positive determinations of native title.</w:t>
      </w:r>
      <w:r w:rsidRPr="00F2203B">
        <w:rPr>
          <w:rStyle w:val="FootnoteReference"/>
          <w:lang w:eastAsia="en-AU"/>
        </w:rPr>
        <w:footnoteReference w:id="4"/>
      </w:r>
      <w:r>
        <w:rPr>
          <w:lang w:eastAsia="en-AU"/>
        </w:rPr>
        <w:t xml:space="preserve">  </w:t>
      </w:r>
    </w:p>
    <w:p w14:paraId="471D4D30" w14:textId="77777777" w:rsidR="005140DB" w:rsidRDefault="005140DB" w:rsidP="005140DB">
      <w:pPr>
        <w:rPr>
          <w:lang w:eastAsia="en-AU"/>
        </w:rPr>
      </w:pPr>
      <w:r>
        <w:rPr>
          <w:lang w:eastAsia="en-AU"/>
        </w:rPr>
        <w:t xml:space="preserve">Within the three-year period from </w:t>
      </w:r>
      <w:r w:rsidRPr="00F2203B">
        <w:rPr>
          <w:lang w:eastAsia="en-AU"/>
        </w:rPr>
        <w:t>1 July 2015 to 31 December 201</w:t>
      </w:r>
      <w:r>
        <w:rPr>
          <w:lang w:eastAsia="en-AU"/>
        </w:rPr>
        <w:t>8 (the focus of the Review) CLCAC has:</w:t>
      </w:r>
    </w:p>
    <w:p w14:paraId="4A2701F4" w14:textId="77777777" w:rsidR="005140DB" w:rsidRPr="003B56C3" w:rsidRDefault="005140DB" w:rsidP="005140DB">
      <w:pPr>
        <w:pStyle w:val="Bullet"/>
        <w:numPr>
          <w:ilvl w:val="0"/>
          <w:numId w:val="6"/>
        </w:numPr>
        <w:spacing w:line="259" w:lineRule="auto"/>
      </w:pPr>
      <w:r>
        <w:t>F</w:t>
      </w:r>
      <w:r w:rsidRPr="003B56C3">
        <w:t xml:space="preserve">iled </w:t>
      </w:r>
      <w:r>
        <w:t>four</w:t>
      </w:r>
      <w:r w:rsidRPr="003B56C3">
        <w:t xml:space="preserve"> native title applications</w:t>
      </w:r>
    </w:p>
    <w:p w14:paraId="5582CD79" w14:textId="77777777" w:rsidR="005140DB" w:rsidRPr="00F2203B" w:rsidRDefault="005140DB" w:rsidP="005140DB">
      <w:pPr>
        <w:pStyle w:val="Bullet"/>
        <w:numPr>
          <w:ilvl w:val="0"/>
          <w:numId w:val="6"/>
        </w:numPr>
        <w:spacing w:line="259" w:lineRule="auto"/>
      </w:pPr>
      <w:r>
        <w:t>A</w:t>
      </w:r>
      <w:r w:rsidRPr="00F2203B">
        <w:t xml:space="preserve">ssisted with the registration of </w:t>
      </w:r>
      <w:r w:rsidRPr="00E41A21">
        <w:t>11 ILUAs,</w:t>
      </w:r>
      <w:r w:rsidRPr="00F2203B">
        <w:t xml:space="preserve"> which provided for extinguishment of native title in exchange for non-native title benefits. </w:t>
      </w:r>
    </w:p>
    <w:p w14:paraId="16118103" w14:textId="77777777" w:rsidR="005140DB" w:rsidRDefault="005140DB" w:rsidP="005140DB">
      <w:pPr>
        <w:rPr>
          <w:lang w:eastAsia="en-AU"/>
        </w:rPr>
      </w:pPr>
      <w:r>
        <w:rPr>
          <w:lang w:eastAsia="en-AU"/>
        </w:rPr>
        <w:t xml:space="preserve">Despite strong historical performance, over this three-year period for the Review, CLCAC has not achieved any native title determinations for its clients. </w:t>
      </w:r>
    </w:p>
    <w:p w14:paraId="388F12B4" w14:textId="77777777" w:rsidR="005140DB" w:rsidRDefault="005140DB" w:rsidP="005140DB">
      <w:pPr>
        <w:rPr>
          <w:lang w:eastAsia="en-AU"/>
        </w:rPr>
      </w:pPr>
      <w:r>
        <w:rPr>
          <w:lang w:eastAsia="en-AU"/>
        </w:rPr>
        <w:t xml:space="preserve">During the review period, CLCAC has not </w:t>
      </w:r>
      <w:r w:rsidRPr="000003AD">
        <w:rPr>
          <w:rFonts w:cs="Segoe UI"/>
          <w:color w:val="000000" w:themeColor="text1"/>
        </w:rPr>
        <w:t>assisted with the authorisation and filing of</w:t>
      </w:r>
      <w:r>
        <w:rPr>
          <w:lang w:eastAsia="en-AU"/>
        </w:rPr>
        <w:t xml:space="preserve"> any claims that </w:t>
      </w:r>
      <w:r w:rsidRPr="00551C30">
        <w:rPr>
          <w:lang w:eastAsia="en-AU"/>
        </w:rPr>
        <w:t>failed the registration test.</w:t>
      </w:r>
      <w:r>
        <w:rPr>
          <w:lang w:eastAsia="en-AU"/>
        </w:rPr>
        <w:t xml:space="preserve"> Since 1999, all applications supported by the CLCAC have passed the registration test. </w:t>
      </w:r>
      <w:r w:rsidRPr="00551C30">
        <w:rPr>
          <w:lang w:eastAsia="en-AU"/>
        </w:rPr>
        <w:lastRenderedPageBreak/>
        <w:t xml:space="preserve">No CLCAC clients have been the subject </w:t>
      </w:r>
      <w:r>
        <w:rPr>
          <w:lang w:eastAsia="en-AU"/>
        </w:rPr>
        <w:t>to a negative determination during the course of the review period</w:t>
      </w:r>
      <w:r w:rsidRPr="00551C30">
        <w:rPr>
          <w:lang w:eastAsia="en-AU"/>
        </w:rPr>
        <w:t>.</w:t>
      </w:r>
      <w:r>
        <w:rPr>
          <w:rStyle w:val="FootnoteReference"/>
          <w:lang w:eastAsia="en-AU"/>
        </w:rPr>
        <w:footnoteReference w:id="5"/>
      </w:r>
      <w:r>
        <w:rPr>
          <w:lang w:eastAsia="en-AU"/>
        </w:rPr>
        <w:t xml:space="preserve"> No CLCAC client has been subject to a determination that ‘native title does not exist’ over the organisation’s history with the RATSIB area. </w:t>
      </w:r>
    </w:p>
    <w:p w14:paraId="63CD4939" w14:textId="77777777" w:rsidR="005140DB" w:rsidRDefault="005140DB" w:rsidP="005140DB">
      <w:pPr>
        <w:rPr>
          <w:lang w:eastAsia="en-AU"/>
        </w:rPr>
      </w:pPr>
      <w:r>
        <w:t xml:space="preserve">CLCAC’s strong history indicates good performance for native title outcomes, albeit with more limited recent achievements. The Review does not believe there is a performance concern related to no determinations occurring during this period. All claims that are currently ‘active’ were filed during the three-year review period. Likewise, several claims were determined in the twelve months prior to the review period. For this reason, the Review has assessed the CLCAC not achieving a determination during the three-year period is a result of the timing of applications and not a performance concern. Progress on the currently active claims appears to be strong. </w:t>
      </w:r>
    </w:p>
    <w:p w14:paraId="557EF4A2" w14:textId="43EBC19B" w:rsidR="005140DB" w:rsidRDefault="005140DB" w:rsidP="005140DB">
      <w:r w:rsidRPr="00210060">
        <w:t xml:space="preserve">Native title achievements </w:t>
      </w:r>
      <w:r>
        <w:t>over CLCAC’s history</w:t>
      </w:r>
      <w:r w:rsidRPr="00210060">
        <w:t xml:space="preserve"> </w:t>
      </w:r>
      <w:r w:rsidR="00991F4E">
        <w:t xml:space="preserve">included </w:t>
      </w:r>
      <w:r w:rsidRPr="00210060">
        <w:t xml:space="preserve">five consent determinations and two </w:t>
      </w:r>
      <w:r w:rsidR="00991F4E">
        <w:t xml:space="preserve">determinations </w:t>
      </w:r>
      <w:r w:rsidRPr="00210060">
        <w:t>with litigated outcomes.</w:t>
      </w:r>
      <w:r>
        <w:t xml:space="preserve"> CLCAC senior stakeholders reported that the two instances of litigated outcomes were strategic – one being the first claim in the region and the second due to the location of the claim and a subsequent increased threshold for connection from the State. Stakeholders reported that achievement of these litigated determinations has supported achievement of consent determinations in the years that have followed. </w:t>
      </w:r>
    </w:p>
    <w:p w14:paraId="027BDE65" w14:textId="55F5E4A0" w:rsidR="005140DB" w:rsidRDefault="005140DB" w:rsidP="005140DB">
      <w:pPr>
        <w:rPr>
          <w:lang w:eastAsia="en-AU"/>
        </w:rPr>
      </w:pPr>
      <w:r>
        <w:t xml:space="preserve">Of the seven determinations supported by CLCAC, four resulted in a judgment that native title exists in the entire determination area, with the other three determination resulting in a judgement that native title existed in parts of the determination area. </w:t>
      </w:r>
    </w:p>
    <w:p w14:paraId="650F7F9D" w14:textId="12AFFBC0" w:rsidR="005140DB" w:rsidRDefault="005140DB" w:rsidP="005140DB">
      <w:pPr>
        <w:pStyle w:val="Caption"/>
        <w:tabs>
          <w:tab w:val="left" w:pos="4536"/>
        </w:tabs>
      </w:pPr>
      <w:bookmarkStart w:id="38" w:name="_Ref502742627"/>
      <w:r>
        <w:t xml:space="preserve">Figure </w:t>
      </w:r>
      <w:bookmarkEnd w:id="38"/>
      <w:r w:rsidR="006D1FC1">
        <w:t>1</w:t>
      </w:r>
      <w:r>
        <w:t xml:space="preserve"> | CLCAC region </w:t>
      </w:r>
      <w:r w:rsidRPr="00A44C47">
        <w:t>NTA</w:t>
      </w:r>
      <w:r w:rsidRPr="7E6A3691">
        <w:rPr>
          <w:i/>
          <w:iCs/>
        </w:rPr>
        <w:t xml:space="preserve"> </w:t>
      </w:r>
      <w:r>
        <w:t>determinations (with light blue representing where native title exists (exclusive) and dark blue (non-exclusive)</w:t>
      </w:r>
      <w:r>
        <w:rPr>
          <w:rStyle w:val="FootnoteReference"/>
        </w:rPr>
        <w:footnoteReference w:id="6"/>
      </w:r>
    </w:p>
    <w:p w14:paraId="1E9F8959" w14:textId="77777777" w:rsidR="005140DB" w:rsidRDefault="005140DB" w:rsidP="005140DB">
      <w:pPr>
        <w:keepNext/>
      </w:pPr>
      <w:r w:rsidRPr="002A459F">
        <w:rPr>
          <w:noProof/>
          <w:vertAlign w:val="subscript"/>
          <w:lang w:eastAsia="en-AU"/>
        </w:rPr>
        <w:drawing>
          <wp:inline distT="0" distB="0" distL="0" distR="0" wp14:anchorId="1F3146D8" wp14:editId="3C992D2B">
            <wp:extent cx="5114729" cy="3618689"/>
            <wp:effectExtent l="0" t="0" r="0" b="1270"/>
            <wp:docPr id="12" name="Picture 12" descr="Map&#10;&#10;CLCAC region NTA determinations (with light blue representing where native title exists (exclusive) and dark blue (non-exclusiv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Map&#10;&#10;CLCAC region NTA determinations (with light blue representing where native title exists (exclusive) and dark blue (non-exclusive) "/>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114729" cy="3618689"/>
                    </a:xfrm>
                    <a:prstGeom prst="rect">
                      <a:avLst/>
                    </a:prstGeom>
                    <a:noFill/>
                    <a:ln>
                      <a:noFill/>
                    </a:ln>
                  </pic:spPr>
                </pic:pic>
              </a:graphicData>
            </a:graphic>
          </wp:inline>
        </w:drawing>
      </w:r>
    </w:p>
    <w:p w14:paraId="6964E79B" w14:textId="77777777" w:rsidR="005140DB" w:rsidRDefault="005140DB" w:rsidP="005140DB">
      <w:pPr>
        <w:pStyle w:val="Bullet"/>
        <w:numPr>
          <w:ilvl w:val="0"/>
          <w:numId w:val="0"/>
        </w:numPr>
        <w:spacing w:after="0" w:line="259" w:lineRule="auto"/>
        <w:ind w:left="340" w:hanging="340"/>
      </w:pPr>
    </w:p>
    <w:p w14:paraId="5F162210" w14:textId="77777777" w:rsidR="005140DB" w:rsidRDefault="005140DB" w:rsidP="005140DB">
      <w:r>
        <w:lastRenderedPageBreak/>
        <w:t>Other CLCAC stakeholders, including staff, Board members and clients, point towards many of the key achievements and precedents that have been delivered by the organisation. These include:</w:t>
      </w:r>
    </w:p>
    <w:p w14:paraId="6F25AA35" w14:textId="77777777" w:rsidR="005140DB" w:rsidRPr="00250DFC" w:rsidRDefault="005140DB" w:rsidP="005140DB">
      <w:pPr>
        <w:pStyle w:val="Bullet"/>
        <w:numPr>
          <w:ilvl w:val="0"/>
          <w:numId w:val="6"/>
        </w:numPr>
      </w:pPr>
      <w:r>
        <w:t>a</w:t>
      </w:r>
      <w:r w:rsidRPr="00250DFC">
        <w:t>chievement of native title recognition for many TOs in their region, through seven successful determinations</w:t>
      </w:r>
    </w:p>
    <w:p w14:paraId="12FFB0C3" w14:textId="77777777" w:rsidR="005140DB" w:rsidRPr="00250DFC" w:rsidRDefault="005140DB" w:rsidP="005140DB">
      <w:pPr>
        <w:pStyle w:val="Bullet"/>
        <w:numPr>
          <w:ilvl w:val="0"/>
          <w:numId w:val="6"/>
        </w:numPr>
      </w:pPr>
      <w:r w:rsidRPr="00250DFC">
        <w:t>CLCAC supporting one of the shortest native title claims from authorisation to determination</w:t>
      </w:r>
    </w:p>
    <w:p w14:paraId="762CE5E7" w14:textId="77777777" w:rsidR="005140DB" w:rsidRPr="00250DFC" w:rsidRDefault="005140DB" w:rsidP="005140DB">
      <w:pPr>
        <w:pStyle w:val="Bullet"/>
        <w:numPr>
          <w:ilvl w:val="0"/>
          <w:numId w:val="6"/>
        </w:numPr>
      </w:pPr>
      <w:r>
        <w:t>a</w:t>
      </w:r>
      <w:r w:rsidRPr="00250DFC">
        <w:t>chievement of the first mining agreement nationally</w:t>
      </w:r>
    </w:p>
    <w:p w14:paraId="337CD08C" w14:textId="77777777" w:rsidR="005140DB" w:rsidRPr="00250DFC" w:rsidRDefault="005140DB" w:rsidP="005140DB">
      <w:pPr>
        <w:pStyle w:val="Bullet"/>
        <w:numPr>
          <w:ilvl w:val="0"/>
          <w:numId w:val="6"/>
        </w:numPr>
      </w:pPr>
      <w:r>
        <w:t>t</w:t>
      </w:r>
      <w:r w:rsidRPr="00250DFC">
        <w:t xml:space="preserve">he largest determination outside a desert area. </w:t>
      </w:r>
    </w:p>
    <w:p w14:paraId="35E45F8C" w14:textId="77777777" w:rsidR="005140DB" w:rsidRPr="00C72787" w:rsidRDefault="005140DB" w:rsidP="003B61BB">
      <w:pPr>
        <w:outlineLvl w:val="2"/>
        <w:rPr>
          <w:b/>
          <w:bCs/>
          <w:i/>
          <w:iCs/>
          <w:color w:val="00264D" w:themeColor="background2"/>
        </w:rPr>
      </w:pPr>
      <w:bookmarkStart w:id="39" w:name="_Hlk534787719"/>
      <w:r w:rsidRPr="00C72787">
        <w:rPr>
          <w:b/>
          <w:bCs/>
          <w:i/>
          <w:iCs/>
          <w:color w:val="00264D" w:themeColor="background2"/>
        </w:rPr>
        <w:t>Native title represents one element of CLCAC’s approach to land rights and management</w:t>
      </w:r>
    </w:p>
    <w:bookmarkEnd w:id="39"/>
    <w:p w14:paraId="153246FE" w14:textId="77777777" w:rsidR="005140DB" w:rsidRDefault="005140DB" w:rsidP="005140DB">
      <w:r>
        <w:t>CLCAC adopts a holistic approach to the achievement of land rights outcomes for clients. Consistently, internal and external stakeholders reported that the achievement of native title outcomes represented one part of a broader approach to the achievement of land rights, and the management and development of traditional lands in the RATSIB area.</w:t>
      </w:r>
    </w:p>
    <w:p w14:paraId="44DA3C8A" w14:textId="1037FFA1" w:rsidR="005140DB" w:rsidRDefault="005140DB" w:rsidP="005140DB">
      <w:r>
        <w:t xml:space="preserve">CLCAC’s approach to land rights, management and development can be presented on a continuum, as outlined in </w:t>
      </w:r>
      <w:r>
        <w:fldChar w:fldCharType="begin"/>
      </w:r>
      <w:r>
        <w:instrText xml:space="preserve"> REF _Ref535915924 \h </w:instrText>
      </w:r>
      <w:r>
        <w:fldChar w:fldCharType="separate"/>
      </w:r>
      <w:r w:rsidR="00270623">
        <w:t xml:space="preserve">Figure </w:t>
      </w:r>
      <w:r>
        <w:fldChar w:fldCharType="end"/>
      </w:r>
      <w:r>
        <w:t xml:space="preserve"> below. </w:t>
      </w:r>
    </w:p>
    <w:p w14:paraId="035151CE" w14:textId="5C63A073" w:rsidR="005140DB" w:rsidRDefault="005140DB" w:rsidP="005140DB">
      <w:pPr>
        <w:pStyle w:val="Caption"/>
        <w:keepNext/>
      </w:pPr>
      <w:bookmarkStart w:id="40" w:name="_Ref535915924"/>
      <w:r>
        <w:t xml:space="preserve">Figure </w:t>
      </w:r>
      <w:bookmarkEnd w:id="40"/>
      <w:r w:rsidR="002E61B4">
        <w:t>2</w:t>
      </w:r>
      <w:r>
        <w:t xml:space="preserve"> | CLCAC’s approach to land rights, management and development</w:t>
      </w:r>
    </w:p>
    <w:p w14:paraId="61BBECE1" w14:textId="77777777" w:rsidR="005140DB" w:rsidRDefault="005140DB" w:rsidP="005140DB">
      <w:r w:rsidRPr="0052391A">
        <w:rPr>
          <w:noProof/>
          <w:lang w:eastAsia="en-AU"/>
        </w:rPr>
        <w:drawing>
          <wp:inline distT="0" distB="0" distL="0" distR="0" wp14:anchorId="006B024A" wp14:editId="4EAC3F08">
            <wp:extent cx="5636693" cy="1377538"/>
            <wp:effectExtent l="0" t="0" r="2540" b="0"/>
            <wp:docPr id="4" name="Picture 4" descr="Diagram&#10;&#10;CLCAC's approach to land rights, management and develo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CLCAC's approach to land rights, management and development"/>
                    <pic:cNvPicPr>
                      <a:picLocks noChangeAspect="1" noChangeArrowheads="1"/>
                    </pic:cNvPicPr>
                  </pic:nvPicPr>
                  <pic:blipFill rotWithShape="1">
                    <a:blip r:embed="rId18">
                      <a:extLst>
                        <a:ext uri="{28A0092B-C50C-407E-A947-70E740481C1C}">
                          <a14:useLocalDpi xmlns:a14="http://schemas.microsoft.com/office/drawing/2010/main" val="0"/>
                        </a:ext>
                      </a:extLst>
                    </a:blip>
                    <a:srcRect t="8018" b="8046"/>
                    <a:stretch/>
                  </pic:blipFill>
                  <pic:spPr bwMode="auto">
                    <a:xfrm>
                      <a:off x="0" y="0"/>
                      <a:ext cx="5698871" cy="1392733"/>
                    </a:xfrm>
                    <a:prstGeom prst="rect">
                      <a:avLst/>
                    </a:prstGeom>
                    <a:noFill/>
                    <a:ln>
                      <a:noFill/>
                    </a:ln>
                    <a:extLst>
                      <a:ext uri="{53640926-AAD7-44D8-BBD7-CCE9431645EC}">
                        <a14:shadowObscured xmlns:a14="http://schemas.microsoft.com/office/drawing/2010/main"/>
                      </a:ext>
                    </a:extLst>
                  </pic:spPr>
                </pic:pic>
              </a:graphicData>
            </a:graphic>
          </wp:inline>
        </w:drawing>
      </w:r>
    </w:p>
    <w:p w14:paraId="017B518E" w14:textId="77777777" w:rsidR="005140DB" w:rsidRDefault="005140DB" w:rsidP="005140DB"/>
    <w:p w14:paraId="72F46895" w14:textId="77777777" w:rsidR="005140DB" w:rsidRDefault="005140DB" w:rsidP="005140DB">
      <w:r>
        <w:t xml:space="preserve">Stakeholders widely understood and communicated to the Review that while native title is a critical role for CLCAC it only constitutes one part of a more holistic approach to land rights. These stakeholders include CLCAC staff at executive and operational levels, CLCAC Board Directors and many external stakeholders and clients. </w:t>
      </w:r>
    </w:p>
    <w:p w14:paraId="16B695B2" w14:textId="2D04D997" w:rsidR="00F5223E" w:rsidRPr="00F04952" w:rsidRDefault="005140DB" w:rsidP="00B73F65">
      <w:r>
        <w:t xml:space="preserve">While not an explicit focus of the Review, this conception of the role of the CLCAC is important to how they operate and the support they provide to their clients across the native title process. </w:t>
      </w:r>
    </w:p>
    <w:p w14:paraId="7A093DEE" w14:textId="7ED04366" w:rsidR="0060147F" w:rsidRPr="007F663B" w:rsidRDefault="0073695E" w:rsidP="003B61BB">
      <w:pPr>
        <w:outlineLvl w:val="2"/>
        <w:rPr>
          <w:b/>
          <w:bCs/>
          <w:i/>
          <w:iCs/>
          <w:color w:val="00264D" w:themeColor="background2"/>
        </w:rPr>
      </w:pPr>
      <w:r w:rsidRPr="007F663B">
        <w:rPr>
          <w:b/>
          <w:bCs/>
          <w:i/>
          <w:iCs/>
          <w:color w:val="00264D" w:themeColor="background2"/>
        </w:rPr>
        <w:t>Recommendations for TOR 1.1</w:t>
      </w:r>
    </w:p>
    <w:p w14:paraId="4E42B341" w14:textId="333D02D4" w:rsidR="00F64BB4" w:rsidRDefault="00F64BB4" w:rsidP="0073695E">
      <w:pPr>
        <w:rPr>
          <w:lang w:eastAsia="en-AU"/>
        </w:rPr>
      </w:pPr>
      <w:r>
        <w:rPr>
          <w:lang w:eastAsia="en-AU"/>
        </w:rPr>
        <w:t xml:space="preserve">The Review made </w:t>
      </w:r>
      <w:r w:rsidR="00F5223E">
        <w:rPr>
          <w:lang w:eastAsia="en-AU"/>
        </w:rPr>
        <w:t>one</w:t>
      </w:r>
      <w:r>
        <w:rPr>
          <w:lang w:eastAsia="en-AU"/>
        </w:rPr>
        <w:t xml:space="preserve"> recommendation for TOR 1.1 on native title outcomes achieved by clients. Th</w:t>
      </w:r>
      <w:r w:rsidR="00F5223E">
        <w:rPr>
          <w:lang w:eastAsia="en-AU"/>
        </w:rPr>
        <w:t>is is</w:t>
      </w:r>
      <w:r>
        <w:rPr>
          <w:lang w:eastAsia="en-AU"/>
        </w:rPr>
        <w:t xml:space="preserve"> outlined below, as well as </w:t>
      </w:r>
      <w:r w:rsidR="00D84C69">
        <w:rPr>
          <w:lang w:eastAsia="en-AU"/>
        </w:rPr>
        <w:t>CLCAC’s</w:t>
      </w:r>
      <w:r>
        <w:rPr>
          <w:lang w:eastAsia="en-AU"/>
        </w:rPr>
        <w:t>’ response to th</w:t>
      </w:r>
      <w:r w:rsidR="00F5223E">
        <w:rPr>
          <w:lang w:eastAsia="en-AU"/>
        </w:rPr>
        <w:t>is</w:t>
      </w:r>
      <w:r>
        <w:rPr>
          <w:lang w:eastAsia="en-AU"/>
        </w:rPr>
        <w:t xml:space="preserve"> recommendation. </w:t>
      </w:r>
    </w:p>
    <w:p w14:paraId="000F9E16" w14:textId="77777777" w:rsidR="00C428E1" w:rsidRPr="00C428E1" w:rsidRDefault="00C428E1" w:rsidP="003B61BB">
      <w:pPr>
        <w:shd w:val="clear" w:color="auto" w:fill="E6E6E1" w:themeFill="accent5"/>
        <w:outlineLvl w:val="3"/>
        <w:rPr>
          <w:b/>
          <w:bCs/>
          <w:color w:val="00264D" w:themeColor="background2"/>
        </w:rPr>
      </w:pPr>
      <w:r w:rsidRPr="00C428E1">
        <w:rPr>
          <w:b/>
          <w:bCs/>
          <w:color w:val="00264D" w:themeColor="background2"/>
        </w:rPr>
        <w:t>Recommendation 1</w:t>
      </w:r>
    </w:p>
    <w:p w14:paraId="72307367" w14:textId="77777777" w:rsidR="00C428E1" w:rsidRPr="00C428E1" w:rsidRDefault="00C428E1" w:rsidP="00C428E1">
      <w:pPr>
        <w:shd w:val="clear" w:color="auto" w:fill="E6E6E1" w:themeFill="accent5"/>
        <w:rPr>
          <w:b/>
          <w:color w:val="00264D" w:themeColor="background2"/>
          <w:sz w:val="18"/>
        </w:rPr>
      </w:pPr>
      <w:r w:rsidRPr="00C428E1">
        <w:rPr>
          <w:color w:val="00264D" w:themeColor="background2"/>
          <w:sz w:val="18"/>
        </w:rPr>
        <w:t>CLCAC should ensure that its Internal Review and complaints policy is publicly available in online and hard copy format.</w:t>
      </w:r>
    </w:p>
    <w:p w14:paraId="47C82636" w14:textId="77777777" w:rsidR="00C428E1" w:rsidRPr="00C428E1" w:rsidRDefault="00C428E1" w:rsidP="003B61BB">
      <w:pPr>
        <w:outlineLvl w:val="4"/>
        <w:rPr>
          <w:b/>
          <w:bCs/>
          <w:color w:val="00264D" w:themeColor="background2"/>
        </w:rPr>
      </w:pPr>
      <w:r w:rsidRPr="00C428E1">
        <w:rPr>
          <w:b/>
          <w:bCs/>
          <w:color w:val="00264D" w:themeColor="background2"/>
        </w:rPr>
        <w:t xml:space="preserve">CLCAC response. </w:t>
      </w:r>
    </w:p>
    <w:p w14:paraId="646ECD8A" w14:textId="77777777" w:rsidR="00C428E1" w:rsidRPr="00AF5974" w:rsidRDefault="00C428E1" w:rsidP="00C428E1">
      <w:pPr>
        <w:rPr>
          <w:sz w:val="18"/>
        </w:rPr>
      </w:pPr>
      <w:r w:rsidRPr="00AF5974">
        <w:rPr>
          <w:sz w:val="18"/>
        </w:rPr>
        <w:t>CLCAC has a Complaints Handling policy as part of CLCAC’s internal Policies and Procedures manual, however the policy is currently not in a format suitable to uploading to CLCAC’s website. The policy is currently under review and is being reformatted to become a document suitable for publication on CLCAC’s website as an attached document. This is anticipated to be completed within the next 3-6 months.</w:t>
      </w:r>
    </w:p>
    <w:p w14:paraId="3AD11C46" w14:textId="47F93DFB" w:rsidR="00F5223E" w:rsidRPr="00C428E1" w:rsidRDefault="00C428E1" w:rsidP="00C428E1">
      <w:pPr>
        <w:rPr>
          <w:sz w:val="18"/>
        </w:rPr>
      </w:pPr>
      <w:r w:rsidRPr="00AF5974">
        <w:rPr>
          <w:sz w:val="18"/>
        </w:rPr>
        <w:t>A review and restructure of CLCAC’s website is planned to commence in the next 12-18 months subject to availability of funds and internal staffing resources. It is anticipated a section dedicated to providing feedback, including compliments and complaints will be included on the new restructured website.</w:t>
      </w:r>
    </w:p>
    <w:p w14:paraId="2B7EEA2A" w14:textId="1F8B8991" w:rsidR="001C35F2" w:rsidRPr="0084761C" w:rsidRDefault="002E4BA7" w:rsidP="00B73F65">
      <w:pPr>
        <w:pStyle w:val="Heading2"/>
      </w:pPr>
      <w:bookmarkStart w:id="41" w:name="_Ref500337912"/>
      <w:bookmarkStart w:id="42" w:name="_Toc502839778"/>
      <w:bookmarkStart w:id="43" w:name="_Toc502843254"/>
      <w:bookmarkStart w:id="44" w:name="_Toc502847617"/>
      <w:bookmarkStart w:id="45" w:name="_Toc502850761"/>
      <w:bookmarkStart w:id="46" w:name="_Toc502855193"/>
      <w:bookmarkStart w:id="47" w:name="_Ref502867954"/>
      <w:bookmarkStart w:id="48" w:name="_Ref502868502"/>
      <w:bookmarkStart w:id="49" w:name="_Toc503117092"/>
      <w:bookmarkStart w:id="50" w:name="_Toc505259169"/>
      <w:bookmarkStart w:id="51" w:name="_Toc505256236"/>
      <w:bookmarkStart w:id="52" w:name="_Toc505618279"/>
      <w:r w:rsidRPr="0084761C">
        <w:lastRenderedPageBreak/>
        <w:t xml:space="preserve">TOR 1.2 | </w:t>
      </w:r>
      <w:r w:rsidR="00EB1298" w:rsidRPr="0084761C">
        <w:t>Review and assess each organisation’s efficiency and effectiveness in performing the functions of a native title representative body over the past 3 years (with the main focus on recent performance) including: whether the organisation’s assessment and prioritisation of applications are equitable, transparent and robust.</w:t>
      </w:r>
      <w:bookmarkEnd w:id="41"/>
      <w:bookmarkEnd w:id="42"/>
      <w:bookmarkEnd w:id="43"/>
      <w:bookmarkEnd w:id="44"/>
      <w:bookmarkEnd w:id="45"/>
      <w:bookmarkEnd w:id="46"/>
      <w:bookmarkEnd w:id="47"/>
      <w:bookmarkEnd w:id="48"/>
      <w:bookmarkEnd w:id="49"/>
      <w:bookmarkEnd w:id="50"/>
      <w:bookmarkEnd w:id="51"/>
      <w:bookmarkEnd w:id="52"/>
    </w:p>
    <w:p w14:paraId="571CB76E" w14:textId="77777777" w:rsidR="00CD6900" w:rsidRPr="00CD6900" w:rsidRDefault="00CD6900" w:rsidP="00CD6900">
      <w:pPr>
        <w:rPr>
          <w:lang w:eastAsia="en-AU"/>
        </w:rPr>
      </w:pPr>
    </w:p>
    <w:p w14:paraId="681C5781" w14:textId="77777777" w:rsidR="008243DF" w:rsidRPr="008243DF" w:rsidRDefault="008243DF" w:rsidP="008243DF">
      <w:pPr>
        <w:shd w:val="clear" w:color="auto" w:fill="E6E6E1" w:themeFill="accent5"/>
        <w:spacing w:line="259" w:lineRule="auto"/>
        <w:rPr>
          <w:rFonts w:eastAsia="Times New Roman"/>
          <w:b/>
          <w:bCs/>
          <w:color w:val="00264D" w:themeColor="background2"/>
          <w:lang w:eastAsia="en-AU"/>
        </w:rPr>
      </w:pPr>
      <w:r w:rsidRPr="008243DF">
        <w:rPr>
          <w:rFonts w:eastAsia="Times New Roman"/>
          <w:b/>
          <w:color w:val="00264D" w:themeColor="background2"/>
          <w:lang w:eastAsia="en-AU"/>
        </w:rPr>
        <w:t>CLCAC has an internally agreed, long-term approach to the prioritisation of native title claims which is driven by its Board.</w:t>
      </w:r>
      <w:r w:rsidRPr="008243DF">
        <w:rPr>
          <w:rFonts w:eastAsia="Times New Roman"/>
          <w:bCs/>
          <w:color w:val="00264D" w:themeColor="background2"/>
          <w:lang w:eastAsia="en-AU"/>
        </w:rPr>
        <w:t xml:space="preserve"> All Board members were able to clearly articulate the strategic approach that was used and the reasons the prioritisation approach has been adopted over CLCAC’s history. In line with other NTRB-SPs, priority has primarily been given to the strongest claims and those most likely to achieve a positive native title outcome. </w:t>
      </w:r>
    </w:p>
    <w:p w14:paraId="2255CCC7" w14:textId="77777777" w:rsidR="008243DF" w:rsidRPr="008243DF" w:rsidRDefault="008243DF" w:rsidP="008243DF">
      <w:pPr>
        <w:shd w:val="clear" w:color="auto" w:fill="E6E6E1" w:themeFill="accent5"/>
        <w:spacing w:after="0" w:line="259" w:lineRule="auto"/>
        <w:rPr>
          <w:b/>
          <w:color w:val="00264D" w:themeColor="background2"/>
        </w:rPr>
      </w:pPr>
      <w:r w:rsidRPr="008243DF">
        <w:rPr>
          <w:rFonts w:eastAsia="Times New Roman"/>
          <w:bCs/>
          <w:color w:val="00264D" w:themeColor="background2"/>
          <w:lang w:eastAsia="en-AU"/>
        </w:rPr>
        <w:t>In addition, external factors such as the need to lodge a claim in response to industry activity has also influenced which claim is prioritised in some instances. This prioritisation process is communicated to clients when they make a request for assistance and client awareness and satisfaction with the prioritisation process was generally strong.</w:t>
      </w:r>
    </w:p>
    <w:p w14:paraId="36F386E0" w14:textId="5ECABFDB" w:rsidR="001C35F2" w:rsidRDefault="001C35F2" w:rsidP="008F436A">
      <w:pPr>
        <w:rPr>
          <w:lang w:eastAsia="en-AU"/>
        </w:rPr>
      </w:pPr>
    </w:p>
    <w:p w14:paraId="1608CB9A" w14:textId="4F97E4FE" w:rsidR="00F64BB4" w:rsidRPr="007F663B" w:rsidRDefault="00F5645D" w:rsidP="007F663B">
      <w:pPr>
        <w:rPr>
          <w:b/>
          <w:bCs/>
          <w:i/>
          <w:iCs/>
          <w:color w:val="00264D" w:themeColor="background2"/>
        </w:rPr>
      </w:pPr>
      <w:r w:rsidRPr="007F663B">
        <w:rPr>
          <w:b/>
          <w:bCs/>
          <w:i/>
          <w:iCs/>
          <w:color w:val="00264D" w:themeColor="background2"/>
        </w:rPr>
        <w:t>No r</w:t>
      </w:r>
      <w:r w:rsidR="00F64BB4" w:rsidRPr="007F663B">
        <w:rPr>
          <w:b/>
          <w:bCs/>
          <w:i/>
          <w:iCs/>
          <w:color w:val="00264D" w:themeColor="background2"/>
        </w:rPr>
        <w:t xml:space="preserve">ecommendations </w:t>
      </w:r>
      <w:r w:rsidRPr="007F663B">
        <w:rPr>
          <w:b/>
          <w:bCs/>
          <w:i/>
          <w:iCs/>
          <w:color w:val="00264D" w:themeColor="background2"/>
        </w:rPr>
        <w:t xml:space="preserve">were made </w:t>
      </w:r>
      <w:r w:rsidR="00F64BB4" w:rsidRPr="007F663B">
        <w:rPr>
          <w:b/>
          <w:bCs/>
          <w:i/>
          <w:iCs/>
          <w:color w:val="00264D" w:themeColor="background2"/>
        </w:rPr>
        <w:t>for TOR 1.</w:t>
      </w:r>
      <w:r w:rsidR="00B66147" w:rsidRPr="007F663B">
        <w:rPr>
          <w:b/>
          <w:bCs/>
          <w:i/>
          <w:iCs/>
          <w:color w:val="00264D" w:themeColor="background2"/>
        </w:rPr>
        <w:t>2</w:t>
      </w:r>
      <w:r w:rsidRPr="007F663B">
        <w:rPr>
          <w:b/>
          <w:bCs/>
          <w:i/>
          <w:iCs/>
          <w:color w:val="00264D" w:themeColor="background2"/>
        </w:rPr>
        <w:t>.</w:t>
      </w:r>
    </w:p>
    <w:p w14:paraId="7042DD36" w14:textId="19F7ED83" w:rsidR="009D107E" w:rsidRDefault="009D107E" w:rsidP="00F64BB4">
      <w:pPr>
        <w:rPr>
          <w:lang w:eastAsia="en-AU"/>
        </w:rPr>
      </w:pPr>
    </w:p>
    <w:p w14:paraId="11D545B5" w14:textId="77777777" w:rsidR="00270623" w:rsidRDefault="00270623">
      <w:pPr>
        <w:spacing w:after="160" w:line="259" w:lineRule="auto"/>
        <w:rPr>
          <w:rFonts w:ascii="Segoe UI Semibold" w:eastAsia="Times New Roman" w:hAnsi="Segoe UI Semibold" w:cs="Times New Roman"/>
          <w:color w:val="00264D" w:themeColor="background2"/>
          <w:sz w:val="22"/>
          <w:szCs w:val="16"/>
          <w:lang w:eastAsia="en-AU"/>
        </w:rPr>
      </w:pPr>
      <w:bookmarkStart w:id="53" w:name="_Ref502726666"/>
      <w:bookmarkStart w:id="54" w:name="_Toc502839779"/>
      <w:bookmarkStart w:id="55" w:name="_Toc502843255"/>
      <w:bookmarkStart w:id="56" w:name="_Toc502847618"/>
      <w:bookmarkStart w:id="57" w:name="_Toc502850762"/>
      <w:bookmarkStart w:id="58" w:name="_Toc502855194"/>
      <w:bookmarkStart w:id="59" w:name="_Toc503117093"/>
      <w:bookmarkStart w:id="60" w:name="_Toc505259170"/>
      <w:bookmarkStart w:id="61" w:name="_Toc505256237"/>
      <w:bookmarkStart w:id="62" w:name="_Toc505618280"/>
      <w:r>
        <w:rPr>
          <w:sz w:val="22"/>
          <w:szCs w:val="16"/>
        </w:rPr>
        <w:br w:type="page"/>
      </w:r>
    </w:p>
    <w:p w14:paraId="4D30DDA5" w14:textId="6C22E5C2" w:rsidR="00EB1298" w:rsidRPr="0084761C" w:rsidRDefault="002E4BA7" w:rsidP="008243DF">
      <w:pPr>
        <w:pStyle w:val="Heading2"/>
      </w:pPr>
      <w:r w:rsidRPr="0084761C">
        <w:lastRenderedPageBreak/>
        <w:t xml:space="preserve">TOR 1.3 | </w:t>
      </w:r>
      <w:r w:rsidR="00EB1298" w:rsidRPr="0084761C">
        <w:t>Review and assess each organisations’ efficiency and effectiveness in performing the functions of a native title representative body over the past 3 years (with the main focus on recent performance) including: whether the organisation deals respectfully, equitably, transparently and in a culturally appropriate manner with clients, persons seeking assistance, and persons refused assistance.</w:t>
      </w:r>
      <w:bookmarkEnd w:id="53"/>
      <w:bookmarkEnd w:id="54"/>
      <w:bookmarkEnd w:id="55"/>
      <w:bookmarkEnd w:id="56"/>
      <w:bookmarkEnd w:id="57"/>
      <w:bookmarkEnd w:id="58"/>
      <w:bookmarkEnd w:id="59"/>
      <w:bookmarkEnd w:id="60"/>
      <w:bookmarkEnd w:id="61"/>
      <w:bookmarkEnd w:id="62"/>
    </w:p>
    <w:p w14:paraId="4F68E0A7" w14:textId="77777777" w:rsidR="000B7985" w:rsidRPr="000B7985" w:rsidRDefault="000B7985" w:rsidP="000B7985">
      <w:pPr>
        <w:rPr>
          <w:lang w:eastAsia="en-AU"/>
        </w:rPr>
      </w:pPr>
    </w:p>
    <w:p w14:paraId="14A820D4" w14:textId="77777777" w:rsidR="00191ECE" w:rsidRPr="00E20D32" w:rsidRDefault="00191ECE" w:rsidP="00E20D32">
      <w:pPr>
        <w:shd w:val="clear" w:color="auto" w:fill="E6E6E1" w:themeFill="accent5"/>
        <w:spacing w:after="0" w:line="259" w:lineRule="auto"/>
        <w:rPr>
          <w:rFonts w:eastAsia="Times New Roman"/>
          <w:b/>
          <w:bCs/>
          <w:color w:val="00264D" w:themeColor="background2"/>
          <w:lang w:eastAsia="en-AU"/>
        </w:rPr>
      </w:pPr>
      <w:r w:rsidRPr="00E20D32">
        <w:rPr>
          <w:rFonts w:eastAsia="Times New Roman"/>
          <w:b/>
          <w:color w:val="00264D" w:themeColor="background2"/>
          <w:lang w:eastAsia="en-AU"/>
        </w:rPr>
        <w:t>CLCAC has a strong approach to working with the community, characterised by an “on the ground” presence and transparent approach.</w:t>
      </w:r>
      <w:r w:rsidRPr="00E20D32">
        <w:rPr>
          <w:rFonts w:eastAsia="Times New Roman"/>
          <w:bCs/>
          <w:color w:val="00264D" w:themeColor="background2"/>
          <w:lang w:eastAsia="en-AU"/>
        </w:rPr>
        <w:t xml:space="preserve"> CLCAC adopts a range of consultative mechanisms to ensure ongoing and respectful engagement with the communities in the region. Clients were positive on the manner CLCAC engages and communicated they do so in a respectful manner. </w:t>
      </w:r>
    </w:p>
    <w:p w14:paraId="110014C0" w14:textId="77777777" w:rsidR="00191ECE" w:rsidRPr="00E20D32" w:rsidRDefault="00191ECE" w:rsidP="00E20D32">
      <w:pPr>
        <w:shd w:val="clear" w:color="auto" w:fill="E6E6E1" w:themeFill="accent5"/>
        <w:spacing w:after="0" w:line="259" w:lineRule="auto"/>
        <w:rPr>
          <w:b/>
          <w:color w:val="00264D" w:themeColor="background2"/>
        </w:rPr>
      </w:pPr>
      <w:r w:rsidRPr="00E20D32">
        <w:rPr>
          <w:rFonts w:eastAsia="Times New Roman"/>
          <w:bCs/>
          <w:color w:val="00264D" w:themeColor="background2"/>
          <w:lang w:eastAsia="en-AU"/>
        </w:rPr>
        <w:t>Clients also provided positive feedback on the cultural appropriateness of CLCAC’s engagement with them. Staff working with community members typically had previous experience working within the region or in other remote areas of Australia and informal and formal cultural awareness practices supported ongoing consideration of the cultural nuances of the region. This is supported by high numbers of Indigenous staff within the organisation and the availability of community elders (such as Board members) to provide community specific guidance. CLCAC’s processes are transparent to clients – with a reported openness on claims and operational policies.</w:t>
      </w:r>
    </w:p>
    <w:p w14:paraId="04336A15" w14:textId="77777777" w:rsidR="00D56755" w:rsidRDefault="00D56755" w:rsidP="00D56755">
      <w:pPr>
        <w:rPr>
          <w:lang w:eastAsia="en-AU"/>
        </w:rPr>
      </w:pPr>
    </w:p>
    <w:p w14:paraId="4379612D" w14:textId="17A81FC7" w:rsidR="00D56755" w:rsidRPr="007F663B" w:rsidRDefault="00527814" w:rsidP="007F663B">
      <w:pPr>
        <w:rPr>
          <w:b/>
          <w:bCs/>
          <w:i/>
          <w:iCs/>
          <w:color w:val="00264D" w:themeColor="background2"/>
        </w:rPr>
      </w:pPr>
      <w:r w:rsidRPr="007F663B">
        <w:rPr>
          <w:b/>
          <w:bCs/>
          <w:i/>
          <w:iCs/>
          <w:color w:val="00264D" w:themeColor="background2"/>
        </w:rPr>
        <w:t>No r</w:t>
      </w:r>
      <w:r w:rsidR="00D56755" w:rsidRPr="007F663B">
        <w:rPr>
          <w:b/>
          <w:bCs/>
          <w:i/>
          <w:iCs/>
          <w:color w:val="00264D" w:themeColor="background2"/>
        </w:rPr>
        <w:t>ecommendations</w:t>
      </w:r>
      <w:r w:rsidR="00274A34" w:rsidRPr="007F663B">
        <w:rPr>
          <w:b/>
          <w:bCs/>
          <w:i/>
          <w:iCs/>
          <w:color w:val="00264D" w:themeColor="background2"/>
        </w:rPr>
        <w:t xml:space="preserve"> </w:t>
      </w:r>
      <w:r w:rsidRPr="007F663B">
        <w:rPr>
          <w:b/>
          <w:bCs/>
          <w:i/>
          <w:iCs/>
          <w:color w:val="00264D" w:themeColor="background2"/>
        </w:rPr>
        <w:t xml:space="preserve">were made </w:t>
      </w:r>
      <w:r w:rsidR="00274A34" w:rsidRPr="007F663B">
        <w:rPr>
          <w:b/>
          <w:bCs/>
          <w:i/>
          <w:iCs/>
          <w:color w:val="00264D" w:themeColor="background2"/>
        </w:rPr>
        <w:t>for TOR 1.3</w:t>
      </w:r>
      <w:r w:rsidRPr="007F663B">
        <w:rPr>
          <w:b/>
          <w:bCs/>
          <w:i/>
          <w:iCs/>
          <w:color w:val="00264D" w:themeColor="background2"/>
        </w:rPr>
        <w:t>.</w:t>
      </w:r>
    </w:p>
    <w:p w14:paraId="3B033851" w14:textId="2B4C46DE" w:rsidR="000B7985" w:rsidRDefault="000B7985" w:rsidP="000B7985">
      <w:pPr>
        <w:rPr>
          <w:lang w:eastAsia="en-AU"/>
        </w:rPr>
      </w:pPr>
    </w:p>
    <w:p w14:paraId="6A79A87F" w14:textId="2ABD69AE" w:rsidR="009D107E" w:rsidRDefault="009D107E" w:rsidP="0084761C">
      <w:pPr>
        <w:rPr>
          <w:lang w:eastAsia="en-AU"/>
        </w:rPr>
      </w:pPr>
      <w:r>
        <w:rPr>
          <w:lang w:eastAsia="en-AU"/>
        </w:rPr>
        <w:br w:type="page"/>
      </w:r>
    </w:p>
    <w:p w14:paraId="1BDE963C" w14:textId="3FA86629" w:rsidR="00EB1298" w:rsidRPr="0084761C" w:rsidRDefault="002E4BA7" w:rsidP="00E20D32">
      <w:pPr>
        <w:pStyle w:val="Heading2"/>
      </w:pPr>
      <w:bookmarkStart w:id="63" w:name="_Toc501895344"/>
      <w:bookmarkStart w:id="64" w:name="_Toc502839780"/>
      <w:bookmarkStart w:id="65" w:name="_Toc502843256"/>
      <w:bookmarkStart w:id="66" w:name="_Toc502847619"/>
      <w:bookmarkStart w:id="67" w:name="_Toc502850763"/>
      <w:bookmarkStart w:id="68" w:name="_Toc502855195"/>
      <w:bookmarkStart w:id="69" w:name="_Ref502870069"/>
      <w:bookmarkStart w:id="70" w:name="_Toc503117094"/>
      <w:bookmarkStart w:id="71" w:name="_Toc505259171"/>
      <w:bookmarkStart w:id="72" w:name="_Toc505256238"/>
      <w:bookmarkStart w:id="73" w:name="_Toc505618281"/>
      <w:r w:rsidRPr="0084761C">
        <w:lastRenderedPageBreak/>
        <w:t xml:space="preserve">TOR 2 | </w:t>
      </w:r>
      <w:r w:rsidR="00EB1298" w:rsidRPr="0084761C">
        <w:t>Review and assess each organisation’s cost effectiveness in performing the functions of a native title representative body, including the key cost drivers for each organisation.</w:t>
      </w:r>
      <w:bookmarkEnd w:id="63"/>
      <w:bookmarkEnd w:id="64"/>
      <w:bookmarkEnd w:id="65"/>
      <w:bookmarkEnd w:id="66"/>
      <w:bookmarkEnd w:id="67"/>
      <w:bookmarkEnd w:id="68"/>
      <w:bookmarkEnd w:id="69"/>
      <w:bookmarkEnd w:id="70"/>
      <w:bookmarkEnd w:id="71"/>
      <w:bookmarkEnd w:id="72"/>
      <w:bookmarkEnd w:id="73"/>
    </w:p>
    <w:p w14:paraId="743F21FD" w14:textId="77777777" w:rsidR="00E20D32" w:rsidRPr="00E20D32" w:rsidRDefault="00E20D32" w:rsidP="00E20D32">
      <w:pPr>
        <w:shd w:val="clear" w:color="auto" w:fill="E6E6E1" w:themeFill="accent5"/>
        <w:spacing w:line="259" w:lineRule="auto"/>
        <w:rPr>
          <w:rFonts w:eastAsia="Times New Roman"/>
          <w:b/>
          <w:bCs/>
          <w:color w:val="00264D" w:themeColor="background2"/>
          <w:lang w:eastAsia="en-AU"/>
        </w:rPr>
      </w:pPr>
      <w:r w:rsidRPr="00E20D32">
        <w:rPr>
          <w:rFonts w:eastAsia="Times New Roman"/>
          <w:b/>
          <w:color w:val="00264D" w:themeColor="background2"/>
          <w:lang w:eastAsia="en-AU"/>
        </w:rPr>
        <w:t xml:space="preserve">CLCAC has put in place several policies to reduce costs associated with travel and the hosting of claim group meetings, including aligning multiple meetings and adopting cost-effective travel options. </w:t>
      </w:r>
      <w:r w:rsidRPr="00E20D32">
        <w:rPr>
          <w:rFonts w:eastAsia="Times New Roman"/>
          <w:bCs/>
          <w:color w:val="00264D" w:themeColor="background2"/>
          <w:lang w:eastAsia="en-AU"/>
        </w:rPr>
        <w:t>This includes a policy that supports travel for clients and potential clients to ensure equitable opportunity to engage in the native title system. Native title claim group meetings appear to be well managed and efficiently delivered.</w:t>
      </w:r>
    </w:p>
    <w:p w14:paraId="3507DEB9" w14:textId="77777777" w:rsidR="00E20D32" w:rsidRPr="00E20D32" w:rsidRDefault="00E20D32" w:rsidP="00E20D32">
      <w:pPr>
        <w:shd w:val="clear" w:color="auto" w:fill="E6E6E1" w:themeFill="accent5"/>
        <w:spacing w:line="259" w:lineRule="auto"/>
        <w:rPr>
          <w:rFonts w:eastAsia="Times New Roman"/>
          <w:b/>
          <w:bCs/>
          <w:color w:val="00264D" w:themeColor="background2"/>
          <w:lang w:eastAsia="en-AU"/>
        </w:rPr>
      </w:pPr>
      <w:r w:rsidRPr="00E20D32">
        <w:rPr>
          <w:rFonts w:eastAsia="Times New Roman"/>
          <w:bCs/>
          <w:color w:val="00264D" w:themeColor="background2"/>
          <w:lang w:eastAsia="en-AU"/>
        </w:rPr>
        <w:t xml:space="preserve">CLCAC’s approach to native title is defined by its use of external legal and anthropological consultants. While this results in higher fees, the Review considers the approach to be more cost-effective given the particular nature and challenges of the RATSIB area. Analysis of comparative funding ratios does not indicate that CLCAC’s operations are less efficient than other NTRB-SPs. The PLO works with the Board to proactively manage external consultants to minimise risks and ensure value. The PLO has previously been an external consultant, but it is now an in-house role.  </w:t>
      </w:r>
    </w:p>
    <w:p w14:paraId="09F823C5" w14:textId="77777777" w:rsidR="00E20D32" w:rsidRPr="00E20D32" w:rsidRDefault="00E20D32" w:rsidP="00E20D32">
      <w:pPr>
        <w:shd w:val="clear" w:color="auto" w:fill="E6E6E1" w:themeFill="accent5"/>
        <w:spacing w:after="0" w:line="259" w:lineRule="auto"/>
        <w:rPr>
          <w:b/>
          <w:color w:val="00264D" w:themeColor="background2"/>
        </w:rPr>
      </w:pPr>
      <w:r w:rsidRPr="00E20D32">
        <w:rPr>
          <w:rFonts w:eastAsia="Times New Roman"/>
          <w:bCs/>
          <w:color w:val="00264D" w:themeColor="background2"/>
          <w:lang w:eastAsia="en-AU"/>
        </w:rPr>
        <w:t>Several attribution factors have an impact on CLCAC’s ability to achieve native title outcomes in a cost-effective manner – most notably the high levels of remoteness of the RATSIB area.</w:t>
      </w:r>
    </w:p>
    <w:p w14:paraId="1EBCE27C" w14:textId="77777777" w:rsidR="00F04952" w:rsidRDefault="00F04952" w:rsidP="00E20D32"/>
    <w:p w14:paraId="19C81F18" w14:textId="35DDF2EB" w:rsidR="0084761C" w:rsidRPr="007F663B" w:rsidRDefault="0084761C" w:rsidP="007F663B">
      <w:pPr>
        <w:rPr>
          <w:b/>
          <w:bCs/>
          <w:i/>
          <w:iCs/>
          <w:color w:val="00264D" w:themeColor="background2"/>
        </w:rPr>
      </w:pPr>
      <w:r w:rsidRPr="007F663B">
        <w:rPr>
          <w:b/>
          <w:bCs/>
          <w:i/>
          <w:iCs/>
          <w:color w:val="00264D" w:themeColor="background2"/>
        </w:rPr>
        <w:t>No recommendations were made for TOR</w:t>
      </w:r>
      <w:r w:rsidR="00B66147" w:rsidRPr="007F663B">
        <w:rPr>
          <w:b/>
          <w:bCs/>
          <w:i/>
          <w:iCs/>
          <w:color w:val="00264D" w:themeColor="background2"/>
        </w:rPr>
        <w:t xml:space="preserve"> </w:t>
      </w:r>
      <w:r w:rsidRPr="007F663B">
        <w:rPr>
          <w:b/>
          <w:bCs/>
          <w:i/>
          <w:iCs/>
          <w:color w:val="00264D" w:themeColor="background2"/>
        </w:rPr>
        <w:t xml:space="preserve">2. </w:t>
      </w:r>
    </w:p>
    <w:p w14:paraId="2C63E74E" w14:textId="0FAD6B70" w:rsidR="00AF5974" w:rsidRDefault="00AF5974" w:rsidP="00E5318B">
      <w:pPr>
        <w:rPr>
          <w:lang w:eastAsia="en-AU"/>
        </w:rPr>
      </w:pPr>
    </w:p>
    <w:p w14:paraId="0AFF61D6" w14:textId="77777777" w:rsidR="00AF5974" w:rsidRDefault="00AF5974" w:rsidP="00E5318B">
      <w:pPr>
        <w:rPr>
          <w:lang w:eastAsia="en-AU"/>
        </w:rPr>
      </w:pPr>
    </w:p>
    <w:p w14:paraId="4F831148" w14:textId="77777777" w:rsidR="00270623" w:rsidRDefault="00270623">
      <w:pPr>
        <w:spacing w:after="160" w:line="259" w:lineRule="auto"/>
        <w:rPr>
          <w:rFonts w:ascii="Segoe UI Semibold" w:eastAsia="Times New Roman" w:hAnsi="Segoe UI Semibold" w:cs="Times New Roman"/>
          <w:color w:val="00264D" w:themeColor="background2"/>
          <w:sz w:val="22"/>
          <w:szCs w:val="16"/>
          <w:lang w:eastAsia="en-AU"/>
        </w:rPr>
      </w:pPr>
      <w:bookmarkStart w:id="74" w:name="_Toc501895345"/>
      <w:bookmarkStart w:id="75" w:name="_Toc502839781"/>
      <w:bookmarkStart w:id="76" w:name="_Toc502843257"/>
      <w:bookmarkStart w:id="77" w:name="_Toc502847620"/>
      <w:bookmarkStart w:id="78" w:name="_Toc502850764"/>
      <w:bookmarkStart w:id="79" w:name="_Toc502855196"/>
      <w:bookmarkStart w:id="80" w:name="_Toc503117095"/>
      <w:bookmarkStart w:id="81" w:name="_Toc505259172"/>
      <w:bookmarkStart w:id="82" w:name="_Toc505256239"/>
      <w:bookmarkStart w:id="83" w:name="_Toc505618282"/>
      <w:r>
        <w:rPr>
          <w:sz w:val="22"/>
          <w:szCs w:val="16"/>
        </w:rPr>
        <w:br w:type="page"/>
      </w:r>
    </w:p>
    <w:p w14:paraId="1A9C2B21" w14:textId="14A43FE0" w:rsidR="0084761C" w:rsidRPr="0084761C" w:rsidRDefault="002E4BA7" w:rsidP="0084761C">
      <w:pPr>
        <w:pStyle w:val="Heading2"/>
      </w:pPr>
      <w:r w:rsidRPr="0084761C">
        <w:lastRenderedPageBreak/>
        <w:t xml:space="preserve">TOR 3 | </w:t>
      </w:r>
      <w:r w:rsidR="00EB1298" w:rsidRPr="0084761C">
        <w:t xml:space="preserve">Review and assess each organisation’s strategies for driving and tracking its achievement against key performance indicators in its funding agreement with </w:t>
      </w:r>
      <w:bookmarkEnd w:id="74"/>
      <w:bookmarkEnd w:id="75"/>
      <w:bookmarkEnd w:id="76"/>
      <w:bookmarkEnd w:id="77"/>
      <w:bookmarkEnd w:id="78"/>
      <w:bookmarkEnd w:id="79"/>
      <w:bookmarkEnd w:id="80"/>
      <w:bookmarkEnd w:id="81"/>
      <w:bookmarkEnd w:id="82"/>
      <w:bookmarkEnd w:id="83"/>
      <w:r w:rsidR="002C3710" w:rsidRPr="0084761C">
        <w:t>the NIAA</w:t>
      </w:r>
      <w:r w:rsidRPr="0084761C">
        <w:t>.</w:t>
      </w:r>
    </w:p>
    <w:p w14:paraId="23FFB9A6" w14:textId="77777777" w:rsidR="00E20D32" w:rsidRPr="00E20D32" w:rsidRDefault="00E20D32" w:rsidP="00E20D32">
      <w:pPr>
        <w:shd w:val="clear" w:color="auto" w:fill="E6E6E1" w:themeFill="accent5"/>
        <w:spacing w:after="0" w:line="259" w:lineRule="auto"/>
        <w:rPr>
          <w:b/>
          <w:color w:val="00264D" w:themeColor="background2"/>
        </w:rPr>
      </w:pPr>
      <w:r w:rsidRPr="00E20D32">
        <w:rPr>
          <w:rFonts w:eastAsia="Times New Roman"/>
          <w:b/>
          <w:color w:val="00264D" w:themeColor="background2"/>
          <w:lang w:eastAsia="en-AU"/>
        </w:rPr>
        <w:t>CLCAC has embedded the NIAA’s reporting requirements in its own internal practices. CLCAC actively monitors progress of claims against the NIAA’s milestone reporting.</w:t>
      </w:r>
      <w:r w:rsidRPr="00E20D32">
        <w:rPr>
          <w:rFonts w:eastAsia="Times New Roman"/>
          <w:bCs/>
          <w:color w:val="00264D" w:themeColor="background2"/>
          <w:lang w:eastAsia="en-AU"/>
        </w:rPr>
        <w:t xml:space="preserve"> The milestones are integrated into the management of external lawyers and anthropologists to ensure accountability and alignment with agreed organisational progress. This approach has superseded previous approaches for monitoring native title progress.</w:t>
      </w:r>
    </w:p>
    <w:p w14:paraId="1F11C9C4" w14:textId="77777777" w:rsidR="007532E7" w:rsidRDefault="007532E7" w:rsidP="007532E7">
      <w:pPr>
        <w:rPr>
          <w:lang w:eastAsia="en-AU"/>
        </w:rPr>
      </w:pPr>
    </w:p>
    <w:p w14:paraId="08762578" w14:textId="6BE5CD1F" w:rsidR="007532E7" w:rsidRPr="007F663B" w:rsidRDefault="00EE733D" w:rsidP="007F663B">
      <w:pPr>
        <w:rPr>
          <w:b/>
          <w:bCs/>
          <w:i/>
          <w:iCs/>
          <w:color w:val="00264D" w:themeColor="background2"/>
        </w:rPr>
      </w:pPr>
      <w:r w:rsidRPr="007F663B">
        <w:rPr>
          <w:b/>
          <w:bCs/>
          <w:i/>
          <w:iCs/>
          <w:color w:val="00264D" w:themeColor="background2"/>
        </w:rPr>
        <w:t>No r</w:t>
      </w:r>
      <w:r w:rsidR="007532E7" w:rsidRPr="007F663B">
        <w:rPr>
          <w:b/>
          <w:bCs/>
          <w:i/>
          <w:iCs/>
          <w:color w:val="00264D" w:themeColor="background2"/>
        </w:rPr>
        <w:t>ecommendations</w:t>
      </w:r>
      <w:r w:rsidR="00274A34" w:rsidRPr="007F663B">
        <w:rPr>
          <w:b/>
          <w:bCs/>
          <w:i/>
          <w:iCs/>
          <w:color w:val="00264D" w:themeColor="background2"/>
        </w:rPr>
        <w:t xml:space="preserve"> </w:t>
      </w:r>
      <w:r w:rsidRPr="007F663B">
        <w:rPr>
          <w:b/>
          <w:bCs/>
          <w:i/>
          <w:iCs/>
          <w:color w:val="00264D" w:themeColor="background2"/>
        </w:rPr>
        <w:t xml:space="preserve">were made </w:t>
      </w:r>
      <w:r w:rsidR="00274A34" w:rsidRPr="007F663B">
        <w:rPr>
          <w:b/>
          <w:bCs/>
          <w:i/>
          <w:iCs/>
          <w:color w:val="00264D" w:themeColor="background2"/>
        </w:rPr>
        <w:t>for TOR 3</w:t>
      </w:r>
      <w:r w:rsidRPr="007F663B">
        <w:rPr>
          <w:b/>
          <w:bCs/>
          <w:i/>
          <w:iCs/>
          <w:color w:val="00264D" w:themeColor="background2"/>
        </w:rPr>
        <w:t>.</w:t>
      </w:r>
    </w:p>
    <w:p w14:paraId="614C5AA1" w14:textId="63CD5154" w:rsidR="00DF3798" w:rsidRDefault="00DF3798">
      <w:pPr>
        <w:spacing w:after="160" w:line="259" w:lineRule="auto"/>
      </w:pPr>
      <w:r>
        <w:br w:type="page"/>
      </w:r>
    </w:p>
    <w:p w14:paraId="455FF01D" w14:textId="3E3037E9" w:rsidR="00EB1298" w:rsidRPr="0084761C" w:rsidRDefault="002E4BA7" w:rsidP="00E20D32">
      <w:pPr>
        <w:pStyle w:val="Heading2"/>
      </w:pPr>
      <w:bookmarkStart w:id="84" w:name="_Toc501895346"/>
      <w:bookmarkStart w:id="85" w:name="_Toc502839782"/>
      <w:bookmarkStart w:id="86" w:name="_Toc502843258"/>
      <w:bookmarkStart w:id="87" w:name="_Toc502847621"/>
      <w:bookmarkStart w:id="88" w:name="_Toc502850765"/>
      <w:bookmarkStart w:id="89" w:name="_Toc502855197"/>
      <w:bookmarkStart w:id="90" w:name="_Ref502870747"/>
      <w:bookmarkStart w:id="91" w:name="_Ref502909938"/>
      <w:bookmarkStart w:id="92" w:name="_Toc503117096"/>
      <w:bookmarkStart w:id="93" w:name="_Toc505259173"/>
      <w:bookmarkStart w:id="94" w:name="_Toc505256240"/>
      <w:bookmarkStart w:id="95" w:name="_Ref505607381"/>
      <w:bookmarkStart w:id="96" w:name="_Toc505618283"/>
      <w:r w:rsidRPr="0084761C">
        <w:lastRenderedPageBreak/>
        <w:t xml:space="preserve">TOR 4 | </w:t>
      </w:r>
      <w:r w:rsidR="00EB1298" w:rsidRPr="0084761C">
        <w:t>Review and assess the extent to which each organisation’s governance structures and organisational policies and practices support efficient and effective project delivery including: the breakdown of responsibilities between the organisation’s Board, Chairperson, Chief Executive Officer and senior staff; its financial management; the standard to which it manages and resolves any conflicts of interest; the standard to which it manages and resolves any complaints.</w:t>
      </w:r>
      <w:bookmarkEnd w:id="84"/>
      <w:bookmarkEnd w:id="85"/>
      <w:bookmarkEnd w:id="86"/>
      <w:bookmarkEnd w:id="87"/>
      <w:bookmarkEnd w:id="88"/>
      <w:bookmarkEnd w:id="89"/>
      <w:bookmarkEnd w:id="90"/>
      <w:bookmarkEnd w:id="91"/>
      <w:bookmarkEnd w:id="92"/>
      <w:bookmarkEnd w:id="93"/>
      <w:bookmarkEnd w:id="94"/>
      <w:bookmarkEnd w:id="95"/>
      <w:bookmarkEnd w:id="96"/>
    </w:p>
    <w:p w14:paraId="125F7B22" w14:textId="7F755E3E" w:rsidR="00771CAE" w:rsidRDefault="00771CAE" w:rsidP="00771CAE">
      <w:pPr>
        <w:rPr>
          <w:lang w:eastAsia="en-AU"/>
        </w:rPr>
      </w:pPr>
    </w:p>
    <w:p w14:paraId="37E71C7C" w14:textId="77777777" w:rsidR="00867843" w:rsidRPr="00867843" w:rsidRDefault="00867843" w:rsidP="00867843">
      <w:pPr>
        <w:shd w:val="clear" w:color="auto" w:fill="E6E6E1" w:themeFill="accent5"/>
        <w:spacing w:after="0" w:line="259" w:lineRule="auto"/>
        <w:rPr>
          <w:rFonts w:eastAsia="Times New Roman"/>
          <w:b/>
          <w:bCs/>
          <w:color w:val="00264D" w:themeColor="background2"/>
          <w:lang w:eastAsia="en-AU"/>
        </w:rPr>
      </w:pPr>
      <w:r w:rsidRPr="00867843">
        <w:rPr>
          <w:rFonts w:eastAsia="Times New Roman"/>
          <w:b/>
          <w:color w:val="00264D" w:themeColor="background2"/>
          <w:lang w:eastAsia="en-AU"/>
        </w:rPr>
        <w:t>The Board and Executive team appear to operate very effectively together. CLCAC’s structure spreads senior responsibility across three executive positions – the CEO, PLO and the Corporate Services Manager - which appears optimal for the size of the organisation. Senior staff take on operational responsibilities and are highly involved in all levels of decision making across the organisation.</w:t>
      </w:r>
      <w:r w:rsidRPr="00867843">
        <w:rPr>
          <w:rFonts w:eastAsia="Times New Roman"/>
          <w:bCs/>
          <w:color w:val="00264D" w:themeColor="background2"/>
          <w:lang w:eastAsia="en-AU"/>
        </w:rPr>
        <w:t xml:space="preserve"> There are opportunities to reconsider and plan for a more efficient and sustainable allocation of strategic and operational activities and decision-making within CLCAC. To support this, it is necessary that CLCAC continues to build the capability of non-senior staff members to enable operational and administrative decision-making to occur at the appropriate levels and increase the capacity of senior staff to consistently focus on more strategic work.</w:t>
      </w:r>
    </w:p>
    <w:p w14:paraId="383CA214" w14:textId="77777777" w:rsidR="00867843" w:rsidRPr="00867843" w:rsidRDefault="00867843" w:rsidP="00867843">
      <w:pPr>
        <w:shd w:val="clear" w:color="auto" w:fill="E6E6E1" w:themeFill="accent5"/>
        <w:spacing w:after="0" w:line="259" w:lineRule="auto"/>
        <w:rPr>
          <w:rFonts w:eastAsia="Times New Roman"/>
          <w:b/>
          <w:bCs/>
          <w:color w:val="00264D" w:themeColor="background2"/>
          <w:lang w:eastAsia="en-AU"/>
        </w:rPr>
      </w:pPr>
      <w:r w:rsidRPr="00867843">
        <w:rPr>
          <w:rFonts w:eastAsia="Times New Roman"/>
          <w:bCs/>
          <w:color w:val="00264D" w:themeColor="background2"/>
          <w:lang w:eastAsia="en-AU"/>
        </w:rPr>
        <w:t xml:space="preserve">CLCAC has a representative Board model which provides effective governance leadership to the organisation. Stakeholders reported that corporate governance arrangements were sound and Board performance was strong and culturally considered. Board Directors are well respected in their communities. </w:t>
      </w:r>
    </w:p>
    <w:p w14:paraId="0922BBBA" w14:textId="77777777" w:rsidR="00867843" w:rsidRPr="00867843" w:rsidRDefault="00867843" w:rsidP="00867843">
      <w:pPr>
        <w:shd w:val="clear" w:color="auto" w:fill="E6E6E1" w:themeFill="accent5"/>
        <w:spacing w:after="0" w:line="259" w:lineRule="auto"/>
        <w:rPr>
          <w:rFonts w:eastAsia="Times New Roman"/>
          <w:b/>
          <w:bCs/>
          <w:color w:val="00264D" w:themeColor="background2"/>
          <w:lang w:eastAsia="en-AU"/>
        </w:rPr>
      </w:pPr>
      <w:r w:rsidRPr="00867843">
        <w:rPr>
          <w:rFonts w:eastAsia="Times New Roman"/>
          <w:bCs/>
          <w:color w:val="00264D" w:themeColor="background2"/>
          <w:lang w:eastAsia="en-AU"/>
        </w:rPr>
        <w:t>Staff report a strong organisational culture and a commitment to a grass-roots approach to native title and economic development, although there are differences across CLCAC’s offices. CLCAC has sound practices and policies with regards to financial management, conflicts of interest and complaints.</w:t>
      </w:r>
    </w:p>
    <w:p w14:paraId="1488759C" w14:textId="77777777" w:rsidR="00867843" w:rsidRPr="00867843" w:rsidRDefault="00867843" w:rsidP="00867843">
      <w:pPr>
        <w:shd w:val="clear" w:color="auto" w:fill="E6E6E1" w:themeFill="accent5"/>
        <w:spacing w:after="0" w:line="259" w:lineRule="auto"/>
        <w:rPr>
          <w:b/>
          <w:color w:val="00264D" w:themeColor="background2"/>
        </w:rPr>
      </w:pPr>
      <w:r w:rsidRPr="00867843">
        <w:rPr>
          <w:rFonts w:eastAsia="Times New Roman"/>
          <w:bCs/>
          <w:color w:val="00264D" w:themeColor="background2"/>
          <w:lang w:eastAsia="en-AU"/>
        </w:rPr>
        <w:t>CLCAC has a sound approach to performance and professional development, however there are further opportunities to support ongoing training and professional development for non-Ranger staff members.</w:t>
      </w:r>
    </w:p>
    <w:p w14:paraId="455AFB70" w14:textId="77777777" w:rsidR="007F663B" w:rsidRDefault="007F663B" w:rsidP="007F663B">
      <w:pPr>
        <w:rPr>
          <w:b/>
          <w:bCs/>
          <w:i/>
          <w:iCs/>
          <w:color w:val="00264D" w:themeColor="background2"/>
        </w:rPr>
      </w:pPr>
    </w:p>
    <w:p w14:paraId="1B32EB0D" w14:textId="789348C1" w:rsidR="00F00DA4" w:rsidRPr="007F663B" w:rsidRDefault="00F00DA4" w:rsidP="003B61BB">
      <w:pPr>
        <w:outlineLvl w:val="2"/>
        <w:rPr>
          <w:b/>
          <w:bCs/>
          <w:i/>
          <w:iCs/>
          <w:color w:val="00264D" w:themeColor="background2"/>
        </w:rPr>
      </w:pPr>
      <w:r w:rsidRPr="007F663B">
        <w:rPr>
          <w:b/>
          <w:bCs/>
          <w:i/>
          <w:iCs/>
          <w:color w:val="00264D" w:themeColor="background2"/>
        </w:rPr>
        <w:t>Recommendations</w:t>
      </w:r>
      <w:r w:rsidR="00274A34" w:rsidRPr="007F663B">
        <w:rPr>
          <w:b/>
          <w:bCs/>
          <w:i/>
          <w:iCs/>
          <w:color w:val="00264D" w:themeColor="background2"/>
        </w:rPr>
        <w:t xml:space="preserve"> for TOR</w:t>
      </w:r>
      <w:r w:rsidR="00335367" w:rsidRPr="007F663B">
        <w:rPr>
          <w:b/>
          <w:bCs/>
          <w:i/>
          <w:iCs/>
          <w:color w:val="00264D" w:themeColor="background2"/>
        </w:rPr>
        <w:t xml:space="preserve"> 4</w:t>
      </w:r>
    </w:p>
    <w:p w14:paraId="2245040C" w14:textId="0D052D75" w:rsidR="00BF0967" w:rsidRPr="00BF0967" w:rsidRDefault="00BF0967" w:rsidP="00BF0967">
      <w:pPr>
        <w:rPr>
          <w:lang w:eastAsia="en-AU"/>
        </w:rPr>
      </w:pPr>
      <w:r>
        <w:rPr>
          <w:lang w:eastAsia="en-AU"/>
        </w:rPr>
        <w:t xml:space="preserve">The Review made six recommendations for TOR 4 on support provided by organisational governance structures, policies and practices. These are outlined below, as well as </w:t>
      </w:r>
      <w:r w:rsidR="00583EDA">
        <w:rPr>
          <w:lang w:eastAsia="en-AU"/>
        </w:rPr>
        <w:t>CLCAC</w:t>
      </w:r>
      <w:r>
        <w:rPr>
          <w:lang w:eastAsia="en-AU"/>
        </w:rPr>
        <w:t xml:space="preserve">’s response to these recommendations. </w:t>
      </w:r>
    </w:p>
    <w:p w14:paraId="4740B550" w14:textId="77777777" w:rsidR="00CC7BFC" w:rsidRPr="00CC7BFC" w:rsidRDefault="00CC7BFC" w:rsidP="003B61BB">
      <w:pPr>
        <w:shd w:val="clear" w:color="auto" w:fill="E6E6E1" w:themeFill="accent5"/>
        <w:outlineLvl w:val="3"/>
        <w:rPr>
          <w:b/>
          <w:bCs/>
          <w:color w:val="00264D" w:themeColor="background2"/>
        </w:rPr>
      </w:pPr>
      <w:r w:rsidRPr="00CC7BFC">
        <w:rPr>
          <w:b/>
          <w:bCs/>
          <w:color w:val="00264D" w:themeColor="background2"/>
        </w:rPr>
        <w:t>Recommendation 2</w:t>
      </w:r>
    </w:p>
    <w:p w14:paraId="1878937C" w14:textId="77777777" w:rsidR="00CC7BFC" w:rsidRPr="00CC7BFC" w:rsidRDefault="00CC7BFC" w:rsidP="00CC7BFC">
      <w:pPr>
        <w:shd w:val="clear" w:color="auto" w:fill="E6E6E1" w:themeFill="accent5"/>
        <w:rPr>
          <w:b/>
          <w:color w:val="00264D" w:themeColor="background2"/>
          <w:sz w:val="18"/>
        </w:rPr>
      </w:pPr>
      <w:r w:rsidRPr="00CC7BFC">
        <w:rPr>
          <w:color w:val="00264D" w:themeColor="background2"/>
          <w:sz w:val="18"/>
        </w:rPr>
        <w:t>CLCAC should revisit their key organisational documents, including the Policy and Procedures Manual, to more clearly communicate the distinction between the role played by the Board and by senior staff within the organisation. This should clearly articulate that strategic responsibilities for the organisation sit with the Board and operational responsibilities sit with the CEO and other senior staff.</w:t>
      </w:r>
    </w:p>
    <w:p w14:paraId="64BEB238" w14:textId="77777777" w:rsidR="00CC7BFC" w:rsidRPr="00CC7BFC" w:rsidRDefault="00CC7BFC" w:rsidP="003B61BB">
      <w:pPr>
        <w:outlineLvl w:val="4"/>
        <w:rPr>
          <w:b/>
          <w:bCs/>
          <w:color w:val="00264D" w:themeColor="background2"/>
        </w:rPr>
      </w:pPr>
      <w:r w:rsidRPr="00CC7BFC">
        <w:rPr>
          <w:b/>
          <w:bCs/>
          <w:color w:val="00264D" w:themeColor="background2"/>
        </w:rPr>
        <w:t xml:space="preserve">CLCAC response. </w:t>
      </w:r>
    </w:p>
    <w:p w14:paraId="02C7F4B3" w14:textId="77777777" w:rsidR="00CC7BFC" w:rsidRPr="00AF5974" w:rsidRDefault="00CC7BFC" w:rsidP="00CC7BFC">
      <w:pPr>
        <w:rPr>
          <w:sz w:val="18"/>
        </w:rPr>
      </w:pPr>
      <w:r w:rsidRPr="00AF5974">
        <w:rPr>
          <w:sz w:val="18"/>
        </w:rPr>
        <w:t xml:space="preserve">CLCAC management acknowledge that a review of CLCAC’s key organisational documents is overdue, however Management’s ability to attend to this previously has been impacted by a lack of resources to engage suitably qualified staff to fulfil key roles that would take pressure off the CEO and Deputy CEO, who are currently heavily involved in the day to day operations of the organisation. CLCAC was successful in securing funding for a Senior </w:t>
      </w:r>
      <w:r w:rsidRPr="00AF5974">
        <w:rPr>
          <w:sz w:val="18"/>
        </w:rPr>
        <w:lastRenderedPageBreak/>
        <w:t>Finance Officer at the mid-year funding round, however recruitment to this position was significantly delayed due to COVID-19. The successful applicant commenced with CLCAC on 13 July 2020.</w:t>
      </w:r>
    </w:p>
    <w:p w14:paraId="4C032F26" w14:textId="77777777" w:rsidR="00CC7BFC" w:rsidRPr="00AF5974" w:rsidRDefault="00CC7BFC" w:rsidP="00CC7BFC">
      <w:pPr>
        <w:rPr>
          <w:sz w:val="18"/>
        </w:rPr>
      </w:pPr>
      <w:r w:rsidRPr="00AF5974">
        <w:rPr>
          <w:sz w:val="18"/>
        </w:rPr>
        <w:t>It is anticipated this position will take considerable pressure off the Deputy CEO and allow her to concentrate more of her time assisting the CEO with the review of existing key documents, including the Policies and Procedures Manual, as well as finalisation and development of new Organisational documents, including various Emergency Response Plans, Fraud Risk and Business Resumption Plans.</w:t>
      </w:r>
    </w:p>
    <w:p w14:paraId="430944AC" w14:textId="3A306C93" w:rsidR="00335367" w:rsidRDefault="00335367" w:rsidP="00335367">
      <w:pPr>
        <w:rPr>
          <w:lang w:eastAsia="en-AU"/>
        </w:rPr>
      </w:pPr>
    </w:p>
    <w:p w14:paraId="14A55D71" w14:textId="77777777" w:rsidR="00CC7BFC" w:rsidRPr="00CC7BFC" w:rsidRDefault="00CC7BFC" w:rsidP="003B61BB">
      <w:pPr>
        <w:shd w:val="clear" w:color="auto" w:fill="E6E6E1" w:themeFill="accent5"/>
        <w:outlineLvl w:val="3"/>
        <w:rPr>
          <w:b/>
          <w:bCs/>
          <w:color w:val="00264D" w:themeColor="background2"/>
        </w:rPr>
      </w:pPr>
      <w:r w:rsidRPr="00CC7BFC">
        <w:rPr>
          <w:b/>
          <w:bCs/>
          <w:color w:val="00264D" w:themeColor="background2"/>
        </w:rPr>
        <w:t>Recommendation 3</w:t>
      </w:r>
    </w:p>
    <w:p w14:paraId="26FE83A8" w14:textId="77777777" w:rsidR="00CC7BFC" w:rsidRPr="00CC7BFC" w:rsidRDefault="00CC7BFC" w:rsidP="00CC7BFC">
      <w:pPr>
        <w:shd w:val="clear" w:color="auto" w:fill="E6E6E1" w:themeFill="accent5"/>
        <w:rPr>
          <w:b/>
          <w:color w:val="00264D" w:themeColor="background2"/>
          <w:sz w:val="18"/>
        </w:rPr>
      </w:pPr>
      <w:r w:rsidRPr="00CC7BFC">
        <w:rPr>
          <w:color w:val="00264D" w:themeColor="background2"/>
          <w:sz w:val="18"/>
        </w:rPr>
        <w:t>CLCAC should clarify delegations and roles and responsibilities across key functions to ensure the CEO is not overly involved in operational decisions that do not require executive input. Advisory and strategic functions should continue to be undertaken by the CEO. Other operational and administrative functions could be undertaken by administrative staff with appropriate supervision. Additional administrative or operational resources may be required to support this change.</w:t>
      </w:r>
    </w:p>
    <w:p w14:paraId="0D0D8213" w14:textId="77777777" w:rsidR="00CC7BFC" w:rsidRPr="00CC7BFC" w:rsidRDefault="00CC7BFC" w:rsidP="003B61BB">
      <w:pPr>
        <w:outlineLvl w:val="4"/>
        <w:rPr>
          <w:b/>
          <w:bCs/>
          <w:color w:val="00264D" w:themeColor="background2"/>
        </w:rPr>
      </w:pPr>
      <w:r w:rsidRPr="00CC7BFC">
        <w:rPr>
          <w:b/>
          <w:bCs/>
          <w:color w:val="00264D" w:themeColor="background2"/>
        </w:rPr>
        <w:t xml:space="preserve">CLCAC response. </w:t>
      </w:r>
    </w:p>
    <w:p w14:paraId="5A43D5AA" w14:textId="77777777" w:rsidR="00CC7BFC" w:rsidRPr="00AF5974" w:rsidRDefault="00CC7BFC" w:rsidP="00CC7BFC">
      <w:pPr>
        <w:rPr>
          <w:sz w:val="18"/>
        </w:rPr>
      </w:pPr>
      <w:r w:rsidRPr="00AF5974">
        <w:rPr>
          <w:sz w:val="18"/>
        </w:rPr>
        <w:t>CLCAC acknowledges that the CEO and Deputy CEO are heavily involved in daily operational decisions. Due to CLCAC not having sufficient funding resources to engage suitably qualified and experienced personnel to fill important Senior and Middle Management roles, that were lost either due to cessation of funding (Land &amp; Sea Manager, Economic Development Support Officer) and the Native Title Services Manager being appointed to the position of CEO, operational staff have been reporting directly to the CEO and Deputy CEO.</w:t>
      </w:r>
    </w:p>
    <w:p w14:paraId="7768AE86" w14:textId="77777777" w:rsidR="00CC7BFC" w:rsidRPr="00AF5974" w:rsidRDefault="00CC7BFC" w:rsidP="00CC7BFC">
      <w:pPr>
        <w:rPr>
          <w:sz w:val="18"/>
        </w:rPr>
      </w:pPr>
      <w:r w:rsidRPr="00AF5974">
        <w:rPr>
          <w:sz w:val="18"/>
        </w:rPr>
        <w:t>The CEO is a key long-term staff member located on-country, with significant corporate, cultural and local knowledge, and in the absence of another suitable alternative, the need to continue on-ground logistical support by the CEO has been required. The appointment of an Administration and Project Support Officer in the region in July 2018 is starting to alleviate some of this additional workload, however time must be given for development of this staff member before they have the capacity to take on full responsibility for this role in the region.</w:t>
      </w:r>
    </w:p>
    <w:p w14:paraId="05FC4DBC" w14:textId="77777777" w:rsidR="00CC7BFC" w:rsidRPr="00AF5974" w:rsidRDefault="00CC7BFC" w:rsidP="00CC7BFC">
      <w:pPr>
        <w:rPr>
          <w:sz w:val="18"/>
        </w:rPr>
      </w:pPr>
      <w:r w:rsidRPr="00AF5974">
        <w:rPr>
          <w:sz w:val="18"/>
        </w:rPr>
        <w:t>Since completion of the NTRB/SP review further delegations have been given to the Regional Ranger Coordinator, which has taken some pressure off the CEO and Deputy CEO in respect to approval of expenditure for day to day Land &amp; Environment operations. Additionally, in the last two years CLCAC has heavily invested in further training for Senior Rangers, including Certificate IV in Leadership and Management. Whilst training is ongoing and building the capacity of the Senior Rangers will take some time it is anticipated this training will provide the Senior Rangers with the skills and capacity to take on more senior leadership positions within the organisation.</w:t>
      </w:r>
    </w:p>
    <w:p w14:paraId="3B3ECCEF" w14:textId="77777777" w:rsidR="00CC7BFC" w:rsidRPr="00AF5974" w:rsidRDefault="00CC7BFC" w:rsidP="00CC7BFC">
      <w:pPr>
        <w:rPr>
          <w:sz w:val="18"/>
        </w:rPr>
      </w:pPr>
      <w:r w:rsidRPr="00AF5974">
        <w:rPr>
          <w:sz w:val="18"/>
        </w:rPr>
        <w:t>Consideration of further delegations to less Senior Staff is also tied to a review of CLCAC’s Policies and Procedures Manual.</w:t>
      </w:r>
    </w:p>
    <w:p w14:paraId="62A27A05" w14:textId="79C869CD" w:rsidR="00571B00" w:rsidRPr="00AF5974" w:rsidRDefault="00571B00" w:rsidP="00867843">
      <w:pPr>
        <w:rPr>
          <w:highlight w:val="yellow"/>
        </w:rPr>
      </w:pPr>
    </w:p>
    <w:p w14:paraId="0BF20888" w14:textId="77777777" w:rsidR="00706233" w:rsidRPr="00706233" w:rsidRDefault="00706233" w:rsidP="003B61BB">
      <w:pPr>
        <w:shd w:val="clear" w:color="auto" w:fill="E6E6E1" w:themeFill="accent5"/>
        <w:outlineLvl w:val="3"/>
        <w:rPr>
          <w:b/>
          <w:bCs/>
          <w:color w:val="00264D" w:themeColor="background2"/>
        </w:rPr>
      </w:pPr>
      <w:r w:rsidRPr="00706233">
        <w:rPr>
          <w:b/>
          <w:bCs/>
          <w:color w:val="00264D" w:themeColor="background2"/>
        </w:rPr>
        <w:t>Recommendation 4</w:t>
      </w:r>
    </w:p>
    <w:p w14:paraId="5F3E1263" w14:textId="77777777" w:rsidR="00706233" w:rsidRPr="00706233" w:rsidRDefault="00706233" w:rsidP="00706233">
      <w:pPr>
        <w:shd w:val="clear" w:color="auto" w:fill="E6E6E1" w:themeFill="accent5"/>
        <w:rPr>
          <w:b/>
          <w:color w:val="00264D" w:themeColor="background2"/>
          <w:sz w:val="18"/>
        </w:rPr>
      </w:pPr>
      <w:r w:rsidRPr="00706233">
        <w:rPr>
          <w:color w:val="00264D" w:themeColor="background2"/>
          <w:sz w:val="18"/>
        </w:rPr>
        <w:t>Additional training for Board members on legal and anthropological work would support sound decision making and further development of Board members.</w:t>
      </w:r>
    </w:p>
    <w:p w14:paraId="6B5436A8" w14:textId="77777777" w:rsidR="00706233" w:rsidRPr="00706233" w:rsidRDefault="00706233" w:rsidP="003B61BB">
      <w:pPr>
        <w:outlineLvl w:val="4"/>
        <w:rPr>
          <w:b/>
          <w:bCs/>
          <w:color w:val="00264D" w:themeColor="background2"/>
        </w:rPr>
      </w:pPr>
      <w:r w:rsidRPr="00706233">
        <w:rPr>
          <w:b/>
          <w:bCs/>
          <w:color w:val="00264D" w:themeColor="background2"/>
        </w:rPr>
        <w:t xml:space="preserve">CLCAC response. </w:t>
      </w:r>
    </w:p>
    <w:p w14:paraId="18C1AAF1" w14:textId="77777777" w:rsidR="00706233" w:rsidRPr="00AF5974" w:rsidRDefault="00706233" w:rsidP="00706233">
      <w:pPr>
        <w:rPr>
          <w:sz w:val="18"/>
        </w:rPr>
      </w:pPr>
      <w:r w:rsidRPr="00AF5974">
        <w:rPr>
          <w:sz w:val="18"/>
        </w:rPr>
        <w:t>Board members are provided guidance on these matters through their respective anthropologists and Legal Representatives as part of the consultation for their native title claims. CLCAC believe the bigger priority for the Board is refresher training in Governance and Business Management training with a Commercial focus in readiness for finalisation of CLCAC’s transition to a Post Determination Service delivery model.</w:t>
      </w:r>
    </w:p>
    <w:p w14:paraId="58C7A635" w14:textId="77777777" w:rsidR="00706233" w:rsidRPr="00AF5974" w:rsidRDefault="00706233" w:rsidP="00706233">
      <w:pPr>
        <w:rPr>
          <w:sz w:val="18"/>
        </w:rPr>
      </w:pPr>
      <w:r w:rsidRPr="00AF5974">
        <w:rPr>
          <w:sz w:val="18"/>
        </w:rPr>
        <w:t>Through its assistance of PBC’s, CLCAC has been able to identify suitable trainers to deliver face to face training to the Boards and it’s anticipated that some CLCAC Board Directors will have an opportunity to attend this training due to their appointment as Directors on the Board of their respective PBC. CLCAC’s ability to engage trainers to deliver this training in a face to face setting to PBC’s and CLCAC Board Directors is dependent on securing funds and the easing of travel restrictions to the region due to the ongoing COVID-19 Pandemic.</w:t>
      </w:r>
    </w:p>
    <w:p w14:paraId="188FD151" w14:textId="551E8F19" w:rsidR="00B845BF" w:rsidRDefault="00B845BF" w:rsidP="00B845BF">
      <w:pPr>
        <w:rPr>
          <w:sz w:val="18"/>
          <w:szCs w:val="18"/>
          <w:highlight w:val="yellow"/>
          <w:lang w:eastAsia="en-AU"/>
        </w:rPr>
      </w:pPr>
    </w:p>
    <w:p w14:paraId="1E6B2D01" w14:textId="77777777" w:rsidR="00706233" w:rsidRPr="00AF5974" w:rsidRDefault="00706233" w:rsidP="00B845BF">
      <w:pPr>
        <w:rPr>
          <w:sz w:val="18"/>
          <w:szCs w:val="18"/>
          <w:highlight w:val="yellow"/>
          <w:lang w:eastAsia="en-AU"/>
        </w:rPr>
      </w:pPr>
    </w:p>
    <w:p w14:paraId="52C2AD01" w14:textId="77777777" w:rsidR="00706233" w:rsidRPr="00706233" w:rsidRDefault="00706233" w:rsidP="003B61BB">
      <w:pPr>
        <w:shd w:val="clear" w:color="auto" w:fill="E6E6E1" w:themeFill="accent5"/>
        <w:outlineLvl w:val="3"/>
        <w:rPr>
          <w:b/>
          <w:bCs/>
          <w:color w:val="00264D" w:themeColor="background2"/>
        </w:rPr>
      </w:pPr>
      <w:r w:rsidRPr="00706233">
        <w:rPr>
          <w:b/>
          <w:bCs/>
          <w:color w:val="00264D" w:themeColor="background2"/>
        </w:rPr>
        <w:t>Recommendation 5</w:t>
      </w:r>
    </w:p>
    <w:p w14:paraId="1173DB87" w14:textId="77777777" w:rsidR="00706233" w:rsidRPr="00706233" w:rsidRDefault="00706233" w:rsidP="00706233">
      <w:pPr>
        <w:shd w:val="clear" w:color="auto" w:fill="E6E6E1" w:themeFill="accent5"/>
        <w:rPr>
          <w:b/>
          <w:color w:val="00264D" w:themeColor="background2"/>
          <w:sz w:val="18"/>
        </w:rPr>
      </w:pPr>
      <w:r w:rsidRPr="00706233">
        <w:rPr>
          <w:color w:val="00264D" w:themeColor="background2"/>
          <w:sz w:val="18"/>
        </w:rPr>
        <w:t>Continue to support active engagement across offices, including providing exposure of corporate staff to operational considerations through ‘on Country meetings’.</w:t>
      </w:r>
    </w:p>
    <w:p w14:paraId="24B98D8E" w14:textId="77777777" w:rsidR="00706233" w:rsidRPr="00706233" w:rsidRDefault="00706233" w:rsidP="003B61BB">
      <w:pPr>
        <w:outlineLvl w:val="4"/>
        <w:rPr>
          <w:b/>
          <w:bCs/>
          <w:color w:val="00264D" w:themeColor="background2"/>
        </w:rPr>
      </w:pPr>
      <w:r w:rsidRPr="00706233">
        <w:rPr>
          <w:b/>
          <w:bCs/>
          <w:color w:val="00264D" w:themeColor="background2"/>
        </w:rPr>
        <w:t xml:space="preserve">CLCAC response. </w:t>
      </w:r>
    </w:p>
    <w:p w14:paraId="7D784D4F" w14:textId="77777777" w:rsidR="00706233" w:rsidRPr="00AF5974" w:rsidRDefault="00706233" w:rsidP="00706233">
      <w:pPr>
        <w:rPr>
          <w:sz w:val="18"/>
        </w:rPr>
      </w:pPr>
      <w:r w:rsidRPr="00AF5974">
        <w:rPr>
          <w:sz w:val="18"/>
        </w:rPr>
        <w:t xml:space="preserve">Operating with a limited budget, opportunity for active face to face engagement across offices, in particular corporate staff attendance at on-country meetings and events facilitated by CLCAC is often limited. It must also be acknowledged that the Corporate Services Unit operates with a very small team and is required to provide substantial corporate assistance to two busy regional offices, with heavy operational workloads. Staff leave and work priorities and commitments are therefore operational factors also required to be considered when looking for opportunities for attendance by </w:t>
      </w:r>
      <w:proofErr w:type="gramStart"/>
      <w:r w:rsidRPr="00AF5974">
        <w:rPr>
          <w:sz w:val="18"/>
        </w:rPr>
        <w:t>Corporate</w:t>
      </w:r>
      <w:proofErr w:type="gramEnd"/>
      <w:r w:rsidRPr="00AF5974">
        <w:rPr>
          <w:sz w:val="18"/>
        </w:rPr>
        <w:t xml:space="preserve"> staff at regional or on-country meetings.</w:t>
      </w:r>
    </w:p>
    <w:p w14:paraId="0B3ACFE8" w14:textId="77777777" w:rsidR="00706233" w:rsidRPr="00AF5974" w:rsidRDefault="00706233" w:rsidP="00706233">
      <w:pPr>
        <w:rPr>
          <w:sz w:val="18"/>
        </w:rPr>
      </w:pPr>
      <w:r w:rsidRPr="00AF5974">
        <w:rPr>
          <w:sz w:val="18"/>
        </w:rPr>
        <w:t xml:space="preserve">In late September, early October 2019 CLCAC held a week-long All-of-staff camp and workshop on </w:t>
      </w:r>
      <w:proofErr w:type="spellStart"/>
      <w:r w:rsidRPr="00AF5974">
        <w:rPr>
          <w:sz w:val="18"/>
        </w:rPr>
        <w:t>Gangalidda</w:t>
      </w:r>
      <w:proofErr w:type="spellEnd"/>
      <w:r w:rsidRPr="00AF5974">
        <w:rPr>
          <w:sz w:val="18"/>
        </w:rPr>
        <w:t xml:space="preserve"> country at </w:t>
      </w:r>
      <w:proofErr w:type="spellStart"/>
      <w:r w:rsidRPr="00AF5974">
        <w:rPr>
          <w:sz w:val="18"/>
        </w:rPr>
        <w:t>Gunamulla</w:t>
      </w:r>
      <w:proofErr w:type="spellEnd"/>
      <w:r w:rsidRPr="00AF5974">
        <w:rPr>
          <w:sz w:val="18"/>
        </w:rPr>
        <w:t xml:space="preserve">, on the coast near the NT border. The workshop brought together all CLCAC and Wellesley Islands Ranger staff from four offices, including Cairns and Mornington Island with a focus on team building. The workshop also coincided with the </w:t>
      </w:r>
      <w:proofErr w:type="spellStart"/>
      <w:r w:rsidRPr="00AF5974">
        <w:rPr>
          <w:sz w:val="18"/>
        </w:rPr>
        <w:t>Gangalidda</w:t>
      </w:r>
      <w:proofErr w:type="spellEnd"/>
      <w:r w:rsidRPr="00AF5974">
        <w:rPr>
          <w:sz w:val="18"/>
        </w:rPr>
        <w:t xml:space="preserve"> and Garawa Rangers annual turtle monitoring program and Cairns-based </w:t>
      </w:r>
      <w:proofErr w:type="gramStart"/>
      <w:r w:rsidRPr="00AF5974">
        <w:rPr>
          <w:sz w:val="18"/>
        </w:rPr>
        <w:t>Corporate</w:t>
      </w:r>
      <w:proofErr w:type="gramEnd"/>
      <w:r w:rsidRPr="00AF5974">
        <w:rPr>
          <w:sz w:val="18"/>
        </w:rPr>
        <w:t xml:space="preserve"> staff were given real insight in to the distances travelled by Regional Staff in carrying out their duties and the conditions under which they are often required to work, giving them an appreciation and understanding of the work carried out in the region.</w:t>
      </w:r>
    </w:p>
    <w:p w14:paraId="6A46A2AA" w14:textId="77777777" w:rsidR="00706233" w:rsidRPr="00AF5974" w:rsidRDefault="00706233" w:rsidP="00706233">
      <w:pPr>
        <w:rPr>
          <w:sz w:val="18"/>
        </w:rPr>
      </w:pPr>
      <w:r w:rsidRPr="00AF5974">
        <w:rPr>
          <w:sz w:val="18"/>
        </w:rPr>
        <w:t>CLCAC continues to look for opportunities to expose Corporate Staff to on-country experiences, however this remains dependent on available funds and staff availability to travel.</w:t>
      </w:r>
    </w:p>
    <w:p w14:paraId="106496B7" w14:textId="27041E3D" w:rsidR="008662D3" w:rsidRPr="00AF5974" w:rsidRDefault="008662D3" w:rsidP="00B845BF">
      <w:pPr>
        <w:rPr>
          <w:sz w:val="18"/>
          <w:szCs w:val="18"/>
          <w:highlight w:val="yellow"/>
          <w:lang w:eastAsia="en-AU"/>
        </w:rPr>
      </w:pPr>
    </w:p>
    <w:p w14:paraId="5AFD4356" w14:textId="77777777" w:rsidR="00706233" w:rsidRPr="00706233" w:rsidRDefault="00706233" w:rsidP="003B61BB">
      <w:pPr>
        <w:shd w:val="clear" w:color="auto" w:fill="E6E6E1" w:themeFill="accent5"/>
        <w:outlineLvl w:val="3"/>
        <w:rPr>
          <w:b/>
          <w:bCs/>
          <w:color w:val="00264D" w:themeColor="background2"/>
        </w:rPr>
      </w:pPr>
      <w:r w:rsidRPr="00706233">
        <w:rPr>
          <w:b/>
          <w:bCs/>
          <w:color w:val="00264D" w:themeColor="background2"/>
        </w:rPr>
        <w:t>Recommendation 6</w:t>
      </w:r>
    </w:p>
    <w:p w14:paraId="410D295C" w14:textId="77777777" w:rsidR="00706233" w:rsidRPr="00706233" w:rsidRDefault="00706233" w:rsidP="00706233">
      <w:pPr>
        <w:shd w:val="clear" w:color="auto" w:fill="E6E6E1" w:themeFill="accent5"/>
        <w:rPr>
          <w:b/>
          <w:color w:val="00264D" w:themeColor="background2"/>
          <w:sz w:val="18"/>
        </w:rPr>
      </w:pPr>
      <w:r w:rsidRPr="00706233">
        <w:rPr>
          <w:color w:val="00264D" w:themeColor="background2"/>
          <w:sz w:val="18"/>
        </w:rPr>
        <w:t>CLCAC should update and simplify the Policies and Procedures Manual to ensure ongoing best practice within the organisation.</w:t>
      </w:r>
    </w:p>
    <w:p w14:paraId="30F89693" w14:textId="77777777" w:rsidR="00706233" w:rsidRPr="00706233" w:rsidRDefault="00706233" w:rsidP="003B61BB">
      <w:pPr>
        <w:outlineLvl w:val="4"/>
        <w:rPr>
          <w:b/>
          <w:bCs/>
          <w:color w:val="00264D" w:themeColor="background2"/>
        </w:rPr>
      </w:pPr>
      <w:r w:rsidRPr="00706233">
        <w:rPr>
          <w:b/>
          <w:bCs/>
          <w:color w:val="00264D" w:themeColor="background2"/>
        </w:rPr>
        <w:t xml:space="preserve">CLCAC response. </w:t>
      </w:r>
    </w:p>
    <w:p w14:paraId="6408D8C2" w14:textId="3152CC16" w:rsidR="00165573" w:rsidRPr="00AC15AC" w:rsidRDefault="00706233" w:rsidP="00B845BF">
      <w:pPr>
        <w:rPr>
          <w:sz w:val="18"/>
        </w:rPr>
      </w:pPr>
      <w:r w:rsidRPr="00AF5974">
        <w:rPr>
          <w:sz w:val="18"/>
        </w:rPr>
        <w:t>Due to limited internal resources and heavy workloads this task has been on CLCAC Management’s to do list for some time, however, is in train and is now anticipated to be completed within the next 12 months</w:t>
      </w:r>
      <w:r>
        <w:rPr>
          <w:sz w:val="18"/>
        </w:rPr>
        <w:t>.</w:t>
      </w:r>
    </w:p>
    <w:p w14:paraId="55891309" w14:textId="77777777" w:rsidR="00AC15AC" w:rsidRPr="00AC15AC" w:rsidRDefault="00AC15AC" w:rsidP="003B61BB">
      <w:pPr>
        <w:shd w:val="clear" w:color="auto" w:fill="E6E6E1" w:themeFill="accent5"/>
        <w:outlineLvl w:val="3"/>
        <w:rPr>
          <w:b/>
          <w:bCs/>
          <w:color w:val="00264D" w:themeColor="background2"/>
        </w:rPr>
      </w:pPr>
      <w:r w:rsidRPr="00AC15AC">
        <w:rPr>
          <w:b/>
          <w:bCs/>
          <w:color w:val="00264D" w:themeColor="background2"/>
        </w:rPr>
        <w:t>Recommendation 7</w:t>
      </w:r>
    </w:p>
    <w:p w14:paraId="06AC32F3" w14:textId="77777777" w:rsidR="00AC15AC" w:rsidRPr="00AC15AC" w:rsidRDefault="00AC15AC" w:rsidP="00AC15AC">
      <w:pPr>
        <w:shd w:val="clear" w:color="auto" w:fill="E6E6E1" w:themeFill="accent5"/>
        <w:rPr>
          <w:b/>
          <w:color w:val="00264D" w:themeColor="background2"/>
          <w:sz w:val="18"/>
        </w:rPr>
      </w:pPr>
      <w:r w:rsidRPr="00AC15AC">
        <w:rPr>
          <w:color w:val="00264D" w:themeColor="background2"/>
          <w:sz w:val="18"/>
        </w:rPr>
        <w:t>CLCAC could seek broader professional development opportunities for Corporate (management and non-management) and native title staff members (in line with recent developments in the Land and Sea Rangers program).</w:t>
      </w:r>
    </w:p>
    <w:p w14:paraId="172B5B03" w14:textId="77777777" w:rsidR="00AC15AC" w:rsidRPr="00AC15AC" w:rsidRDefault="00AC15AC" w:rsidP="003B61BB">
      <w:pPr>
        <w:outlineLvl w:val="4"/>
        <w:rPr>
          <w:b/>
          <w:bCs/>
          <w:color w:val="00264D" w:themeColor="background2"/>
        </w:rPr>
      </w:pPr>
      <w:r w:rsidRPr="00AC15AC">
        <w:rPr>
          <w:b/>
          <w:bCs/>
          <w:color w:val="00264D" w:themeColor="background2"/>
        </w:rPr>
        <w:t xml:space="preserve">CLCAC response. </w:t>
      </w:r>
    </w:p>
    <w:p w14:paraId="754F478C" w14:textId="77777777" w:rsidR="00AC15AC" w:rsidRPr="00AF5974" w:rsidRDefault="00AC15AC" w:rsidP="00AC15AC">
      <w:pPr>
        <w:rPr>
          <w:sz w:val="18"/>
        </w:rPr>
      </w:pPr>
      <w:r>
        <w:rPr>
          <w:sz w:val="18"/>
        </w:rPr>
        <w:t>T</w:t>
      </w:r>
      <w:r w:rsidRPr="00AF5974">
        <w:rPr>
          <w:sz w:val="18"/>
        </w:rPr>
        <w:t>he CEO and Deputy CEO have been considering suitable options for further training and development and some further training by the Deputy CEO has occurred within the last 12 months, however opportunity to take time away from the day to day responsibilities remains an obstacle. In addition, training is often best delivered in a face to face environment and COVID-19 restrictions have had an impact in the last 4 months.</w:t>
      </w:r>
    </w:p>
    <w:p w14:paraId="7D78AE4E" w14:textId="77777777" w:rsidR="00AC15AC" w:rsidRPr="00AF5974" w:rsidRDefault="00AC15AC" w:rsidP="00AC15AC">
      <w:pPr>
        <w:rPr>
          <w:sz w:val="18"/>
        </w:rPr>
      </w:pPr>
      <w:r w:rsidRPr="00AF5974">
        <w:rPr>
          <w:sz w:val="18"/>
        </w:rPr>
        <w:t>Discussions with Corporate and Native Title Staff in relation to training have been ongoing and staff have been offered training, however CLCAC management has found little take up of training offered. In the last 12 months however, CLCAC has supported some training and development for the HR &amp; OHS Compliance Officer, the Corporate Projects Support Officer, PBC Support Services Officers and the Project Support and Administration Officer.</w:t>
      </w:r>
    </w:p>
    <w:p w14:paraId="1FDACB55" w14:textId="5AFDD04D" w:rsidR="00AF5974" w:rsidRPr="00AC15AC" w:rsidRDefault="00AC15AC" w:rsidP="00AC15AC">
      <w:pPr>
        <w:rPr>
          <w:sz w:val="18"/>
        </w:rPr>
      </w:pPr>
      <w:r w:rsidRPr="00AF5974">
        <w:rPr>
          <w:sz w:val="18"/>
        </w:rPr>
        <w:t xml:space="preserve">CLCAC remains committed to staff development and is continuing to work with staff to develop individual training matrices and plans, that will incorporate CLCAC’s training priorities as well as the employee’s own training and development aspirations that also align with their current work at CLCAC as well as develop them to be able to take advantage of opportunities for advancement within CLCAC as they arise in the Future. Currently however, CLCAC is under-resourced within the Corporate Services Unit and, with only one HR officer, </w:t>
      </w:r>
      <w:r w:rsidRPr="00AF5974">
        <w:rPr>
          <w:sz w:val="18"/>
        </w:rPr>
        <w:lastRenderedPageBreak/>
        <w:t>responsible for all HR, Payroll, Training and WHS Compliance within the organisation, the unit is struggling to meet the demands of this busy portfolio.</w:t>
      </w:r>
    </w:p>
    <w:p w14:paraId="53FAE91F" w14:textId="77777777" w:rsidR="00270623" w:rsidRDefault="00270623">
      <w:pPr>
        <w:spacing w:after="160" w:line="259" w:lineRule="auto"/>
        <w:rPr>
          <w:rFonts w:ascii="Segoe UI Semibold" w:eastAsia="Times New Roman" w:hAnsi="Segoe UI Semibold" w:cs="Times New Roman"/>
          <w:color w:val="00264D" w:themeColor="background2"/>
          <w:sz w:val="22"/>
          <w:szCs w:val="16"/>
          <w:lang w:eastAsia="en-AU"/>
        </w:rPr>
      </w:pPr>
      <w:bookmarkStart w:id="97" w:name="_Toc501895347"/>
      <w:bookmarkStart w:id="98" w:name="_Ref502695754"/>
      <w:bookmarkStart w:id="99" w:name="_Toc502839783"/>
      <w:bookmarkStart w:id="100" w:name="_Toc502843259"/>
      <w:bookmarkStart w:id="101" w:name="_Toc502847622"/>
      <w:bookmarkStart w:id="102" w:name="_Toc502850766"/>
      <w:bookmarkStart w:id="103" w:name="_Toc502855198"/>
      <w:bookmarkStart w:id="104" w:name="_Ref502900609"/>
      <w:bookmarkStart w:id="105" w:name="_Toc503117097"/>
      <w:bookmarkStart w:id="106" w:name="_Toc505259174"/>
      <w:bookmarkStart w:id="107" w:name="_Toc505256241"/>
      <w:bookmarkStart w:id="108" w:name="_Toc505618284"/>
      <w:r>
        <w:rPr>
          <w:sz w:val="22"/>
          <w:szCs w:val="16"/>
        </w:rPr>
        <w:br w:type="page"/>
      </w:r>
    </w:p>
    <w:p w14:paraId="0C41E2FD" w14:textId="723AC740" w:rsidR="00EB1298" w:rsidRDefault="002E4BA7" w:rsidP="00AC15AC">
      <w:pPr>
        <w:pStyle w:val="Heading2"/>
      </w:pPr>
      <w:r w:rsidRPr="0084761C">
        <w:lastRenderedPageBreak/>
        <w:t xml:space="preserve">TOR 5 | </w:t>
      </w:r>
      <w:r w:rsidR="00EB1298" w:rsidRPr="0084761C">
        <w:t xml:space="preserve">Review and assess each organisation’s strategies for and progress in developing self-sufficient </w:t>
      </w:r>
      <w:r w:rsidR="00EB3786" w:rsidRPr="0084761C">
        <w:t>PBCs</w:t>
      </w:r>
      <w:r w:rsidR="00EB1298" w:rsidRPr="0084761C">
        <w:t>, so PBCs have appropriate capacity and capability to manage their own responsibilities and aspirations.</w:t>
      </w:r>
      <w:bookmarkEnd w:id="97"/>
      <w:bookmarkEnd w:id="98"/>
      <w:bookmarkEnd w:id="99"/>
      <w:bookmarkEnd w:id="100"/>
      <w:bookmarkEnd w:id="101"/>
      <w:bookmarkEnd w:id="102"/>
      <w:bookmarkEnd w:id="103"/>
      <w:bookmarkEnd w:id="104"/>
      <w:bookmarkEnd w:id="105"/>
      <w:bookmarkEnd w:id="106"/>
      <w:bookmarkEnd w:id="107"/>
      <w:bookmarkEnd w:id="108"/>
    </w:p>
    <w:p w14:paraId="69B08B95" w14:textId="77777777" w:rsidR="0084761C" w:rsidRPr="0084761C" w:rsidRDefault="0084761C" w:rsidP="0084761C">
      <w:pPr>
        <w:rPr>
          <w:lang w:eastAsia="en-AU"/>
        </w:rPr>
      </w:pPr>
    </w:p>
    <w:p w14:paraId="20298F6A" w14:textId="77777777" w:rsidR="00AC15AC" w:rsidRPr="00AC15AC" w:rsidRDefault="00AC15AC" w:rsidP="00AC15AC">
      <w:pPr>
        <w:shd w:val="clear" w:color="auto" w:fill="E6E6E1" w:themeFill="accent5"/>
        <w:spacing w:after="0" w:line="259" w:lineRule="auto"/>
        <w:rPr>
          <w:b/>
          <w:color w:val="00264D" w:themeColor="background2"/>
        </w:rPr>
      </w:pPr>
      <w:r w:rsidRPr="00AC15AC">
        <w:rPr>
          <w:rFonts w:eastAsia="Times New Roman"/>
          <w:b/>
          <w:color w:val="00264D" w:themeColor="background2"/>
          <w:lang w:eastAsia="en-AU"/>
        </w:rPr>
        <w:t>One of the key areas of focus for CLCAC is to build PBC capability and self-sufficiency through its support activities.</w:t>
      </w:r>
      <w:r w:rsidRPr="00AC15AC">
        <w:rPr>
          <w:rFonts w:eastAsia="Times New Roman"/>
          <w:bCs/>
          <w:color w:val="00264D" w:themeColor="background2"/>
          <w:lang w:eastAsia="en-AU"/>
        </w:rPr>
        <w:t xml:space="preserve"> This focus aligns with the CLCAC’s transition plan for 2022, noting that the challenges associated with the remoteness of the region will make self-sufficiency difficult. CLCAC currently provides support to two of the three PBCs in the region through two PBC Support Officers and also some minimal support services to the third PBC. This includes a range of administrative and operational support. Feedback from stakeholders was predominately positive, with stakeholders emphasising that they benefited from the intensive and tailored approach to supporting their PBCs.</w:t>
      </w:r>
    </w:p>
    <w:p w14:paraId="286D3649" w14:textId="77777777" w:rsidR="00F00DA4" w:rsidRDefault="00F00DA4" w:rsidP="00F00DA4">
      <w:pPr>
        <w:rPr>
          <w:lang w:eastAsia="en-AU"/>
        </w:rPr>
      </w:pPr>
    </w:p>
    <w:p w14:paraId="606E52ED" w14:textId="5F7E3D87" w:rsidR="00F00DA4" w:rsidRPr="007F663B" w:rsidRDefault="00F44373" w:rsidP="003B61BB">
      <w:pPr>
        <w:outlineLvl w:val="2"/>
        <w:rPr>
          <w:b/>
          <w:bCs/>
          <w:i/>
          <w:iCs/>
        </w:rPr>
      </w:pPr>
      <w:r w:rsidRPr="007F663B">
        <w:rPr>
          <w:b/>
          <w:bCs/>
          <w:i/>
          <w:iCs/>
          <w:color w:val="00264D" w:themeColor="background2"/>
        </w:rPr>
        <w:t>R</w:t>
      </w:r>
      <w:r w:rsidR="00F00DA4" w:rsidRPr="007F663B">
        <w:rPr>
          <w:b/>
          <w:bCs/>
          <w:i/>
          <w:iCs/>
          <w:color w:val="00264D" w:themeColor="background2"/>
        </w:rPr>
        <w:t>ecommendations</w:t>
      </w:r>
      <w:r w:rsidR="0084761C" w:rsidRPr="007F663B">
        <w:rPr>
          <w:b/>
          <w:bCs/>
          <w:i/>
          <w:iCs/>
          <w:color w:val="00264D" w:themeColor="background2"/>
        </w:rPr>
        <w:t xml:space="preserve"> </w:t>
      </w:r>
      <w:r w:rsidR="00321398" w:rsidRPr="007F663B">
        <w:rPr>
          <w:b/>
          <w:bCs/>
          <w:i/>
          <w:iCs/>
          <w:color w:val="00264D" w:themeColor="background2"/>
        </w:rPr>
        <w:t>for TOR 5</w:t>
      </w:r>
    </w:p>
    <w:p w14:paraId="090B55A3" w14:textId="4AA8C17D" w:rsidR="008F6660" w:rsidRPr="008F6660" w:rsidRDefault="008F6660" w:rsidP="008F6660">
      <w:pPr>
        <w:rPr>
          <w:lang w:eastAsia="en-AU"/>
        </w:rPr>
      </w:pPr>
      <w:r>
        <w:rPr>
          <w:lang w:eastAsia="en-AU"/>
        </w:rPr>
        <w:t xml:space="preserve">The Review made two recommendations for TOR 5 on PBC development strategies. These are outlined below, as well as </w:t>
      </w:r>
      <w:r w:rsidR="00583EDA">
        <w:rPr>
          <w:lang w:eastAsia="en-AU"/>
        </w:rPr>
        <w:t>CLCAC’</w:t>
      </w:r>
      <w:r>
        <w:rPr>
          <w:lang w:eastAsia="en-AU"/>
        </w:rPr>
        <w:t xml:space="preserve">s response to these recommendations. </w:t>
      </w:r>
    </w:p>
    <w:p w14:paraId="10B25F4C" w14:textId="77777777" w:rsidR="000663D3" w:rsidRPr="000663D3" w:rsidRDefault="000663D3" w:rsidP="003B61BB">
      <w:pPr>
        <w:shd w:val="clear" w:color="auto" w:fill="E6E6E1" w:themeFill="accent5"/>
        <w:outlineLvl w:val="3"/>
        <w:rPr>
          <w:b/>
          <w:bCs/>
          <w:color w:val="00264D" w:themeColor="background2"/>
        </w:rPr>
      </w:pPr>
      <w:r w:rsidRPr="000663D3">
        <w:rPr>
          <w:b/>
          <w:bCs/>
          <w:color w:val="00264D" w:themeColor="background2"/>
        </w:rPr>
        <w:t>Recommendation 8</w:t>
      </w:r>
    </w:p>
    <w:p w14:paraId="25FEAC38" w14:textId="77777777" w:rsidR="000663D3" w:rsidRPr="000663D3" w:rsidRDefault="000663D3" w:rsidP="000663D3">
      <w:pPr>
        <w:shd w:val="clear" w:color="auto" w:fill="E6E6E1" w:themeFill="accent5"/>
        <w:rPr>
          <w:b/>
          <w:color w:val="00264D" w:themeColor="background2"/>
          <w:sz w:val="18"/>
        </w:rPr>
      </w:pPr>
      <w:r w:rsidRPr="000663D3">
        <w:rPr>
          <w:color w:val="00264D" w:themeColor="background2"/>
          <w:sz w:val="18"/>
        </w:rPr>
        <w:t>CLCAC should monitor the most appropriate role of the PBC support functions to ensure that they add clear value beyond operational functions that could be carried out internally.</w:t>
      </w:r>
    </w:p>
    <w:p w14:paraId="3621B05E" w14:textId="77777777" w:rsidR="000663D3" w:rsidRPr="000663D3" w:rsidRDefault="000663D3" w:rsidP="003B61BB">
      <w:pPr>
        <w:outlineLvl w:val="4"/>
        <w:rPr>
          <w:b/>
          <w:bCs/>
          <w:color w:val="00264D" w:themeColor="background2"/>
        </w:rPr>
      </w:pPr>
      <w:r w:rsidRPr="000663D3">
        <w:rPr>
          <w:b/>
          <w:bCs/>
          <w:color w:val="00264D" w:themeColor="background2"/>
        </w:rPr>
        <w:t xml:space="preserve">CLCAC response. </w:t>
      </w:r>
    </w:p>
    <w:p w14:paraId="4577DFB0" w14:textId="77777777" w:rsidR="000663D3" w:rsidRPr="00AF5974" w:rsidRDefault="000663D3" w:rsidP="000663D3">
      <w:pPr>
        <w:rPr>
          <w:sz w:val="18"/>
        </w:rPr>
      </w:pPr>
      <w:r w:rsidRPr="00AF5974">
        <w:rPr>
          <w:sz w:val="18"/>
        </w:rPr>
        <w:t>This recommendation is linked to the outcome of Recommendation 9. Please refer to recommendation 9 accordingly for discussion on this point.</w:t>
      </w:r>
    </w:p>
    <w:p w14:paraId="0167F25B" w14:textId="67E293AD" w:rsidR="00F44373" w:rsidRPr="00AF5974" w:rsidRDefault="00F44373" w:rsidP="00F44373">
      <w:pPr>
        <w:rPr>
          <w:sz w:val="18"/>
          <w:szCs w:val="18"/>
          <w:lang w:eastAsia="en-AU"/>
        </w:rPr>
      </w:pPr>
    </w:p>
    <w:p w14:paraId="5D0BFC82" w14:textId="77777777" w:rsidR="00FB720A" w:rsidRPr="00FB720A" w:rsidRDefault="00FB720A" w:rsidP="003B61BB">
      <w:pPr>
        <w:shd w:val="clear" w:color="auto" w:fill="E6E6E1" w:themeFill="accent5"/>
        <w:outlineLvl w:val="3"/>
        <w:rPr>
          <w:b/>
          <w:bCs/>
          <w:color w:val="00264D" w:themeColor="background2"/>
        </w:rPr>
      </w:pPr>
      <w:r w:rsidRPr="00FB720A">
        <w:rPr>
          <w:b/>
          <w:bCs/>
          <w:color w:val="00264D" w:themeColor="background2"/>
        </w:rPr>
        <w:t>Recommendation 9</w:t>
      </w:r>
    </w:p>
    <w:p w14:paraId="2FE2DDC5" w14:textId="77777777" w:rsidR="00FB720A" w:rsidRPr="00FB720A" w:rsidRDefault="00FB720A" w:rsidP="00FB720A">
      <w:pPr>
        <w:shd w:val="clear" w:color="auto" w:fill="E6E6E1" w:themeFill="accent5"/>
        <w:rPr>
          <w:b/>
          <w:color w:val="00264D" w:themeColor="background2"/>
          <w:sz w:val="18"/>
        </w:rPr>
      </w:pPr>
      <w:r w:rsidRPr="00FB720A">
        <w:rPr>
          <w:color w:val="00264D" w:themeColor="background2"/>
          <w:sz w:val="18"/>
        </w:rPr>
        <w:t>CLCAC should consider implementing a Service Agreement to clearly articulate the types and levels of support CLCAC will provide to PBCs.</w:t>
      </w:r>
    </w:p>
    <w:p w14:paraId="2D62A08A" w14:textId="77777777" w:rsidR="00FB720A" w:rsidRPr="00FB720A" w:rsidRDefault="00FB720A" w:rsidP="003B61BB">
      <w:pPr>
        <w:outlineLvl w:val="4"/>
        <w:rPr>
          <w:b/>
          <w:bCs/>
          <w:color w:val="00264D" w:themeColor="background2"/>
        </w:rPr>
      </w:pPr>
      <w:r w:rsidRPr="00FB720A">
        <w:rPr>
          <w:b/>
          <w:bCs/>
          <w:color w:val="00264D" w:themeColor="background2"/>
        </w:rPr>
        <w:t xml:space="preserve">CLCAC response. </w:t>
      </w:r>
    </w:p>
    <w:p w14:paraId="3BB59D08" w14:textId="77777777" w:rsidR="00FB720A" w:rsidRPr="00AF5974" w:rsidRDefault="00FB720A" w:rsidP="00FB720A">
      <w:pPr>
        <w:rPr>
          <w:sz w:val="18"/>
        </w:rPr>
      </w:pPr>
      <w:r w:rsidRPr="00AF5974">
        <w:rPr>
          <w:sz w:val="18"/>
        </w:rPr>
        <w:t>CLCAC considers that a Service Agreement, or Memorandum of Understanding (MoU), between each PBC and CLCAC setting out the responsibilities, tasks and compliance requirements that each party will assume in the operation and administration of the PBC is a useful tool to assist each PBC to transition from a state of dependence to one of independence. A document recording such an Agreement could detail all the tasks or requirements which each party will be responsible for over an agreed period in order that the PBC fulfils the governance and compliance requirements as well as leverage native title rights for the benefit of the native title holders.</w:t>
      </w:r>
    </w:p>
    <w:p w14:paraId="41562003" w14:textId="77777777" w:rsidR="00FB720A" w:rsidRPr="00AF5974" w:rsidRDefault="00FB720A" w:rsidP="00FB720A">
      <w:pPr>
        <w:rPr>
          <w:sz w:val="18"/>
        </w:rPr>
      </w:pPr>
      <w:r w:rsidRPr="00AF5974">
        <w:rPr>
          <w:sz w:val="18"/>
        </w:rPr>
        <w:t>The Agreement or MoU would focus on the tasks or requirements that the PBC is capable of undertaking (or undertaking with minimal assistance) initially, in addition to tasks or requirements which would require more structured mentoring and instruction, with the expectation that over time the PBC will take on an ever-increasing stewardship of itself.</w:t>
      </w:r>
    </w:p>
    <w:p w14:paraId="2016E058" w14:textId="77777777" w:rsidR="00FB720A" w:rsidRPr="00AF5974" w:rsidRDefault="00FB720A" w:rsidP="00FB720A">
      <w:pPr>
        <w:rPr>
          <w:sz w:val="18"/>
        </w:rPr>
      </w:pPr>
      <w:r w:rsidRPr="00AF5974">
        <w:rPr>
          <w:sz w:val="18"/>
        </w:rPr>
        <w:t>Built into such an Agreement or MoU would be a review function in respect of each agreed period. Besides providing a basis for a variation to the Agreement whereby the PBC takes on more tasks and responsibilities over time, this would also provide a concise tool for monitoring the effectiveness of CLCAC’s assistance in delivering value to the PBC (Criterion 8). CLCAC recognises that such an Agreement will need the support and understanding of the members of each PBC. To this end, a consultation process will need to be conducted with those members and their Boards.</w:t>
      </w:r>
    </w:p>
    <w:p w14:paraId="28A94DDC" w14:textId="77777777" w:rsidR="00FB720A" w:rsidRPr="00AF5974" w:rsidRDefault="00FB720A" w:rsidP="00FB720A">
      <w:pPr>
        <w:rPr>
          <w:sz w:val="18"/>
        </w:rPr>
      </w:pPr>
      <w:r w:rsidRPr="00AF5974">
        <w:rPr>
          <w:sz w:val="18"/>
        </w:rPr>
        <w:lastRenderedPageBreak/>
        <w:t>Work has started on a draft document in the form of an MoU. This will be completed in draft form to take to the PBCs seeking support for the MoU and input from the respective Boards of Directors.</w:t>
      </w:r>
    </w:p>
    <w:p w14:paraId="021CCC1D" w14:textId="77777777" w:rsidR="00FB720A" w:rsidRPr="00AF5974" w:rsidRDefault="00FB720A" w:rsidP="00FB720A">
      <w:pPr>
        <w:rPr>
          <w:sz w:val="18"/>
        </w:rPr>
      </w:pPr>
      <w:r w:rsidRPr="00AF5974">
        <w:rPr>
          <w:sz w:val="18"/>
        </w:rPr>
        <w:t>CLCAC anticipated having agreements in place by now, however due to the ongoing COVID-19 Pandemic and changed funding arrangements having an impact on staff travel to and from the region, we now anticipate such Agreements are unlikely to be in place before April 2021.</w:t>
      </w:r>
    </w:p>
    <w:p w14:paraId="7A483C98" w14:textId="77777777" w:rsidR="00F44373" w:rsidRPr="00F44373" w:rsidRDefault="00F44373" w:rsidP="00F44373">
      <w:pPr>
        <w:rPr>
          <w:lang w:eastAsia="en-AU"/>
        </w:rPr>
      </w:pPr>
    </w:p>
    <w:p w14:paraId="4C08F3DB" w14:textId="2ECDED64" w:rsidR="008F6660" w:rsidRDefault="008F6660" w:rsidP="00F00DA4">
      <w:pPr>
        <w:rPr>
          <w:lang w:eastAsia="en-AU"/>
        </w:rPr>
      </w:pPr>
      <w:r>
        <w:rPr>
          <w:lang w:eastAsia="en-AU"/>
        </w:rPr>
        <w:br w:type="page"/>
      </w:r>
    </w:p>
    <w:p w14:paraId="1581AAB1" w14:textId="6DE56380" w:rsidR="00EB1298" w:rsidRDefault="002E4BA7" w:rsidP="00FB720A">
      <w:pPr>
        <w:pStyle w:val="Heading2"/>
      </w:pPr>
      <w:bookmarkStart w:id="109" w:name="_Toc501895348"/>
      <w:bookmarkStart w:id="110" w:name="_Toc502839784"/>
      <w:bookmarkStart w:id="111" w:name="_Toc502843260"/>
      <w:bookmarkStart w:id="112" w:name="_Toc502847623"/>
      <w:bookmarkStart w:id="113" w:name="_Toc502850767"/>
      <w:bookmarkStart w:id="114" w:name="_Toc502855199"/>
      <w:bookmarkStart w:id="115" w:name="_Toc503117098"/>
      <w:bookmarkStart w:id="116" w:name="_Toc505259175"/>
      <w:bookmarkStart w:id="117" w:name="_Toc505256242"/>
      <w:bookmarkStart w:id="118" w:name="_Toc505618285"/>
      <w:r w:rsidRPr="0084761C">
        <w:lastRenderedPageBreak/>
        <w:t xml:space="preserve">TOR 6 | </w:t>
      </w:r>
      <w:r w:rsidR="00EB1298" w:rsidRPr="0084761C">
        <w:t>Review and assess the adequacy of each organisation’s strategic planning for a post determination environment.</w:t>
      </w:r>
      <w:bookmarkEnd w:id="109"/>
      <w:bookmarkEnd w:id="110"/>
      <w:bookmarkEnd w:id="111"/>
      <w:bookmarkEnd w:id="112"/>
      <w:bookmarkEnd w:id="113"/>
      <w:bookmarkEnd w:id="114"/>
      <w:bookmarkEnd w:id="115"/>
      <w:bookmarkEnd w:id="116"/>
      <w:bookmarkEnd w:id="117"/>
      <w:bookmarkEnd w:id="118"/>
    </w:p>
    <w:p w14:paraId="14271A51" w14:textId="77777777" w:rsidR="0084761C" w:rsidRPr="0084761C" w:rsidRDefault="0084761C" w:rsidP="0084761C">
      <w:pPr>
        <w:rPr>
          <w:lang w:eastAsia="en-AU"/>
        </w:rPr>
      </w:pPr>
    </w:p>
    <w:p w14:paraId="7EE73E5B" w14:textId="77777777" w:rsidR="00FB720A" w:rsidRPr="00FB720A" w:rsidRDefault="00FB720A" w:rsidP="00FB720A">
      <w:pPr>
        <w:shd w:val="clear" w:color="auto" w:fill="E6E6E1" w:themeFill="accent5"/>
        <w:spacing w:after="0" w:line="259" w:lineRule="auto"/>
        <w:rPr>
          <w:b/>
          <w:color w:val="00264D" w:themeColor="background2"/>
        </w:rPr>
      </w:pPr>
      <w:r w:rsidRPr="00FB720A">
        <w:rPr>
          <w:b/>
          <w:bCs/>
          <w:color w:val="00264D" w:themeColor="background2"/>
        </w:rPr>
        <w:t>CLCAC is well progressed towards a post-determination environment with a strong strategic approach developed and formalised through its Transition Plan.</w:t>
      </w:r>
      <w:r w:rsidRPr="00FB720A">
        <w:rPr>
          <w:color w:val="00264D" w:themeColor="background2"/>
        </w:rPr>
        <w:t xml:space="preserve"> The Plan sets out a framework and timeframe to build capacity of all PBCs and considers a restructure of its governance model to better suit the post-determination environment. </w:t>
      </w:r>
    </w:p>
    <w:p w14:paraId="085022F8" w14:textId="77777777" w:rsidR="00FB720A" w:rsidRPr="00FB720A" w:rsidRDefault="00FB720A" w:rsidP="00FB720A">
      <w:pPr>
        <w:shd w:val="clear" w:color="auto" w:fill="E6E6E1" w:themeFill="accent5"/>
        <w:spacing w:after="0" w:line="259" w:lineRule="auto"/>
        <w:rPr>
          <w:b/>
          <w:color w:val="00264D" w:themeColor="background2"/>
        </w:rPr>
      </w:pPr>
      <w:r w:rsidRPr="00FB720A">
        <w:rPr>
          <w:color w:val="00264D" w:themeColor="background2"/>
        </w:rPr>
        <w:t xml:space="preserve">The work to define the post-determination service delivery model for CLCAC will assist in ensuring CLCAC will be able to continue to operate without the same level of funding from the Commonwealth for its </w:t>
      </w:r>
      <w:r w:rsidRPr="00FB720A">
        <w:rPr>
          <w:iCs/>
          <w:color w:val="00264D" w:themeColor="background2"/>
        </w:rPr>
        <w:t>NTA</w:t>
      </w:r>
      <w:r w:rsidRPr="00FB720A">
        <w:rPr>
          <w:color w:val="00264D" w:themeColor="background2"/>
        </w:rPr>
        <w:t xml:space="preserve"> functions. The upcoming strategic planning cycle for CLCAC will provide a valuable opportunity to consider monitoring of the Transition Plan and the opportunity to consider requisite strategic planning capability.</w:t>
      </w:r>
    </w:p>
    <w:p w14:paraId="7584D34D" w14:textId="77777777" w:rsidR="00F00DA4" w:rsidRPr="00786663" w:rsidRDefault="00F00DA4" w:rsidP="00F00DA4">
      <w:pPr>
        <w:rPr>
          <w:b/>
          <w:bCs/>
          <w:i/>
          <w:iCs/>
          <w:color w:val="00264D" w:themeColor="background2"/>
          <w:lang w:eastAsia="en-AU"/>
        </w:rPr>
      </w:pPr>
    </w:p>
    <w:p w14:paraId="3AE70BB1" w14:textId="6DBE59A1" w:rsidR="0084761C" w:rsidRPr="00786663" w:rsidRDefault="0084761C" w:rsidP="00786663">
      <w:pPr>
        <w:rPr>
          <w:b/>
          <w:bCs/>
          <w:i/>
          <w:iCs/>
          <w:color w:val="00264D" w:themeColor="background2"/>
        </w:rPr>
      </w:pPr>
      <w:r w:rsidRPr="00786663">
        <w:rPr>
          <w:b/>
          <w:bCs/>
          <w:i/>
          <w:iCs/>
          <w:color w:val="00264D" w:themeColor="background2"/>
        </w:rPr>
        <w:t>No recommendations were made for TOR 6.</w:t>
      </w:r>
    </w:p>
    <w:p w14:paraId="4D4C98CE" w14:textId="77777777" w:rsidR="000A6B36" w:rsidRPr="000A6B36" w:rsidRDefault="000A6B36" w:rsidP="000A6B36">
      <w:pPr>
        <w:rPr>
          <w:lang w:eastAsia="en-AU"/>
        </w:rPr>
      </w:pPr>
    </w:p>
    <w:p w14:paraId="62197B13" w14:textId="77777777" w:rsidR="00525012" w:rsidRDefault="00525012" w:rsidP="00525012">
      <w:pPr>
        <w:pStyle w:val="xAppendixLevel1"/>
      </w:pPr>
      <w:bookmarkStart w:id="119" w:name="_Ref500494833"/>
      <w:bookmarkStart w:id="120" w:name="_Toc502668024"/>
      <w:bookmarkStart w:id="121" w:name="_Toc502839785"/>
      <w:bookmarkStart w:id="122" w:name="_Toc502843261"/>
      <w:bookmarkStart w:id="123" w:name="_Toc502847624"/>
      <w:bookmarkStart w:id="124" w:name="_Toc502850768"/>
      <w:bookmarkStart w:id="125" w:name="_Toc502855200"/>
      <w:bookmarkStart w:id="126" w:name="_Toc503117099"/>
      <w:bookmarkStart w:id="127" w:name="_Toc505259176"/>
      <w:bookmarkStart w:id="128" w:name="_Toc505256243"/>
      <w:bookmarkStart w:id="129" w:name="_Toc505618286"/>
      <w:bookmarkStart w:id="130" w:name="_Toc68071473"/>
      <w:r w:rsidRPr="00584514">
        <w:lastRenderedPageBreak/>
        <w:t>Terms of Reference</w:t>
      </w:r>
      <w:bookmarkEnd w:id="119"/>
      <w:bookmarkEnd w:id="120"/>
      <w:bookmarkEnd w:id="121"/>
      <w:bookmarkEnd w:id="122"/>
      <w:bookmarkEnd w:id="123"/>
      <w:bookmarkEnd w:id="124"/>
      <w:bookmarkEnd w:id="125"/>
      <w:bookmarkEnd w:id="126"/>
      <w:bookmarkEnd w:id="127"/>
      <w:bookmarkEnd w:id="128"/>
      <w:bookmarkEnd w:id="129"/>
      <w:bookmarkEnd w:id="130"/>
    </w:p>
    <w:p w14:paraId="06936EEF" w14:textId="77777777" w:rsidR="00525012" w:rsidRDefault="00525012" w:rsidP="00525012">
      <w:pPr>
        <w:pStyle w:val="Listnumbered"/>
        <w:numPr>
          <w:ilvl w:val="0"/>
          <w:numId w:val="46"/>
        </w:numPr>
        <w:shd w:val="clear" w:color="auto" w:fill="FDEAD1" w:themeFill="accent3" w:themeFillTint="33"/>
        <w:spacing w:after="165" w:line="259" w:lineRule="auto"/>
        <w:rPr>
          <w:lang w:eastAsia="en-AU"/>
        </w:rPr>
      </w:pPr>
      <w:r>
        <w:rPr>
          <w:lang w:eastAsia="en-AU"/>
        </w:rPr>
        <w:t xml:space="preserve">Review and assess each organisations’ efficiency and effectiveness in performing the functions of a native title representative body over the past 3 years (with the main focus on recent performance) including: </w:t>
      </w:r>
    </w:p>
    <w:p w14:paraId="611370EF" w14:textId="77777777" w:rsidR="00525012" w:rsidRDefault="00525012" w:rsidP="00525012">
      <w:pPr>
        <w:pStyle w:val="Bullet"/>
        <w:numPr>
          <w:ilvl w:val="0"/>
          <w:numId w:val="6"/>
        </w:numPr>
        <w:shd w:val="clear" w:color="auto" w:fill="FDEAD1" w:themeFill="accent3" w:themeFillTint="33"/>
        <w:spacing w:after="165" w:line="259" w:lineRule="auto"/>
      </w:pPr>
      <w:r>
        <w:t xml:space="preserve">Native title claim outcomes achieved for clients. </w:t>
      </w:r>
    </w:p>
    <w:p w14:paraId="41E05DCF" w14:textId="77777777" w:rsidR="00525012" w:rsidRDefault="00525012" w:rsidP="00525012">
      <w:pPr>
        <w:pStyle w:val="Bullet"/>
        <w:numPr>
          <w:ilvl w:val="0"/>
          <w:numId w:val="6"/>
        </w:numPr>
        <w:shd w:val="clear" w:color="auto" w:fill="FDEAD1" w:themeFill="accent3" w:themeFillTint="33"/>
        <w:spacing w:after="165" w:line="259" w:lineRule="auto"/>
      </w:pPr>
      <w:r>
        <w:t xml:space="preserve">Whether the organisation’s assessment and prioritisation of applications are equitable, transparent and robust. </w:t>
      </w:r>
    </w:p>
    <w:p w14:paraId="577BB7FF" w14:textId="77777777" w:rsidR="00525012" w:rsidRDefault="00525012" w:rsidP="00525012">
      <w:pPr>
        <w:pStyle w:val="Bullet"/>
        <w:numPr>
          <w:ilvl w:val="0"/>
          <w:numId w:val="6"/>
        </w:numPr>
        <w:shd w:val="clear" w:color="auto" w:fill="FDEAD1" w:themeFill="accent3" w:themeFillTint="33"/>
        <w:spacing w:after="165" w:line="259" w:lineRule="auto"/>
      </w:pPr>
      <w:r>
        <w:t xml:space="preserve">Whether the organisation deals respectfully, equitably, transparently and in a culturally appropriate manner with clients, persons seeking assistance, and persons refused assistance.    </w:t>
      </w:r>
    </w:p>
    <w:p w14:paraId="404E9DC2" w14:textId="77777777" w:rsidR="00525012" w:rsidRDefault="00525012" w:rsidP="00525012">
      <w:pPr>
        <w:pStyle w:val="Listnumbered"/>
        <w:shd w:val="clear" w:color="auto" w:fill="FDEAD1" w:themeFill="accent3" w:themeFillTint="33"/>
        <w:spacing w:after="165" w:line="259" w:lineRule="auto"/>
        <w:rPr>
          <w:lang w:eastAsia="en-AU"/>
        </w:rPr>
      </w:pPr>
      <w:r>
        <w:rPr>
          <w:lang w:eastAsia="en-AU"/>
        </w:rPr>
        <w:t xml:space="preserve">Review and assess each organisation’s cost effectiveness in performing the functions of a native title representative body, including the key cost drivers for each organisation. </w:t>
      </w:r>
    </w:p>
    <w:p w14:paraId="2306F970" w14:textId="4B9A5A52" w:rsidR="00525012" w:rsidRDefault="00525012" w:rsidP="00525012">
      <w:pPr>
        <w:pStyle w:val="Listnumbered"/>
        <w:shd w:val="clear" w:color="auto" w:fill="FDEAD1" w:themeFill="accent3" w:themeFillTint="33"/>
        <w:spacing w:after="165" w:line="259" w:lineRule="auto"/>
        <w:rPr>
          <w:lang w:eastAsia="en-AU"/>
        </w:rPr>
      </w:pPr>
      <w:r>
        <w:rPr>
          <w:lang w:eastAsia="en-AU"/>
        </w:rPr>
        <w:t xml:space="preserve">Review and assess each organisation’s strategies for driving and tracking its achievement against key performance indicators in its funding agreement with </w:t>
      </w:r>
      <w:r w:rsidR="002C3710">
        <w:rPr>
          <w:lang w:eastAsia="en-AU"/>
        </w:rPr>
        <w:t>the NIAA</w:t>
      </w:r>
      <w:r>
        <w:rPr>
          <w:lang w:eastAsia="en-AU"/>
        </w:rPr>
        <w:t xml:space="preserve">. </w:t>
      </w:r>
    </w:p>
    <w:p w14:paraId="5D9C0EFC" w14:textId="77777777" w:rsidR="00525012" w:rsidRDefault="00525012" w:rsidP="00525012">
      <w:pPr>
        <w:pStyle w:val="Listnumbered"/>
        <w:shd w:val="clear" w:color="auto" w:fill="FDEAD1" w:themeFill="accent3" w:themeFillTint="33"/>
        <w:spacing w:after="165" w:line="259" w:lineRule="auto"/>
        <w:rPr>
          <w:lang w:eastAsia="en-AU"/>
        </w:rPr>
      </w:pPr>
      <w:r>
        <w:rPr>
          <w:lang w:eastAsia="en-AU"/>
        </w:rPr>
        <w:t>Review and assess the extent to which each organisation’s governance structures and organisational policies and practices support efficient and effective project delivery including:</w:t>
      </w:r>
    </w:p>
    <w:p w14:paraId="46F7B675" w14:textId="77777777" w:rsidR="00525012" w:rsidRDefault="00525012" w:rsidP="00525012">
      <w:pPr>
        <w:pStyle w:val="Bullet"/>
        <w:numPr>
          <w:ilvl w:val="0"/>
          <w:numId w:val="6"/>
        </w:numPr>
        <w:shd w:val="clear" w:color="auto" w:fill="FDEAD1" w:themeFill="accent3" w:themeFillTint="33"/>
        <w:spacing w:after="165" w:line="259" w:lineRule="auto"/>
      </w:pPr>
      <w:r>
        <w:t xml:space="preserve">The breakdown of responsibilities between the organisation’s Board, Chairperson, Chief Executive Officer and senior staff. </w:t>
      </w:r>
    </w:p>
    <w:p w14:paraId="281F8956" w14:textId="77777777" w:rsidR="00525012" w:rsidRDefault="00525012" w:rsidP="00525012">
      <w:pPr>
        <w:pStyle w:val="Bullet"/>
        <w:numPr>
          <w:ilvl w:val="0"/>
          <w:numId w:val="6"/>
        </w:numPr>
        <w:shd w:val="clear" w:color="auto" w:fill="FDEAD1" w:themeFill="accent3" w:themeFillTint="33"/>
        <w:spacing w:after="165" w:line="259" w:lineRule="auto"/>
      </w:pPr>
      <w:r>
        <w:t>Its financial management.</w:t>
      </w:r>
    </w:p>
    <w:p w14:paraId="5CE4721F" w14:textId="77777777" w:rsidR="00525012" w:rsidRDefault="00525012" w:rsidP="00525012">
      <w:pPr>
        <w:pStyle w:val="Bullet"/>
        <w:numPr>
          <w:ilvl w:val="0"/>
          <w:numId w:val="6"/>
        </w:numPr>
        <w:shd w:val="clear" w:color="auto" w:fill="FDEAD1" w:themeFill="accent3" w:themeFillTint="33"/>
        <w:spacing w:after="165" w:line="259" w:lineRule="auto"/>
      </w:pPr>
      <w:r>
        <w:t xml:space="preserve">The standard to which it manages and resolves any conflicts of interest. </w:t>
      </w:r>
    </w:p>
    <w:p w14:paraId="42FAECD9" w14:textId="77777777" w:rsidR="00525012" w:rsidRDefault="00525012" w:rsidP="00525012">
      <w:pPr>
        <w:pStyle w:val="Bullet"/>
        <w:numPr>
          <w:ilvl w:val="0"/>
          <w:numId w:val="6"/>
        </w:numPr>
        <w:shd w:val="clear" w:color="auto" w:fill="FDEAD1" w:themeFill="accent3" w:themeFillTint="33"/>
        <w:spacing w:after="165" w:line="259" w:lineRule="auto"/>
      </w:pPr>
      <w:r>
        <w:t xml:space="preserve">The standard to which it manages and resolves any complaints. </w:t>
      </w:r>
    </w:p>
    <w:p w14:paraId="2F5D15A7" w14:textId="77777777" w:rsidR="00525012" w:rsidRDefault="00525012" w:rsidP="00525012">
      <w:pPr>
        <w:pStyle w:val="Listnumbered"/>
        <w:shd w:val="clear" w:color="auto" w:fill="FDEAD1" w:themeFill="accent3" w:themeFillTint="33"/>
        <w:spacing w:after="165" w:line="259" w:lineRule="auto"/>
        <w:rPr>
          <w:lang w:eastAsia="en-AU"/>
        </w:rPr>
      </w:pPr>
      <w:r>
        <w:rPr>
          <w:lang w:eastAsia="en-AU"/>
        </w:rPr>
        <w:t>Review and assess each organisation’s strategies for and progress in developing self-sufficient Prescribed Bodies Corporate (PBCs), so PBCs have appropriate capacity and capability to manage their own responsibilities and aspirations.</w:t>
      </w:r>
    </w:p>
    <w:p w14:paraId="211472D3" w14:textId="77777777" w:rsidR="00525012" w:rsidRDefault="00525012" w:rsidP="00525012">
      <w:pPr>
        <w:pStyle w:val="Listnumbered"/>
        <w:shd w:val="clear" w:color="auto" w:fill="FDEAD1" w:themeFill="accent3" w:themeFillTint="33"/>
        <w:spacing w:after="165" w:line="259" w:lineRule="auto"/>
        <w:rPr>
          <w:lang w:eastAsia="en-AU"/>
        </w:rPr>
      </w:pPr>
      <w:r>
        <w:rPr>
          <w:lang w:eastAsia="en-AU"/>
        </w:rPr>
        <w:t xml:space="preserve">Review and assess the adequacy of each organisation’s strategic planning for a post determination environment. </w:t>
      </w:r>
    </w:p>
    <w:p w14:paraId="2885C33F" w14:textId="42C71084" w:rsidR="00525012" w:rsidRDefault="00525012" w:rsidP="00525012">
      <w:pPr>
        <w:pStyle w:val="Listnumbered"/>
        <w:shd w:val="clear" w:color="auto" w:fill="F2F2F2" w:themeFill="background1" w:themeFillShade="F2"/>
        <w:spacing w:after="165" w:line="259" w:lineRule="auto"/>
        <w:rPr>
          <w:lang w:eastAsia="en-AU"/>
        </w:rPr>
      </w:pPr>
      <w:r>
        <w:rPr>
          <w:lang w:eastAsia="en-AU"/>
        </w:rPr>
        <w:t xml:space="preserve">Examine and report on other relevant issues as identified by </w:t>
      </w:r>
      <w:r w:rsidR="002C3710">
        <w:rPr>
          <w:lang w:eastAsia="en-AU"/>
        </w:rPr>
        <w:t>the NIAA</w:t>
      </w:r>
      <w:r w:rsidR="009515AD">
        <w:rPr>
          <w:lang w:eastAsia="en-AU"/>
        </w:rPr>
        <w:t xml:space="preserve"> </w:t>
      </w:r>
      <w:r>
        <w:rPr>
          <w:lang w:eastAsia="en-AU"/>
        </w:rPr>
        <w:t>or in the course of the review, which may be specific to particular organisations.</w:t>
      </w:r>
    </w:p>
    <w:p w14:paraId="2EA02360" w14:textId="77777777" w:rsidR="00525012" w:rsidRDefault="00525012" w:rsidP="00525012">
      <w:pPr>
        <w:pStyle w:val="Listnumbered"/>
        <w:shd w:val="clear" w:color="auto" w:fill="F2F2F2" w:themeFill="background1" w:themeFillShade="F2"/>
        <w:spacing w:after="165" w:line="259" w:lineRule="auto"/>
        <w:rPr>
          <w:lang w:eastAsia="en-AU"/>
        </w:rPr>
      </w:pPr>
      <w:r>
        <w:rPr>
          <w:lang w:eastAsia="en-AU"/>
        </w:rPr>
        <w:t xml:space="preserve">Develop a meaningful set of benchmarks to assess individual and comparative efficiency and effectiveness of organisations. </w:t>
      </w:r>
    </w:p>
    <w:p w14:paraId="5079EB65" w14:textId="79F6C966" w:rsidR="00525012" w:rsidRDefault="00525012" w:rsidP="00525012">
      <w:pPr>
        <w:pStyle w:val="Listnumbered"/>
        <w:shd w:val="clear" w:color="auto" w:fill="F2F2F2" w:themeFill="background1" w:themeFillShade="F2"/>
        <w:spacing w:after="165" w:line="259" w:lineRule="auto"/>
        <w:rPr>
          <w:lang w:eastAsia="en-AU"/>
        </w:rPr>
      </w:pPr>
      <w:r>
        <w:rPr>
          <w:lang w:eastAsia="en-AU"/>
        </w:rPr>
        <w:t xml:space="preserve">Provide written draft and final reports to </w:t>
      </w:r>
      <w:r w:rsidR="002C3710">
        <w:rPr>
          <w:lang w:eastAsia="en-AU"/>
        </w:rPr>
        <w:t>the NIAA</w:t>
      </w:r>
      <w:r w:rsidR="009515AD">
        <w:rPr>
          <w:lang w:eastAsia="en-AU"/>
        </w:rPr>
        <w:t xml:space="preserve"> </w:t>
      </w:r>
      <w:r>
        <w:rPr>
          <w:lang w:eastAsia="en-AU"/>
        </w:rPr>
        <w:t>on the work undertaken for each review and the review findings, making recommendations on what changes, if any, each organisation could make to improve its efficiency and effectiveness. There will be an overarching comparative report and five individual reports.</w:t>
      </w:r>
    </w:p>
    <w:p w14:paraId="70487381" w14:textId="77777777" w:rsidR="00525012" w:rsidRPr="006B7B98" w:rsidRDefault="00525012" w:rsidP="00525012">
      <w:pPr>
        <w:rPr>
          <w:lang w:eastAsia="en-AU"/>
        </w:rPr>
      </w:pPr>
    </w:p>
    <w:p w14:paraId="641692F5" w14:textId="77777777" w:rsidR="00D06FCE" w:rsidRDefault="00D06FCE" w:rsidP="00D06FCE">
      <w:pPr>
        <w:pStyle w:val="xAppendixLevel1"/>
      </w:pPr>
      <w:bookmarkStart w:id="131" w:name="_Ref37158564"/>
      <w:bookmarkStart w:id="132" w:name="_Toc68071474"/>
      <w:bookmarkStart w:id="133" w:name="_Toc501799420"/>
      <w:bookmarkStart w:id="134" w:name="_Ref502723599"/>
      <w:bookmarkStart w:id="135" w:name="_Toc502839786"/>
      <w:bookmarkStart w:id="136" w:name="_Toc502843262"/>
      <w:bookmarkStart w:id="137" w:name="_Toc502847625"/>
      <w:bookmarkStart w:id="138" w:name="_Toc502850769"/>
      <w:bookmarkStart w:id="139" w:name="_Toc502855201"/>
      <w:bookmarkStart w:id="140" w:name="_Toc503117100"/>
      <w:bookmarkStart w:id="141" w:name="_Toc505259177"/>
      <w:bookmarkStart w:id="142" w:name="_Toc505256244"/>
      <w:bookmarkStart w:id="143" w:name="_Toc505618287"/>
      <w:bookmarkStart w:id="144" w:name="_Ref500494866"/>
      <w:bookmarkStart w:id="145" w:name="_Toc502668025"/>
      <w:bookmarkStart w:id="146" w:name="_Ref495407339"/>
      <w:r>
        <w:lastRenderedPageBreak/>
        <w:t>NTRB-SPs under review</w:t>
      </w:r>
      <w:bookmarkEnd w:id="131"/>
      <w:bookmarkEnd w:id="132"/>
    </w:p>
    <w:p w14:paraId="7CBC7544" w14:textId="7665D525" w:rsidR="00F368A6" w:rsidRDefault="00E50778" w:rsidP="00F368A6">
      <w:pPr>
        <w:spacing w:after="0"/>
        <w:rPr>
          <w:lang w:eastAsia="en-AU"/>
        </w:rPr>
      </w:pPr>
      <w:r>
        <w:rPr>
          <w:lang w:eastAsia="en-AU"/>
        </w:rPr>
        <w:t>A total of 14</w:t>
      </w:r>
      <w:r w:rsidR="00F368A6">
        <w:rPr>
          <w:lang w:eastAsia="en-AU"/>
        </w:rPr>
        <w:t xml:space="preserve"> Native Title Representative Bodies and Service Providers (NTRB-SPs) were reviewed in three tranches using the same methodology and approach. For each Review tranche, a three-year period was in scope for the </w:t>
      </w:r>
      <w:r w:rsidR="00A20697">
        <w:rPr>
          <w:lang w:eastAsia="en-AU"/>
        </w:rPr>
        <w:t>R</w:t>
      </w:r>
      <w:r w:rsidR="00F368A6">
        <w:rPr>
          <w:lang w:eastAsia="en-AU"/>
        </w:rPr>
        <w:t xml:space="preserve">eview – as presented in </w:t>
      </w:r>
      <w:r w:rsidR="00F368A6">
        <w:rPr>
          <w:lang w:eastAsia="en-AU"/>
        </w:rPr>
        <w:fldChar w:fldCharType="begin"/>
      </w:r>
      <w:r w:rsidR="00F368A6">
        <w:rPr>
          <w:lang w:eastAsia="en-AU"/>
        </w:rPr>
        <w:instrText xml:space="preserve"> REF _Ref37790230 \h </w:instrText>
      </w:r>
      <w:r w:rsidR="00F368A6">
        <w:rPr>
          <w:lang w:eastAsia="en-AU"/>
        </w:rPr>
      </w:r>
      <w:r w:rsidR="00F368A6">
        <w:rPr>
          <w:lang w:eastAsia="en-AU"/>
        </w:rPr>
        <w:fldChar w:fldCharType="separate"/>
      </w:r>
      <w:r w:rsidR="00270623" w:rsidRPr="00BB1AA6">
        <w:t xml:space="preserve">Table </w:t>
      </w:r>
      <w:r w:rsidR="00270623">
        <w:rPr>
          <w:noProof/>
        </w:rPr>
        <w:t>1</w:t>
      </w:r>
      <w:r w:rsidR="00F368A6">
        <w:rPr>
          <w:lang w:eastAsia="en-AU"/>
        </w:rPr>
        <w:fldChar w:fldCharType="end"/>
      </w:r>
      <w:r w:rsidR="00F368A6">
        <w:rPr>
          <w:lang w:eastAsia="en-AU"/>
        </w:rPr>
        <w:t xml:space="preserve">. The efficiency and effectiveness of each NTRB-SP was assessed and a performance report was prepared for each. </w:t>
      </w:r>
    </w:p>
    <w:p w14:paraId="64EBBCFE" w14:textId="30278F67" w:rsidR="00F368A6" w:rsidRPr="00BB1AA6" w:rsidRDefault="00F368A6" w:rsidP="00F368A6">
      <w:pPr>
        <w:pStyle w:val="Caption"/>
        <w:keepNext/>
      </w:pPr>
      <w:bookmarkStart w:id="147" w:name="_Ref37790230"/>
      <w:r w:rsidRPr="00BB1AA6">
        <w:t xml:space="preserve">Table </w:t>
      </w:r>
      <w:r w:rsidRPr="00BB1AA6">
        <w:fldChar w:fldCharType="begin"/>
      </w:r>
      <w:r w:rsidRPr="00BB1AA6">
        <w:instrText xml:space="preserve"> SEQ Table \* ARABIC </w:instrText>
      </w:r>
      <w:r w:rsidRPr="00BB1AA6">
        <w:fldChar w:fldCharType="separate"/>
      </w:r>
      <w:r w:rsidR="00270623">
        <w:rPr>
          <w:noProof/>
        </w:rPr>
        <w:t>1</w:t>
      </w:r>
      <w:r w:rsidRPr="00BB1AA6">
        <w:fldChar w:fldCharType="end"/>
      </w:r>
      <w:bookmarkEnd w:id="147"/>
      <w:r w:rsidRPr="00BB1AA6">
        <w:t xml:space="preserve"> | </w:t>
      </w:r>
      <w:r>
        <w:t>NTRB-SPs review tranches</w:t>
      </w:r>
    </w:p>
    <w:tbl>
      <w:tblPr>
        <w:tblStyle w:val="TableGrid"/>
        <w:tblW w:w="8931" w:type="dxa"/>
        <w:tblLook w:val="04A0" w:firstRow="1" w:lastRow="0" w:firstColumn="1" w:lastColumn="0" w:noHBand="0" w:noVBand="1"/>
      </w:tblPr>
      <w:tblGrid>
        <w:gridCol w:w="993"/>
        <w:gridCol w:w="3685"/>
        <w:gridCol w:w="1843"/>
        <w:gridCol w:w="2410"/>
      </w:tblGrid>
      <w:tr w:rsidR="00F368A6" w:rsidRPr="00BB1AA6" w14:paraId="17A58E50" w14:textId="77777777" w:rsidTr="00C26D69">
        <w:trPr>
          <w:cnfStyle w:val="100000000000" w:firstRow="1" w:lastRow="0" w:firstColumn="0" w:lastColumn="0" w:oddVBand="0" w:evenVBand="0" w:oddHBand="0" w:evenHBand="0" w:firstRowFirstColumn="0" w:firstRowLastColumn="0" w:lastRowFirstColumn="0" w:lastRowLastColumn="0"/>
        </w:trPr>
        <w:tc>
          <w:tcPr>
            <w:tcW w:w="993" w:type="dxa"/>
          </w:tcPr>
          <w:p w14:paraId="42BE4FE3" w14:textId="77777777" w:rsidR="00F368A6" w:rsidRPr="0043363C" w:rsidRDefault="00F368A6" w:rsidP="00C26D69">
            <w:pPr>
              <w:pStyle w:val="TableExpText"/>
              <w:rPr>
                <w:color w:val="00264D" w:themeColor="background2"/>
              </w:rPr>
            </w:pPr>
            <w:r w:rsidRPr="0043363C">
              <w:rPr>
                <w:color w:val="00264D" w:themeColor="background2"/>
              </w:rPr>
              <w:t>Tranche</w:t>
            </w:r>
          </w:p>
        </w:tc>
        <w:tc>
          <w:tcPr>
            <w:tcW w:w="3685" w:type="dxa"/>
          </w:tcPr>
          <w:p w14:paraId="1A0B9BB9" w14:textId="4C87F182" w:rsidR="00F368A6" w:rsidRPr="0043363C" w:rsidRDefault="00F368A6" w:rsidP="00C26D69">
            <w:pPr>
              <w:pStyle w:val="TableExpText"/>
              <w:rPr>
                <w:color w:val="00264D" w:themeColor="background2"/>
              </w:rPr>
            </w:pPr>
            <w:r w:rsidRPr="0043363C">
              <w:rPr>
                <w:color w:val="00264D" w:themeColor="background2"/>
              </w:rPr>
              <w:t xml:space="preserve">NTRB-SP </w:t>
            </w:r>
          </w:p>
        </w:tc>
        <w:tc>
          <w:tcPr>
            <w:tcW w:w="1843" w:type="dxa"/>
          </w:tcPr>
          <w:p w14:paraId="4A61BD08" w14:textId="06490A03" w:rsidR="00F368A6" w:rsidRPr="0043363C" w:rsidRDefault="00F368A6" w:rsidP="00C26D69">
            <w:pPr>
              <w:pStyle w:val="TableExpText"/>
              <w:rPr>
                <w:color w:val="00264D" w:themeColor="background2"/>
              </w:rPr>
            </w:pPr>
            <w:r w:rsidRPr="0043363C">
              <w:rPr>
                <w:color w:val="00264D" w:themeColor="background2"/>
              </w:rPr>
              <w:t xml:space="preserve">Scope of </w:t>
            </w:r>
            <w:r w:rsidR="00A20697">
              <w:rPr>
                <w:color w:val="00264D" w:themeColor="background2"/>
              </w:rPr>
              <w:t>R</w:t>
            </w:r>
            <w:r w:rsidRPr="0043363C">
              <w:rPr>
                <w:color w:val="00264D" w:themeColor="background2"/>
              </w:rPr>
              <w:t>eview</w:t>
            </w:r>
          </w:p>
        </w:tc>
        <w:tc>
          <w:tcPr>
            <w:tcW w:w="2410" w:type="dxa"/>
          </w:tcPr>
          <w:p w14:paraId="229DB7EC" w14:textId="371F73A1" w:rsidR="00F368A6" w:rsidRPr="0043363C" w:rsidRDefault="00F368A6" w:rsidP="00C26D69">
            <w:pPr>
              <w:pStyle w:val="TableExpText"/>
              <w:rPr>
                <w:color w:val="00264D" w:themeColor="background2"/>
              </w:rPr>
            </w:pPr>
            <w:r w:rsidRPr="0043363C">
              <w:rPr>
                <w:color w:val="00264D" w:themeColor="background2"/>
              </w:rPr>
              <w:t xml:space="preserve">Timing </w:t>
            </w:r>
            <w:r w:rsidR="00A20697">
              <w:rPr>
                <w:color w:val="00264D" w:themeColor="background2"/>
              </w:rPr>
              <w:t>R</w:t>
            </w:r>
            <w:r w:rsidRPr="0043363C">
              <w:rPr>
                <w:color w:val="00264D" w:themeColor="background2"/>
              </w:rPr>
              <w:t>eview conducted</w:t>
            </w:r>
          </w:p>
        </w:tc>
      </w:tr>
      <w:tr w:rsidR="00F368A6" w:rsidRPr="00BB1AA6" w14:paraId="4279BC61" w14:textId="77777777" w:rsidTr="00C26D69">
        <w:tc>
          <w:tcPr>
            <w:tcW w:w="993" w:type="dxa"/>
            <w:vMerge w:val="restart"/>
          </w:tcPr>
          <w:p w14:paraId="455141AB" w14:textId="77777777" w:rsidR="00F368A6" w:rsidRPr="00BB1AA6" w:rsidRDefault="00F368A6" w:rsidP="00C26D69">
            <w:pPr>
              <w:pStyle w:val="TableExpText"/>
              <w:rPr>
                <w:rFonts w:cs="Segoe UI"/>
                <w:color w:val="000000" w:themeColor="text1"/>
                <w:szCs w:val="19"/>
              </w:rPr>
            </w:pPr>
            <w:r>
              <w:rPr>
                <w:rFonts w:cs="Segoe UI"/>
                <w:color w:val="000000" w:themeColor="text1"/>
                <w:szCs w:val="19"/>
              </w:rPr>
              <w:t>Tranche 1 (2017)</w:t>
            </w:r>
          </w:p>
        </w:tc>
        <w:tc>
          <w:tcPr>
            <w:tcW w:w="3685" w:type="dxa"/>
          </w:tcPr>
          <w:p w14:paraId="59511636" w14:textId="77777777" w:rsidR="00F368A6" w:rsidRPr="00BB1AA6" w:rsidRDefault="00F368A6" w:rsidP="00C26D69">
            <w:pPr>
              <w:pStyle w:val="TableExpText"/>
              <w:rPr>
                <w:rFonts w:cs="Segoe UI"/>
                <w:color w:val="000000" w:themeColor="text1"/>
                <w:szCs w:val="19"/>
                <w:lang w:val="en-US"/>
              </w:rPr>
            </w:pPr>
            <w:r>
              <w:rPr>
                <w:rFonts w:cs="Segoe UI"/>
                <w:color w:val="000000" w:themeColor="text1"/>
                <w:szCs w:val="19"/>
                <w:lang w:val="en-US"/>
              </w:rPr>
              <w:t>Central Desert Native Title Services</w:t>
            </w:r>
          </w:p>
        </w:tc>
        <w:tc>
          <w:tcPr>
            <w:tcW w:w="1843" w:type="dxa"/>
            <w:vMerge w:val="restart"/>
          </w:tcPr>
          <w:p w14:paraId="16CDEE56" w14:textId="77777777" w:rsidR="00F368A6" w:rsidRPr="0036670E" w:rsidRDefault="00F368A6" w:rsidP="00C26D69">
            <w:pPr>
              <w:pStyle w:val="TableExpText"/>
              <w:rPr>
                <w:rFonts w:cs="Segoe UI"/>
                <w:color w:val="000000" w:themeColor="text1"/>
                <w:szCs w:val="19"/>
                <w:lang w:val="en-US"/>
              </w:rPr>
            </w:pPr>
            <w:r>
              <w:rPr>
                <w:rFonts w:cs="Segoe UI"/>
                <w:color w:val="000000" w:themeColor="text1"/>
                <w:szCs w:val="19"/>
                <w:lang w:val="en-US"/>
              </w:rPr>
              <w:t xml:space="preserve">July 2014 – </w:t>
            </w:r>
            <w:r w:rsidRPr="0036670E">
              <w:rPr>
                <w:rFonts w:cs="Segoe UI"/>
                <w:color w:val="000000" w:themeColor="text1"/>
                <w:szCs w:val="19"/>
                <w:lang w:val="en-US"/>
              </w:rPr>
              <w:t>June 2017</w:t>
            </w:r>
          </w:p>
        </w:tc>
        <w:tc>
          <w:tcPr>
            <w:tcW w:w="2410" w:type="dxa"/>
            <w:vMerge w:val="restart"/>
          </w:tcPr>
          <w:p w14:paraId="753D0F1D" w14:textId="77777777" w:rsidR="00F368A6" w:rsidRPr="0036670E" w:rsidRDefault="00F368A6" w:rsidP="00C26D69">
            <w:pPr>
              <w:pStyle w:val="TableExpText"/>
              <w:rPr>
                <w:rFonts w:cs="Segoe UI"/>
                <w:color w:val="000000" w:themeColor="text1"/>
                <w:szCs w:val="19"/>
                <w:lang w:val="en-US"/>
              </w:rPr>
            </w:pPr>
            <w:r>
              <w:rPr>
                <w:rFonts w:cs="Segoe UI"/>
                <w:color w:val="000000" w:themeColor="text1"/>
                <w:szCs w:val="19"/>
                <w:lang w:val="en-US"/>
              </w:rPr>
              <w:t xml:space="preserve">June 2017 – </w:t>
            </w:r>
            <w:r w:rsidRPr="0036670E">
              <w:rPr>
                <w:rFonts w:cs="Segoe UI"/>
                <w:color w:val="000000" w:themeColor="text1"/>
                <w:szCs w:val="19"/>
                <w:lang w:val="en-US"/>
              </w:rPr>
              <w:t>March 2018</w:t>
            </w:r>
          </w:p>
        </w:tc>
      </w:tr>
      <w:tr w:rsidR="00F368A6" w:rsidRPr="00BB1AA6" w14:paraId="649079E5" w14:textId="77777777" w:rsidTr="00C26D69">
        <w:tc>
          <w:tcPr>
            <w:tcW w:w="993" w:type="dxa"/>
            <w:vMerge/>
          </w:tcPr>
          <w:p w14:paraId="533C9DFE" w14:textId="77777777" w:rsidR="00F368A6" w:rsidRPr="00BB1AA6" w:rsidRDefault="00F368A6" w:rsidP="00C26D69">
            <w:pPr>
              <w:pStyle w:val="TableExpText"/>
              <w:rPr>
                <w:rFonts w:cs="Segoe UI"/>
                <w:color w:val="000000" w:themeColor="text1"/>
                <w:szCs w:val="19"/>
              </w:rPr>
            </w:pPr>
          </w:p>
        </w:tc>
        <w:tc>
          <w:tcPr>
            <w:tcW w:w="3685" w:type="dxa"/>
            <w:vAlign w:val="top"/>
          </w:tcPr>
          <w:p w14:paraId="5786016C" w14:textId="77777777" w:rsidR="00F368A6" w:rsidRPr="00BB1AA6" w:rsidRDefault="00F368A6" w:rsidP="00C26D69">
            <w:pPr>
              <w:pStyle w:val="TableExpText"/>
              <w:rPr>
                <w:rFonts w:cs="Segoe UI"/>
                <w:color w:val="000000" w:themeColor="text1"/>
                <w:szCs w:val="19"/>
              </w:rPr>
            </w:pPr>
            <w:r w:rsidRPr="00AA08B3">
              <w:t>First Nations Legal and Research Services</w:t>
            </w:r>
          </w:p>
        </w:tc>
        <w:tc>
          <w:tcPr>
            <w:tcW w:w="1843" w:type="dxa"/>
            <w:vMerge/>
          </w:tcPr>
          <w:p w14:paraId="4AF17881" w14:textId="77777777" w:rsidR="00F368A6" w:rsidRPr="00BB1AA6" w:rsidRDefault="00F368A6" w:rsidP="00C26D69">
            <w:pPr>
              <w:pStyle w:val="TableExpText"/>
              <w:rPr>
                <w:rFonts w:cs="Segoe UI"/>
                <w:color w:val="000000" w:themeColor="text1"/>
                <w:szCs w:val="19"/>
              </w:rPr>
            </w:pPr>
          </w:p>
        </w:tc>
        <w:tc>
          <w:tcPr>
            <w:tcW w:w="2410" w:type="dxa"/>
            <w:vMerge/>
          </w:tcPr>
          <w:p w14:paraId="2CA8D8C3" w14:textId="77777777" w:rsidR="00F368A6" w:rsidRPr="00BB1AA6" w:rsidRDefault="00F368A6" w:rsidP="00C26D69">
            <w:pPr>
              <w:pStyle w:val="TableExpText"/>
              <w:rPr>
                <w:rFonts w:cs="Segoe UI"/>
                <w:color w:val="000000" w:themeColor="text1"/>
                <w:szCs w:val="19"/>
              </w:rPr>
            </w:pPr>
          </w:p>
        </w:tc>
      </w:tr>
      <w:tr w:rsidR="00F368A6" w:rsidRPr="00BB1AA6" w14:paraId="33CD950D" w14:textId="77777777" w:rsidTr="00C26D69">
        <w:tc>
          <w:tcPr>
            <w:tcW w:w="993" w:type="dxa"/>
            <w:vMerge/>
          </w:tcPr>
          <w:p w14:paraId="15A123DB" w14:textId="77777777" w:rsidR="00F368A6" w:rsidRPr="00BB1AA6" w:rsidRDefault="00F368A6" w:rsidP="00C26D69">
            <w:pPr>
              <w:pStyle w:val="TableExpText"/>
              <w:rPr>
                <w:rFonts w:cs="Segoe UI"/>
                <w:color w:val="000000" w:themeColor="text1"/>
                <w:szCs w:val="19"/>
              </w:rPr>
            </w:pPr>
          </w:p>
        </w:tc>
        <w:tc>
          <w:tcPr>
            <w:tcW w:w="3685" w:type="dxa"/>
            <w:vAlign w:val="top"/>
          </w:tcPr>
          <w:p w14:paraId="61E93DFB" w14:textId="77777777" w:rsidR="00F368A6" w:rsidRPr="00BB1AA6" w:rsidRDefault="00F368A6" w:rsidP="00C26D69">
            <w:pPr>
              <w:pStyle w:val="TableExpText"/>
              <w:rPr>
                <w:rFonts w:cs="Segoe UI"/>
                <w:color w:val="000000" w:themeColor="text1"/>
                <w:szCs w:val="19"/>
                <w:lang w:val="en-US"/>
              </w:rPr>
            </w:pPr>
            <w:r w:rsidRPr="00AA08B3">
              <w:t>Goldfields Land and Sea Council</w:t>
            </w:r>
          </w:p>
        </w:tc>
        <w:tc>
          <w:tcPr>
            <w:tcW w:w="1843" w:type="dxa"/>
            <w:vMerge/>
          </w:tcPr>
          <w:p w14:paraId="4BFBB394" w14:textId="77777777" w:rsidR="00F368A6" w:rsidRPr="00BB1AA6" w:rsidRDefault="00F368A6" w:rsidP="00C26D69">
            <w:pPr>
              <w:pStyle w:val="TableExpText"/>
              <w:rPr>
                <w:rFonts w:cs="Segoe UI"/>
                <w:color w:val="000000" w:themeColor="text1"/>
                <w:szCs w:val="19"/>
                <w:lang w:val="en-US"/>
              </w:rPr>
            </w:pPr>
          </w:p>
        </w:tc>
        <w:tc>
          <w:tcPr>
            <w:tcW w:w="2410" w:type="dxa"/>
            <w:vMerge/>
          </w:tcPr>
          <w:p w14:paraId="1225161A" w14:textId="77777777" w:rsidR="00F368A6" w:rsidRPr="00BB1AA6" w:rsidRDefault="00F368A6" w:rsidP="00C26D69">
            <w:pPr>
              <w:pStyle w:val="TableExpText"/>
              <w:rPr>
                <w:rFonts w:cs="Segoe UI"/>
                <w:color w:val="000000" w:themeColor="text1"/>
                <w:szCs w:val="19"/>
                <w:lang w:val="en-US"/>
              </w:rPr>
            </w:pPr>
          </w:p>
        </w:tc>
      </w:tr>
      <w:tr w:rsidR="00F368A6" w:rsidRPr="00BB1AA6" w14:paraId="3BF174D4" w14:textId="77777777" w:rsidTr="00C26D69">
        <w:tc>
          <w:tcPr>
            <w:tcW w:w="993" w:type="dxa"/>
            <w:vMerge/>
          </w:tcPr>
          <w:p w14:paraId="70DBD0A3" w14:textId="77777777" w:rsidR="00F368A6" w:rsidRPr="00BB1AA6" w:rsidRDefault="00F368A6" w:rsidP="00C26D69">
            <w:pPr>
              <w:pStyle w:val="TableExpText"/>
              <w:rPr>
                <w:rFonts w:cs="Segoe UI"/>
                <w:color w:val="000000" w:themeColor="text1"/>
                <w:szCs w:val="19"/>
              </w:rPr>
            </w:pPr>
          </w:p>
        </w:tc>
        <w:tc>
          <w:tcPr>
            <w:tcW w:w="3685" w:type="dxa"/>
            <w:vAlign w:val="top"/>
          </w:tcPr>
          <w:p w14:paraId="3BDFF0E8" w14:textId="77777777" w:rsidR="00F368A6" w:rsidRPr="00F368A6" w:rsidRDefault="00F368A6" w:rsidP="00C26D69">
            <w:pPr>
              <w:pStyle w:val="TableExpText"/>
              <w:rPr>
                <w:rFonts w:cs="Segoe UI"/>
                <w:bCs/>
                <w:color w:val="000000" w:themeColor="text1"/>
                <w:szCs w:val="19"/>
                <w:lang w:val="en-US"/>
              </w:rPr>
            </w:pPr>
            <w:r w:rsidRPr="00F368A6">
              <w:rPr>
                <w:bCs/>
              </w:rPr>
              <w:t>Native Title Services Corporation</w:t>
            </w:r>
          </w:p>
        </w:tc>
        <w:tc>
          <w:tcPr>
            <w:tcW w:w="1843" w:type="dxa"/>
            <w:vMerge/>
          </w:tcPr>
          <w:p w14:paraId="1929B925" w14:textId="77777777" w:rsidR="00F368A6" w:rsidRPr="00BB1AA6" w:rsidRDefault="00F368A6" w:rsidP="00C26D69">
            <w:pPr>
              <w:pStyle w:val="TableExpText"/>
              <w:rPr>
                <w:rFonts w:cs="Segoe UI"/>
                <w:color w:val="000000" w:themeColor="text1"/>
                <w:szCs w:val="19"/>
                <w:lang w:val="en-US"/>
              </w:rPr>
            </w:pPr>
          </w:p>
        </w:tc>
        <w:tc>
          <w:tcPr>
            <w:tcW w:w="2410" w:type="dxa"/>
            <w:vMerge/>
          </w:tcPr>
          <w:p w14:paraId="70B07124" w14:textId="77777777" w:rsidR="00F368A6" w:rsidRPr="00BB1AA6" w:rsidRDefault="00F368A6" w:rsidP="00C26D69">
            <w:pPr>
              <w:pStyle w:val="TableExpText"/>
              <w:rPr>
                <w:rFonts w:cs="Segoe UI"/>
                <w:color w:val="000000" w:themeColor="text1"/>
                <w:szCs w:val="19"/>
                <w:lang w:val="en-US"/>
              </w:rPr>
            </w:pPr>
          </w:p>
        </w:tc>
      </w:tr>
      <w:tr w:rsidR="00F368A6" w:rsidRPr="00BB1AA6" w14:paraId="44F83BB8" w14:textId="77777777" w:rsidTr="00C26D69">
        <w:tc>
          <w:tcPr>
            <w:tcW w:w="993" w:type="dxa"/>
            <w:vMerge/>
          </w:tcPr>
          <w:p w14:paraId="391BC182" w14:textId="77777777" w:rsidR="00F368A6" w:rsidRPr="00BB1AA6" w:rsidRDefault="00F368A6" w:rsidP="00C26D69">
            <w:pPr>
              <w:pStyle w:val="TableExpText"/>
              <w:rPr>
                <w:rFonts w:cs="Segoe UI"/>
                <w:color w:val="000000" w:themeColor="text1"/>
                <w:szCs w:val="19"/>
              </w:rPr>
            </w:pPr>
          </w:p>
        </w:tc>
        <w:tc>
          <w:tcPr>
            <w:tcW w:w="3685" w:type="dxa"/>
            <w:vAlign w:val="top"/>
          </w:tcPr>
          <w:p w14:paraId="78DB5F8E" w14:textId="77777777" w:rsidR="00F368A6" w:rsidRPr="00131D1D" w:rsidRDefault="00F368A6" w:rsidP="00C26D69">
            <w:pPr>
              <w:pStyle w:val="TableExpText"/>
              <w:rPr>
                <w:rFonts w:cs="Segoe UI"/>
                <w:color w:val="000000" w:themeColor="text1"/>
                <w:szCs w:val="19"/>
                <w:lang w:val="en-US"/>
              </w:rPr>
            </w:pPr>
            <w:r w:rsidRPr="00131D1D">
              <w:t>Queensland South Native Title Services</w:t>
            </w:r>
          </w:p>
        </w:tc>
        <w:tc>
          <w:tcPr>
            <w:tcW w:w="1843" w:type="dxa"/>
            <w:vMerge/>
          </w:tcPr>
          <w:p w14:paraId="12EDC7CB" w14:textId="77777777" w:rsidR="00F368A6" w:rsidRPr="00BB1AA6" w:rsidRDefault="00F368A6" w:rsidP="00C26D69">
            <w:pPr>
              <w:pStyle w:val="TableExpText"/>
              <w:rPr>
                <w:rFonts w:cs="Segoe UI"/>
                <w:color w:val="000000" w:themeColor="text1"/>
                <w:szCs w:val="19"/>
                <w:lang w:val="en-US"/>
              </w:rPr>
            </w:pPr>
          </w:p>
        </w:tc>
        <w:tc>
          <w:tcPr>
            <w:tcW w:w="2410" w:type="dxa"/>
            <w:vMerge/>
          </w:tcPr>
          <w:p w14:paraId="47167E4D" w14:textId="77777777" w:rsidR="00F368A6" w:rsidRPr="00BB1AA6" w:rsidRDefault="00F368A6" w:rsidP="00C26D69">
            <w:pPr>
              <w:pStyle w:val="TableExpText"/>
              <w:rPr>
                <w:rFonts w:cs="Segoe UI"/>
                <w:color w:val="000000" w:themeColor="text1"/>
                <w:szCs w:val="19"/>
                <w:lang w:val="en-US"/>
              </w:rPr>
            </w:pPr>
          </w:p>
        </w:tc>
      </w:tr>
      <w:tr w:rsidR="00F368A6" w:rsidRPr="00BB1AA6" w14:paraId="4C1A5981" w14:textId="77777777" w:rsidTr="00C26D69">
        <w:tc>
          <w:tcPr>
            <w:tcW w:w="993" w:type="dxa"/>
            <w:vMerge w:val="restart"/>
          </w:tcPr>
          <w:p w14:paraId="0217E354" w14:textId="77777777" w:rsidR="00F368A6" w:rsidRPr="00BB1AA6" w:rsidRDefault="00F368A6" w:rsidP="00C26D69">
            <w:pPr>
              <w:pStyle w:val="TableExpText"/>
              <w:rPr>
                <w:rFonts w:cs="Segoe UI"/>
                <w:color w:val="000000" w:themeColor="text1"/>
                <w:szCs w:val="19"/>
              </w:rPr>
            </w:pPr>
            <w:r>
              <w:rPr>
                <w:rFonts w:cs="Segoe UI"/>
                <w:color w:val="000000" w:themeColor="text1"/>
                <w:szCs w:val="19"/>
              </w:rPr>
              <w:t>Tranche 2 (2018)</w:t>
            </w:r>
          </w:p>
        </w:tc>
        <w:tc>
          <w:tcPr>
            <w:tcW w:w="3685" w:type="dxa"/>
            <w:vAlign w:val="top"/>
          </w:tcPr>
          <w:p w14:paraId="6978CD0D" w14:textId="77777777" w:rsidR="00F368A6" w:rsidRPr="00BB1AA6" w:rsidRDefault="00F368A6" w:rsidP="00C26D69">
            <w:pPr>
              <w:pStyle w:val="TableExpText"/>
              <w:rPr>
                <w:rFonts w:cs="Segoe UI"/>
                <w:color w:val="000000" w:themeColor="text1"/>
                <w:szCs w:val="19"/>
                <w:lang w:val="en-US"/>
              </w:rPr>
            </w:pPr>
            <w:r w:rsidRPr="00197B40">
              <w:t>Cape York Land Council</w:t>
            </w:r>
          </w:p>
        </w:tc>
        <w:tc>
          <w:tcPr>
            <w:tcW w:w="1843" w:type="dxa"/>
            <w:vMerge w:val="restart"/>
          </w:tcPr>
          <w:p w14:paraId="5A5F6D20" w14:textId="77777777" w:rsidR="00F368A6" w:rsidRPr="0036670E" w:rsidRDefault="00F368A6" w:rsidP="00C26D69">
            <w:pPr>
              <w:pStyle w:val="TableExpText"/>
              <w:rPr>
                <w:rFonts w:cs="Segoe UI"/>
                <w:color w:val="000000" w:themeColor="text1"/>
                <w:szCs w:val="19"/>
                <w:lang w:val="en-US"/>
              </w:rPr>
            </w:pPr>
            <w:r>
              <w:rPr>
                <w:rFonts w:cs="Segoe UI"/>
                <w:color w:val="000000" w:themeColor="text1"/>
                <w:szCs w:val="19"/>
                <w:lang w:val="en-US"/>
              </w:rPr>
              <w:t xml:space="preserve">July 2015 – </w:t>
            </w:r>
            <w:r w:rsidRPr="0036670E">
              <w:rPr>
                <w:rFonts w:cs="Segoe UI"/>
                <w:color w:val="000000" w:themeColor="text1"/>
                <w:szCs w:val="19"/>
                <w:lang w:val="en-US"/>
              </w:rPr>
              <w:t>June 2018</w:t>
            </w:r>
          </w:p>
        </w:tc>
        <w:tc>
          <w:tcPr>
            <w:tcW w:w="2410" w:type="dxa"/>
            <w:vMerge w:val="restart"/>
          </w:tcPr>
          <w:p w14:paraId="19EA49B5" w14:textId="77777777" w:rsidR="00F368A6" w:rsidRPr="00BB1AA6" w:rsidRDefault="00F368A6" w:rsidP="00C26D69">
            <w:pPr>
              <w:pStyle w:val="TableExpText"/>
              <w:rPr>
                <w:rFonts w:cs="Segoe UI"/>
                <w:color w:val="000000" w:themeColor="text1"/>
                <w:szCs w:val="19"/>
                <w:lang w:val="en-US"/>
              </w:rPr>
            </w:pPr>
            <w:r>
              <w:rPr>
                <w:rFonts w:cs="Segoe UI"/>
                <w:color w:val="000000" w:themeColor="text1"/>
                <w:szCs w:val="19"/>
                <w:lang w:val="en-US"/>
              </w:rPr>
              <w:t>September 2018 – April 2019</w:t>
            </w:r>
          </w:p>
        </w:tc>
      </w:tr>
      <w:tr w:rsidR="00F368A6" w:rsidRPr="00BB1AA6" w14:paraId="6C6F6908" w14:textId="77777777" w:rsidTr="00C26D69">
        <w:tc>
          <w:tcPr>
            <w:tcW w:w="993" w:type="dxa"/>
            <w:vMerge/>
          </w:tcPr>
          <w:p w14:paraId="29E87EE9" w14:textId="77777777" w:rsidR="00F368A6" w:rsidRPr="00BB1AA6" w:rsidRDefault="00F368A6" w:rsidP="00C26D69">
            <w:pPr>
              <w:pStyle w:val="TableExpText"/>
              <w:rPr>
                <w:rFonts w:cs="Segoe UI"/>
                <w:color w:val="000000" w:themeColor="text1"/>
                <w:szCs w:val="19"/>
              </w:rPr>
            </w:pPr>
          </w:p>
        </w:tc>
        <w:tc>
          <w:tcPr>
            <w:tcW w:w="3685" w:type="dxa"/>
            <w:vAlign w:val="top"/>
          </w:tcPr>
          <w:p w14:paraId="57596A57" w14:textId="77777777" w:rsidR="00F368A6" w:rsidRPr="00F368A6" w:rsidRDefault="00F368A6" w:rsidP="00C26D69">
            <w:pPr>
              <w:pStyle w:val="TableExpText"/>
              <w:rPr>
                <w:rFonts w:cs="Segoe UI"/>
                <w:b/>
                <w:color w:val="000000" w:themeColor="text1"/>
                <w:szCs w:val="19"/>
                <w:lang w:val="en-US"/>
              </w:rPr>
            </w:pPr>
            <w:r w:rsidRPr="00F368A6">
              <w:rPr>
                <w:b/>
              </w:rPr>
              <w:t>Carpentaria Land Council Aboriginal Corporation</w:t>
            </w:r>
          </w:p>
        </w:tc>
        <w:tc>
          <w:tcPr>
            <w:tcW w:w="1843" w:type="dxa"/>
            <w:vMerge/>
          </w:tcPr>
          <w:p w14:paraId="1C516034" w14:textId="77777777" w:rsidR="00F368A6" w:rsidRPr="00BB1AA6" w:rsidRDefault="00F368A6" w:rsidP="00C26D69">
            <w:pPr>
              <w:pStyle w:val="TableExpText"/>
              <w:rPr>
                <w:rFonts w:cs="Segoe UI"/>
                <w:color w:val="000000" w:themeColor="text1"/>
                <w:szCs w:val="19"/>
                <w:lang w:val="en-US"/>
              </w:rPr>
            </w:pPr>
          </w:p>
        </w:tc>
        <w:tc>
          <w:tcPr>
            <w:tcW w:w="2410" w:type="dxa"/>
            <w:vMerge/>
          </w:tcPr>
          <w:p w14:paraId="78E46123" w14:textId="77777777" w:rsidR="00F368A6" w:rsidRPr="00BB1AA6" w:rsidRDefault="00F368A6" w:rsidP="00C26D69">
            <w:pPr>
              <w:pStyle w:val="TableExpText"/>
              <w:rPr>
                <w:rFonts w:cs="Segoe UI"/>
                <w:color w:val="000000" w:themeColor="text1"/>
                <w:szCs w:val="19"/>
                <w:lang w:val="en-US"/>
              </w:rPr>
            </w:pPr>
          </w:p>
        </w:tc>
      </w:tr>
      <w:tr w:rsidR="00F368A6" w:rsidRPr="00BB1AA6" w14:paraId="498F8CB6" w14:textId="77777777" w:rsidTr="00C26D69">
        <w:tc>
          <w:tcPr>
            <w:tcW w:w="993" w:type="dxa"/>
            <w:vMerge/>
          </w:tcPr>
          <w:p w14:paraId="091D58B6" w14:textId="77777777" w:rsidR="00F368A6" w:rsidRPr="00BB1AA6" w:rsidRDefault="00F368A6" w:rsidP="00C26D69">
            <w:pPr>
              <w:pStyle w:val="TableExpText"/>
              <w:rPr>
                <w:rFonts w:cs="Segoe UI"/>
                <w:color w:val="000000" w:themeColor="text1"/>
                <w:szCs w:val="19"/>
              </w:rPr>
            </w:pPr>
          </w:p>
        </w:tc>
        <w:tc>
          <w:tcPr>
            <w:tcW w:w="3685" w:type="dxa"/>
            <w:vAlign w:val="top"/>
          </w:tcPr>
          <w:p w14:paraId="45E0FAE2" w14:textId="77777777" w:rsidR="00F368A6" w:rsidRPr="00BB1AA6" w:rsidRDefault="00F368A6" w:rsidP="00C26D69">
            <w:pPr>
              <w:pStyle w:val="TableExpText"/>
              <w:rPr>
                <w:rFonts w:cs="Segoe UI"/>
                <w:color w:val="000000" w:themeColor="text1"/>
                <w:szCs w:val="19"/>
                <w:lang w:val="en-US"/>
              </w:rPr>
            </w:pPr>
            <w:r w:rsidRPr="00197B40">
              <w:t>Kimberly Land Council</w:t>
            </w:r>
          </w:p>
        </w:tc>
        <w:tc>
          <w:tcPr>
            <w:tcW w:w="1843" w:type="dxa"/>
            <w:vMerge/>
          </w:tcPr>
          <w:p w14:paraId="630595DA" w14:textId="77777777" w:rsidR="00F368A6" w:rsidRPr="00BB1AA6" w:rsidRDefault="00F368A6" w:rsidP="00C26D69">
            <w:pPr>
              <w:pStyle w:val="TableExpText"/>
              <w:rPr>
                <w:rFonts w:cs="Segoe UI"/>
                <w:color w:val="000000" w:themeColor="text1"/>
                <w:szCs w:val="19"/>
                <w:lang w:val="en-US"/>
              </w:rPr>
            </w:pPr>
          </w:p>
        </w:tc>
        <w:tc>
          <w:tcPr>
            <w:tcW w:w="2410" w:type="dxa"/>
            <w:vMerge/>
          </w:tcPr>
          <w:p w14:paraId="6852BFA8" w14:textId="77777777" w:rsidR="00F368A6" w:rsidRPr="00BB1AA6" w:rsidRDefault="00F368A6" w:rsidP="00C26D69">
            <w:pPr>
              <w:pStyle w:val="TableExpText"/>
              <w:rPr>
                <w:rFonts w:cs="Segoe UI"/>
                <w:color w:val="000000" w:themeColor="text1"/>
                <w:szCs w:val="19"/>
                <w:lang w:val="en-US"/>
              </w:rPr>
            </w:pPr>
          </w:p>
        </w:tc>
      </w:tr>
      <w:tr w:rsidR="00F368A6" w:rsidRPr="00BB1AA6" w14:paraId="5F3243F2" w14:textId="77777777" w:rsidTr="00C26D69">
        <w:tc>
          <w:tcPr>
            <w:tcW w:w="993" w:type="dxa"/>
            <w:vMerge/>
          </w:tcPr>
          <w:p w14:paraId="2316058D" w14:textId="77777777" w:rsidR="00F368A6" w:rsidRPr="00BB1AA6" w:rsidRDefault="00F368A6" w:rsidP="00C26D69">
            <w:pPr>
              <w:pStyle w:val="TableExpText"/>
              <w:rPr>
                <w:rFonts w:cs="Segoe UI"/>
                <w:color w:val="000000" w:themeColor="text1"/>
                <w:szCs w:val="19"/>
              </w:rPr>
            </w:pPr>
          </w:p>
        </w:tc>
        <w:tc>
          <w:tcPr>
            <w:tcW w:w="3685" w:type="dxa"/>
            <w:vAlign w:val="top"/>
          </w:tcPr>
          <w:p w14:paraId="1EDFA720" w14:textId="77777777" w:rsidR="00F368A6" w:rsidRPr="00BB1AA6" w:rsidRDefault="00F368A6" w:rsidP="00C26D69">
            <w:pPr>
              <w:pStyle w:val="TableExpText"/>
              <w:rPr>
                <w:rFonts w:cs="Segoe UI"/>
                <w:color w:val="000000" w:themeColor="text1"/>
                <w:szCs w:val="19"/>
                <w:lang w:val="en-US"/>
              </w:rPr>
            </w:pPr>
            <w:r w:rsidRPr="00197B40">
              <w:t xml:space="preserve">North Queensland </w:t>
            </w:r>
            <w:r>
              <w:t>L</w:t>
            </w:r>
            <w:r w:rsidRPr="00197B40">
              <w:t>and Council</w:t>
            </w:r>
          </w:p>
        </w:tc>
        <w:tc>
          <w:tcPr>
            <w:tcW w:w="1843" w:type="dxa"/>
            <w:vMerge/>
          </w:tcPr>
          <w:p w14:paraId="051B333F" w14:textId="77777777" w:rsidR="00F368A6" w:rsidRPr="00BB1AA6" w:rsidRDefault="00F368A6" w:rsidP="00C26D69">
            <w:pPr>
              <w:pStyle w:val="TableExpText"/>
              <w:rPr>
                <w:rFonts w:cs="Segoe UI"/>
                <w:color w:val="000000" w:themeColor="text1"/>
                <w:szCs w:val="19"/>
                <w:lang w:val="en-US"/>
              </w:rPr>
            </w:pPr>
          </w:p>
        </w:tc>
        <w:tc>
          <w:tcPr>
            <w:tcW w:w="2410" w:type="dxa"/>
            <w:vMerge/>
          </w:tcPr>
          <w:p w14:paraId="7F89A956" w14:textId="77777777" w:rsidR="00F368A6" w:rsidRPr="00BB1AA6" w:rsidRDefault="00F368A6" w:rsidP="00C26D69">
            <w:pPr>
              <w:pStyle w:val="TableExpText"/>
              <w:rPr>
                <w:rFonts w:cs="Segoe UI"/>
                <w:color w:val="000000" w:themeColor="text1"/>
                <w:szCs w:val="19"/>
                <w:lang w:val="en-US"/>
              </w:rPr>
            </w:pPr>
          </w:p>
        </w:tc>
      </w:tr>
      <w:tr w:rsidR="00F368A6" w:rsidRPr="00BB1AA6" w14:paraId="2A41E787" w14:textId="77777777" w:rsidTr="00C26D69">
        <w:tc>
          <w:tcPr>
            <w:tcW w:w="993" w:type="dxa"/>
            <w:vMerge/>
          </w:tcPr>
          <w:p w14:paraId="266596EC" w14:textId="77777777" w:rsidR="00F368A6" w:rsidRPr="00BB1AA6" w:rsidRDefault="00F368A6" w:rsidP="00C26D69">
            <w:pPr>
              <w:pStyle w:val="TableExpText"/>
              <w:rPr>
                <w:rFonts w:cs="Segoe UI"/>
                <w:color w:val="000000" w:themeColor="text1"/>
                <w:szCs w:val="19"/>
              </w:rPr>
            </w:pPr>
          </w:p>
        </w:tc>
        <w:tc>
          <w:tcPr>
            <w:tcW w:w="3685" w:type="dxa"/>
            <w:vAlign w:val="top"/>
          </w:tcPr>
          <w:p w14:paraId="225BA6D1" w14:textId="77777777" w:rsidR="00F368A6" w:rsidRPr="00BB1AA6" w:rsidRDefault="00F368A6" w:rsidP="00C26D69">
            <w:pPr>
              <w:pStyle w:val="TableExpText"/>
              <w:rPr>
                <w:rFonts w:cs="Segoe UI"/>
                <w:color w:val="000000" w:themeColor="text1"/>
                <w:szCs w:val="19"/>
                <w:lang w:val="en-US"/>
              </w:rPr>
            </w:pPr>
            <w:r w:rsidRPr="00197B40">
              <w:t>South Australia Native Title Services</w:t>
            </w:r>
          </w:p>
        </w:tc>
        <w:tc>
          <w:tcPr>
            <w:tcW w:w="1843" w:type="dxa"/>
            <w:vMerge/>
          </w:tcPr>
          <w:p w14:paraId="311B538D" w14:textId="77777777" w:rsidR="00F368A6" w:rsidRPr="00BB1AA6" w:rsidRDefault="00F368A6" w:rsidP="00C26D69">
            <w:pPr>
              <w:pStyle w:val="TableExpText"/>
              <w:rPr>
                <w:rFonts w:cs="Segoe UI"/>
                <w:color w:val="000000" w:themeColor="text1"/>
                <w:szCs w:val="19"/>
                <w:lang w:val="en-US"/>
              </w:rPr>
            </w:pPr>
          </w:p>
        </w:tc>
        <w:tc>
          <w:tcPr>
            <w:tcW w:w="2410" w:type="dxa"/>
            <w:vMerge/>
          </w:tcPr>
          <w:p w14:paraId="006127D6" w14:textId="77777777" w:rsidR="00F368A6" w:rsidRPr="00BB1AA6" w:rsidRDefault="00F368A6" w:rsidP="00C26D69">
            <w:pPr>
              <w:pStyle w:val="TableExpText"/>
              <w:rPr>
                <w:rFonts w:cs="Segoe UI"/>
                <w:color w:val="000000" w:themeColor="text1"/>
                <w:szCs w:val="19"/>
                <w:lang w:val="en-US"/>
              </w:rPr>
            </w:pPr>
          </w:p>
        </w:tc>
      </w:tr>
      <w:tr w:rsidR="00F368A6" w:rsidRPr="00BB1AA6" w14:paraId="11C64EA3" w14:textId="77777777" w:rsidTr="00C26D69">
        <w:tc>
          <w:tcPr>
            <w:tcW w:w="993" w:type="dxa"/>
            <w:vMerge/>
          </w:tcPr>
          <w:p w14:paraId="3D5BF505" w14:textId="77777777" w:rsidR="00F368A6" w:rsidRPr="00BB1AA6" w:rsidRDefault="00F368A6" w:rsidP="00C26D69">
            <w:pPr>
              <w:pStyle w:val="TableExpText"/>
              <w:rPr>
                <w:rFonts w:cs="Segoe UI"/>
                <w:color w:val="000000" w:themeColor="text1"/>
                <w:szCs w:val="19"/>
              </w:rPr>
            </w:pPr>
          </w:p>
        </w:tc>
        <w:tc>
          <w:tcPr>
            <w:tcW w:w="3685" w:type="dxa"/>
            <w:vAlign w:val="top"/>
          </w:tcPr>
          <w:p w14:paraId="0BD393EA" w14:textId="77777777" w:rsidR="00F368A6" w:rsidRPr="00BB1AA6" w:rsidRDefault="00F368A6" w:rsidP="00C26D69">
            <w:pPr>
              <w:pStyle w:val="TableExpText"/>
              <w:rPr>
                <w:rFonts w:cs="Segoe UI"/>
                <w:color w:val="000000" w:themeColor="text1"/>
                <w:szCs w:val="19"/>
                <w:lang w:val="en-US"/>
              </w:rPr>
            </w:pPr>
            <w:proofErr w:type="spellStart"/>
            <w:r w:rsidRPr="00197B40">
              <w:t>Yamatji</w:t>
            </w:r>
            <w:proofErr w:type="spellEnd"/>
            <w:r w:rsidRPr="00197B40">
              <w:t xml:space="preserve"> </w:t>
            </w:r>
            <w:proofErr w:type="spellStart"/>
            <w:r w:rsidRPr="00197B40">
              <w:t>Marlpa</w:t>
            </w:r>
            <w:proofErr w:type="spellEnd"/>
            <w:r w:rsidRPr="00197B40">
              <w:t xml:space="preserve"> Aboriginal Corporation</w:t>
            </w:r>
          </w:p>
        </w:tc>
        <w:tc>
          <w:tcPr>
            <w:tcW w:w="1843" w:type="dxa"/>
            <w:vMerge/>
          </w:tcPr>
          <w:p w14:paraId="4EDE3C58" w14:textId="77777777" w:rsidR="00F368A6" w:rsidRPr="00BB1AA6" w:rsidRDefault="00F368A6" w:rsidP="00C26D69">
            <w:pPr>
              <w:pStyle w:val="TableExpText"/>
              <w:rPr>
                <w:rFonts w:cs="Segoe UI"/>
                <w:color w:val="000000" w:themeColor="text1"/>
                <w:szCs w:val="19"/>
                <w:lang w:val="en-US"/>
              </w:rPr>
            </w:pPr>
          </w:p>
        </w:tc>
        <w:tc>
          <w:tcPr>
            <w:tcW w:w="2410" w:type="dxa"/>
            <w:vMerge/>
          </w:tcPr>
          <w:p w14:paraId="3EBDC89F" w14:textId="77777777" w:rsidR="00F368A6" w:rsidRPr="00BB1AA6" w:rsidRDefault="00F368A6" w:rsidP="00C26D69">
            <w:pPr>
              <w:pStyle w:val="TableExpText"/>
              <w:rPr>
                <w:rFonts w:cs="Segoe UI"/>
                <w:color w:val="000000" w:themeColor="text1"/>
                <w:szCs w:val="19"/>
                <w:lang w:val="en-US"/>
              </w:rPr>
            </w:pPr>
          </w:p>
        </w:tc>
      </w:tr>
      <w:tr w:rsidR="00646348" w:rsidRPr="00BB1AA6" w14:paraId="745BFE46" w14:textId="77777777" w:rsidTr="00C26D69">
        <w:tc>
          <w:tcPr>
            <w:tcW w:w="993" w:type="dxa"/>
            <w:vMerge w:val="restart"/>
          </w:tcPr>
          <w:p w14:paraId="7FC372A4" w14:textId="779CF712" w:rsidR="00646348" w:rsidRPr="00BB1AA6" w:rsidRDefault="00646348" w:rsidP="00C26D69">
            <w:pPr>
              <w:pStyle w:val="TableExpText"/>
              <w:rPr>
                <w:rFonts w:cs="Segoe UI"/>
                <w:color w:val="000000" w:themeColor="text1"/>
                <w:szCs w:val="19"/>
              </w:rPr>
            </w:pPr>
            <w:r>
              <w:rPr>
                <w:rFonts w:cs="Segoe UI"/>
                <w:color w:val="000000" w:themeColor="text1"/>
                <w:szCs w:val="19"/>
              </w:rPr>
              <w:t>Tranche 3</w:t>
            </w:r>
            <w:r w:rsidR="009F4878">
              <w:rPr>
                <w:rFonts w:cs="Segoe UI"/>
                <w:color w:val="000000" w:themeColor="text1"/>
                <w:szCs w:val="19"/>
              </w:rPr>
              <w:t xml:space="preserve"> </w:t>
            </w:r>
            <w:r>
              <w:rPr>
                <w:rFonts w:cs="Segoe UI"/>
                <w:color w:val="000000" w:themeColor="text1"/>
                <w:szCs w:val="19"/>
              </w:rPr>
              <w:t>(2020)</w:t>
            </w:r>
          </w:p>
        </w:tc>
        <w:tc>
          <w:tcPr>
            <w:tcW w:w="3685" w:type="dxa"/>
          </w:tcPr>
          <w:p w14:paraId="0811FCF6" w14:textId="77777777" w:rsidR="00646348" w:rsidRPr="00BB1AA6" w:rsidRDefault="00646348" w:rsidP="00C26D69">
            <w:pPr>
              <w:pStyle w:val="TableExpText"/>
              <w:rPr>
                <w:rFonts w:cs="Segoe UI"/>
                <w:color w:val="000000" w:themeColor="text1"/>
                <w:szCs w:val="19"/>
                <w:lang w:val="en-US"/>
              </w:rPr>
            </w:pPr>
            <w:r>
              <w:rPr>
                <w:rFonts w:cs="Segoe UI"/>
                <w:color w:val="000000" w:themeColor="text1"/>
                <w:szCs w:val="19"/>
                <w:lang w:val="en-US"/>
              </w:rPr>
              <w:t>Central Land Council</w:t>
            </w:r>
          </w:p>
        </w:tc>
        <w:tc>
          <w:tcPr>
            <w:tcW w:w="1843" w:type="dxa"/>
            <w:vMerge w:val="restart"/>
          </w:tcPr>
          <w:p w14:paraId="352214C0" w14:textId="77777777" w:rsidR="00646348" w:rsidRPr="0036670E" w:rsidRDefault="00646348" w:rsidP="00C26D69">
            <w:pPr>
              <w:pStyle w:val="TableExpText"/>
              <w:rPr>
                <w:rFonts w:cs="Segoe UI"/>
                <w:color w:val="000000" w:themeColor="text1"/>
                <w:szCs w:val="19"/>
                <w:lang w:val="en-US"/>
              </w:rPr>
            </w:pPr>
            <w:r>
              <w:rPr>
                <w:rFonts w:cs="Segoe UI"/>
                <w:color w:val="000000" w:themeColor="text1"/>
                <w:szCs w:val="19"/>
                <w:lang w:val="en-US"/>
              </w:rPr>
              <w:t xml:space="preserve">July 2016 – </w:t>
            </w:r>
            <w:r w:rsidRPr="0036670E">
              <w:rPr>
                <w:rFonts w:cs="Segoe UI"/>
                <w:color w:val="000000" w:themeColor="text1"/>
                <w:szCs w:val="19"/>
                <w:lang w:val="en-US"/>
              </w:rPr>
              <w:t>June 2019</w:t>
            </w:r>
          </w:p>
        </w:tc>
        <w:tc>
          <w:tcPr>
            <w:tcW w:w="2410" w:type="dxa"/>
            <w:vMerge w:val="restart"/>
          </w:tcPr>
          <w:p w14:paraId="7782EA1B" w14:textId="77777777" w:rsidR="00646348" w:rsidRPr="0036670E" w:rsidRDefault="00646348" w:rsidP="00C26D69">
            <w:pPr>
              <w:pStyle w:val="TableExpText"/>
              <w:rPr>
                <w:rFonts w:cs="Segoe UI"/>
                <w:color w:val="000000" w:themeColor="text1"/>
                <w:szCs w:val="19"/>
                <w:lang w:val="en-US"/>
              </w:rPr>
            </w:pPr>
            <w:r>
              <w:rPr>
                <w:rFonts w:cs="Segoe UI"/>
                <w:color w:val="000000" w:themeColor="text1"/>
                <w:szCs w:val="19"/>
                <w:lang w:val="en-US"/>
              </w:rPr>
              <w:t xml:space="preserve">January 2020 – </w:t>
            </w:r>
            <w:r w:rsidRPr="0036670E">
              <w:rPr>
                <w:rFonts w:cs="Segoe UI"/>
                <w:color w:val="000000" w:themeColor="text1"/>
                <w:szCs w:val="19"/>
                <w:lang w:val="en-US"/>
              </w:rPr>
              <w:t>July 2020</w:t>
            </w:r>
          </w:p>
        </w:tc>
      </w:tr>
      <w:tr w:rsidR="00646348" w:rsidRPr="00BB1AA6" w14:paraId="1FF36714" w14:textId="77777777" w:rsidTr="00C26D69">
        <w:tc>
          <w:tcPr>
            <w:tcW w:w="993" w:type="dxa"/>
            <w:vMerge/>
          </w:tcPr>
          <w:p w14:paraId="0836B600" w14:textId="77777777" w:rsidR="00646348" w:rsidRPr="00BB1AA6" w:rsidRDefault="00646348" w:rsidP="00C26D69">
            <w:pPr>
              <w:spacing w:after="0"/>
              <w:jc w:val="center"/>
              <w:rPr>
                <w:rFonts w:cs="Segoe UI"/>
                <w:color w:val="000000" w:themeColor="text1"/>
                <w:szCs w:val="19"/>
                <w:lang w:eastAsia="en-AU"/>
              </w:rPr>
            </w:pPr>
          </w:p>
        </w:tc>
        <w:tc>
          <w:tcPr>
            <w:tcW w:w="3685" w:type="dxa"/>
          </w:tcPr>
          <w:p w14:paraId="35F0C723" w14:textId="77777777" w:rsidR="00646348" w:rsidRPr="00BB1AA6" w:rsidRDefault="00646348" w:rsidP="00C26D69">
            <w:pPr>
              <w:pStyle w:val="TableExpText"/>
              <w:rPr>
                <w:lang w:val="en-US"/>
              </w:rPr>
            </w:pPr>
            <w:r>
              <w:rPr>
                <w:lang w:val="en-US"/>
              </w:rPr>
              <w:t>Northern Land Council</w:t>
            </w:r>
          </w:p>
        </w:tc>
        <w:tc>
          <w:tcPr>
            <w:tcW w:w="1843" w:type="dxa"/>
            <w:vMerge/>
          </w:tcPr>
          <w:p w14:paraId="711458D6" w14:textId="77777777" w:rsidR="00646348" w:rsidRPr="00BB1AA6" w:rsidRDefault="00646348" w:rsidP="00C26D69">
            <w:pPr>
              <w:spacing w:after="0"/>
              <w:rPr>
                <w:rFonts w:cs="Segoe UI"/>
                <w:color w:val="000000" w:themeColor="text1"/>
                <w:szCs w:val="19"/>
                <w:lang w:val="en-US"/>
              </w:rPr>
            </w:pPr>
          </w:p>
        </w:tc>
        <w:tc>
          <w:tcPr>
            <w:tcW w:w="2410" w:type="dxa"/>
            <w:vMerge/>
          </w:tcPr>
          <w:p w14:paraId="34A102C1" w14:textId="77777777" w:rsidR="00646348" w:rsidRPr="00BB1AA6" w:rsidRDefault="00646348" w:rsidP="00C26D69">
            <w:pPr>
              <w:spacing w:after="0"/>
              <w:rPr>
                <w:rFonts w:cs="Segoe UI"/>
                <w:color w:val="000000" w:themeColor="text1"/>
                <w:szCs w:val="19"/>
                <w:lang w:val="en-US"/>
              </w:rPr>
            </w:pPr>
          </w:p>
        </w:tc>
      </w:tr>
      <w:tr w:rsidR="00646348" w:rsidRPr="00BB1AA6" w14:paraId="4D4ECF5A" w14:textId="77777777" w:rsidTr="00C26D69">
        <w:tc>
          <w:tcPr>
            <w:tcW w:w="993" w:type="dxa"/>
            <w:vMerge/>
          </w:tcPr>
          <w:p w14:paraId="26D42D69" w14:textId="77777777" w:rsidR="00646348" w:rsidRPr="00BB1AA6" w:rsidRDefault="00646348" w:rsidP="00646348">
            <w:pPr>
              <w:spacing w:after="0"/>
              <w:jc w:val="center"/>
              <w:rPr>
                <w:rFonts w:cs="Segoe UI"/>
                <w:color w:val="000000" w:themeColor="text1"/>
                <w:szCs w:val="19"/>
                <w:lang w:eastAsia="en-AU"/>
              </w:rPr>
            </w:pPr>
          </w:p>
        </w:tc>
        <w:tc>
          <w:tcPr>
            <w:tcW w:w="3685" w:type="dxa"/>
          </w:tcPr>
          <w:p w14:paraId="34DED4AF" w14:textId="09D2060C" w:rsidR="00646348" w:rsidRDefault="00646348" w:rsidP="00646348">
            <w:pPr>
              <w:pStyle w:val="TableExpText"/>
              <w:rPr>
                <w:lang w:val="en-US"/>
              </w:rPr>
            </w:pPr>
            <w:r w:rsidRPr="006B728A">
              <w:rPr>
                <w:lang w:val="en-US"/>
              </w:rPr>
              <w:t>Torres Strait Regional Authority</w:t>
            </w:r>
          </w:p>
        </w:tc>
        <w:tc>
          <w:tcPr>
            <w:tcW w:w="1843" w:type="dxa"/>
          </w:tcPr>
          <w:p w14:paraId="6392189C" w14:textId="593EAE82" w:rsidR="00646348" w:rsidRPr="00646348" w:rsidRDefault="00646348" w:rsidP="00646348">
            <w:pPr>
              <w:spacing w:after="0"/>
              <w:rPr>
                <w:rFonts w:eastAsia="Times New Roman" w:cs="Times New Roman"/>
                <w:sz w:val="16"/>
                <w:szCs w:val="24"/>
                <w:lang w:val="en-US" w:eastAsia="en-AU"/>
              </w:rPr>
            </w:pPr>
            <w:r w:rsidRPr="00646348">
              <w:rPr>
                <w:rFonts w:eastAsia="Times New Roman" w:cs="Times New Roman"/>
                <w:sz w:val="16"/>
                <w:szCs w:val="24"/>
                <w:lang w:val="en-US" w:eastAsia="en-AU"/>
              </w:rPr>
              <w:t>July 2016 – June 2019</w:t>
            </w:r>
          </w:p>
        </w:tc>
        <w:tc>
          <w:tcPr>
            <w:tcW w:w="2410" w:type="dxa"/>
          </w:tcPr>
          <w:p w14:paraId="76C70D1B" w14:textId="54B99B40" w:rsidR="00646348" w:rsidRPr="00646348" w:rsidRDefault="00646348" w:rsidP="00646348">
            <w:pPr>
              <w:spacing w:after="0"/>
              <w:rPr>
                <w:rFonts w:eastAsia="Times New Roman" w:cs="Times New Roman"/>
                <w:sz w:val="16"/>
                <w:szCs w:val="24"/>
                <w:lang w:val="en-US" w:eastAsia="en-AU"/>
              </w:rPr>
            </w:pPr>
            <w:r w:rsidRPr="00646348">
              <w:rPr>
                <w:rFonts w:eastAsia="Times New Roman" w:cs="Times New Roman"/>
                <w:sz w:val="16"/>
                <w:szCs w:val="24"/>
                <w:lang w:val="en-US" w:eastAsia="en-AU"/>
              </w:rPr>
              <w:t>October 2020 – March 2021</w:t>
            </w:r>
          </w:p>
        </w:tc>
      </w:tr>
    </w:tbl>
    <w:p w14:paraId="69CE4315" w14:textId="77777777" w:rsidR="00F368A6" w:rsidRDefault="00F368A6" w:rsidP="00D06FCE">
      <w:pPr>
        <w:spacing w:after="0"/>
        <w:rPr>
          <w:lang w:eastAsia="en-AU"/>
        </w:rPr>
      </w:pPr>
    </w:p>
    <w:p w14:paraId="29069630" w14:textId="77777777" w:rsidR="00F368A6" w:rsidRDefault="00F368A6" w:rsidP="00D06FCE">
      <w:pPr>
        <w:spacing w:after="0"/>
        <w:rPr>
          <w:lang w:eastAsia="en-AU"/>
        </w:rPr>
      </w:pPr>
    </w:p>
    <w:p w14:paraId="4304BE9A" w14:textId="77777777" w:rsidR="00F72654" w:rsidRPr="00F94F37" w:rsidRDefault="00F72654" w:rsidP="00F72654">
      <w:pPr>
        <w:pStyle w:val="xAppendixLevel1"/>
      </w:pPr>
      <w:bookmarkStart w:id="148" w:name="_Ref37158591"/>
      <w:bookmarkStart w:id="149" w:name="_Toc68071475"/>
      <w:r w:rsidRPr="00F94F37">
        <w:lastRenderedPageBreak/>
        <w:t>Stakeholders consulted</w:t>
      </w:r>
      <w:bookmarkEnd w:id="148"/>
      <w:bookmarkEnd w:id="149"/>
    </w:p>
    <w:p w14:paraId="1F777F97" w14:textId="5A8151D6" w:rsidR="00E064DC" w:rsidRDefault="00740257" w:rsidP="00740257">
      <w:r>
        <w:t xml:space="preserve">The Review consulted with over </w:t>
      </w:r>
      <w:r w:rsidR="00D05866">
        <w:t>3</w:t>
      </w:r>
      <w:r w:rsidR="00AD3DBF">
        <w:t>0</w:t>
      </w:r>
      <w:r>
        <w:t xml:space="preserve"> stakeholders in relation to CLCAC’s performance. </w:t>
      </w:r>
      <w:r w:rsidR="00E064DC" w:rsidRPr="00B05C3C">
        <w:t xml:space="preserve">This was directly through interviews, as well as </w:t>
      </w:r>
      <w:r w:rsidR="00E064DC">
        <w:t xml:space="preserve">a qualitative </w:t>
      </w:r>
      <w:r w:rsidR="00E064DC" w:rsidRPr="00B05C3C">
        <w:t>survey conducted as part of the Review.</w:t>
      </w:r>
      <w:r w:rsidR="00E064DC">
        <w:t xml:space="preserve"> </w:t>
      </w:r>
    </w:p>
    <w:p w14:paraId="45337BBF" w14:textId="6479607D" w:rsidR="00AD3DBF" w:rsidRDefault="00740257" w:rsidP="00740257">
      <w:r>
        <w:t>Stakeholder groups included:</w:t>
      </w:r>
    </w:p>
    <w:p w14:paraId="0F748B82" w14:textId="77777777" w:rsidR="00740257" w:rsidRDefault="00740257" w:rsidP="00740257">
      <w:pPr>
        <w:pStyle w:val="Bullet"/>
        <w:numPr>
          <w:ilvl w:val="0"/>
          <w:numId w:val="6"/>
        </w:numPr>
      </w:pPr>
      <w:r>
        <w:t>Clients who have been represented by CLCAC (including members of PBCs)</w:t>
      </w:r>
    </w:p>
    <w:p w14:paraId="0518C203" w14:textId="77777777" w:rsidR="00740257" w:rsidRDefault="00740257" w:rsidP="00740257">
      <w:pPr>
        <w:pStyle w:val="Bullet"/>
        <w:numPr>
          <w:ilvl w:val="0"/>
          <w:numId w:val="6"/>
        </w:numPr>
      </w:pPr>
      <w:r>
        <w:t>CLCAC Board Directors</w:t>
      </w:r>
    </w:p>
    <w:p w14:paraId="21D7A104" w14:textId="77777777" w:rsidR="00740257" w:rsidRDefault="00740257" w:rsidP="00740257">
      <w:pPr>
        <w:pStyle w:val="Bullet"/>
        <w:numPr>
          <w:ilvl w:val="0"/>
          <w:numId w:val="6"/>
        </w:numPr>
      </w:pPr>
      <w:r>
        <w:t xml:space="preserve">CLCAC staff </w:t>
      </w:r>
    </w:p>
    <w:p w14:paraId="6848EB92" w14:textId="77777777" w:rsidR="00740257" w:rsidRDefault="00740257" w:rsidP="00740257">
      <w:pPr>
        <w:pStyle w:val="Bullet"/>
        <w:numPr>
          <w:ilvl w:val="0"/>
          <w:numId w:val="6"/>
        </w:numPr>
      </w:pPr>
      <w:r>
        <w:t>CLCAC contractors, including:</w:t>
      </w:r>
    </w:p>
    <w:p w14:paraId="50822711" w14:textId="77777777" w:rsidR="00740257" w:rsidRDefault="00740257" w:rsidP="00740257">
      <w:pPr>
        <w:pStyle w:val="Bullet"/>
        <w:numPr>
          <w:ilvl w:val="1"/>
          <w:numId w:val="6"/>
        </w:numPr>
      </w:pPr>
      <w:r>
        <w:t>barristers</w:t>
      </w:r>
    </w:p>
    <w:p w14:paraId="2C2187A6" w14:textId="77777777" w:rsidR="00740257" w:rsidRDefault="00740257" w:rsidP="00740257">
      <w:pPr>
        <w:pStyle w:val="Bullet"/>
        <w:numPr>
          <w:ilvl w:val="1"/>
          <w:numId w:val="6"/>
        </w:numPr>
      </w:pPr>
      <w:r>
        <w:t>anthropologists</w:t>
      </w:r>
    </w:p>
    <w:p w14:paraId="1D5DC84B" w14:textId="77777777" w:rsidR="00740257" w:rsidRDefault="00740257" w:rsidP="00740257">
      <w:pPr>
        <w:pStyle w:val="Bullet"/>
        <w:numPr>
          <w:ilvl w:val="0"/>
          <w:numId w:val="6"/>
        </w:numPr>
      </w:pPr>
      <w:r>
        <w:t>the Federal Court of Australia</w:t>
      </w:r>
    </w:p>
    <w:p w14:paraId="31D9A8AF" w14:textId="3A7CCA7C" w:rsidR="00740257" w:rsidRDefault="00740257" w:rsidP="00740257">
      <w:pPr>
        <w:pStyle w:val="Bullet"/>
        <w:numPr>
          <w:ilvl w:val="0"/>
          <w:numId w:val="6"/>
        </w:numPr>
      </w:pPr>
      <w:r>
        <w:t>the N</w:t>
      </w:r>
      <w:r w:rsidR="00C4231D">
        <w:t>ational Native Title Tribunal</w:t>
      </w:r>
    </w:p>
    <w:p w14:paraId="06290756" w14:textId="77777777" w:rsidR="00740257" w:rsidRDefault="00740257" w:rsidP="00740257">
      <w:pPr>
        <w:pStyle w:val="Bullet"/>
        <w:numPr>
          <w:ilvl w:val="0"/>
          <w:numId w:val="6"/>
        </w:numPr>
      </w:pPr>
      <w:r>
        <w:t>representatives of QLD State Government.</w:t>
      </w:r>
    </w:p>
    <w:p w14:paraId="2209FDF4" w14:textId="1624EA53" w:rsidR="00F72654" w:rsidRPr="00F94F37" w:rsidRDefault="00F72654" w:rsidP="00740257">
      <w:pPr>
        <w:pStyle w:val="Bullet"/>
        <w:numPr>
          <w:ilvl w:val="0"/>
          <w:numId w:val="0"/>
        </w:numPr>
      </w:pPr>
      <w:r w:rsidRPr="00F94F37">
        <w:t xml:space="preserve"> </w:t>
      </w:r>
    </w:p>
    <w:p w14:paraId="0A5E5A0A" w14:textId="3592DBDA" w:rsidR="002770F2" w:rsidRDefault="002770F2" w:rsidP="00AB0EA2">
      <w:pPr>
        <w:pStyle w:val="xAppendixLevel1"/>
      </w:pPr>
      <w:bookmarkStart w:id="150" w:name="_Ref37158604"/>
      <w:bookmarkStart w:id="151" w:name="_Toc68071476"/>
      <w:r>
        <w:lastRenderedPageBreak/>
        <w:t>Methodology</w:t>
      </w:r>
      <w:bookmarkEnd w:id="150"/>
      <w:bookmarkEnd w:id="151"/>
    </w:p>
    <w:p w14:paraId="7CA05FC5" w14:textId="77777777" w:rsidR="00C85610" w:rsidRDefault="00C85610" w:rsidP="00C85610">
      <w:pPr>
        <w:rPr>
          <w:lang w:eastAsia="en-AU"/>
        </w:rPr>
      </w:pPr>
      <w:bookmarkStart w:id="152" w:name="_Hlk41335268"/>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r>
        <w:rPr>
          <w:lang w:eastAsia="en-AU"/>
        </w:rPr>
        <w:t xml:space="preserve">Nous designed a detailed methodology to assess NTRB-SP performance against the TORs. The method combines qualitative and quantitative performance to account for the unique context within with each NTRB-SP operates. Given the complexity of measuring performance across different NTRB-SPs, the approach involved six steps to ensure that assessment provided a fair and complete picture of current performance for each NTRB-SP: </w:t>
      </w:r>
    </w:p>
    <w:p w14:paraId="2F870B18" w14:textId="77777777" w:rsidR="00C85610" w:rsidRDefault="00C85610" w:rsidP="00C85610">
      <w:pPr>
        <w:pStyle w:val="ListParagraph"/>
        <w:numPr>
          <w:ilvl w:val="0"/>
          <w:numId w:val="72"/>
        </w:numPr>
        <w:spacing w:line="360" w:lineRule="auto"/>
        <w:ind w:left="357" w:hanging="357"/>
        <w:rPr>
          <w:lang w:eastAsia="en-AU"/>
        </w:rPr>
      </w:pPr>
      <w:r>
        <w:rPr>
          <w:lang w:eastAsia="en-AU"/>
        </w:rPr>
        <w:t>Develop performance and attribution indicators for each TOR</w:t>
      </w:r>
    </w:p>
    <w:p w14:paraId="6AC15B60" w14:textId="77777777" w:rsidR="00C85610" w:rsidRDefault="00C85610" w:rsidP="00C85610">
      <w:pPr>
        <w:pStyle w:val="ListParagraph"/>
        <w:numPr>
          <w:ilvl w:val="0"/>
          <w:numId w:val="72"/>
        </w:numPr>
        <w:spacing w:line="360" w:lineRule="auto"/>
        <w:ind w:left="357" w:hanging="357"/>
        <w:rPr>
          <w:lang w:eastAsia="en-AU"/>
        </w:rPr>
      </w:pPr>
      <w:r>
        <w:rPr>
          <w:lang w:eastAsia="en-AU"/>
        </w:rPr>
        <w:t>Collect data through desktop research and consultations</w:t>
      </w:r>
    </w:p>
    <w:p w14:paraId="16DB72E8" w14:textId="77777777" w:rsidR="00C85610" w:rsidRDefault="00C85610" w:rsidP="00C85610">
      <w:pPr>
        <w:pStyle w:val="ListParagraph"/>
        <w:numPr>
          <w:ilvl w:val="0"/>
          <w:numId w:val="72"/>
        </w:numPr>
        <w:spacing w:line="360" w:lineRule="auto"/>
        <w:ind w:left="357" w:hanging="357"/>
        <w:rPr>
          <w:lang w:eastAsia="en-AU"/>
        </w:rPr>
      </w:pPr>
      <w:r>
        <w:rPr>
          <w:lang w:eastAsia="en-AU"/>
        </w:rPr>
        <w:t>Assess efficiency and effectiveness against each TOR</w:t>
      </w:r>
    </w:p>
    <w:p w14:paraId="7BD3D983" w14:textId="77777777" w:rsidR="00C85610" w:rsidRDefault="00C85610" w:rsidP="00C85610">
      <w:pPr>
        <w:pStyle w:val="ListParagraph"/>
        <w:numPr>
          <w:ilvl w:val="0"/>
          <w:numId w:val="72"/>
        </w:numPr>
        <w:spacing w:line="360" w:lineRule="auto"/>
        <w:ind w:left="357" w:hanging="357"/>
        <w:rPr>
          <w:lang w:eastAsia="en-AU"/>
        </w:rPr>
      </w:pPr>
      <w:r>
        <w:rPr>
          <w:lang w:eastAsia="en-AU"/>
        </w:rPr>
        <w:t>Develop individual NTRB-SP Performance Assessment Reports</w:t>
      </w:r>
    </w:p>
    <w:p w14:paraId="094C6F61" w14:textId="77777777" w:rsidR="00C85610" w:rsidRDefault="00C85610" w:rsidP="00C85610">
      <w:pPr>
        <w:pStyle w:val="ListParagraph"/>
        <w:numPr>
          <w:ilvl w:val="0"/>
          <w:numId w:val="72"/>
        </w:numPr>
        <w:spacing w:line="360" w:lineRule="auto"/>
        <w:ind w:left="357" w:hanging="357"/>
        <w:rPr>
          <w:lang w:eastAsia="en-AU"/>
        </w:rPr>
      </w:pPr>
      <w:r>
        <w:rPr>
          <w:lang w:eastAsia="en-AU"/>
        </w:rPr>
        <w:t>Review NTRB-SP feedback on Performance Assessment Report</w:t>
      </w:r>
    </w:p>
    <w:p w14:paraId="54598838" w14:textId="77777777" w:rsidR="00C85610" w:rsidRDefault="00C85610" w:rsidP="00C85610">
      <w:pPr>
        <w:pStyle w:val="ListParagraph"/>
        <w:numPr>
          <w:ilvl w:val="0"/>
          <w:numId w:val="72"/>
        </w:numPr>
        <w:ind w:left="357" w:hanging="357"/>
        <w:rPr>
          <w:lang w:eastAsia="en-AU"/>
        </w:rPr>
      </w:pPr>
      <w:r>
        <w:rPr>
          <w:lang w:eastAsia="en-AU"/>
        </w:rPr>
        <w:t>Create NTRB-SP Comparative Performance Report</w:t>
      </w:r>
    </w:p>
    <w:p w14:paraId="09CBBE17" w14:textId="77777777" w:rsidR="00C85610" w:rsidRDefault="00C85610" w:rsidP="00C85610">
      <w:pPr>
        <w:rPr>
          <w:lang w:eastAsia="en-AU"/>
        </w:rPr>
      </w:pPr>
      <w:r>
        <w:rPr>
          <w:lang w:eastAsia="en-AU"/>
        </w:rPr>
        <w:t xml:space="preserve">Qualitative and quantitative performance indicators and attribution factors were developed to assess each TOR. Attribution factors refer to factors outside the control of the NTRB-SP (external factors) that have a significant impact on the efficiency or effectiveness of their native title operations.  Quantitative indicators were integrated into the qualitative examination of performance to ensure the correct inferences were drawn from quantitative metrics. The quantitative performance indicators and attribution factors were selected from a draft list of more than 120 performance and attribution indicators on the basis that they provide good coverage of quantitative indicators for each TOR category. The qualitative performance indicators and attribution factors guided the qualitative data collection. </w:t>
      </w:r>
    </w:p>
    <w:p w14:paraId="6848217D" w14:textId="77777777" w:rsidR="00C85610" w:rsidRDefault="00C85610" w:rsidP="00C85610">
      <w:pPr>
        <w:rPr>
          <w:lang w:eastAsia="en-AU"/>
        </w:rPr>
      </w:pPr>
      <w:r>
        <w:rPr>
          <w:lang w:eastAsia="en-AU"/>
        </w:rPr>
        <w:t>While some qualitative indicators that were selected are capable of being quantified, they cannot be quantified in a meaningful way for comparative performance purposes. For example, while Indigenous land use agreements can be an effective tool in delivering native title outcomes there are circumstances in which they may not be the best tool.</w:t>
      </w:r>
    </w:p>
    <w:p w14:paraId="3239ADE6" w14:textId="77777777" w:rsidR="00C85610" w:rsidRDefault="00C85610" w:rsidP="00C85610">
      <w:pPr>
        <w:rPr>
          <w:lang w:eastAsia="en-AU"/>
        </w:rPr>
      </w:pPr>
      <w:r>
        <w:rPr>
          <w:lang w:eastAsia="en-AU"/>
        </w:rPr>
        <w:t>Complaints received by the NIAA and/or each NTRB-SP formed one part of the material considered in the Review where it concerned: NTRB-SP activity since 2014, the efficiency and effectiveness with which the NTRB-SP has conducted its business, or the transparency and respectfulness of the relationships the NTRB-SP maintained with its clients, potential clients or persons refused assistance. Both the relevant elements of the complaint, and the way in which the NTRB-SP responded were considered.</w:t>
      </w:r>
    </w:p>
    <w:p w14:paraId="69D12333" w14:textId="77777777" w:rsidR="00C85610" w:rsidRDefault="00C85610" w:rsidP="00C85610">
      <w:pPr>
        <w:rPr>
          <w:lang w:eastAsia="en-AU"/>
        </w:rPr>
      </w:pPr>
      <w:r>
        <w:rPr>
          <w:lang w:eastAsia="en-AU"/>
        </w:rPr>
        <w:t xml:space="preserve">The data and information underpinning the assessment of each NTRB-SPs’ performance was sourced through five channels; desktop research, preliminary discussions with the NTRB-SPs, two rounds of stakeholder interviews and a qualitative survey. These provided an opportunity for stakeholders to contribute to the development process at different points; with the intention being to generate buy-in and encourage the development of indicators which were applicable and meaningful across the contexts of different NTRB-SPs. </w:t>
      </w:r>
    </w:p>
    <w:p w14:paraId="1975637D" w14:textId="4BA2795A" w:rsidR="00EB3786" w:rsidRDefault="00C85610" w:rsidP="00EB3786">
      <w:pPr>
        <w:rPr>
          <w:lang w:eastAsia="en-AU"/>
        </w:rPr>
      </w:pPr>
      <w:r>
        <w:rPr>
          <w:lang w:eastAsia="en-AU"/>
        </w:rPr>
        <w:t xml:space="preserve">The output from the process included individual NTRB-SP Performance Assessment Reports (‘Assessment Reports’) along with a separate NTRB-SP Comparative Performance Report (‘Comparative Report’). The Assessment Reports provided a standardised framework to understand the context and performance of each NTRB-SP; the Comparative Report brings together the findings of each Assessment Report by TOR and discusses the key drivers of performance. </w:t>
      </w:r>
      <w:bookmarkEnd w:id="152"/>
    </w:p>
    <w:p w14:paraId="5CAF79D0" w14:textId="36581F12" w:rsidR="008F4752" w:rsidRPr="00BB1AA6" w:rsidRDefault="00836DF7" w:rsidP="00BB1AA6">
      <w:pPr>
        <w:pStyle w:val="xAppendixLevel1"/>
      </w:pPr>
      <w:bookmarkStart w:id="153" w:name="_Toc503366789"/>
      <w:bookmarkStart w:id="154" w:name="_Toc505259165"/>
      <w:bookmarkStart w:id="155" w:name="_Toc505256232"/>
      <w:bookmarkStart w:id="156" w:name="_Toc505618275"/>
      <w:bookmarkStart w:id="157" w:name="_Hlk36460153"/>
      <w:r>
        <w:lastRenderedPageBreak/>
        <w:t xml:space="preserve">     </w:t>
      </w:r>
      <w:bookmarkStart w:id="158" w:name="_Toc68071477"/>
      <w:r w:rsidR="008F4752" w:rsidRPr="00BB1AA6">
        <w:t>Glossary</w:t>
      </w:r>
      <w:bookmarkEnd w:id="153"/>
      <w:bookmarkEnd w:id="154"/>
      <w:bookmarkEnd w:id="155"/>
      <w:bookmarkEnd w:id="156"/>
      <w:bookmarkEnd w:id="158"/>
    </w:p>
    <w:p w14:paraId="52E0FDD9" w14:textId="662729BC" w:rsidR="008F4752" w:rsidRPr="00BB1AA6" w:rsidRDefault="008F4752" w:rsidP="008F4752">
      <w:pPr>
        <w:rPr>
          <w:lang w:eastAsia="en-AU"/>
        </w:rPr>
      </w:pPr>
      <w:r w:rsidRPr="00BB1AA6">
        <w:t xml:space="preserve">Throughout this document, the following terms have the meaning prescribed in </w:t>
      </w:r>
      <w:r w:rsidRPr="00BB1AA6">
        <w:fldChar w:fldCharType="begin"/>
      </w:r>
      <w:r w:rsidRPr="00BB1AA6">
        <w:instrText xml:space="preserve"> REF _Ref504381411 \h  \* MERGEFORMAT </w:instrText>
      </w:r>
      <w:r w:rsidRPr="00BB1AA6">
        <w:fldChar w:fldCharType="separate"/>
      </w:r>
      <w:r w:rsidR="00270623" w:rsidRPr="00BB1AA6">
        <w:t xml:space="preserve">Table </w:t>
      </w:r>
      <w:r w:rsidR="00270623">
        <w:t>2</w:t>
      </w:r>
      <w:r w:rsidRPr="00BB1AA6">
        <w:fldChar w:fldCharType="end"/>
      </w:r>
      <w:r w:rsidRPr="00BB1AA6">
        <w:t>.</w:t>
      </w:r>
    </w:p>
    <w:p w14:paraId="1C774D25" w14:textId="1127857F" w:rsidR="008F4752" w:rsidRPr="00BB1AA6" w:rsidRDefault="008F4752" w:rsidP="008F4752">
      <w:pPr>
        <w:pStyle w:val="Caption"/>
        <w:keepNext/>
      </w:pPr>
      <w:bookmarkStart w:id="159" w:name="_Ref504381411"/>
      <w:r w:rsidRPr="00BB1AA6">
        <w:t xml:space="preserve">Table </w:t>
      </w:r>
      <w:r w:rsidR="00477925">
        <w:t>2</w:t>
      </w:r>
      <w:bookmarkEnd w:id="159"/>
      <w:r w:rsidRPr="00BB1AA6">
        <w:t xml:space="preserve"> | Glossary</w:t>
      </w:r>
    </w:p>
    <w:tbl>
      <w:tblPr>
        <w:tblStyle w:val="TableGrid"/>
        <w:tblW w:w="0" w:type="auto"/>
        <w:tblLook w:val="04A0" w:firstRow="1" w:lastRow="0" w:firstColumn="1" w:lastColumn="0" w:noHBand="0" w:noVBand="1"/>
      </w:tblPr>
      <w:tblGrid>
        <w:gridCol w:w="1645"/>
        <w:gridCol w:w="6804"/>
      </w:tblGrid>
      <w:tr w:rsidR="008F4752" w:rsidRPr="004013D6" w14:paraId="2806E0C3" w14:textId="77777777" w:rsidTr="00A94C57">
        <w:trPr>
          <w:cnfStyle w:val="100000000000" w:firstRow="1" w:lastRow="0" w:firstColumn="0" w:lastColumn="0" w:oddVBand="0" w:evenVBand="0" w:oddHBand="0" w:evenHBand="0" w:firstRowFirstColumn="0" w:firstRowLastColumn="0" w:lastRowFirstColumn="0" w:lastRowLastColumn="0"/>
        </w:trPr>
        <w:tc>
          <w:tcPr>
            <w:tcW w:w="1645" w:type="dxa"/>
          </w:tcPr>
          <w:p w14:paraId="27D739B8" w14:textId="77777777" w:rsidR="008F4752" w:rsidRPr="004013D6" w:rsidRDefault="008F4752" w:rsidP="00A94C57">
            <w:pPr>
              <w:rPr>
                <w:rFonts w:ascii="Segoe UI Semibold" w:hAnsi="Segoe UI Semibold" w:cs="Segoe UI Semibold"/>
                <w:b w:val="0"/>
                <w:sz w:val="17"/>
                <w:szCs w:val="17"/>
                <w:lang w:eastAsia="en-AU"/>
              </w:rPr>
            </w:pPr>
            <w:r w:rsidRPr="004013D6">
              <w:rPr>
                <w:rFonts w:ascii="Segoe UI Semibold" w:hAnsi="Segoe UI Semibold" w:cs="Segoe UI Semibold"/>
                <w:b w:val="0"/>
                <w:sz w:val="17"/>
                <w:szCs w:val="17"/>
                <w:lang w:eastAsia="en-AU"/>
              </w:rPr>
              <w:t>Term</w:t>
            </w:r>
          </w:p>
        </w:tc>
        <w:tc>
          <w:tcPr>
            <w:tcW w:w="6804" w:type="dxa"/>
          </w:tcPr>
          <w:p w14:paraId="06CE00F1" w14:textId="77777777" w:rsidR="008F4752" w:rsidRPr="004013D6" w:rsidRDefault="008F4752" w:rsidP="00A94C57">
            <w:pPr>
              <w:rPr>
                <w:rFonts w:ascii="Segoe UI Semibold" w:hAnsi="Segoe UI Semibold" w:cs="Segoe UI Semibold"/>
                <w:b w:val="0"/>
                <w:sz w:val="17"/>
                <w:szCs w:val="17"/>
                <w:lang w:eastAsia="en-AU"/>
              </w:rPr>
            </w:pPr>
            <w:r w:rsidRPr="004013D6">
              <w:rPr>
                <w:rFonts w:ascii="Segoe UI Semibold" w:hAnsi="Segoe UI Semibold" w:cs="Segoe UI Semibold"/>
                <w:b w:val="0"/>
                <w:sz w:val="17"/>
                <w:szCs w:val="17"/>
                <w:lang w:eastAsia="en-AU"/>
              </w:rPr>
              <w:t>Meaning</w:t>
            </w:r>
          </w:p>
        </w:tc>
      </w:tr>
      <w:tr w:rsidR="008F4752" w:rsidRPr="004013D6" w14:paraId="42FB9351" w14:textId="77777777" w:rsidTr="00A94C57">
        <w:tc>
          <w:tcPr>
            <w:tcW w:w="1645" w:type="dxa"/>
          </w:tcPr>
          <w:p w14:paraId="2AE9700F" w14:textId="77777777" w:rsidR="008F4752" w:rsidRPr="004013D6" w:rsidRDefault="008F4752" w:rsidP="00A94C57">
            <w:pPr>
              <w:rPr>
                <w:rFonts w:cs="Segoe UI"/>
                <w:color w:val="000000" w:themeColor="text1"/>
                <w:sz w:val="17"/>
                <w:szCs w:val="17"/>
                <w:lang w:eastAsia="en-AU"/>
              </w:rPr>
            </w:pPr>
            <w:r w:rsidRPr="004013D6">
              <w:rPr>
                <w:rFonts w:cs="Segoe UI"/>
                <w:color w:val="000000" w:themeColor="text1"/>
                <w:sz w:val="17"/>
                <w:szCs w:val="17"/>
                <w:lang w:eastAsia="en-AU"/>
              </w:rPr>
              <w:t>Applicant</w:t>
            </w:r>
          </w:p>
        </w:tc>
        <w:tc>
          <w:tcPr>
            <w:tcW w:w="6804" w:type="dxa"/>
          </w:tcPr>
          <w:p w14:paraId="587CB368" w14:textId="77777777" w:rsidR="008F4752" w:rsidRPr="004013D6" w:rsidRDefault="008F4752" w:rsidP="00A94C57">
            <w:pPr>
              <w:rPr>
                <w:rFonts w:cs="Segoe UI"/>
                <w:color w:val="000000" w:themeColor="text1"/>
                <w:sz w:val="17"/>
                <w:szCs w:val="17"/>
                <w:lang w:val="en-US"/>
              </w:rPr>
            </w:pPr>
            <w:r w:rsidRPr="004013D6">
              <w:rPr>
                <w:rFonts w:cs="Segoe UI"/>
                <w:color w:val="000000" w:themeColor="text1"/>
                <w:sz w:val="17"/>
                <w:szCs w:val="17"/>
                <w:lang w:val="en-US"/>
              </w:rPr>
              <w:t xml:space="preserve">Any person or persons who have been </w:t>
            </w:r>
            <w:proofErr w:type="spellStart"/>
            <w:r w:rsidRPr="004013D6">
              <w:rPr>
                <w:rFonts w:cs="Segoe UI"/>
                <w:color w:val="000000" w:themeColor="text1"/>
                <w:sz w:val="17"/>
                <w:szCs w:val="17"/>
                <w:lang w:val="en-US"/>
              </w:rPr>
              <w:t>authorised</w:t>
            </w:r>
            <w:proofErr w:type="spellEnd"/>
            <w:r w:rsidRPr="004013D6">
              <w:rPr>
                <w:rFonts w:cs="Segoe UI"/>
                <w:color w:val="000000" w:themeColor="text1"/>
                <w:sz w:val="17"/>
                <w:szCs w:val="17"/>
                <w:lang w:val="en-US"/>
              </w:rPr>
              <w:t xml:space="preserve"> as the selected representative(s) of a native title claim group in native title or determination proceedings.</w:t>
            </w:r>
          </w:p>
        </w:tc>
      </w:tr>
      <w:tr w:rsidR="008F4752" w:rsidRPr="004013D6" w14:paraId="41FBC25E" w14:textId="77777777" w:rsidTr="00A94C57">
        <w:tc>
          <w:tcPr>
            <w:tcW w:w="1645" w:type="dxa"/>
          </w:tcPr>
          <w:p w14:paraId="484F71E7" w14:textId="77777777" w:rsidR="008F4752" w:rsidRPr="004013D6" w:rsidRDefault="008F4752" w:rsidP="00A94C57">
            <w:pPr>
              <w:rPr>
                <w:rFonts w:cs="Segoe UI"/>
                <w:color w:val="000000" w:themeColor="text1"/>
                <w:sz w:val="17"/>
                <w:szCs w:val="17"/>
                <w:lang w:eastAsia="en-AU"/>
              </w:rPr>
            </w:pPr>
            <w:r w:rsidRPr="004013D6">
              <w:rPr>
                <w:rFonts w:cs="Segoe UI"/>
                <w:color w:val="000000" w:themeColor="text1"/>
                <w:sz w:val="17"/>
                <w:szCs w:val="17"/>
                <w:lang w:eastAsia="en-AU"/>
              </w:rPr>
              <w:t>Client</w:t>
            </w:r>
          </w:p>
        </w:tc>
        <w:tc>
          <w:tcPr>
            <w:tcW w:w="6804" w:type="dxa"/>
          </w:tcPr>
          <w:p w14:paraId="2AD17ED7" w14:textId="77777777" w:rsidR="008F4752" w:rsidRPr="004013D6" w:rsidRDefault="008F4752" w:rsidP="00A94C57">
            <w:pPr>
              <w:rPr>
                <w:rFonts w:cs="Segoe UI"/>
                <w:color w:val="000000" w:themeColor="text1"/>
                <w:sz w:val="17"/>
                <w:szCs w:val="17"/>
                <w:lang w:eastAsia="en-AU"/>
              </w:rPr>
            </w:pPr>
            <w:r w:rsidRPr="004013D6">
              <w:rPr>
                <w:rFonts w:cs="Segoe UI"/>
                <w:color w:val="000000" w:themeColor="text1"/>
                <w:sz w:val="17"/>
                <w:szCs w:val="17"/>
                <w:lang w:eastAsia="en-AU"/>
              </w:rPr>
              <w:t>Any individual or group being provided assistance by an NTRB-SP (including assistance with claims, research and/or PBC support).</w:t>
            </w:r>
          </w:p>
        </w:tc>
      </w:tr>
      <w:tr w:rsidR="008F4752" w:rsidRPr="004013D6" w14:paraId="7F694900" w14:textId="77777777" w:rsidTr="00A94C57">
        <w:tc>
          <w:tcPr>
            <w:tcW w:w="1645" w:type="dxa"/>
          </w:tcPr>
          <w:p w14:paraId="725C55D4" w14:textId="77777777" w:rsidR="008F4752" w:rsidRPr="004013D6" w:rsidRDefault="008F4752" w:rsidP="00A94C57">
            <w:pPr>
              <w:rPr>
                <w:rFonts w:cs="Segoe UI"/>
                <w:color w:val="000000" w:themeColor="text1"/>
                <w:sz w:val="17"/>
                <w:szCs w:val="17"/>
                <w:lang w:eastAsia="en-AU"/>
              </w:rPr>
            </w:pPr>
            <w:r w:rsidRPr="004013D6">
              <w:rPr>
                <w:rFonts w:cs="Segoe UI"/>
                <w:color w:val="000000" w:themeColor="text1"/>
                <w:sz w:val="17"/>
                <w:szCs w:val="17"/>
                <w:lang w:eastAsia="en-AU"/>
              </w:rPr>
              <w:t>Connection evidence</w:t>
            </w:r>
          </w:p>
        </w:tc>
        <w:tc>
          <w:tcPr>
            <w:tcW w:w="6804" w:type="dxa"/>
          </w:tcPr>
          <w:p w14:paraId="5B55A35F" w14:textId="77777777" w:rsidR="008F4752" w:rsidRPr="004013D6" w:rsidRDefault="008F4752" w:rsidP="00A94C57">
            <w:pPr>
              <w:rPr>
                <w:rFonts w:cs="Segoe UI"/>
                <w:color w:val="000000" w:themeColor="text1"/>
                <w:sz w:val="17"/>
                <w:szCs w:val="17"/>
                <w:lang w:val="en-US"/>
              </w:rPr>
            </w:pPr>
            <w:r w:rsidRPr="004013D6">
              <w:rPr>
                <w:rFonts w:cs="Segoe UI"/>
                <w:color w:val="000000" w:themeColor="text1"/>
                <w:sz w:val="17"/>
                <w:szCs w:val="17"/>
                <w:lang w:val="en-US"/>
              </w:rPr>
              <w:t>Evidence to establish connection of the native title group to the area over which they have lodged a claim. This evidence must demonstrate that the group have continued to observe and acknowledge, in a substantially uninterrupted way, the traditional laws and customs that give rise to their connection with the claim area, from the time of the proclamation of sovereignty to the present day.</w:t>
            </w:r>
          </w:p>
        </w:tc>
      </w:tr>
      <w:tr w:rsidR="008F4752" w:rsidRPr="004013D6" w14:paraId="518DE299" w14:textId="77777777" w:rsidTr="00A94C57">
        <w:tc>
          <w:tcPr>
            <w:tcW w:w="1645" w:type="dxa"/>
          </w:tcPr>
          <w:p w14:paraId="05228EDF" w14:textId="77777777" w:rsidR="008F4752" w:rsidRPr="004013D6" w:rsidRDefault="008F4752" w:rsidP="00A94C57">
            <w:pPr>
              <w:rPr>
                <w:rFonts w:cs="Segoe UI"/>
                <w:color w:val="000000" w:themeColor="text1"/>
                <w:sz w:val="17"/>
                <w:szCs w:val="17"/>
                <w:lang w:eastAsia="en-AU"/>
              </w:rPr>
            </w:pPr>
            <w:r w:rsidRPr="004013D6">
              <w:rPr>
                <w:rFonts w:cs="Segoe UI"/>
                <w:i/>
                <w:color w:val="000000" w:themeColor="text1"/>
                <w:sz w:val="17"/>
                <w:szCs w:val="17"/>
                <w:lang w:val="en-US"/>
              </w:rPr>
              <w:t xml:space="preserve">Corporations (Aboriginal and Torres Strait Islander) Act 2006 </w:t>
            </w:r>
            <w:r w:rsidRPr="004013D6">
              <w:rPr>
                <w:rFonts w:cs="Segoe UI"/>
                <w:color w:val="000000" w:themeColor="text1"/>
                <w:sz w:val="17"/>
                <w:szCs w:val="17"/>
                <w:lang w:val="en-US"/>
              </w:rPr>
              <w:t>(</w:t>
            </w:r>
            <w:proofErr w:type="spellStart"/>
            <w:r w:rsidRPr="004013D6">
              <w:rPr>
                <w:rFonts w:cs="Segoe UI"/>
                <w:color w:val="000000" w:themeColor="text1"/>
                <w:sz w:val="17"/>
                <w:szCs w:val="17"/>
                <w:lang w:val="en-US"/>
              </w:rPr>
              <w:t>Cth</w:t>
            </w:r>
            <w:proofErr w:type="spellEnd"/>
            <w:r w:rsidRPr="004013D6">
              <w:rPr>
                <w:rFonts w:cs="Segoe UI"/>
                <w:color w:val="000000" w:themeColor="text1"/>
                <w:sz w:val="17"/>
                <w:szCs w:val="17"/>
                <w:lang w:val="en-US"/>
              </w:rPr>
              <w:t xml:space="preserve">) (the </w:t>
            </w:r>
            <w:r w:rsidRPr="004013D6">
              <w:rPr>
                <w:rFonts w:cs="Segoe UI"/>
                <w:i/>
                <w:color w:val="000000" w:themeColor="text1"/>
                <w:sz w:val="17"/>
                <w:szCs w:val="17"/>
                <w:lang w:val="en-US"/>
              </w:rPr>
              <w:t>CATSI Act</w:t>
            </w:r>
            <w:r w:rsidRPr="004013D6">
              <w:rPr>
                <w:rFonts w:cs="Segoe UI"/>
                <w:color w:val="000000" w:themeColor="text1"/>
                <w:sz w:val="17"/>
                <w:szCs w:val="17"/>
                <w:lang w:val="en-US"/>
              </w:rPr>
              <w:t>)</w:t>
            </w:r>
          </w:p>
        </w:tc>
        <w:tc>
          <w:tcPr>
            <w:tcW w:w="6804" w:type="dxa"/>
          </w:tcPr>
          <w:p w14:paraId="19CFBCE2" w14:textId="77777777" w:rsidR="008F4752" w:rsidRPr="004013D6" w:rsidRDefault="008F4752" w:rsidP="00A94C57">
            <w:pPr>
              <w:rPr>
                <w:rFonts w:cs="Segoe UI"/>
                <w:color w:val="000000" w:themeColor="text1"/>
                <w:sz w:val="17"/>
                <w:szCs w:val="17"/>
                <w:lang w:val="en-US"/>
              </w:rPr>
            </w:pPr>
            <w:r w:rsidRPr="004013D6">
              <w:rPr>
                <w:rFonts w:cs="Segoe UI"/>
                <w:color w:val="000000" w:themeColor="text1"/>
                <w:sz w:val="17"/>
                <w:szCs w:val="17"/>
                <w:lang w:val="en-US"/>
              </w:rPr>
              <w:t xml:space="preserve">The </w:t>
            </w:r>
            <w:r w:rsidRPr="004013D6">
              <w:rPr>
                <w:rFonts w:cs="Segoe UI"/>
                <w:i/>
                <w:color w:val="000000" w:themeColor="text1"/>
                <w:sz w:val="17"/>
                <w:szCs w:val="17"/>
                <w:lang w:val="en-US"/>
              </w:rPr>
              <w:t xml:space="preserve">Corporations (Aboriginal and Torres Strait Islander) Act 2006 </w:t>
            </w:r>
            <w:r w:rsidRPr="004013D6">
              <w:rPr>
                <w:rFonts w:cs="Segoe UI"/>
                <w:color w:val="000000" w:themeColor="text1"/>
                <w:sz w:val="17"/>
                <w:szCs w:val="17"/>
                <w:lang w:val="en-US"/>
              </w:rPr>
              <w:t>(</w:t>
            </w:r>
            <w:proofErr w:type="spellStart"/>
            <w:r w:rsidRPr="004013D6">
              <w:rPr>
                <w:rFonts w:cs="Segoe UI"/>
                <w:color w:val="000000" w:themeColor="text1"/>
                <w:sz w:val="17"/>
                <w:szCs w:val="17"/>
                <w:lang w:val="en-US"/>
              </w:rPr>
              <w:t>Cth</w:t>
            </w:r>
            <w:proofErr w:type="spellEnd"/>
            <w:r w:rsidRPr="004013D6">
              <w:rPr>
                <w:rFonts w:cs="Segoe UI"/>
                <w:color w:val="000000" w:themeColor="text1"/>
                <w:sz w:val="17"/>
                <w:szCs w:val="17"/>
                <w:lang w:val="en-US"/>
              </w:rPr>
              <w:t>) is the law that establishes the role of the Registrar of Indigenous Corporations and enables Aboriginal and Torres Strait Islander groups to form Aboriginal and Torres Strait Islander corporations.</w:t>
            </w:r>
          </w:p>
        </w:tc>
      </w:tr>
      <w:tr w:rsidR="008F4752" w:rsidRPr="004013D6" w14:paraId="31032D14" w14:textId="77777777" w:rsidTr="00A94C57">
        <w:tc>
          <w:tcPr>
            <w:tcW w:w="1645" w:type="dxa"/>
          </w:tcPr>
          <w:p w14:paraId="4B3ADFC6" w14:textId="77777777" w:rsidR="008F4752" w:rsidRPr="004013D6" w:rsidRDefault="008F4752" w:rsidP="00A94C57">
            <w:pPr>
              <w:rPr>
                <w:rFonts w:cs="Segoe UI"/>
                <w:color w:val="000000" w:themeColor="text1"/>
                <w:sz w:val="17"/>
                <w:szCs w:val="17"/>
                <w:lang w:eastAsia="en-AU"/>
              </w:rPr>
            </w:pPr>
            <w:r w:rsidRPr="004013D6">
              <w:rPr>
                <w:rFonts w:cs="Segoe UI"/>
                <w:color w:val="000000" w:themeColor="text1"/>
                <w:sz w:val="17"/>
                <w:szCs w:val="17"/>
                <w:lang w:eastAsia="en-AU"/>
              </w:rPr>
              <w:t>Determination</w:t>
            </w:r>
          </w:p>
        </w:tc>
        <w:tc>
          <w:tcPr>
            <w:tcW w:w="6804" w:type="dxa"/>
          </w:tcPr>
          <w:p w14:paraId="2CA780C1" w14:textId="77777777" w:rsidR="008F4752" w:rsidRPr="004013D6" w:rsidRDefault="008F4752" w:rsidP="00A94C57">
            <w:pPr>
              <w:rPr>
                <w:rFonts w:cs="Segoe UI"/>
                <w:color w:val="000000" w:themeColor="text1"/>
                <w:sz w:val="17"/>
                <w:szCs w:val="17"/>
                <w:lang w:val="en-US"/>
              </w:rPr>
            </w:pPr>
            <w:r w:rsidRPr="004013D6">
              <w:rPr>
                <w:rFonts w:cs="Segoe UI"/>
                <w:color w:val="000000" w:themeColor="text1"/>
                <w:sz w:val="17"/>
                <w:szCs w:val="17"/>
                <w:lang w:val="en-US"/>
              </w:rPr>
              <w:t>A decision by the Federal or High Court of Australia. A determination is made either when parties have reached an agreement after mediation (consent determination) or following a trial process (litigated determination).</w:t>
            </w:r>
          </w:p>
        </w:tc>
      </w:tr>
      <w:tr w:rsidR="008F4752" w:rsidRPr="004013D6" w14:paraId="2B08360D" w14:textId="77777777" w:rsidTr="00A94C57">
        <w:tc>
          <w:tcPr>
            <w:tcW w:w="1645" w:type="dxa"/>
          </w:tcPr>
          <w:p w14:paraId="61E51E3F" w14:textId="77777777" w:rsidR="008F4752" w:rsidRPr="004013D6" w:rsidRDefault="008F4752" w:rsidP="00A94C57">
            <w:pPr>
              <w:rPr>
                <w:rFonts w:cs="Segoe UI"/>
                <w:color w:val="000000" w:themeColor="text1"/>
                <w:sz w:val="17"/>
                <w:szCs w:val="17"/>
                <w:lang w:eastAsia="en-AU"/>
              </w:rPr>
            </w:pPr>
            <w:r w:rsidRPr="004013D6">
              <w:rPr>
                <w:rFonts w:cs="Segoe UI"/>
                <w:color w:val="000000" w:themeColor="text1"/>
                <w:sz w:val="17"/>
                <w:szCs w:val="17"/>
                <w:lang w:eastAsia="en-AU"/>
              </w:rPr>
              <w:t>Extinguishment</w:t>
            </w:r>
          </w:p>
        </w:tc>
        <w:tc>
          <w:tcPr>
            <w:tcW w:w="6804" w:type="dxa"/>
          </w:tcPr>
          <w:p w14:paraId="2DC649C1" w14:textId="77777777" w:rsidR="008F4752" w:rsidRPr="004013D6" w:rsidRDefault="008F4752" w:rsidP="00A94C57">
            <w:pPr>
              <w:rPr>
                <w:rFonts w:cs="Segoe UI"/>
                <w:color w:val="000000" w:themeColor="text1"/>
                <w:sz w:val="17"/>
                <w:szCs w:val="17"/>
                <w:lang w:val="en-US"/>
              </w:rPr>
            </w:pPr>
            <w:r w:rsidRPr="004013D6">
              <w:rPr>
                <w:rFonts w:cs="Segoe UI"/>
                <w:color w:val="000000" w:themeColor="text1"/>
                <w:sz w:val="17"/>
                <w:szCs w:val="17"/>
                <w:lang w:val="en-US"/>
              </w:rPr>
              <w:t>Occurs over a defined area when Australian law does not recognise the existence of native title rights and interests because of legislation or common law precedent. Extinguishment can be whole or partial.</w:t>
            </w:r>
          </w:p>
        </w:tc>
      </w:tr>
      <w:tr w:rsidR="008F4752" w:rsidRPr="004013D6" w14:paraId="46D5E9F2" w14:textId="77777777" w:rsidTr="00A94C57">
        <w:tc>
          <w:tcPr>
            <w:tcW w:w="1645" w:type="dxa"/>
          </w:tcPr>
          <w:p w14:paraId="750E4864" w14:textId="77777777" w:rsidR="008F4752" w:rsidRPr="004013D6" w:rsidRDefault="008F4752" w:rsidP="00A94C57">
            <w:pPr>
              <w:rPr>
                <w:rFonts w:cs="Segoe UI"/>
                <w:color w:val="000000" w:themeColor="text1"/>
                <w:sz w:val="17"/>
                <w:szCs w:val="17"/>
                <w:lang w:eastAsia="en-AU"/>
              </w:rPr>
            </w:pPr>
            <w:r w:rsidRPr="004013D6">
              <w:rPr>
                <w:rFonts w:cs="Segoe UI"/>
                <w:color w:val="000000" w:themeColor="text1"/>
                <w:sz w:val="17"/>
                <w:szCs w:val="17"/>
                <w:lang w:eastAsia="en-AU"/>
              </w:rPr>
              <w:t>Future act</w:t>
            </w:r>
          </w:p>
        </w:tc>
        <w:tc>
          <w:tcPr>
            <w:tcW w:w="6804" w:type="dxa"/>
          </w:tcPr>
          <w:p w14:paraId="3FFC22F5" w14:textId="77777777" w:rsidR="008F4752" w:rsidRPr="004013D6" w:rsidRDefault="008F4752" w:rsidP="00A94C57">
            <w:pPr>
              <w:pStyle w:val="Default"/>
              <w:rPr>
                <w:rFonts w:ascii="Segoe UI" w:hAnsi="Segoe UI" w:cs="Segoe UI"/>
                <w:color w:val="000000" w:themeColor="text1"/>
                <w:sz w:val="17"/>
                <w:szCs w:val="17"/>
              </w:rPr>
            </w:pPr>
            <w:r w:rsidRPr="004013D6">
              <w:rPr>
                <w:rFonts w:ascii="Segoe UI" w:hAnsi="Segoe UI" w:cs="Segoe UI"/>
                <w:color w:val="000000" w:themeColor="text1"/>
                <w:sz w:val="17"/>
                <w:szCs w:val="17"/>
              </w:rPr>
              <w:t>A legislative or non-legislative act in relation to land or waters that may impact on the ability of native title holders to exercise native title rights; either through extinguishment or creating interests that are wholly or partly inconsistent with the continued existence of native title.</w:t>
            </w:r>
          </w:p>
        </w:tc>
      </w:tr>
      <w:tr w:rsidR="001163D1" w:rsidRPr="004013D6" w14:paraId="1AB06996" w14:textId="77777777" w:rsidTr="00CC5969">
        <w:tc>
          <w:tcPr>
            <w:tcW w:w="1645" w:type="dxa"/>
            <w:vAlign w:val="top"/>
          </w:tcPr>
          <w:p w14:paraId="418ADAFB" w14:textId="647DD9E6" w:rsidR="001163D1" w:rsidRPr="004013D6" w:rsidRDefault="001163D1" w:rsidP="001163D1">
            <w:pPr>
              <w:rPr>
                <w:rFonts w:cs="Segoe UI"/>
                <w:color w:val="000000" w:themeColor="text1"/>
                <w:sz w:val="17"/>
                <w:szCs w:val="17"/>
                <w:lang w:eastAsia="en-AU"/>
              </w:rPr>
            </w:pPr>
            <w:r w:rsidRPr="004013D6">
              <w:rPr>
                <w:rFonts w:cs="Segoe UI"/>
                <w:sz w:val="17"/>
                <w:szCs w:val="17"/>
              </w:rPr>
              <w:t>GGNTAC</w:t>
            </w:r>
          </w:p>
        </w:tc>
        <w:tc>
          <w:tcPr>
            <w:tcW w:w="6804" w:type="dxa"/>
            <w:vAlign w:val="top"/>
          </w:tcPr>
          <w:p w14:paraId="06FFB431" w14:textId="4B1D3348" w:rsidR="001163D1" w:rsidRPr="004013D6" w:rsidRDefault="001163D1" w:rsidP="001163D1">
            <w:pPr>
              <w:pStyle w:val="Default"/>
              <w:rPr>
                <w:rFonts w:ascii="Segoe UI" w:hAnsi="Segoe UI" w:cs="Segoe UI"/>
                <w:color w:val="000000" w:themeColor="text1"/>
                <w:sz w:val="17"/>
                <w:szCs w:val="17"/>
              </w:rPr>
            </w:pPr>
            <w:r w:rsidRPr="004013D6">
              <w:rPr>
                <w:rFonts w:ascii="Segoe UI" w:hAnsi="Segoe UI" w:cs="Segoe UI"/>
                <w:sz w:val="17"/>
                <w:szCs w:val="17"/>
              </w:rPr>
              <w:t xml:space="preserve">The </w:t>
            </w:r>
            <w:proofErr w:type="spellStart"/>
            <w:r w:rsidRPr="004013D6">
              <w:rPr>
                <w:rFonts w:ascii="Segoe UI" w:hAnsi="Segoe UI" w:cs="Segoe UI"/>
                <w:sz w:val="17"/>
                <w:szCs w:val="17"/>
              </w:rPr>
              <w:t>Gangalidda</w:t>
            </w:r>
            <w:proofErr w:type="spellEnd"/>
            <w:r w:rsidRPr="004013D6">
              <w:rPr>
                <w:rFonts w:ascii="Segoe UI" w:hAnsi="Segoe UI" w:cs="Segoe UI"/>
                <w:sz w:val="17"/>
                <w:szCs w:val="17"/>
              </w:rPr>
              <w:t xml:space="preserve"> &amp; Garawa Native Title Aboriginal Corporation, which is a PBC and is a member of CLCAC. </w:t>
            </w:r>
          </w:p>
        </w:tc>
      </w:tr>
      <w:tr w:rsidR="001163D1" w:rsidRPr="004013D6" w14:paraId="3D97AABD" w14:textId="77777777" w:rsidTr="00CC5969">
        <w:tc>
          <w:tcPr>
            <w:tcW w:w="1645" w:type="dxa"/>
            <w:vAlign w:val="top"/>
          </w:tcPr>
          <w:p w14:paraId="436C10A7" w14:textId="3A452C1F" w:rsidR="001163D1" w:rsidRPr="004013D6" w:rsidRDefault="001163D1" w:rsidP="001163D1">
            <w:pPr>
              <w:rPr>
                <w:rFonts w:cs="Segoe UI"/>
                <w:color w:val="000000" w:themeColor="text1"/>
                <w:sz w:val="17"/>
                <w:szCs w:val="17"/>
                <w:lang w:eastAsia="en-AU"/>
              </w:rPr>
            </w:pPr>
            <w:r w:rsidRPr="004013D6">
              <w:rPr>
                <w:rFonts w:cs="Segoe UI"/>
                <w:sz w:val="17"/>
                <w:szCs w:val="17"/>
              </w:rPr>
              <w:t>GRAC</w:t>
            </w:r>
          </w:p>
        </w:tc>
        <w:tc>
          <w:tcPr>
            <w:tcW w:w="6804" w:type="dxa"/>
            <w:vAlign w:val="top"/>
          </w:tcPr>
          <w:p w14:paraId="23C7A87E" w14:textId="0ABA685F" w:rsidR="001163D1" w:rsidRPr="004013D6" w:rsidRDefault="001163D1" w:rsidP="001163D1">
            <w:pPr>
              <w:pStyle w:val="Default"/>
              <w:rPr>
                <w:rFonts w:ascii="Segoe UI" w:hAnsi="Segoe UI" w:cs="Segoe UI"/>
                <w:color w:val="000000" w:themeColor="text1"/>
                <w:sz w:val="17"/>
                <w:szCs w:val="17"/>
              </w:rPr>
            </w:pPr>
            <w:r w:rsidRPr="004013D6">
              <w:rPr>
                <w:rFonts w:ascii="Segoe UI" w:hAnsi="Segoe UI" w:cs="Segoe UI"/>
                <w:sz w:val="17"/>
                <w:szCs w:val="17"/>
              </w:rPr>
              <w:t>The Gulf Regional Aboriginal Corporation (GRAC), which is a PBC and is a member of CLCAC.</w:t>
            </w:r>
          </w:p>
        </w:tc>
      </w:tr>
      <w:tr w:rsidR="008F4752" w:rsidRPr="004013D6" w14:paraId="6047CF62" w14:textId="77777777" w:rsidTr="00A94C57">
        <w:tc>
          <w:tcPr>
            <w:tcW w:w="1645" w:type="dxa"/>
          </w:tcPr>
          <w:p w14:paraId="177CB3B2" w14:textId="77777777" w:rsidR="008F4752" w:rsidRPr="004013D6" w:rsidRDefault="008F4752" w:rsidP="00A94C57">
            <w:pPr>
              <w:rPr>
                <w:rFonts w:cs="Segoe UI"/>
                <w:color w:val="000000" w:themeColor="text1"/>
                <w:sz w:val="17"/>
                <w:szCs w:val="17"/>
                <w:lang w:eastAsia="en-AU"/>
              </w:rPr>
            </w:pPr>
            <w:r w:rsidRPr="004013D6">
              <w:rPr>
                <w:rFonts w:cs="Segoe UI"/>
                <w:color w:val="000000" w:themeColor="text1"/>
                <w:sz w:val="17"/>
                <w:szCs w:val="17"/>
                <w:lang w:eastAsia="en-AU"/>
              </w:rPr>
              <w:t>Indigenous Land Use Agreement (ILUA)</w:t>
            </w:r>
          </w:p>
        </w:tc>
        <w:tc>
          <w:tcPr>
            <w:tcW w:w="6804" w:type="dxa"/>
          </w:tcPr>
          <w:p w14:paraId="260671C8" w14:textId="77777777" w:rsidR="008F4752" w:rsidRPr="004013D6" w:rsidRDefault="008F4752" w:rsidP="00A94C57">
            <w:pPr>
              <w:rPr>
                <w:rFonts w:cs="Segoe UI"/>
                <w:color w:val="000000" w:themeColor="text1"/>
                <w:sz w:val="17"/>
                <w:szCs w:val="17"/>
                <w:lang w:eastAsia="en-AU"/>
              </w:rPr>
            </w:pPr>
            <w:r w:rsidRPr="004013D6">
              <w:rPr>
                <w:rFonts w:cs="Segoe UI"/>
                <w:color w:val="000000" w:themeColor="text1"/>
                <w:sz w:val="17"/>
                <w:szCs w:val="17"/>
                <w:lang w:eastAsia="en-AU"/>
              </w:rPr>
              <w:t>A voluntary, legally binding agreement governing the use and management of land or waters over which native title exists or might exists. The conditions of each ILUA are determined by way of negotiations between native title holders and other interest holders (such as a state or mining company). These negotiations are often facilitated by NTRB-SPs.</w:t>
            </w:r>
          </w:p>
        </w:tc>
      </w:tr>
      <w:tr w:rsidR="008F4752" w:rsidRPr="004013D6" w14:paraId="7A23795A" w14:textId="77777777" w:rsidTr="00A94C57">
        <w:tc>
          <w:tcPr>
            <w:tcW w:w="1645" w:type="dxa"/>
          </w:tcPr>
          <w:p w14:paraId="3DEBD89D" w14:textId="77777777" w:rsidR="008F4752" w:rsidRPr="004013D6" w:rsidRDefault="008F4752" w:rsidP="00A94C57">
            <w:pPr>
              <w:rPr>
                <w:rFonts w:cs="Segoe UI"/>
                <w:color w:val="000000" w:themeColor="text1"/>
                <w:sz w:val="17"/>
                <w:szCs w:val="17"/>
                <w:lang w:eastAsia="en-AU"/>
              </w:rPr>
            </w:pPr>
            <w:r w:rsidRPr="004013D6">
              <w:rPr>
                <w:rFonts w:cs="Segoe UI"/>
                <w:color w:val="000000" w:themeColor="text1"/>
                <w:sz w:val="17"/>
                <w:szCs w:val="17"/>
                <w:lang w:eastAsia="en-AU"/>
              </w:rPr>
              <w:t>National Native Title Tribunal (NNTT)</w:t>
            </w:r>
          </w:p>
        </w:tc>
        <w:tc>
          <w:tcPr>
            <w:tcW w:w="6804" w:type="dxa"/>
          </w:tcPr>
          <w:p w14:paraId="1BE1DC19" w14:textId="77777777" w:rsidR="008F4752" w:rsidRPr="004013D6" w:rsidRDefault="008F4752" w:rsidP="00A94C57">
            <w:pPr>
              <w:rPr>
                <w:rFonts w:cs="Segoe UI"/>
                <w:color w:val="000000" w:themeColor="text1"/>
                <w:sz w:val="17"/>
                <w:szCs w:val="17"/>
                <w:lang w:val="en-US"/>
              </w:rPr>
            </w:pPr>
            <w:r w:rsidRPr="004013D6">
              <w:rPr>
                <w:rFonts w:cs="Segoe UI"/>
                <w:color w:val="000000" w:themeColor="text1"/>
                <w:sz w:val="17"/>
                <w:szCs w:val="17"/>
                <w:lang w:val="en-US"/>
              </w:rPr>
              <w:t xml:space="preserve">An independent statutory body established under s 107 of the </w:t>
            </w:r>
            <w:r w:rsidRPr="00A44C47">
              <w:rPr>
                <w:rStyle w:val="Emphasis"/>
                <w:rFonts w:cs="Segoe UI"/>
                <w:i w:val="0"/>
                <w:iCs w:val="0"/>
                <w:color w:val="000000" w:themeColor="text1"/>
                <w:sz w:val="17"/>
                <w:szCs w:val="17"/>
                <w:lang w:val="en-US"/>
              </w:rPr>
              <w:t>NTA</w:t>
            </w:r>
            <w:r w:rsidRPr="004013D6">
              <w:rPr>
                <w:rStyle w:val="Emphasis"/>
                <w:rFonts w:cs="Segoe UI"/>
                <w:color w:val="000000" w:themeColor="text1"/>
                <w:sz w:val="17"/>
                <w:szCs w:val="17"/>
                <w:lang w:val="en-US"/>
              </w:rPr>
              <w:t xml:space="preserve"> </w:t>
            </w:r>
            <w:r w:rsidRPr="004013D6">
              <w:rPr>
                <w:rFonts w:cs="Segoe UI"/>
                <w:color w:val="000000" w:themeColor="text1"/>
                <w:sz w:val="17"/>
                <w:szCs w:val="17"/>
                <w:lang w:val="en-US"/>
              </w:rPr>
              <w:t>to assist people in resolving native title issues by:</w:t>
            </w:r>
          </w:p>
          <w:p w14:paraId="42C5757C" w14:textId="77777777" w:rsidR="008F4752" w:rsidRPr="004013D6" w:rsidRDefault="008F4752" w:rsidP="00A94C57">
            <w:pPr>
              <w:pStyle w:val="ListParagraph"/>
              <w:numPr>
                <w:ilvl w:val="0"/>
                <w:numId w:val="60"/>
              </w:numPr>
              <w:rPr>
                <w:rFonts w:cs="Segoe UI"/>
                <w:color w:val="000000" w:themeColor="text1"/>
                <w:sz w:val="17"/>
                <w:szCs w:val="17"/>
                <w:lang w:val="en-US"/>
              </w:rPr>
            </w:pPr>
            <w:r w:rsidRPr="004013D6">
              <w:rPr>
                <w:rFonts w:cs="Segoe UI"/>
                <w:color w:val="000000" w:themeColor="text1"/>
                <w:sz w:val="17"/>
                <w:szCs w:val="17"/>
                <w:lang w:val="en-US"/>
              </w:rPr>
              <w:t>mediating between the parties to native title applications at the direction of the Federal Court</w:t>
            </w:r>
          </w:p>
          <w:p w14:paraId="2C38FE0D" w14:textId="77777777" w:rsidR="008F4752" w:rsidRPr="004013D6" w:rsidRDefault="008F4752" w:rsidP="00A94C57">
            <w:pPr>
              <w:pStyle w:val="ListParagraph"/>
              <w:numPr>
                <w:ilvl w:val="0"/>
                <w:numId w:val="60"/>
              </w:numPr>
              <w:rPr>
                <w:rFonts w:cs="Segoe UI"/>
                <w:color w:val="000000" w:themeColor="text1"/>
                <w:sz w:val="17"/>
                <w:szCs w:val="17"/>
                <w:lang w:val="en-US"/>
              </w:rPr>
            </w:pPr>
            <w:r w:rsidRPr="004013D6">
              <w:rPr>
                <w:rFonts w:cs="Segoe UI"/>
                <w:color w:val="000000" w:themeColor="text1"/>
                <w:sz w:val="17"/>
                <w:szCs w:val="17"/>
                <w:lang w:val="en-US"/>
              </w:rPr>
              <w:t>acting as an arbitrator in situations where the people cannot reach agreement about certain future acts</w:t>
            </w:r>
          </w:p>
          <w:p w14:paraId="2176F0B2" w14:textId="77777777" w:rsidR="008F4752" w:rsidRPr="004013D6" w:rsidRDefault="008F4752" w:rsidP="00A94C57">
            <w:pPr>
              <w:pStyle w:val="ListParagraph"/>
              <w:numPr>
                <w:ilvl w:val="0"/>
                <w:numId w:val="60"/>
              </w:numPr>
              <w:rPr>
                <w:rFonts w:cs="Segoe UI"/>
                <w:color w:val="000000" w:themeColor="text1"/>
                <w:sz w:val="17"/>
                <w:szCs w:val="17"/>
                <w:lang w:val="en-US"/>
              </w:rPr>
            </w:pPr>
            <w:r w:rsidRPr="004013D6">
              <w:rPr>
                <w:rFonts w:cs="Segoe UI"/>
                <w:color w:val="000000" w:themeColor="text1"/>
                <w:sz w:val="17"/>
                <w:szCs w:val="17"/>
                <w:lang w:val="en-US"/>
              </w:rPr>
              <w:lastRenderedPageBreak/>
              <w:t>helping people to negotiate ILUAs</w:t>
            </w:r>
          </w:p>
          <w:p w14:paraId="6AFCAA70" w14:textId="5FFC5882" w:rsidR="008F4752" w:rsidRPr="004013D6" w:rsidRDefault="008F4752" w:rsidP="00A94C57">
            <w:pPr>
              <w:rPr>
                <w:rFonts w:cs="Segoe UI"/>
                <w:color w:val="000000" w:themeColor="text1"/>
                <w:sz w:val="17"/>
                <w:szCs w:val="17"/>
                <w:lang w:val="en-US"/>
              </w:rPr>
            </w:pPr>
            <w:r w:rsidRPr="004013D6">
              <w:rPr>
                <w:rFonts w:cs="Segoe UI"/>
                <w:color w:val="000000" w:themeColor="text1"/>
                <w:sz w:val="17"/>
                <w:szCs w:val="17"/>
                <w:lang w:val="en-US"/>
              </w:rPr>
              <w:t xml:space="preserve">The NNTT maintains three registers relating to native title applications, determinations and ILUAs. It also maintains databases regarding future act matters and geospatial tools.   </w:t>
            </w:r>
          </w:p>
        </w:tc>
      </w:tr>
      <w:tr w:rsidR="008F4752" w:rsidRPr="004013D6" w14:paraId="11D50C5F" w14:textId="77777777" w:rsidTr="00A94C57">
        <w:tc>
          <w:tcPr>
            <w:tcW w:w="1645" w:type="dxa"/>
          </w:tcPr>
          <w:p w14:paraId="3DF37CD6" w14:textId="77777777" w:rsidR="008F4752" w:rsidRPr="004013D6" w:rsidRDefault="008F4752" w:rsidP="00A94C57">
            <w:pPr>
              <w:rPr>
                <w:rFonts w:cs="Segoe UI"/>
                <w:color w:val="000000" w:themeColor="text1"/>
                <w:sz w:val="17"/>
                <w:szCs w:val="17"/>
                <w:lang w:eastAsia="en-AU"/>
              </w:rPr>
            </w:pPr>
            <w:r w:rsidRPr="004013D6">
              <w:rPr>
                <w:rFonts w:cs="Segoe UI"/>
                <w:color w:val="000000" w:themeColor="text1"/>
                <w:sz w:val="17"/>
                <w:szCs w:val="17"/>
                <w:lang w:eastAsia="en-AU"/>
              </w:rPr>
              <w:lastRenderedPageBreak/>
              <w:t>Native title</w:t>
            </w:r>
          </w:p>
        </w:tc>
        <w:tc>
          <w:tcPr>
            <w:tcW w:w="6804" w:type="dxa"/>
          </w:tcPr>
          <w:p w14:paraId="4109036C" w14:textId="77777777" w:rsidR="008F4752" w:rsidRPr="004013D6" w:rsidRDefault="008F4752" w:rsidP="00A94C57">
            <w:pPr>
              <w:rPr>
                <w:rFonts w:cs="Segoe UI"/>
                <w:color w:val="000000" w:themeColor="text1"/>
                <w:sz w:val="17"/>
                <w:szCs w:val="17"/>
                <w:lang w:val="en-US"/>
              </w:rPr>
            </w:pPr>
            <w:r w:rsidRPr="004013D6">
              <w:rPr>
                <w:rFonts w:cs="Segoe UI"/>
                <w:color w:val="000000" w:themeColor="text1"/>
                <w:sz w:val="17"/>
                <w:szCs w:val="17"/>
                <w:lang w:val="en-US"/>
              </w:rPr>
              <w:t xml:space="preserve">The communal, group or individual rights and interests of Aboriginal peoples and Torres Strait Islanders in relation to land and waters, possessed under traditional law and custom, by which those people have a connection with an area which is recognised under Australian law (s 223 </w:t>
            </w:r>
            <w:r w:rsidRPr="00A44C47">
              <w:rPr>
                <w:rFonts w:cs="Segoe UI"/>
                <w:iCs/>
                <w:color w:val="000000" w:themeColor="text1"/>
                <w:sz w:val="17"/>
                <w:szCs w:val="17"/>
                <w:lang w:val="en-US"/>
              </w:rPr>
              <w:t>NTA</w:t>
            </w:r>
            <w:r w:rsidRPr="004013D6">
              <w:rPr>
                <w:rFonts w:cs="Segoe UI"/>
                <w:color w:val="000000" w:themeColor="text1"/>
                <w:sz w:val="17"/>
                <w:szCs w:val="17"/>
                <w:lang w:val="en-US"/>
              </w:rPr>
              <w:t>).</w:t>
            </w:r>
          </w:p>
        </w:tc>
      </w:tr>
      <w:tr w:rsidR="008F4752" w:rsidRPr="004013D6" w14:paraId="20A84EA5" w14:textId="77777777" w:rsidTr="00A94C57">
        <w:tc>
          <w:tcPr>
            <w:tcW w:w="1645" w:type="dxa"/>
          </w:tcPr>
          <w:p w14:paraId="35484C96" w14:textId="77777777" w:rsidR="008F4752" w:rsidRPr="004013D6" w:rsidRDefault="008F4752" w:rsidP="00A94C57">
            <w:pPr>
              <w:rPr>
                <w:rFonts w:cs="Segoe UI"/>
                <w:color w:val="000000" w:themeColor="text1"/>
                <w:sz w:val="17"/>
                <w:szCs w:val="17"/>
                <w:lang w:eastAsia="en-AU"/>
              </w:rPr>
            </w:pPr>
            <w:r w:rsidRPr="004013D6">
              <w:rPr>
                <w:rFonts w:cs="Segoe UI"/>
                <w:i/>
                <w:color w:val="000000" w:themeColor="text1"/>
                <w:sz w:val="17"/>
                <w:szCs w:val="17"/>
                <w:lang w:eastAsia="en-AU"/>
              </w:rPr>
              <w:t>Native Title Act 1993</w:t>
            </w:r>
            <w:r w:rsidRPr="004013D6">
              <w:rPr>
                <w:rFonts w:cs="Segoe UI"/>
                <w:color w:val="000000" w:themeColor="text1"/>
                <w:sz w:val="17"/>
                <w:szCs w:val="17"/>
                <w:lang w:eastAsia="en-AU"/>
              </w:rPr>
              <w:t xml:space="preserve"> (</w:t>
            </w:r>
            <w:proofErr w:type="spellStart"/>
            <w:r w:rsidRPr="004013D6">
              <w:rPr>
                <w:rFonts w:cs="Segoe UI"/>
                <w:color w:val="000000" w:themeColor="text1"/>
                <w:sz w:val="17"/>
                <w:szCs w:val="17"/>
                <w:lang w:eastAsia="en-AU"/>
              </w:rPr>
              <w:t>Cth</w:t>
            </w:r>
            <w:proofErr w:type="spellEnd"/>
            <w:r w:rsidRPr="004013D6">
              <w:rPr>
                <w:rFonts w:cs="Segoe UI"/>
                <w:color w:val="000000" w:themeColor="text1"/>
                <w:sz w:val="17"/>
                <w:szCs w:val="17"/>
                <w:lang w:eastAsia="en-AU"/>
              </w:rPr>
              <w:t>) (</w:t>
            </w:r>
            <w:r w:rsidRPr="004013D6">
              <w:rPr>
                <w:rFonts w:cs="Segoe UI"/>
                <w:i/>
                <w:color w:val="000000" w:themeColor="text1"/>
                <w:sz w:val="17"/>
                <w:szCs w:val="17"/>
                <w:lang w:eastAsia="en-AU"/>
              </w:rPr>
              <w:t>NTA</w:t>
            </w:r>
            <w:r w:rsidRPr="004013D6">
              <w:rPr>
                <w:rFonts w:cs="Segoe UI"/>
                <w:color w:val="000000" w:themeColor="text1"/>
                <w:sz w:val="17"/>
                <w:szCs w:val="17"/>
                <w:lang w:eastAsia="en-AU"/>
              </w:rPr>
              <w:t>)</w:t>
            </w:r>
          </w:p>
        </w:tc>
        <w:tc>
          <w:tcPr>
            <w:tcW w:w="6804" w:type="dxa"/>
          </w:tcPr>
          <w:p w14:paraId="31AEF98C" w14:textId="77777777" w:rsidR="008F4752" w:rsidRPr="004013D6" w:rsidRDefault="008F4752" w:rsidP="00A94C57">
            <w:pPr>
              <w:rPr>
                <w:rFonts w:cs="Segoe UI"/>
                <w:i/>
                <w:color w:val="000000" w:themeColor="text1"/>
                <w:sz w:val="17"/>
                <w:szCs w:val="17"/>
                <w:lang w:eastAsia="en-AU"/>
              </w:rPr>
            </w:pPr>
            <w:r w:rsidRPr="004013D6">
              <w:rPr>
                <w:rFonts w:cs="Segoe UI"/>
                <w:sz w:val="17"/>
                <w:szCs w:val="17"/>
                <w:lang w:val="en"/>
              </w:rPr>
              <w:t>The </w:t>
            </w:r>
            <w:r w:rsidRPr="004013D6">
              <w:rPr>
                <w:rFonts w:cs="Segoe UI"/>
                <w:i/>
                <w:sz w:val="17"/>
                <w:szCs w:val="17"/>
                <w:lang w:val="en"/>
              </w:rPr>
              <w:t xml:space="preserve">Native Title Act 1993 </w:t>
            </w:r>
            <w:r w:rsidRPr="004013D6">
              <w:rPr>
                <w:rFonts w:cs="Segoe UI"/>
                <w:sz w:val="17"/>
                <w:szCs w:val="17"/>
                <w:lang w:val="en"/>
              </w:rPr>
              <w:t>(</w:t>
            </w:r>
            <w:proofErr w:type="spellStart"/>
            <w:r w:rsidRPr="004013D6">
              <w:rPr>
                <w:rFonts w:cs="Segoe UI"/>
                <w:sz w:val="17"/>
                <w:szCs w:val="17"/>
                <w:lang w:val="en"/>
              </w:rPr>
              <w:t>Cth</w:t>
            </w:r>
            <w:proofErr w:type="spellEnd"/>
            <w:r w:rsidRPr="004013D6">
              <w:rPr>
                <w:rFonts w:cs="Segoe UI"/>
                <w:sz w:val="17"/>
                <w:szCs w:val="17"/>
                <w:lang w:val="en"/>
              </w:rPr>
              <w:t>) established the procedure for making native title claims, and is the primary piece of Commonwealth Government legislation allowing Indigenous Australians to seek rights over land and waters arising from their original ownership under traditional law and custom.</w:t>
            </w:r>
          </w:p>
        </w:tc>
      </w:tr>
      <w:tr w:rsidR="008F4752" w:rsidRPr="004013D6" w14:paraId="6F40318D" w14:textId="77777777" w:rsidTr="00A94C57">
        <w:tc>
          <w:tcPr>
            <w:tcW w:w="1645" w:type="dxa"/>
          </w:tcPr>
          <w:p w14:paraId="73DDE129" w14:textId="77777777" w:rsidR="008F4752" w:rsidRPr="004013D6" w:rsidRDefault="008F4752" w:rsidP="00A94C57">
            <w:pPr>
              <w:rPr>
                <w:rFonts w:cs="Segoe UI"/>
                <w:color w:val="000000" w:themeColor="text1"/>
                <w:sz w:val="17"/>
                <w:szCs w:val="17"/>
                <w:lang w:eastAsia="en-AU"/>
              </w:rPr>
            </w:pPr>
            <w:r w:rsidRPr="004013D6">
              <w:rPr>
                <w:rFonts w:cs="Segoe UI"/>
                <w:color w:val="000000" w:themeColor="text1"/>
                <w:sz w:val="17"/>
                <w:szCs w:val="17"/>
                <w:lang w:eastAsia="en-AU"/>
              </w:rPr>
              <w:t>Native Title Representative Body (NTRB)</w:t>
            </w:r>
          </w:p>
        </w:tc>
        <w:tc>
          <w:tcPr>
            <w:tcW w:w="6804" w:type="dxa"/>
          </w:tcPr>
          <w:p w14:paraId="2213DE34" w14:textId="77777777" w:rsidR="008F4752" w:rsidRPr="004013D6" w:rsidRDefault="008F4752" w:rsidP="00A94C57">
            <w:pPr>
              <w:pStyle w:val="Default"/>
              <w:rPr>
                <w:rFonts w:ascii="Segoe UI" w:hAnsi="Segoe UI" w:cs="Segoe UI"/>
                <w:color w:val="000000" w:themeColor="text1"/>
                <w:sz w:val="17"/>
                <w:szCs w:val="17"/>
              </w:rPr>
            </w:pPr>
            <w:r w:rsidRPr="004013D6">
              <w:rPr>
                <w:rFonts w:ascii="Segoe UI" w:hAnsi="Segoe UI" w:cs="Segoe UI"/>
                <w:color w:val="000000" w:themeColor="text1"/>
                <w:sz w:val="17"/>
                <w:szCs w:val="17"/>
              </w:rPr>
              <w:t xml:space="preserve">Recognised organisations which are funded by the Australian Government to perform functions to assist native title groups in a specific region, according to the provisions in Part 11 of the </w:t>
            </w:r>
            <w:r w:rsidRPr="004013D6">
              <w:rPr>
                <w:rFonts w:ascii="Segoe UI" w:hAnsi="Segoe UI" w:cs="Segoe UI"/>
                <w:i/>
                <w:iCs/>
                <w:color w:val="000000" w:themeColor="text1"/>
                <w:sz w:val="17"/>
                <w:szCs w:val="17"/>
              </w:rPr>
              <w:t>Native Title Act 1993</w:t>
            </w:r>
            <w:r w:rsidRPr="004013D6">
              <w:rPr>
                <w:rFonts w:ascii="Segoe UI" w:hAnsi="Segoe UI" w:cs="Segoe UI"/>
                <w:color w:val="000000" w:themeColor="text1"/>
                <w:sz w:val="17"/>
                <w:szCs w:val="17"/>
              </w:rPr>
              <w:t xml:space="preserve">. </w:t>
            </w:r>
          </w:p>
        </w:tc>
      </w:tr>
      <w:tr w:rsidR="008F4752" w:rsidRPr="004013D6" w14:paraId="44CE44DD" w14:textId="77777777" w:rsidTr="00A94C57">
        <w:tc>
          <w:tcPr>
            <w:tcW w:w="1645" w:type="dxa"/>
          </w:tcPr>
          <w:p w14:paraId="0CB9E510" w14:textId="77777777" w:rsidR="008F4752" w:rsidRPr="004013D6" w:rsidRDefault="008F4752" w:rsidP="00A94C57">
            <w:pPr>
              <w:rPr>
                <w:rFonts w:cs="Segoe UI"/>
                <w:color w:val="000000" w:themeColor="text1"/>
                <w:sz w:val="17"/>
                <w:szCs w:val="17"/>
                <w:lang w:eastAsia="en-AU"/>
              </w:rPr>
            </w:pPr>
            <w:r w:rsidRPr="004013D6">
              <w:rPr>
                <w:rFonts w:cs="Segoe UI"/>
                <w:color w:val="000000" w:themeColor="text1"/>
                <w:sz w:val="17"/>
                <w:szCs w:val="17"/>
                <w:lang w:eastAsia="en-AU"/>
              </w:rPr>
              <w:t>Native Title Service Provider (NTSP)</w:t>
            </w:r>
          </w:p>
        </w:tc>
        <w:tc>
          <w:tcPr>
            <w:tcW w:w="6804" w:type="dxa"/>
          </w:tcPr>
          <w:p w14:paraId="52954D96" w14:textId="77777777" w:rsidR="008F4752" w:rsidRPr="004013D6" w:rsidRDefault="008F4752" w:rsidP="00A94C57">
            <w:pPr>
              <w:pStyle w:val="Default"/>
              <w:rPr>
                <w:rFonts w:ascii="Segoe UI" w:hAnsi="Segoe UI" w:cs="Segoe UI"/>
                <w:color w:val="000000" w:themeColor="text1"/>
                <w:sz w:val="17"/>
                <w:szCs w:val="17"/>
              </w:rPr>
            </w:pPr>
            <w:r w:rsidRPr="004013D6">
              <w:rPr>
                <w:rFonts w:ascii="Segoe UI" w:hAnsi="Segoe UI" w:cs="Segoe UI"/>
                <w:color w:val="000000" w:themeColor="text1"/>
                <w:sz w:val="17"/>
                <w:szCs w:val="17"/>
              </w:rPr>
              <w:t>Organisations funded by the Australian Government to perform all or some of the same functions as NTRBs in areas where NTRBs have not been recognised.</w:t>
            </w:r>
          </w:p>
        </w:tc>
      </w:tr>
      <w:tr w:rsidR="008F4752" w:rsidRPr="004013D6" w14:paraId="1EFEBF5A" w14:textId="77777777" w:rsidTr="00A94C57">
        <w:tc>
          <w:tcPr>
            <w:tcW w:w="1645" w:type="dxa"/>
          </w:tcPr>
          <w:p w14:paraId="3834B62A" w14:textId="77777777" w:rsidR="008F4752" w:rsidRPr="004013D6" w:rsidRDefault="008F4752" w:rsidP="00A94C57">
            <w:pPr>
              <w:rPr>
                <w:rFonts w:cs="Segoe UI"/>
                <w:color w:val="000000" w:themeColor="text1"/>
                <w:sz w:val="17"/>
                <w:szCs w:val="17"/>
                <w:lang w:eastAsia="en-AU"/>
              </w:rPr>
            </w:pPr>
            <w:r w:rsidRPr="004013D6">
              <w:rPr>
                <w:rFonts w:cs="Segoe UI"/>
                <w:color w:val="000000" w:themeColor="text1"/>
                <w:sz w:val="17"/>
                <w:szCs w:val="17"/>
                <w:lang w:eastAsia="en-AU"/>
              </w:rPr>
              <w:t>Non-claimant application</w:t>
            </w:r>
          </w:p>
        </w:tc>
        <w:tc>
          <w:tcPr>
            <w:tcW w:w="6804" w:type="dxa"/>
          </w:tcPr>
          <w:p w14:paraId="593D47F7" w14:textId="77777777" w:rsidR="008F4752" w:rsidRPr="004013D6" w:rsidRDefault="008F4752" w:rsidP="00A94C57">
            <w:pPr>
              <w:rPr>
                <w:rFonts w:cs="Segoe UI"/>
                <w:color w:val="000000" w:themeColor="text1"/>
                <w:sz w:val="17"/>
                <w:szCs w:val="17"/>
                <w:lang w:val="en-US"/>
              </w:rPr>
            </w:pPr>
            <w:r w:rsidRPr="004013D6">
              <w:rPr>
                <w:rFonts w:cs="Segoe UI"/>
                <w:color w:val="000000" w:themeColor="text1"/>
                <w:sz w:val="17"/>
                <w:szCs w:val="17"/>
                <w:lang w:val="en-US"/>
              </w:rPr>
              <w:t>An application made by a person, who does not claim to have native title but who seeks a determination that native title does or does not exist.</w:t>
            </w:r>
          </w:p>
        </w:tc>
      </w:tr>
      <w:tr w:rsidR="008F4752" w:rsidRPr="004013D6" w14:paraId="17CDD418" w14:textId="77777777" w:rsidTr="00A94C57">
        <w:tc>
          <w:tcPr>
            <w:tcW w:w="1645" w:type="dxa"/>
          </w:tcPr>
          <w:p w14:paraId="2DFF9366" w14:textId="77777777" w:rsidR="008F4752" w:rsidRPr="004013D6" w:rsidRDefault="008F4752" w:rsidP="00A94C57">
            <w:pPr>
              <w:rPr>
                <w:rFonts w:cs="Segoe UI"/>
                <w:color w:val="000000" w:themeColor="text1"/>
                <w:sz w:val="17"/>
                <w:szCs w:val="17"/>
                <w:lang w:eastAsia="en-AU"/>
              </w:rPr>
            </w:pPr>
            <w:r w:rsidRPr="004013D6">
              <w:rPr>
                <w:rFonts w:cs="Segoe UI"/>
                <w:color w:val="000000" w:themeColor="text1"/>
                <w:sz w:val="17"/>
                <w:szCs w:val="17"/>
                <w:lang w:eastAsia="en-AU"/>
              </w:rPr>
              <w:t>Post-determination</w:t>
            </w:r>
          </w:p>
        </w:tc>
        <w:tc>
          <w:tcPr>
            <w:tcW w:w="6804" w:type="dxa"/>
          </w:tcPr>
          <w:p w14:paraId="40C67045" w14:textId="77777777" w:rsidR="008F4752" w:rsidRPr="004013D6" w:rsidRDefault="008F4752" w:rsidP="00A94C57">
            <w:pPr>
              <w:rPr>
                <w:rFonts w:cs="Segoe UI"/>
                <w:color w:val="000000" w:themeColor="text1"/>
                <w:sz w:val="17"/>
                <w:szCs w:val="17"/>
                <w:lang w:eastAsia="en-AU"/>
              </w:rPr>
            </w:pPr>
            <w:r w:rsidRPr="004013D6">
              <w:rPr>
                <w:rFonts w:cs="Segoe UI"/>
                <w:color w:val="000000" w:themeColor="text1"/>
                <w:sz w:val="17"/>
                <w:szCs w:val="17"/>
                <w:lang w:eastAsia="en-AU"/>
              </w:rPr>
              <w:t>At a claim level, refers to the period following a determination that native title exists. At an NTRB-SP life cycle level, refers to the period following the resolution of all active claims within a RATSIB area.</w:t>
            </w:r>
          </w:p>
        </w:tc>
      </w:tr>
      <w:tr w:rsidR="008F4752" w:rsidRPr="004013D6" w14:paraId="30264D76" w14:textId="77777777" w:rsidTr="00A94C57">
        <w:tc>
          <w:tcPr>
            <w:tcW w:w="1645" w:type="dxa"/>
          </w:tcPr>
          <w:p w14:paraId="4E4E6C11" w14:textId="77777777" w:rsidR="008F4752" w:rsidRPr="004013D6" w:rsidRDefault="008F4752" w:rsidP="00A94C57">
            <w:pPr>
              <w:rPr>
                <w:rFonts w:cs="Segoe UI"/>
                <w:color w:val="000000" w:themeColor="text1"/>
                <w:sz w:val="17"/>
                <w:szCs w:val="17"/>
                <w:lang w:eastAsia="en-AU"/>
              </w:rPr>
            </w:pPr>
            <w:r w:rsidRPr="004013D6">
              <w:rPr>
                <w:rFonts w:cs="Segoe UI"/>
                <w:color w:val="000000" w:themeColor="text1"/>
                <w:sz w:val="17"/>
                <w:szCs w:val="17"/>
                <w:lang w:eastAsia="en-AU"/>
              </w:rPr>
              <w:t>Prescribed Body Corporate (PBC)</w:t>
            </w:r>
          </w:p>
        </w:tc>
        <w:tc>
          <w:tcPr>
            <w:tcW w:w="6804" w:type="dxa"/>
          </w:tcPr>
          <w:p w14:paraId="3194AFBA" w14:textId="77777777" w:rsidR="008F4752" w:rsidRPr="004013D6" w:rsidRDefault="008F4752" w:rsidP="00A94C57">
            <w:pPr>
              <w:rPr>
                <w:rFonts w:cs="Segoe UI"/>
                <w:color w:val="000000" w:themeColor="text1"/>
                <w:sz w:val="17"/>
                <w:szCs w:val="17"/>
                <w:lang w:eastAsia="en-AU"/>
              </w:rPr>
            </w:pPr>
            <w:r w:rsidRPr="004013D6">
              <w:rPr>
                <w:rFonts w:cs="Segoe UI"/>
                <w:color w:val="000000" w:themeColor="text1"/>
                <w:sz w:val="17"/>
                <w:szCs w:val="17"/>
                <w:lang w:val="en-US"/>
              </w:rPr>
              <w:t xml:space="preserve">A body, established under the </w:t>
            </w:r>
            <w:r w:rsidRPr="004013D6">
              <w:rPr>
                <w:rFonts w:cs="Segoe UI"/>
                <w:i/>
                <w:color w:val="000000" w:themeColor="text1"/>
                <w:sz w:val="17"/>
                <w:szCs w:val="17"/>
                <w:lang w:val="en-US"/>
              </w:rPr>
              <w:t xml:space="preserve">Corporations (Aboriginal and Torres Strait Islander) Act 2006 </w:t>
            </w:r>
            <w:r w:rsidRPr="004013D6">
              <w:rPr>
                <w:rFonts w:cs="Segoe UI"/>
                <w:color w:val="000000" w:themeColor="text1"/>
                <w:sz w:val="17"/>
                <w:szCs w:val="17"/>
                <w:lang w:val="en-US"/>
              </w:rPr>
              <w:t>(</w:t>
            </w:r>
            <w:proofErr w:type="spellStart"/>
            <w:r w:rsidRPr="004013D6">
              <w:rPr>
                <w:rFonts w:cs="Segoe UI"/>
                <w:color w:val="000000" w:themeColor="text1"/>
                <w:sz w:val="17"/>
                <w:szCs w:val="17"/>
                <w:lang w:val="en-US"/>
              </w:rPr>
              <w:t>Cth</w:t>
            </w:r>
            <w:proofErr w:type="spellEnd"/>
            <w:r w:rsidRPr="004013D6">
              <w:rPr>
                <w:rFonts w:cs="Segoe UI"/>
                <w:color w:val="000000" w:themeColor="text1"/>
                <w:sz w:val="17"/>
                <w:szCs w:val="17"/>
                <w:lang w:val="en-US"/>
              </w:rPr>
              <w:t>), nominated by native title holders which will represent them and manage their native title rights and interests once a determination that native title exists has been made. </w:t>
            </w:r>
          </w:p>
        </w:tc>
      </w:tr>
      <w:tr w:rsidR="008F4752" w:rsidRPr="004013D6" w14:paraId="4756247D" w14:textId="77777777" w:rsidTr="00A94C57">
        <w:tc>
          <w:tcPr>
            <w:tcW w:w="1645" w:type="dxa"/>
          </w:tcPr>
          <w:p w14:paraId="48766801" w14:textId="77777777" w:rsidR="008F4752" w:rsidRPr="004013D6" w:rsidRDefault="008F4752" w:rsidP="00A94C57">
            <w:pPr>
              <w:rPr>
                <w:rFonts w:cs="Segoe UI"/>
                <w:color w:val="000000" w:themeColor="text1"/>
                <w:sz w:val="17"/>
                <w:szCs w:val="17"/>
                <w:lang w:eastAsia="en-AU"/>
              </w:rPr>
            </w:pPr>
            <w:r w:rsidRPr="004013D6">
              <w:rPr>
                <w:rFonts w:cs="Segoe UI"/>
                <w:color w:val="000000" w:themeColor="text1"/>
                <w:sz w:val="17"/>
                <w:szCs w:val="17"/>
                <w:lang w:eastAsia="en-AU"/>
              </w:rPr>
              <w:t>Registration test</w:t>
            </w:r>
          </w:p>
        </w:tc>
        <w:tc>
          <w:tcPr>
            <w:tcW w:w="6804" w:type="dxa"/>
          </w:tcPr>
          <w:p w14:paraId="0180DACA" w14:textId="77777777" w:rsidR="008F4752" w:rsidRPr="004013D6" w:rsidRDefault="008F4752" w:rsidP="00A94C57">
            <w:pPr>
              <w:rPr>
                <w:rFonts w:cs="Segoe UI"/>
                <w:color w:val="000000" w:themeColor="text1"/>
                <w:sz w:val="17"/>
                <w:szCs w:val="17"/>
                <w:lang w:val="en-US"/>
              </w:rPr>
            </w:pPr>
            <w:r w:rsidRPr="004013D6">
              <w:rPr>
                <w:rFonts w:cs="Segoe UI"/>
                <w:color w:val="000000" w:themeColor="text1"/>
                <w:sz w:val="17"/>
                <w:szCs w:val="17"/>
                <w:lang w:val="en-US"/>
              </w:rPr>
              <w:t xml:space="preserve">The registration test is a set of conditions applied to the claims made in native title determination applications. The Native Title Registrar, or the Registrar’s delegate, applies the test. If a claim satisfies the conditions of the registration test, details of the application are entered on to the Register of Native Title Claims. This means that the application becomes a registered claim and is able to exercise the procedural rights stipulated in the future act provisions of the </w:t>
            </w:r>
            <w:r w:rsidRPr="00A44C47">
              <w:rPr>
                <w:rFonts w:cs="Segoe UI"/>
                <w:iCs/>
                <w:color w:val="000000" w:themeColor="text1"/>
                <w:sz w:val="17"/>
                <w:szCs w:val="17"/>
                <w:lang w:val="en-US"/>
              </w:rPr>
              <w:t>NTA</w:t>
            </w:r>
            <w:r w:rsidRPr="004013D6">
              <w:rPr>
                <w:rFonts w:cs="Segoe UI"/>
                <w:color w:val="000000" w:themeColor="text1"/>
                <w:sz w:val="17"/>
                <w:szCs w:val="17"/>
                <w:lang w:val="en-US"/>
              </w:rPr>
              <w:t>.</w:t>
            </w:r>
          </w:p>
        </w:tc>
      </w:tr>
      <w:tr w:rsidR="008F4752" w:rsidRPr="004013D6" w14:paraId="190D1CE1" w14:textId="77777777" w:rsidTr="00A94C57">
        <w:tc>
          <w:tcPr>
            <w:tcW w:w="1645" w:type="dxa"/>
          </w:tcPr>
          <w:p w14:paraId="4EC2B696" w14:textId="77777777" w:rsidR="008F4752" w:rsidRPr="004013D6" w:rsidRDefault="008F4752" w:rsidP="00A94C57">
            <w:pPr>
              <w:rPr>
                <w:rFonts w:cs="Segoe UI"/>
                <w:color w:val="000000" w:themeColor="text1"/>
                <w:sz w:val="17"/>
                <w:szCs w:val="17"/>
                <w:lang w:eastAsia="en-AU"/>
              </w:rPr>
            </w:pPr>
            <w:r w:rsidRPr="004013D6">
              <w:rPr>
                <w:rFonts w:cs="Segoe UI"/>
                <w:color w:val="000000" w:themeColor="text1"/>
                <w:sz w:val="17"/>
                <w:szCs w:val="17"/>
                <w:lang w:eastAsia="en-AU"/>
              </w:rPr>
              <w:t>Representative Aboriginal/ Torres Strait Islander Body area (RATSIB area)</w:t>
            </w:r>
          </w:p>
        </w:tc>
        <w:tc>
          <w:tcPr>
            <w:tcW w:w="6804" w:type="dxa"/>
          </w:tcPr>
          <w:p w14:paraId="1EE3825E" w14:textId="77777777" w:rsidR="008F4752" w:rsidRPr="004013D6" w:rsidRDefault="008F4752" w:rsidP="00A94C57">
            <w:pPr>
              <w:rPr>
                <w:rFonts w:cs="Segoe UI"/>
                <w:color w:val="000000" w:themeColor="text1"/>
                <w:sz w:val="17"/>
                <w:szCs w:val="17"/>
                <w:lang w:eastAsia="en-AU"/>
              </w:rPr>
            </w:pPr>
            <w:r w:rsidRPr="004013D6">
              <w:rPr>
                <w:rFonts w:cs="Segoe UI"/>
                <w:color w:val="000000" w:themeColor="text1"/>
                <w:sz w:val="17"/>
                <w:szCs w:val="17"/>
                <w:lang w:val="en-US"/>
              </w:rPr>
              <w:t xml:space="preserve">The area in which an NTRB-SP performs its functions. </w:t>
            </w:r>
          </w:p>
        </w:tc>
      </w:tr>
      <w:tr w:rsidR="008F4752" w:rsidRPr="004013D6" w14:paraId="5298E20E" w14:textId="77777777" w:rsidTr="00A94C57">
        <w:tc>
          <w:tcPr>
            <w:tcW w:w="1645" w:type="dxa"/>
          </w:tcPr>
          <w:p w14:paraId="27199737" w14:textId="77777777" w:rsidR="008F4752" w:rsidRPr="004013D6" w:rsidRDefault="008F4752" w:rsidP="00A94C57">
            <w:pPr>
              <w:rPr>
                <w:rFonts w:cs="Segoe UI"/>
                <w:color w:val="000000" w:themeColor="text1"/>
                <w:sz w:val="17"/>
                <w:szCs w:val="17"/>
                <w:lang w:eastAsia="en-AU"/>
              </w:rPr>
            </w:pPr>
            <w:r w:rsidRPr="004013D6">
              <w:rPr>
                <w:rFonts w:cs="Segoe UI"/>
                <w:color w:val="000000" w:themeColor="text1"/>
                <w:sz w:val="17"/>
                <w:szCs w:val="17"/>
                <w:lang w:eastAsia="en-AU"/>
              </w:rPr>
              <w:t>Terms of Reference (TOR)</w:t>
            </w:r>
          </w:p>
        </w:tc>
        <w:tc>
          <w:tcPr>
            <w:tcW w:w="6804" w:type="dxa"/>
          </w:tcPr>
          <w:p w14:paraId="1BCAEAA8" w14:textId="72A1E8CF" w:rsidR="008F4752" w:rsidRPr="004013D6" w:rsidRDefault="008F4752" w:rsidP="00A94C57">
            <w:pPr>
              <w:rPr>
                <w:rFonts w:cs="Segoe UI"/>
                <w:color w:val="000000" w:themeColor="text1"/>
                <w:sz w:val="17"/>
                <w:szCs w:val="17"/>
                <w:lang w:eastAsia="en-AU"/>
              </w:rPr>
            </w:pPr>
            <w:r w:rsidRPr="004013D6">
              <w:rPr>
                <w:rFonts w:cs="Segoe UI"/>
                <w:color w:val="000000" w:themeColor="text1"/>
                <w:sz w:val="17"/>
                <w:szCs w:val="17"/>
                <w:lang w:eastAsia="en-AU"/>
              </w:rPr>
              <w:t xml:space="preserve">Refers to the Terms of Reference provided by </w:t>
            </w:r>
            <w:r w:rsidR="002C3710" w:rsidRPr="004013D6">
              <w:rPr>
                <w:rFonts w:cs="Segoe UI"/>
                <w:color w:val="000000" w:themeColor="text1"/>
                <w:sz w:val="17"/>
                <w:szCs w:val="17"/>
                <w:lang w:eastAsia="en-AU"/>
              </w:rPr>
              <w:t>the NIAA</w:t>
            </w:r>
            <w:r w:rsidRPr="004013D6">
              <w:rPr>
                <w:rFonts w:cs="Segoe UI"/>
                <w:color w:val="000000" w:themeColor="text1"/>
                <w:sz w:val="17"/>
                <w:szCs w:val="17"/>
                <w:lang w:eastAsia="en-AU"/>
              </w:rPr>
              <w:t xml:space="preserve"> which govern the scope of the project. These can be found in Appendix A. </w:t>
            </w:r>
          </w:p>
        </w:tc>
      </w:tr>
      <w:tr w:rsidR="008F4752" w:rsidRPr="004013D6" w14:paraId="197B56ED" w14:textId="77777777" w:rsidTr="00A94C57">
        <w:tc>
          <w:tcPr>
            <w:tcW w:w="1645" w:type="dxa"/>
          </w:tcPr>
          <w:p w14:paraId="4E2527AC" w14:textId="77777777" w:rsidR="008F4752" w:rsidRPr="004013D6" w:rsidRDefault="008F4752" w:rsidP="00A94C57">
            <w:pPr>
              <w:rPr>
                <w:rFonts w:cs="Segoe UI"/>
                <w:color w:val="000000" w:themeColor="text1"/>
                <w:sz w:val="17"/>
                <w:szCs w:val="17"/>
                <w:lang w:eastAsia="en-AU"/>
              </w:rPr>
            </w:pPr>
            <w:r w:rsidRPr="004013D6">
              <w:rPr>
                <w:rFonts w:cs="Segoe UI"/>
                <w:color w:val="000000" w:themeColor="text1"/>
                <w:sz w:val="17"/>
                <w:szCs w:val="17"/>
                <w:lang w:eastAsia="en-AU"/>
              </w:rPr>
              <w:t>Traditional Owners (TOs)</w:t>
            </w:r>
          </w:p>
        </w:tc>
        <w:tc>
          <w:tcPr>
            <w:tcW w:w="6804" w:type="dxa"/>
          </w:tcPr>
          <w:p w14:paraId="026FE39B" w14:textId="77777777" w:rsidR="008F4752" w:rsidRPr="004013D6" w:rsidRDefault="008F4752" w:rsidP="00A94C57">
            <w:pPr>
              <w:rPr>
                <w:rFonts w:cs="Segoe UI"/>
                <w:color w:val="000000" w:themeColor="text1"/>
                <w:sz w:val="17"/>
                <w:szCs w:val="17"/>
                <w:lang w:eastAsia="en-AU"/>
              </w:rPr>
            </w:pPr>
            <w:r w:rsidRPr="004013D6">
              <w:rPr>
                <w:rFonts w:cs="Segoe UI"/>
                <w:color w:val="000000" w:themeColor="text1"/>
                <w:sz w:val="17"/>
                <w:szCs w:val="17"/>
                <w:lang w:eastAsia="en-AU"/>
              </w:rPr>
              <w:t>Individuals of Aboriginal and/or Torres Strait Islander descent who identify as being a descendant of persons that occupied a particular area prior to European settlement.</w:t>
            </w:r>
          </w:p>
        </w:tc>
      </w:tr>
    </w:tbl>
    <w:p w14:paraId="2BC27C9F" w14:textId="77777777" w:rsidR="008F4752" w:rsidRPr="00BB1AA6" w:rsidRDefault="008F4752" w:rsidP="008F4752">
      <w:pPr>
        <w:rPr>
          <w:lang w:eastAsia="en-AU"/>
        </w:rPr>
      </w:pPr>
    </w:p>
    <w:p w14:paraId="4513BD03" w14:textId="77777777" w:rsidR="004013D6" w:rsidRDefault="004013D6">
      <w:pPr>
        <w:spacing w:after="160" w:line="259" w:lineRule="auto"/>
        <w:rPr>
          <w:lang w:eastAsia="en-AU"/>
        </w:rPr>
      </w:pPr>
      <w:r>
        <w:rPr>
          <w:lang w:eastAsia="en-AU"/>
        </w:rPr>
        <w:br w:type="page"/>
      </w:r>
    </w:p>
    <w:p w14:paraId="5F33A4EB" w14:textId="38A5A0B9" w:rsidR="008F4752" w:rsidRPr="00BB1AA6" w:rsidRDefault="008F4752" w:rsidP="008F4752">
      <w:pPr>
        <w:rPr>
          <w:lang w:eastAsia="en-AU"/>
        </w:rPr>
      </w:pPr>
      <w:r w:rsidRPr="00BB1AA6">
        <w:rPr>
          <w:lang w:eastAsia="en-AU"/>
        </w:rPr>
        <w:lastRenderedPageBreak/>
        <w:t xml:space="preserve">This document refers to the functions of NTRB-SPs outlined under the </w:t>
      </w:r>
      <w:r w:rsidR="00F06BF0" w:rsidRPr="00A44C47">
        <w:rPr>
          <w:iCs/>
          <w:lang w:eastAsia="en-AU"/>
        </w:rPr>
        <w:t>NTA</w:t>
      </w:r>
      <w:r w:rsidRPr="00BB1AA6">
        <w:rPr>
          <w:i/>
          <w:lang w:eastAsia="en-AU"/>
        </w:rPr>
        <w:t xml:space="preserve"> </w:t>
      </w:r>
      <w:r w:rsidRPr="00BB1AA6">
        <w:rPr>
          <w:lang w:eastAsia="en-AU"/>
        </w:rPr>
        <w:t xml:space="preserve">and captured in </w:t>
      </w:r>
      <w:r w:rsidR="00A03BFE">
        <w:rPr>
          <w:lang w:eastAsia="en-AU"/>
        </w:rPr>
        <w:t>Table 3</w:t>
      </w:r>
      <w:r w:rsidRPr="00BB1AA6">
        <w:rPr>
          <w:lang w:eastAsia="en-AU"/>
        </w:rPr>
        <w:t>.</w:t>
      </w:r>
    </w:p>
    <w:p w14:paraId="5B4ABE4F" w14:textId="06CEE913" w:rsidR="008F4752" w:rsidRPr="00BB1AA6" w:rsidRDefault="008F4752" w:rsidP="008F4752">
      <w:pPr>
        <w:pStyle w:val="Caption"/>
      </w:pPr>
      <w:bookmarkStart w:id="160" w:name="_Ref504381314"/>
      <w:r w:rsidRPr="00BB1AA6">
        <w:t xml:space="preserve">Table </w:t>
      </w:r>
      <w:r w:rsidR="00A03BFE">
        <w:t>3</w:t>
      </w:r>
      <w:bookmarkEnd w:id="160"/>
      <w:r w:rsidRPr="00BB1AA6">
        <w:t xml:space="preserve"> | NTRB functions under the </w:t>
      </w:r>
      <w:r w:rsidRPr="00BB1AA6">
        <w:rPr>
          <w:i/>
        </w:rPr>
        <w:t>Act</w:t>
      </w:r>
    </w:p>
    <w:tbl>
      <w:tblPr>
        <w:tblStyle w:val="TableGrid"/>
        <w:tblW w:w="0" w:type="auto"/>
        <w:tblLook w:val="04A0" w:firstRow="1" w:lastRow="0" w:firstColumn="1" w:lastColumn="0" w:noHBand="0" w:noVBand="1"/>
      </w:tblPr>
      <w:tblGrid>
        <w:gridCol w:w="1075"/>
        <w:gridCol w:w="2233"/>
        <w:gridCol w:w="5622"/>
      </w:tblGrid>
      <w:tr w:rsidR="008F4752" w:rsidRPr="000B7052" w14:paraId="2EF7BE66" w14:textId="77777777" w:rsidTr="00A94C57">
        <w:trPr>
          <w:cnfStyle w:val="100000000000" w:firstRow="1" w:lastRow="0" w:firstColumn="0" w:lastColumn="0" w:oddVBand="0" w:evenVBand="0" w:oddHBand="0" w:evenHBand="0" w:firstRowFirstColumn="0" w:firstRowLastColumn="0" w:lastRowFirstColumn="0" w:lastRowLastColumn="0"/>
        </w:trPr>
        <w:tc>
          <w:tcPr>
            <w:tcW w:w="1078" w:type="dxa"/>
          </w:tcPr>
          <w:p w14:paraId="5D73CEF7" w14:textId="77777777" w:rsidR="008F4752" w:rsidRPr="000B7052" w:rsidRDefault="008F4752" w:rsidP="00A94C57">
            <w:pPr>
              <w:rPr>
                <w:sz w:val="17"/>
                <w:szCs w:val="17"/>
                <w:lang w:eastAsia="en-AU"/>
              </w:rPr>
            </w:pPr>
            <w:r w:rsidRPr="000B7052">
              <w:rPr>
                <w:sz w:val="17"/>
                <w:szCs w:val="17"/>
                <w:lang w:eastAsia="en-AU"/>
              </w:rPr>
              <w:t xml:space="preserve">Reference </w:t>
            </w:r>
          </w:p>
        </w:tc>
        <w:tc>
          <w:tcPr>
            <w:tcW w:w="2268" w:type="dxa"/>
          </w:tcPr>
          <w:p w14:paraId="3ED7B3A5" w14:textId="77777777" w:rsidR="008F4752" w:rsidRPr="000B7052" w:rsidRDefault="008F4752" w:rsidP="00A94C57">
            <w:pPr>
              <w:rPr>
                <w:sz w:val="17"/>
                <w:szCs w:val="17"/>
                <w:lang w:eastAsia="en-AU"/>
              </w:rPr>
            </w:pPr>
            <w:r w:rsidRPr="000B7052">
              <w:rPr>
                <w:sz w:val="17"/>
                <w:szCs w:val="17"/>
                <w:lang w:eastAsia="en-AU"/>
              </w:rPr>
              <w:t>Function</w:t>
            </w:r>
          </w:p>
        </w:tc>
        <w:tc>
          <w:tcPr>
            <w:tcW w:w="5754" w:type="dxa"/>
          </w:tcPr>
          <w:p w14:paraId="74139994" w14:textId="77777777" w:rsidR="008F4752" w:rsidRPr="000B7052" w:rsidRDefault="008F4752" w:rsidP="00A94C57">
            <w:pPr>
              <w:rPr>
                <w:sz w:val="17"/>
                <w:szCs w:val="17"/>
                <w:lang w:eastAsia="en-AU"/>
              </w:rPr>
            </w:pPr>
            <w:r w:rsidRPr="000B7052">
              <w:rPr>
                <w:sz w:val="17"/>
                <w:szCs w:val="17"/>
                <w:lang w:eastAsia="en-AU"/>
              </w:rPr>
              <w:t>Detail</w:t>
            </w:r>
          </w:p>
        </w:tc>
      </w:tr>
      <w:tr w:rsidR="008F4752" w:rsidRPr="000B7052" w14:paraId="355751CE" w14:textId="77777777" w:rsidTr="00A94C57">
        <w:tc>
          <w:tcPr>
            <w:tcW w:w="1078" w:type="dxa"/>
          </w:tcPr>
          <w:p w14:paraId="71501DCD" w14:textId="77777777" w:rsidR="008F4752" w:rsidRPr="000B7052" w:rsidRDefault="008F4752" w:rsidP="00A94C57">
            <w:pPr>
              <w:rPr>
                <w:sz w:val="17"/>
                <w:szCs w:val="17"/>
                <w:lang w:eastAsia="en-AU"/>
              </w:rPr>
            </w:pPr>
            <w:r w:rsidRPr="000B7052">
              <w:rPr>
                <w:sz w:val="17"/>
                <w:szCs w:val="17"/>
                <w:lang w:eastAsia="en-AU"/>
              </w:rPr>
              <w:t>s203BB</w:t>
            </w:r>
          </w:p>
        </w:tc>
        <w:tc>
          <w:tcPr>
            <w:tcW w:w="2268" w:type="dxa"/>
          </w:tcPr>
          <w:p w14:paraId="29943E01" w14:textId="77777777" w:rsidR="008F4752" w:rsidRPr="000B7052" w:rsidRDefault="008F4752" w:rsidP="00A94C57">
            <w:pPr>
              <w:rPr>
                <w:sz w:val="17"/>
                <w:szCs w:val="17"/>
                <w:lang w:eastAsia="en-AU"/>
              </w:rPr>
            </w:pPr>
            <w:r w:rsidRPr="000B7052">
              <w:rPr>
                <w:sz w:val="17"/>
                <w:szCs w:val="17"/>
                <w:lang w:eastAsia="en-AU"/>
              </w:rPr>
              <w:t>Facilitation and assistance</w:t>
            </w:r>
          </w:p>
        </w:tc>
        <w:tc>
          <w:tcPr>
            <w:tcW w:w="5754" w:type="dxa"/>
          </w:tcPr>
          <w:p w14:paraId="371B8202" w14:textId="77777777" w:rsidR="008F4752" w:rsidRPr="000B7052" w:rsidRDefault="008F4752" w:rsidP="00A94C57">
            <w:pPr>
              <w:rPr>
                <w:sz w:val="17"/>
                <w:szCs w:val="17"/>
                <w:lang w:eastAsia="en-AU"/>
              </w:rPr>
            </w:pPr>
            <w:r w:rsidRPr="000B7052">
              <w:rPr>
                <w:sz w:val="17"/>
                <w:szCs w:val="17"/>
                <w:lang w:eastAsia="en-AU"/>
              </w:rPr>
              <w:t>NTRB-SPs provide assistance to those that hold or may hold native title in relation to native title applications, future acts, agreements, rights of access and other matters.</w:t>
            </w:r>
          </w:p>
        </w:tc>
      </w:tr>
      <w:tr w:rsidR="008F4752" w:rsidRPr="000B7052" w14:paraId="2D5EC063" w14:textId="77777777" w:rsidTr="00A94C57">
        <w:tc>
          <w:tcPr>
            <w:tcW w:w="1078" w:type="dxa"/>
          </w:tcPr>
          <w:p w14:paraId="71EA25D2" w14:textId="77777777" w:rsidR="008F4752" w:rsidRPr="000B7052" w:rsidRDefault="008F4752" w:rsidP="00A94C57">
            <w:pPr>
              <w:rPr>
                <w:sz w:val="17"/>
                <w:szCs w:val="17"/>
                <w:lang w:eastAsia="en-AU"/>
              </w:rPr>
            </w:pPr>
            <w:r w:rsidRPr="000B7052">
              <w:rPr>
                <w:sz w:val="17"/>
                <w:szCs w:val="17"/>
                <w:lang w:eastAsia="en-AU"/>
              </w:rPr>
              <w:t>s203BF</w:t>
            </w:r>
          </w:p>
        </w:tc>
        <w:tc>
          <w:tcPr>
            <w:tcW w:w="2268" w:type="dxa"/>
          </w:tcPr>
          <w:p w14:paraId="3EB9EF43" w14:textId="77777777" w:rsidR="008F4752" w:rsidRPr="000B7052" w:rsidRDefault="008F4752" w:rsidP="00A94C57">
            <w:pPr>
              <w:rPr>
                <w:sz w:val="17"/>
                <w:szCs w:val="17"/>
                <w:lang w:eastAsia="en-AU"/>
              </w:rPr>
            </w:pPr>
            <w:r w:rsidRPr="000B7052">
              <w:rPr>
                <w:sz w:val="17"/>
                <w:szCs w:val="17"/>
                <w:lang w:eastAsia="en-AU"/>
              </w:rPr>
              <w:t>Certification</w:t>
            </w:r>
          </w:p>
        </w:tc>
        <w:tc>
          <w:tcPr>
            <w:tcW w:w="5754" w:type="dxa"/>
          </w:tcPr>
          <w:p w14:paraId="7E1CAE7C" w14:textId="77777777" w:rsidR="008F4752" w:rsidRPr="000B7052" w:rsidRDefault="008F4752" w:rsidP="00A94C57">
            <w:pPr>
              <w:rPr>
                <w:sz w:val="17"/>
                <w:szCs w:val="17"/>
                <w:lang w:eastAsia="en-AU"/>
              </w:rPr>
            </w:pPr>
            <w:r w:rsidRPr="000B7052">
              <w:rPr>
                <w:sz w:val="17"/>
                <w:szCs w:val="17"/>
                <w:lang w:eastAsia="en-AU"/>
              </w:rPr>
              <w:t xml:space="preserve">NTRB-SPs certify applications for native title determinations and certify the registration of ILUAs. </w:t>
            </w:r>
          </w:p>
        </w:tc>
      </w:tr>
      <w:tr w:rsidR="008F4752" w:rsidRPr="000B7052" w14:paraId="1BFDA1DA" w14:textId="77777777" w:rsidTr="00A94C57">
        <w:tc>
          <w:tcPr>
            <w:tcW w:w="1078" w:type="dxa"/>
          </w:tcPr>
          <w:p w14:paraId="27075AD3" w14:textId="77777777" w:rsidR="008F4752" w:rsidRPr="000B7052" w:rsidRDefault="008F4752" w:rsidP="00A94C57">
            <w:pPr>
              <w:rPr>
                <w:sz w:val="17"/>
                <w:szCs w:val="17"/>
                <w:lang w:eastAsia="en-AU"/>
              </w:rPr>
            </w:pPr>
            <w:r w:rsidRPr="000B7052">
              <w:rPr>
                <w:sz w:val="17"/>
                <w:szCs w:val="17"/>
                <w:lang w:eastAsia="en-AU"/>
              </w:rPr>
              <w:t>s203BF</w:t>
            </w:r>
          </w:p>
        </w:tc>
        <w:tc>
          <w:tcPr>
            <w:tcW w:w="2268" w:type="dxa"/>
          </w:tcPr>
          <w:p w14:paraId="603427B8" w14:textId="77777777" w:rsidR="008F4752" w:rsidRPr="000B7052" w:rsidRDefault="008F4752" w:rsidP="00A94C57">
            <w:pPr>
              <w:rPr>
                <w:sz w:val="17"/>
                <w:szCs w:val="17"/>
                <w:lang w:eastAsia="en-AU"/>
              </w:rPr>
            </w:pPr>
            <w:r w:rsidRPr="000B7052">
              <w:rPr>
                <w:sz w:val="17"/>
                <w:szCs w:val="17"/>
                <w:lang w:eastAsia="en-AU"/>
              </w:rPr>
              <w:t>Dispute resolution</w:t>
            </w:r>
          </w:p>
        </w:tc>
        <w:tc>
          <w:tcPr>
            <w:tcW w:w="5754" w:type="dxa"/>
          </w:tcPr>
          <w:p w14:paraId="4BE49A3B" w14:textId="77777777" w:rsidR="008F4752" w:rsidRPr="000B7052" w:rsidRDefault="008F4752" w:rsidP="00A94C57">
            <w:pPr>
              <w:rPr>
                <w:sz w:val="17"/>
                <w:szCs w:val="17"/>
                <w:lang w:eastAsia="en-AU"/>
              </w:rPr>
            </w:pPr>
            <w:r w:rsidRPr="000B7052">
              <w:rPr>
                <w:sz w:val="17"/>
                <w:szCs w:val="17"/>
                <w:lang w:eastAsia="en-AU"/>
              </w:rPr>
              <w:t xml:space="preserve">NTRB-SPs promote agreement and mediate disputes between native title groups. </w:t>
            </w:r>
          </w:p>
        </w:tc>
      </w:tr>
      <w:tr w:rsidR="008F4752" w:rsidRPr="000B7052" w14:paraId="24ED8894" w14:textId="77777777" w:rsidTr="00A94C57">
        <w:tc>
          <w:tcPr>
            <w:tcW w:w="1078" w:type="dxa"/>
          </w:tcPr>
          <w:p w14:paraId="6C36E88E" w14:textId="77777777" w:rsidR="008F4752" w:rsidRPr="000B7052" w:rsidRDefault="008F4752" w:rsidP="00A94C57">
            <w:pPr>
              <w:rPr>
                <w:sz w:val="17"/>
                <w:szCs w:val="17"/>
                <w:lang w:eastAsia="en-AU"/>
              </w:rPr>
            </w:pPr>
            <w:r w:rsidRPr="000B7052">
              <w:rPr>
                <w:sz w:val="17"/>
                <w:szCs w:val="17"/>
                <w:lang w:eastAsia="en-AU"/>
              </w:rPr>
              <w:t>s203BG</w:t>
            </w:r>
          </w:p>
        </w:tc>
        <w:tc>
          <w:tcPr>
            <w:tcW w:w="2268" w:type="dxa"/>
          </w:tcPr>
          <w:p w14:paraId="118490EA" w14:textId="77777777" w:rsidR="008F4752" w:rsidRPr="000B7052" w:rsidRDefault="008F4752" w:rsidP="00A94C57">
            <w:pPr>
              <w:rPr>
                <w:sz w:val="17"/>
                <w:szCs w:val="17"/>
                <w:lang w:eastAsia="en-AU"/>
              </w:rPr>
            </w:pPr>
            <w:r w:rsidRPr="000B7052">
              <w:rPr>
                <w:sz w:val="17"/>
                <w:szCs w:val="17"/>
                <w:lang w:eastAsia="en-AU"/>
              </w:rPr>
              <w:t>Notification</w:t>
            </w:r>
          </w:p>
        </w:tc>
        <w:tc>
          <w:tcPr>
            <w:tcW w:w="5754" w:type="dxa"/>
          </w:tcPr>
          <w:p w14:paraId="25B82844" w14:textId="77777777" w:rsidR="008F4752" w:rsidRPr="000B7052" w:rsidRDefault="008F4752" w:rsidP="00A94C57">
            <w:pPr>
              <w:rPr>
                <w:sz w:val="17"/>
                <w:szCs w:val="17"/>
                <w:lang w:eastAsia="en-AU"/>
              </w:rPr>
            </w:pPr>
            <w:r w:rsidRPr="000B7052">
              <w:rPr>
                <w:sz w:val="17"/>
                <w:szCs w:val="17"/>
                <w:lang w:eastAsia="en-AU"/>
              </w:rPr>
              <w:t xml:space="preserve">NTRB-SPs ensure that people that may hold native title are informed of other claims and of future acts and the time limits for responding to these. </w:t>
            </w:r>
          </w:p>
        </w:tc>
      </w:tr>
      <w:tr w:rsidR="008F4752" w:rsidRPr="000B7052" w14:paraId="098EFB2E" w14:textId="77777777" w:rsidTr="00A94C57">
        <w:tc>
          <w:tcPr>
            <w:tcW w:w="1078" w:type="dxa"/>
          </w:tcPr>
          <w:p w14:paraId="479D615E" w14:textId="77777777" w:rsidR="008F4752" w:rsidRPr="000B7052" w:rsidRDefault="008F4752" w:rsidP="00A94C57">
            <w:pPr>
              <w:rPr>
                <w:sz w:val="17"/>
                <w:szCs w:val="17"/>
                <w:lang w:eastAsia="en-AU"/>
              </w:rPr>
            </w:pPr>
            <w:r w:rsidRPr="000B7052">
              <w:rPr>
                <w:sz w:val="17"/>
                <w:szCs w:val="17"/>
                <w:lang w:eastAsia="en-AU"/>
              </w:rPr>
              <w:t>s203BH</w:t>
            </w:r>
          </w:p>
        </w:tc>
        <w:tc>
          <w:tcPr>
            <w:tcW w:w="2268" w:type="dxa"/>
          </w:tcPr>
          <w:p w14:paraId="7BAD378D" w14:textId="77777777" w:rsidR="008F4752" w:rsidRPr="000B7052" w:rsidRDefault="008F4752" w:rsidP="00A94C57">
            <w:pPr>
              <w:rPr>
                <w:sz w:val="17"/>
                <w:szCs w:val="17"/>
                <w:lang w:eastAsia="en-AU"/>
              </w:rPr>
            </w:pPr>
            <w:r w:rsidRPr="000B7052">
              <w:rPr>
                <w:sz w:val="17"/>
                <w:szCs w:val="17"/>
                <w:lang w:eastAsia="en-AU"/>
              </w:rPr>
              <w:t>Agreement making</w:t>
            </w:r>
          </w:p>
        </w:tc>
        <w:tc>
          <w:tcPr>
            <w:tcW w:w="5754" w:type="dxa"/>
          </w:tcPr>
          <w:p w14:paraId="3F390559" w14:textId="77777777" w:rsidR="008F4752" w:rsidRPr="000B7052" w:rsidRDefault="008F4752" w:rsidP="00A94C57">
            <w:pPr>
              <w:rPr>
                <w:sz w:val="17"/>
                <w:szCs w:val="17"/>
                <w:lang w:eastAsia="en-AU"/>
              </w:rPr>
            </w:pPr>
            <w:r w:rsidRPr="000B7052">
              <w:rPr>
                <w:sz w:val="17"/>
                <w:szCs w:val="17"/>
                <w:lang w:eastAsia="en-AU"/>
              </w:rPr>
              <w:t>NTRB-SPs can be a party to ILUAs or other agreements.</w:t>
            </w:r>
          </w:p>
        </w:tc>
      </w:tr>
      <w:tr w:rsidR="008F4752" w:rsidRPr="000B7052" w14:paraId="40C9AA1A" w14:textId="77777777" w:rsidTr="00A94C57">
        <w:tc>
          <w:tcPr>
            <w:tcW w:w="1078" w:type="dxa"/>
          </w:tcPr>
          <w:p w14:paraId="4D46D100" w14:textId="77777777" w:rsidR="008F4752" w:rsidRPr="000B7052" w:rsidRDefault="008F4752" w:rsidP="00A94C57">
            <w:pPr>
              <w:rPr>
                <w:sz w:val="17"/>
                <w:szCs w:val="17"/>
                <w:lang w:eastAsia="en-AU"/>
              </w:rPr>
            </w:pPr>
            <w:r w:rsidRPr="000B7052">
              <w:rPr>
                <w:sz w:val="17"/>
                <w:szCs w:val="17"/>
                <w:lang w:eastAsia="en-AU"/>
              </w:rPr>
              <w:t>s203BI</w:t>
            </w:r>
          </w:p>
        </w:tc>
        <w:tc>
          <w:tcPr>
            <w:tcW w:w="2268" w:type="dxa"/>
          </w:tcPr>
          <w:p w14:paraId="30CCDD2B" w14:textId="77777777" w:rsidR="008F4752" w:rsidRPr="000B7052" w:rsidRDefault="008F4752" w:rsidP="00A94C57">
            <w:pPr>
              <w:rPr>
                <w:sz w:val="17"/>
                <w:szCs w:val="17"/>
                <w:lang w:eastAsia="en-AU"/>
              </w:rPr>
            </w:pPr>
            <w:r w:rsidRPr="000B7052">
              <w:rPr>
                <w:sz w:val="17"/>
                <w:szCs w:val="17"/>
                <w:lang w:eastAsia="en-AU"/>
              </w:rPr>
              <w:t>Internal review</w:t>
            </w:r>
          </w:p>
        </w:tc>
        <w:tc>
          <w:tcPr>
            <w:tcW w:w="5754" w:type="dxa"/>
          </w:tcPr>
          <w:p w14:paraId="3E4D913D" w14:textId="77777777" w:rsidR="008F4752" w:rsidRPr="000B7052" w:rsidRDefault="008F4752" w:rsidP="00A94C57">
            <w:pPr>
              <w:rPr>
                <w:sz w:val="17"/>
                <w:szCs w:val="17"/>
                <w:lang w:eastAsia="en-AU"/>
              </w:rPr>
            </w:pPr>
            <w:r w:rsidRPr="000B7052">
              <w:rPr>
                <w:sz w:val="17"/>
                <w:szCs w:val="17"/>
                <w:lang w:eastAsia="en-AU"/>
              </w:rPr>
              <w:t>NTRB-SPs have a process by which native title claimants can seek a review of decisions and actions they have made, and promote access to this process for claimants.</w:t>
            </w:r>
          </w:p>
        </w:tc>
      </w:tr>
      <w:tr w:rsidR="008F4752" w:rsidRPr="000B7052" w14:paraId="393BD146" w14:textId="77777777" w:rsidTr="00A94C57">
        <w:tc>
          <w:tcPr>
            <w:tcW w:w="1078" w:type="dxa"/>
          </w:tcPr>
          <w:p w14:paraId="138F723A" w14:textId="77777777" w:rsidR="008F4752" w:rsidRPr="000B7052" w:rsidRDefault="008F4752" w:rsidP="00A94C57">
            <w:pPr>
              <w:rPr>
                <w:sz w:val="17"/>
                <w:szCs w:val="17"/>
                <w:lang w:eastAsia="en-AU"/>
              </w:rPr>
            </w:pPr>
            <w:r w:rsidRPr="000B7052">
              <w:rPr>
                <w:sz w:val="17"/>
                <w:szCs w:val="17"/>
                <w:lang w:eastAsia="en-AU"/>
              </w:rPr>
              <w:t>s203BJ</w:t>
            </w:r>
          </w:p>
        </w:tc>
        <w:tc>
          <w:tcPr>
            <w:tcW w:w="2268" w:type="dxa"/>
          </w:tcPr>
          <w:p w14:paraId="011DD931" w14:textId="77777777" w:rsidR="008F4752" w:rsidRPr="000B7052" w:rsidRDefault="008F4752" w:rsidP="00A94C57">
            <w:pPr>
              <w:rPr>
                <w:sz w:val="17"/>
                <w:szCs w:val="17"/>
                <w:lang w:eastAsia="en-AU"/>
              </w:rPr>
            </w:pPr>
            <w:r w:rsidRPr="000B7052">
              <w:rPr>
                <w:sz w:val="17"/>
                <w:szCs w:val="17"/>
                <w:lang w:eastAsia="en-AU"/>
              </w:rPr>
              <w:t>Other functions conferred by the Act or by any other law</w:t>
            </w:r>
          </w:p>
        </w:tc>
        <w:tc>
          <w:tcPr>
            <w:tcW w:w="5754" w:type="dxa"/>
          </w:tcPr>
          <w:p w14:paraId="7121D02A" w14:textId="77777777" w:rsidR="008F4752" w:rsidRPr="000B7052" w:rsidRDefault="008F4752" w:rsidP="00A94C57">
            <w:pPr>
              <w:rPr>
                <w:sz w:val="17"/>
                <w:szCs w:val="17"/>
                <w:lang w:eastAsia="en-AU"/>
              </w:rPr>
            </w:pPr>
            <w:r w:rsidRPr="000B7052">
              <w:rPr>
                <w:sz w:val="17"/>
                <w:szCs w:val="17"/>
                <w:lang w:eastAsia="en-AU"/>
              </w:rPr>
              <w:t xml:space="preserve">These are largely concerned with cooperation between NTRB-SPs, consulting with Aboriginal and Torres Strait Islander communities, and providing education to these communities on native title matters. </w:t>
            </w:r>
          </w:p>
        </w:tc>
      </w:tr>
    </w:tbl>
    <w:p w14:paraId="46D82CBE" w14:textId="77777777" w:rsidR="008F4752" w:rsidRPr="00F142E6" w:rsidRDefault="008F4752" w:rsidP="008F4752">
      <w:pPr>
        <w:rPr>
          <w:lang w:eastAsia="en-AU"/>
        </w:rPr>
      </w:pPr>
    </w:p>
    <w:bookmarkEnd w:id="157"/>
    <w:p w14:paraId="53FAEEFE" w14:textId="77777777" w:rsidR="008F4752" w:rsidRDefault="008F4752" w:rsidP="00EB3786"/>
    <w:sectPr w:rsidR="008F4752" w:rsidSect="00272EEE">
      <w:headerReference w:type="default" r:id="rId19"/>
      <w:footerReference w:type="default" r:id="rId20"/>
      <w:headerReference w:type="first" r:id="rId21"/>
      <w:footerReference w:type="first" r:id="rId22"/>
      <w:pgSz w:w="11907" w:h="16839" w:code="9"/>
      <w:pgMar w:top="1418" w:right="1418" w:bottom="1701" w:left="1559"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6DBE2C3" w14:textId="77777777" w:rsidR="005117CC" w:rsidRDefault="005117CC" w:rsidP="00302076">
      <w:pPr>
        <w:spacing w:after="0"/>
      </w:pPr>
      <w:r>
        <w:separator/>
      </w:r>
    </w:p>
  </w:endnote>
  <w:endnote w:type="continuationSeparator" w:id="0">
    <w:p w14:paraId="74599EAA" w14:textId="77777777" w:rsidR="005117CC" w:rsidRDefault="005117CC" w:rsidP="00302076">
      <w:pPr>
        <w:spacing w:after="0"/>
      </w:pPr>
      <w:r>
        <w:continuationSeparator/>
      </w:r>
    </w:p>
  </w:endnote>
  <w:endnote w:type="continuationNotice" w:id="1">
    <w:p w14:paraId="141372E5" w14:textId="77777777" w:rsidR="005117CC" w:rsidRDefault="005117CC">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054B71" w14:textId="20FCD1A8" w:rsidR="00A94C57" w:rsidRPr="00FD4AB1" w:rsidRDefault="00A94C57" w:rsidP="000A7531">
    <w:pPr>
      <w:pStyle w:val="Footer"/>
      <w:rPr>
        <w:rFonts w:ascii="Segoe UI Semibold" w:hAnsi="Segoe UI Semibold" w:cs="Segoe UI"/>
        <w:b/>
      </w:rPr>
    </w:pPr>
    <w:r>
      <w:rPr>
        <w:color w:val="808080" w:themeColor="background1" w:themeShade="80"/>
        <w:sz w:val="15"/>
        <w:szCs w:val="15"/>
        <w:lang w:eastAsia="en-AU"/>
      </w:rPr>
      <w:t xml:space="preserve">Nous Group | </w:t>
    </w:r>
    <w:sdt>
      <w:sdtPr>
        <w:rPr>
          <w:color w:val="808080" w:themeColor="background1" w:themeShade="80"/>
          <w:sz w:val="15"/>
          <w:szCs w:val="15"/>
          <w:lang w:eastAsia="en-AU"/>
        </w:rPr>
        <w:alias w:val="Title"/>
        <w:id w:val="480130150"/>
        <w:dataBinding w:prefixMappings="xmlns:ns0='http://purl.org/dc/elements/1.1/' xmlns:ns1='http://schemas.openxmlformats.org/package/2006/metadata/core-properties' " w:xpath="/ns1:coreProperties[1]/ns0:title[1]" w:storeItemID="{6C3C8BC8-F283-45AE-878A-BAB7291924A1}"/>
        <w:text/>
      </w:sdtPr>
      <w:sdtEndPr/>
      <w:sdtContent>
        <w:r w:rsidR="00C85610">
          <w:rPr>
            <w:color w:val="808080" w:themeColor="background1" w:themeShade="80"/>
            <w:sz w:val="15"/>
            <w:szCs w:val="15"/>
            <w:lang w:eastAsia="en-AU"/>
          </w:rPr>
          <w:t>Review of Performance as a Native Title Representative Body: Carpentaria Land Council Aboriginal Corporation</w:t>
        </w:r>
      </w:sdtContent>
    </w:sdt>
    <w:r>
      <w:rPr>
        <w:color w:val="808080" w:themeColor="background1" w:themeShade="80"/>
        <w:sz w:val="15"/>
        <w:szCs w:val="15"/>
        <w:lang w:eastAsia="en-AU"/>
      </w:rPr>
      <w:t xml:space="preserve"> | </w:t>
    </w:r>
    <w:sdt>
      <w:sdtPr>
        <w:rPr>
          <w:color w:val="808080" w:themeColor="background1" w:themeShade="80"/>
          <w:sz w:val="15"/>
          <w:szCs w:val="15"/>
          <w:lang w:eastAsia="en-AU"/>
        </w:rPr>
        <w:alias w:val="Publish Date"/>
        <w:id w:val="-1921550597"/>
        <w:dataBinding w:prefixMappings="xmlns:ns0='http://schemas.microsoft.com/office/2006/coverPageProps' " w:xpath="/ns0:CoverPageProperties[1]/ns0:PublishDate[1]" w:storeItemID="{55AF091B-3C7A-41E3-B477-F2FDAA23CFDA}"/>
        <w:date w:fullDate="2020-06-01T00:00:00Z">
          <w:dateFormat w:val="d MMMM yyyy"/>
          <w:lid w:val="en-AU"/>
          <w:storeMappedDataAs w:val="dateTime"/>
          <w:calendar w:val="gregorian"/>
        </w:date>
      </w:sdtPr>
      <w:sdtEndPr/>
      <w:sdtContent>
        <w:r w:rsidR="00E5318B">
          <w:rPr>
            <w:color w:val="808080" w:themeColor="background1" w:themeShade="80"/>
            <w:sz w:val="15"/>
            <w:szCs w:val="15"/>
            <w:lang w:eastAsia="en-AU"/>
          </w:rPr>
          <w:t>1 June 2020</w:t>
        </w:r>
      </w:sdtContent>
    </w:sdt>
    <w:r w:rsidRPr="00FD4AB1">
      <w:rPr>
        <w:rFonts w:ascii="Segoe UI Semibold" w:hAnsi="Segoe UI Semibold" w:cs="Segoe UI"/>
        <w:color w:val="A5A5A5"/>
      </w:rPr>
      <w:ptab w:relativeTo="margin" w:alignment="right" w:leader="none"/>
    </w:r>
    <w:r w:rsidRPr="00FD4AB1">
      <w:rPr>
        <w:rFonts w:cs="Segoe UI"/>
        <w:color w:val="A5A5A5"/>
      </w:rPr>
      <w:t xml:space="preserve">| </w:t>
    </w:r>
    <w:r w:rsidRPr="003B464C">
      <w:rPr>
        <w:rFonts w:cs="Segoe UI"/>
        <w:b/>
        <w:color w:val="A5A5A5"/>
        <w:sz w:val="16"/>
        <w:szCs w:val="16"/>
      </w:rPr>
      <w:fldChar w:fldCharType="begin"/>
    </w:r>
    <w:r w:rsidRPr="003B464C">
      <w:rPr>
        <w:rFonts w:cs="Segoe UI"/>
        <w:color w:val="A5A5A5"/>
        <w:sz w:val="16"/>
        <w:szCs w:val="16"/>
      </w:rPr>
      <w:instrText xml:space="preserve"> PAGE  \* roman  \* MERGEFORMAT </w:instrText>
    </w:r>
    <w:r w:rsidRPr="003B464C">
      <w:rPr>
        <w:rFonts w:cs="Segoe UI"/>
        <w:b/>
        <w:color w:val="A5A5A5"/>
        <w:sz w:val="16"/>
        <w:szCs w:val="16"/>
      </w:rPr>
      <w:fldChar w:fldCharType="separate"/>
    </w:r>
    <w:r w:rsidRPr="00F75386">
      <w:rPr>
        <w:rFonts w:cs="Segoe UI"/>
        <w:b/>
        <w:noProof/>
        <w:color w:val="A5A5A5"/>
        <w:sz w:val="16"/>
        <w:szCs w:val="16"/>
      </w:rPr>
      <w:t>i</w:t>
    </w:r>
    <w:r w:rsidRPr="003B464C">
      <w:rPr>
        <w:rFonts w:cs="Segoe UI"/>
        <w:b/>
        <w:color w:val="A5A5A5"/>
        <w:sz w:val="16"/>
        <w:szCs w:val="16"/>
      </w:rPr>
      <w:fldChar w:fldCharType="end"/>
    </w:r>
    <w:r w:rsidRPr="003B464C">
      <w:rPr>
        <w:rFonts w:cs="Segoe UI"/>
        <w:color w:val="A5A5A5"/>
        <w:sz w:val="16"/>
        <w:szCs w:val="16"/>
      </w:rPr>
      <w:t xml:space="preserve"> </w:t>
    </w:r>
    <w:r w:rsidRPr="00FD4AB1">
      <w:rPr>
        <w:rFonts w:cs="Segoe UI"/>
        <w:color w:val="A5A5A5"/>
      </w:rP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2CE2AD" w14:textId="189D3F5C" w:rsidR="00A94C57" w:rsidRPr="007A5C67" w:rsidRDefault="00A94C57" w:rsidP="00000A9B">
    <w:pPr>
      <w:spacing w:after="0"/>
      <w:rPr>
        <w:color w:val="808080" w:themeColor="background1" w:themeShade="80"/>
        <w:sz w:val="15"/>
        <w:szCs w:val="15"/>
        <w:lang w:eastAsia="en-AU"/>
      </w:rPr>
    </w:pPr>
    <w:r>
      <w:rPr>
        <w:color w:val="808080" w:themeColor="background1" w:themeShade="80"/>
        <w:sz w:val="15"/>
        <w:szCs w:val="15"/>
        <w:lang w:eastAsia="en-AU"/>
      </w:rPr>
      <w:t xml:space="preserve">Nous Group | Review of NTRB-SPs – </w:t>
    </w:r>
    <w:r w:rsidR="00D84C69">
      <w:rPr>
        <w:color w:val="808080" w:themeColor="background1" w:themeShade="80"/>
        <w:sz w:val="15"/>
        <w:szCs w:val="15"/>
        <w:lang w:eastAsia="en-AU"/>
      </w:rPr>
      <w:t>CLCAC summary</w:t>
    </w:r>
    <w:r>
      <w:rPr>
        <w:color w:val="808080" w:themeColor="background1" w:themeShade="80"/>
        <w:sz w:val="15"/>
        <w:szCs w:val="15"/>
        <w:lang w:eastAsia="en-AU"/>
      </w:rPr>
      <w:t xml:space="preserve"> report</w:t>
    </w:r>
    <w:r w:rsidRPr="008A55C6">
      <w:rPr>
        <w:color w:val="808080" w:themeColor="background1" w:themeShade="80"/>
        <w:sz w:val="15"/>
        <w:szCs w:val="15"/>
        <w:lang w:eastAsia="en-AU"/>
      </w:rPr>
      <w:t xml:space="preserve"> | </w:t>
    </w:r>
    <w:r w:rsidR="002E3105">
      <w:rPr>
        <w:color w:val="808080" w:themeColor="background1" w:themeShade="80"/>
        <w:sz w:val="15"/>
        <w:szCs w:val="15"/>
        <w:lang w:eastAsia="en-AU"/>
      </w:rPr>
      <w:t>March 2021</w:t>
    </w:r>
    <w:r w:rsidRPr="008A55C6">
      <w:rPr>
        <w:color w:val="808080" w:themeColor="background1" w:themeShade="80"/>
        <w:sz w:val="15"/>
        <w:szCs w:val="15"/>
      </w:rPr>
      <w:ptab w:relativeTo="margin" w:alignment="right" w:leader="none"/>
    </w:r>
    <w:r w:rsidRPr="008A55C6">
      <w:rPr>
        <w:color w:val="808080" w:themeColor="background1" w:themeShade="80"/>
      </w:rPr>
      <w:t xml:space="preserve">| </w:t>
    </w:r>
    <w:r w:rsidRPr="008A55C6">
      <w:rPr>
        <w:color w:val="808080" w:themeColor="background1" w:themeShade="80"/>
        <w:sz w:val="16"/>
        <w:szCs w:val="16"/>
      </w:rPr>
      <w:fldChar w:fldCharType="begin"/>
    </w:r>
    <w:r w:rsidRPr="008A55C6">
      <w:rPr>
        <w:color w:val="808080" w:themeColor="background1" w:themeShade="80"/>
        <w:sz w:val="16"/>
        <w:szCs w:val="16"/>
      </w:rPr>
      <w:instrText xml:space="preserve"> PAGE  \* Arabic  \* MERGEFORMAT </w:instrText>
    </w:r>
    <w:r w:rsidRPr="008A55C6">
      <w:rPr>
        <w:color w:val="808080" w:themeColor="background1" w:themeShade="80"/>
        <w:sz w:val="16"/>
        <w:szCs w:val="16"/>
      </w:rPr>
      <w:fldChar w:fldCharType="separate"/>
    </w:r>
    <w:r w:rsidR="003B61BB">
      <w:rPr>
        <w:noProof/>
        <w:color w:val="808080" w:themeColor="background1" w:themeShade="80"/>
        <w:sz w:val="16"/>
        <w:szCs w:val="16"/>
      </w:rPr>
      <w:t>3</w:t>
    </w:r>
    <w:r w:rsidRPr="008A55C6">
      <w:rPr>
        <w:color w:val="808080" w:themeColor="background1" w:themeShade="80"/>
        <w:sz w:val="16"/>
        <w:szCs w:val="16"/>
      </w:rPr>
      <w:fldChar w:fldCharType="end"/>
    </w:r>
    <w:r w:rsidRPr="008A55C6">
      <w:rPr>
        <w:color w:val="808080" w:themeColor="background1" w:themeShade="8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2CE2AF" w14:textId="77777777" w:rsidR="00A94C57" w:rsidRDefault="00A94C57">
    <w:pPr>
      <w:pStyle w:val="Footer"/>
    </w:pPr>
    <w:r w:rsidRPr="000D4195">
      <w:rPr>
        <w:noProof/>
        <w:lang w:eastAsia="en-AU"/>
      </w:rPr>
      <w:drawing>
        <wp:anchor distT="0" distB="0" distL="114300" distR="114300" simplePos="0" relativeHeight="251658241" behindDoc="0" locked="0" layoutInCell="1" allowOverlap="1" wp14:anchorId="162CE2B4" wp14:editId="2216BFAB">
          <wp:simplePos x="0" y="0"/>
          <wp:positionH relativeFrom="page">
            <wp:posOffset>6285964</wp:posOffset>
          </wp:positionH>
          <wp:positionV relativeFrom="page">
            <wp:posOffset>10079665</wp:posOffset>
          </wp:positionV>
          <wp:extent cx="856155" cy="234000"/>
          <wp:effectExtent l="0" t="0" r="1270" b="0"/>
          <wp:wrapNone/>
          <wp:docPr id="11" name="Picture 11" descr="nou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US_ORANGE_RGB.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56155" cy="2340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FD9AB15" w14:textId="77777777" w:rsidR="005117CC" w:rsidRDefault="005117CC" w:rsidP="00302076">
      <w:pPr>
        <w:spacing w:after="0"/>
      </w:pPr>
      <w:r>
        <w:separator/>
      </w:r>
    </w:p>
  </w:footnote>
  <w:footnote w:type="continuationSeparator" w:id="0">
    <w:p w14:paraId="0379DDA2" w14:textId="77777777" w:rsidR="005117CC" w:rsidRDefault="005117CC" w:rsidP="00302076">
      <w:pPr>
        <w:spacing w:after="0"/>
      </w:pPr>
      <w:r>
        <w:continuationSeparator/>
      </w:r>
    </w:p>
  </w:footnote>
  <w:footnote w:type="continuationNotice" w:id="1">
    <w:p w14:paraId="09146F5B" w14:textId="77777777" w:rsidR="005117CC" w:rsidRDefault="005117CC">
      <w:pPr>
        <w:spacing w:after="0"/>
      </w:pPr>
    </w:p>
  </w:footnote>
  <w:footnote w:id="2">
    <w:p w14:paraId="59BC83ED" w14:textId="77777777" w:rsidR="00C85610" w:rsidRDefault="00C85610" w:rsidP="00C85610">
      <w:pPr>
        <w:pStyle w:val="FootnoteText"/>
      </w:pPr>
      <w:r w:rsidRPr="00796791">
        <w:rPr>
          <w:rStyle w:val="FootnoteReference"/>
          <w:sz w:val="16"/>
          <w:szCs w:val="16"/>
        </w:rPr>
        <w:footnoteRef/>
      </w:r>
      <w:r w:rsidRPr="00796791">
        <w:rPr>
          <w:sz w:val="16"/>
          <w:szCs w:val="16"/>
        </w:rPr>
        <w:t xml:space="preserve"> Note in</w:t>
      </w:r>
      <w:r>
        <w:rPr>
          <w:sz w:val="16"/>
          <w:szCs w:val="16"/>
        </w:rPr>
        <w:t xml:space="preserve"> July 2019 the National Indigenous Australians Agency (NIAA) was established to lead Indigenous Affairs Policy for the Australian Government. NIAA has commissioned subsequent NTRB-SP Reviews.</w:t>
      </w:r>
    </w:p>
  </w:footnote>
  <w:footnote w:id="3">
    <w:p w14:paraId="787F161C" w14:textId="77777777" w:rsidR="009A7B87" w:rsidRPr="001379A9" w:rsidRDefault="009A7B87" w:rsidP="009A7B87">
      <w:pPr>
        <w:pStyle w:val="FootnoteText"/>
        <w:rPr>
          <w:rFonts w:cs="Segoe UI"/>
          <w:sz w:val="16"/>
          <w:szCs w:val="16"/>
        </w:rPr>
      </w:pPr>
      <w:r w:rsidRPr="001379A9">
        <w:rPr>
          <w:rStyle w:val="FootnoteReference"/>
          <w:rFonts w:cs="Segoe UI"/>
          <w:sz w:val="16"/>
          <w:szCs w:val="16"/>
        </w:rPr>
        <w:footnoteRef/>
      </w:r>
      <w:r w:rsidRPr="001379A9">
        <w:rPr>
          <w:rFonts w:cs="Segoe UI"/>
          <w:sz w:val="16"/>
          <w:szCs w:val="16"/>
        </w:rPr>
        <w:t xml:space="preserve"> </w:t>
      </w:r>
      <w:bookmarkStart w:id="25" w:name="_Hlk1402295"/>
      <w:r w:rsidRPr="001379A9">
        <w:rPr>
          <w:rFonts w:cs="Segoe UI"/>
          <w:sz w:val="16"/>
          <w:szCs w:val="16"/>
        </w:rPr>
        <w:t>CLCAC Annual Reports 2015-16, 2016-17, 2017-18.</w:t>
      </w:r>
      <w:bookmarkEnd w:id="25"/>
    </w:p>
  </w:footnote>
  <w:footnote w:id="4">
    <w:p w14:paraId="42ED1EAA" w14:textId="77777777" w:rsidR="005140DB" w:rsidRPr="001379A9" w:rsidRDefault="005140DB" w:rsidP="005140DB">
      <w:pPr>
        <w:pStyle w:val="FootnoteText"/>
        <w:rPr>
          <w:rFonts w:cs="Segoe UI"/>
          <w:sz w:val="16"/>
          <w:szCs w:val="16"/>
        </w:rPr>
      </w:pPr>
      <w:r w:rsidRPr="001379A9">
        <w:rPr>
          <w:rStyle w:val="FootnoteReference"/>
          <w:rFonts w:cs="Segoe UI"/>
          <w:sz w:val="16"/>
          <w:szCs w:val="16"/>
        </w:rPr>
        <w:footnoteRef/>
      </w:r>
      <w:r w:rsidRPr="001379A9">
        <w:rPr>
          <w:rFonts w:cs="Segoe UI"/>
          <w:sz w:val="16"/>
          <w:szCs w:val="16"/>
        </w:rPr>
        <w:t xml:space="preserve"> CLCAC (2018) CLCAC Annual Report 2017-18.</w:t>
      </w:r>
    </w:p>
  </w:footnote>
  <w:footnote w:id="5">
    <w:p w14:paraId="1DBE3B06" w14:textId="77777777" w:rsidR="005140DB" w:rsidRPr="001379A9" w:rsidRDefault="005140DB" w:rsidP="005140DB">
      <w:pPr>
        <w:pStyle w:val="FootnoteText"/>
        <w:rPr>
          <w:rFonts w:cs="Segoe UI"/>
          <w:sz w:val="16"/>
          <w:szCs w:val="16"/>
        </w:rPr>
      </w:pPr>
      <w:r w:rsidRPr="001379A9">
        <w:rPr>
          <w:rStyle w:val="FootnoteReference"/>
          <w:rFonts w:cs="Segoe UI"/>
          <w:sz w:val="16"/>
          <w:szCs w:val="16"/>
        </w:rPr>
        <w:footnoteRef/>
      </w:r>
      <w:r w:rsidRPr="001379A9">
        <w:rPr>
          <w:rFonts w:cs="Segoe UI"/>
          <w:sz w:val="16"/>
          <w:szCs w:val="16"/>
        </w:rPr>
        <w:t xml:space="preserve"> NNTT Register; note this includes a determination that ‘native title does not exist’ or a claim has been dismissed or discontinued during the review period. </w:t>
      </w:r>
    </w:p>
  </w:footnote>
  <w:footnote w:id="6">
    <w:p w14:paraId="25EB11CC" w14:textId="77777777" w:rsidR="005140DB" w:rsidRPr="001379A9" w:rsidRDefault="005140DB" w:rsidP="005140DB">
      <w:pPr>
        <w:pStyle w:val="FootnoteText"/>
        <w:rPr>
          <w:rFonts w:cs="Segoe UI"/>
          <w:sz w:val="16"/>
          <w:szCs w:val="16"/>
        </w:rPr>
      </w:pPr>
      <w:r w:rsidRPr="001379A9">
        <w:rPr>
          <w:rStyle w:val="FootnoteReference"/>
          <w:rFonts w:cs="Segoe UI"/>
          <w:sz w:val="16"/>
          <w:szCs w:val="16"/>
        </w:rPr>
        <w:footnoteRef/>
      </w:r>
      <w:r w:rsidRPr="001379A9">
        <w:rPr>
          <w:rFonts w:cs="Segoe UI"/>
          <w:sz w:val="16"/>
          <w:szCs w:val="16"/>
        </w:rPr>
        <w:t xml:space="preserve"> NNTT data, available online from &lt;</w:t>
      </w:r>
      <w:hyperlink r:id="rId1" w:history="1">
        <w:r w:rsidRPr="001379A9">
          <w:rPr>
            <w:rStyle w:val="Hyperlink"/>
            <w:rFonts w:cs="Segoe UI"/>
            <w:sz w:val="16"/>
            <w:szCs w:val="16"/>
          </w:rPr>
          <w:t>http://www.arcgis.com/home/webmap/viewer.html?url=https://services2.arcgis.com/rzk7fNEt0xoEp3cX/ArcGIS/rest/services/NNTT_Custodial_AGOL/FeatureServer/6&amp;source=sd</w:t>
        </w:r>
      </w:hyperlink>
      <w:r w:rsidRPr="001379A9">
        <w:rPr>
          <w:rFonts w:cs="Segoe UI"/>
          <w:sz w:val="16"/>
          <w:szCs w:val="16"/>
        </w:rPr>
        <w:t xml:space="preserve">&gt;.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E463AB" w14:textId="77777777" w:rsidR="00A94C57" w:rsidRDefault="00A94C57">
    <w:pPr>
      <w:pStyle w:val="Header"/>
    </w:pPr>
    <w:r>
      <w:rPr>
        <w:noProof/>
        <w:sz w:val="20"/>
        <w:szCs w:val="20"/>
        <w:lang w:eastAsia="en-AU"/>
      </w:rPr>
      <w:drawing>
        <wp:anchor distT="0" distB="0" distL="114300" distR="114300" simplePos="0" relativeHeight="251658243" behindDoc="0" locked="0" layoutInCell="1" allowOverlap="1" wp14:anchorId="05DF786C" wp14:editId="691B6DE5">
          <wp:simplePos x="0" y="0"/>
          <wp:positionH relativeFrom="page">
            <wp:posOffset>3337</wp:posOffset>
          </wp:positionH>
          <wp:positionV relativeFrom="page">
            <wp:posOffset>-6985</wp:posOffset>
          </wp:positionV>
          <wp:extent cx="7559749" cy="116958"/>
          <wp:effectExtent l="0" t="0" r="0" b="0"/>
          <wp:wrapNone/>
          <wp:docPr id="17"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lue gradient line.png"/>
                  <pic:cNvPicPr preferRelativeResize="0"/>
                </pic:nvPicPr>
                <pic:blipFill>
                  <a:blip r:embed="rId1" cstate="print">
                    <a:extLst>
                      <a:ext uri="{28A0092B-C50C-407E-A947-70E740481C1C}">
                        <a14:useLocalDpi xmlns:a14="http://schemas.microsoft.com/office/drawing/2010/main" val="0"/>
                      </a:ext>
                    </a:extLst>
                  </a:blip>
                  <a:stretch>
                    <a:fillRect/>
                  </a:stretch>
                </pic:blipFill>
                <pic:spPr>
                  <a:xfrm>
                    <a:off x="0" y="0"/>
                    <a:ext cx="7559749" cy="116958"/>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32A14F" w14:textId="77777777" w:rsidR="00A94C57" w:rsidRDefault="00A94C57" w:rsidP="000A7531">
    <w:pPr>
      <w:pStyle w:val="Header"/>
      <w:tabs>
        <w:tab w:val="clear" w:pos="4513"/>
        <w:tab w:val="clear" w:pos="9026"/>
        <w:tab w:val="left" w:pos="1758"/>
      </w:tabs>
    </w:pPr>
    <w:r>
      <w:tab/>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2CE2AC" w14:textId="77777777" w:rsidR="00A94C57" w:rsidRPr="00B2563A" w:rsidRDefault="00A94C57" w:rsidP="00B2563A">
    <w:pPr>
      <w:pStyle w:val="Header"/>
    </w:pPr>
    <w:r w:rsidRPr="000D4195">
      <w:rPr>
        <w:noProof/>
        <w:lang w:eastAsia="en-AU"/>
      </w:rPr>
      <w:drawing>
        <wp:anchor distT="0" distB="0" distL="114300" distR="114300" simplePos="0" relativeHeight="251658242" behindDoc="0" locked="0" layoutInCell="1" allowOverlap="1" wp14:anchorId="162CE2B0" wp14:editId="162CE2B1">
          <wp:simplePos x="0" y="0"/>
          <wp:positionH relativeFrom="page">
            <wp:posOffset>3810</wp:posOffset>
          </wp:positionH>
          <wp:positionV relativeFrom="page">
            <wp:posOffset>-3620</wp:posOffset>
          </wp:positionV>
          <wp:extent cx="7562850" cy="114300"/>
          <wp:effectExtent l="0" t="0" r="0" b="0"/>
          <wp:wrapNone/>
          <wp:docPr id="9"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lue gradient line.png"/>
                  <pic:cNvPicPr preferRelativeResize="0"/>
                </pic:nvPicPr>
                <pic:blipFill>
                  <a:blip r:embed="rId1" cstate="print">
                    <a:extLst>
                      <a:ext uri="{28A0092B-C50C-407E-A947-70E740481C1C}">
                        <a14:useLocalDpi xmlns:a14="http://schemas.microsoft.com/office/drawing/2010/main" val="0"/>
                      </a:ext>
                    </a:extLst>
                  </a:blip>
                  <a:stretch>
                    <a:fillRect/>
                  </a:stretch>
                </pic:blipFill>
                <pic:spPr>
                  <a:xfrm>
                    <a:off x="0" y="0"/>
                    <a:ext cx="7562850" cy="11430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2CE2AE" w14:textId="77777777" w:rsidR="00A94C57" w:rsidRDefault="00A94C57">
    <w:pPr>
      <w:pStyle w:val="Header"/>
    </w:pPr>
    <w:r w:rsidRPr="000D4195">
      <w:rPr>
        <w:noProof/>
        <w:lang w:eastAsia="en-AU"/>
      </w:rPr>
      <w:drawing>
        <wp:anchor distT="0" distB="0" distL="114300" distR="114300" simplePos="0" relativeHeight="251658240" behindDoc="0" locked="0" layoutInCell="1" allowOverlap="1" wp14:anchorId="162CE2B2" wp14:editId="162CE2B3">
          <wp:simplePos x="0" y="0"/>
          <wp:positionH relativeFrom="page">
            <wp:posOffset>-4255</wp:posOffset>
          </wp:positionH>
          <wp:positionV relativeFrom="page">
            <wp:posOffset>635</wp:posOffset>
          </wp:positionV>
          <wp:extent cx="7562850" cy="114300"/>
          <wp:effectExtent l="0" t="0" r="0" b="0"/>
          <wp:wrapNone/>
          <wp:docPr id="10"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lue gradient line.png"/>
                  <pic:cNvPicPr preferRelativeResize="0"/>
                </pic:nvPicPr>
                <pic:blipFill>
                  <a:blip r:embed="rId1" cstate="print">
                    <a:extLst>
                      <a:ext uri="{28A0092B-C50C-407E-A947-70E740481C1C}">
                        <a14:useLocalDpi xmlns:a14="http://schemas.microsoft.com/office/drawing/2010/main" val="0"/>
                      </a:ext>
                    </a:extLst>
                  </a:blip>
                  <a:stretch>
                    <a:fillRect/>
                  </a:stretch>
                </pic:blipFill>
                <pic:spPr>
                  <a:xfrm>
                    <a:off x="0" y="0"/>
                    <a:ext cx="7562850" cy="1143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0"/>
    <w:multiLevelType w:val="singleLevel"/>
    <w:tmpl w:val="178A8F5A"/>
    <w:lvl w:ilvl="0">
      <w:start w:val="1"/>
      <w:numFmt w:val="bullet"/>
      <w:lvlText w:val=""/>
      <w:lvlJc w:val="left"/>
      <w:pPr>
        <w:tabs>
          <w:tab w:val="num" w:pos="1492"/>
        </w:tabs>
        <w:ind w:left="1492" w:hanging="360"/>
      </w:pPr>
      <w:rPr>
        <w:rFonts w:ascii="Symbol" w:hAnsi="Symbol" w:hint="default"/>
      </w:rPr>
    </w:lvl>
  </w:abstractNum>
  <w:abstractNum w:abstractNumId="1" w15:restartNumberingAfterBreak="0">
    <w:nsid w:val="FFFFFF82"/>
    <w:multiLevelType w:val="singleLevel"/>
    <w:tmpl w:val="CB2A7DDA"/>
    <w:lvl w:ilvl="0">
      <w:start w:val="1"/>
      <w:numFmt w:val="bullet"/>
      <w:lvlText w:val=""/>
      <w:lvlJc w:val="left"/>
      <w:pPr>
        <w:tabs>
          <w:tab w:val="num" w:pos="926"/>
        </w:tabs>
        <w:ind w:left="926" w:hanging="360"/>
      </w:pPr>
      <w:rPr>
        <w:rFonts w:ascii="Symbol" w:hAnsi="Symbol" w:hint="default"/>
      </w:rPr>
    </w:lvl>
  </w:abstractNum>
  <w:abstractNum w:abstractNumId="2" w15:restartNumberingAfterBreak="0">
    <w:nsid w:val="01FB273A"/>
    <w:multiLevelType w:val="hybridMultilevel"/>
    <w:tmpl w:val="24FAE33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21341B3"/>
    <w:multiLevelType w:val="hybridMultilevel"/>
    <w:tmpl w:val="BAFA8212"/>
    <w:lvl w:ilvl="0" w:tplc="3D506FDA">
      <w:start w:val="1"/>
      <w:numFmt w:val="bullet"/>
      <w:lvlText w:val=""/>
      <w:lvlJc w:val="left"/>
      <w:pPr>
        <w:ind w:left="720" w:hanging="360"/>
      </w:pPr>
      <w:rPr>
        <w:rFonts w:ascii="Symbol" w:hAnsi="Symbol" w:hint="default"/>
        <w:sz w:val="16"/>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4" w15:restartNumberingAfterBreak="0">
    <w:nsid w:val="02A36825"/>
    <w:multiLevelType w:val="hybridMultilevel"/>
    <w:tmpl w:val="24EE4C3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363237B"/>
    <w:multiLevelType w:val="hybridMultilevel"/>
    <w:tmpl w:val="A808D2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5FA076A"/>
    <w:multiLevelType w:val="hybridMultilevel"/>
    <w:tmpl w:val="181438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6DE2F93"/>
    <w:multiLevelType w:val="hybridMultilevel"/>
    <w:tmpl w:val="D34A3B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89A31A2"/>
    <w:multiLevelType w:val="multilevel"/>
    <w:tmpl w:val="86143C8A"/>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9" w15:restartNumberingAfterBreak="0">
    <w:nsid w:val="0BC4163B"/>
    <w:multiLevelType w:val="hybridMultilevel"/>
    <w:tmpl w:val="F4E806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0C490A2C"/>
    <w:multiLevelType w:val="hybridMultilevel"/>
    <w:tmpl w:val="C8EA364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CC0490D"/>
    <w:multiLevelType w:val="hybridMultilevel"/>
    <w:tmpl w:val="88CC89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E9F137A"/>
    <w:multiLevelType w:val="hybridMultilevel"/>
    <w:tmpl w:val="F53EE60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0EFE4BD9"/>
    <w:multiLevelType w:val="hybridMultilevel"/>
    <w:tmpl w:val="FFAC16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3625D8B"/>
    <w:multiLevelType w:val="hybridMultilevel"/>
    <w:tmpl w:val="F4482672"/>
    <w:lvl w:ilvl="0" w:tplc="DDC68316">
      <w:start w:val="1"/>
      <w:numFmt w:val="decimal"/>
      <w:pStyle w:val="Listnumbered"/>
      <w:lvlText w:val="%1."/>
      <w:lvlJc w:val="left"/>
      <w:pPr>
        <w:ind w:left="397" w:hanging="397"/>
      </w:pPr>
      <w:rPr>
        <w:rFonts w:hint="default"/>
      </w:rPr>
    </w:lvl>
    <w:lvl w:ilvl="1" w:tplc="511616EA">
      <w:start w:val="1"/>
      <w:numFmt w:val="lowerLetter"/>
      <w:lvlText w:val="%2."/>
      <w:lvlJc w:val="left"/>
      <w:pPr>
        <w:ind w:left="794" w:hanging="397"/>
      </w:pPr>
      <w:rPr>
        <w:rFonts w:hint="default"/>
      </w:rPr>
    </w:lvl>
    <w:lvl w:ilvl="2" w:tplc="14D0C1D8">
      <w:start w:val="1"/>
      <w:numFmt w:val="lowerRoman"/>
      <w:lvlText w:val="%3."/>
      <w:lvlJc w:val="right"/>
      <w:pPr>
        <w:ind w:left="1247" w:hanging="340"/>
      </w:pPr>
      <w:rPr>
        <w:rFonts w:hint="default"/>
      </w:r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16CC519E"/>
    <w:multiLevelType w:val="hybridMultilevel"/>
    <w:tmpl w:val="CA1664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6F86926"/>
    <w:multiLevelType w:val="hybridMultilevel"/>
    <w:tmpl w:val="643858F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C046C26"/>
    <w:multiLevelType w:val="hybridMultilevel"/>
    <w:tmpl w:val="114620F0"/>
    <w:lvl w:ilvl="0" w:tplc="D9AE9394">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23C32B50"/>
    <w:multiLevelType w:val="hybridMultilevel"/>
    <w:tmpl w:val="CF2201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438200E"/>
    <w:multiLevelType w:val="hybridMultilevel"/>
    <w:tmpl w:val="1C5C45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5887D8D"/>
    <w:multiLevelType w:val="hybridMultilevel"/>
    <w:tmpl w:val="C778EC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259D3CB7"/>
    <w:multiLevelType w:val="hybridMultilevel"/>
    <w:tmpl w:val="FF8C55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261776B1"/>
    <w:multiLevelType w:val="hybridMultilevel"/>
    <w:tmpl w:val="5F5CA7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2B2E4365"/>
    <w:multiLevelType w:val="hybridMultilevel"/>
    <w:tmpl w:val="00A2A170"/>
    <w:lvl w:ilvl="0" w:tplc="C9D8D988">
      <w:start w:val="1"/>
      <w:numFmt w:val="bullet"/>
      <w:pStyle w:val="Bullet"/>
      <w:lvlText w:val=""/>
      <w:lvlJc w:val="left"/>
      <w:pPr>
        <w:ind w:left="786"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4" w15:restartNumberingAfterBreak="0">
    <w:nsid w:val="2E227E1D"/>
    <w:multiLevelType w:val="hybridMultilevel"/>
    <w:tmpl w:val="0588A9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2EE66E9A"/>
    <w:multiLevelType w:val="hybridMultilevel"/>
    <w:tmpl w:val="5C04799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327A27D7"/>
    <w:multiLevelType w:val="multilevel"/>
    <w:tmpl w:val="44248140"/>
    <w:lvl w:ilvl="0">
      <w:start w:val="1"/>
      <w:numFmt w:val="decimal"/>
      <w:lvlText w:val="%1"/>
      <w:lvlJc w:val="left"/>
      <w:pPr>
        <w:ind w:left="432" w:hanging="432"/>
      </w:pPr>
      <w:rPr>
        <w:rFonts w:hint="default"/>
      </w:rPr>
    </w:lvl>
    <w:lvl w:ilvl="1">
      <w:start w:val="1"/>
      <w:numFmt w:val="bullet"/>
      <w:lvlText w:val=""/>
      <w:lvlJc w:val="left"/>
      <w:pPr>
        <w:ind w:left="576" w:hanging="576"/>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7" w15:restartNumberingAfterBreak="0">
    <w:nsid w:val="376A2698"/>
    <w:multiLevelType w:val="hybridMultilevel"/>
    <w:tmpl w:val="FF6EE4A2"/>
    <w:lvl w:ilvl="0" w:tplc="9E3E472C">
      <w:start w:val="1"/>
      <w:numFmt w:val="decimal"/>
      <w:pStyle w:val="TableNListnumbered"/>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38D32309"/>
    <w:multiLevelType w:val="hybridMultilevel"/>
    <w:tmpl w:val="B71432F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38F83A21"/>
    <w:multiLevelType w:val="hybridMultilevel"/>
    <w:tmpl w:val="F1886EE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39D1413D"/>
    <w:multiLevelType w:val="multilevel"/>
    <w:tmpl w:val="E14812AE"/>
    <w:lvl w:ilvl="0">
      <w:start w:val="1"/>
      <w:numFmt w:val="bullet"/>
      <w:pStyle w:val="TableNBullet"/>
      <w:lvlText w:val=""/>
      <w:lvlJc w:val="left"/>
      <w:pPr>
        <w:ind w:left="227" w:hanging="227"/>
      </w:pPr>
      <w:rPr>
        <w:rFonts w:ascii="Symbol" w:hAnsi="Symbol" w:hint="default"/>
        <w:color w:val="auto"/>
        <w:position w:val="4"/>
        <w:sz w:val="16"/>
      </w:rPr>
    </w:lvl>
    <w:lvl w:ilvl="1">
      <w:start w:val="1"/>
      <w:numFmt w:val="bullet"/>
      <w:lvlText w:val=""/>
      <w:lvlJc w:val="left"/>
      <w:pPr>
        <w:ind w:left="567" w:hanging="283"/>
      </w:pPr>
      <w:rPr>
        <w:rFonts w:ascii="Symbol" w:hAnsi="Symbol" w:hint="default"/>
        <w:color w:val="auto"/>
        <w:position w:val="4"/>
        <w:sz w:val="16"/>
      </w:rPr>
    </w:lvl>
    <w:lvl w:ilvl="2">
      <w:start w:val="1"/>
      <w:numFmt w:val="bullet"/>
      <w:lvlText w:val=""/>
      <w:lvlJc w:val="left"/>
      <w:pPr>
        <w:ind w:left="794" w:hanging="227"/>
      </w:pPr>
      <w:rPr>
        <w:rFonts w:ascii="Symbol" w:hAnsi="Symbol" w:hint="default"/>
        <w:color w:val="auto"/>
        <w:position w:val="4"/>
        <w:sz w:val="16"/>
      </w:rPr>
    </w:lvl>
    <w:lvl w:ilvl="3">
      <w:start w:val="1"/>
      <w:numFmt w:val="bullet"/>
      <w:lvlText w:val=""/>
      <w:lvlJc w:val="left"/>
      <w:pPr>
        <w:ind w:left="680" w:hanging="170"/>
      </w:pPr>
      <w:rPr>
        <w:rFonts w:ascii="Wingdings 2" w:hAnsi="Wingdings 2" w:hint="default"/>
        <w:color w:val="404040" w:themeColor="text1" w:themeTint="BF"/>
        <w:position w:val="4"/>
        <w:sz w:val="10"/>
      </w:rPr>
    </w:lvl>
    <w:lvl w:ilvl="4">
      <w:start w:val="1"/>
      <w:numFmt w:val="lowerLetter"/>
      <w:lvlText w:val="(%5)"/>
      <w:lvlJc w:val="left"/>
      <w:pPr>
        <w:ind w:left="850" w:hanging="170"/>
      </w:pPr>
      <w:rPr>
        <w:rFonts w:hint="default"/>
      </w:rPr>
    </w:lvl>
    <w:lvl w:ilvl="5">
      <w:start w:val="1"/>
      <w:numFmt w:val="lowerRoman"/>
      <w:lvlText w:val="(%6)"/>
      <w:lvlJc w:val="left"/>
      <w:pPr>
        <w:ind w:left="1020" w:hanging="170"/>
      </w:pPr>
      <w:rPr>
        <w:rFonts w:hint="default"/>
      </w:rPr>
    </w:lvl>
    <w:lvl w:ilvl="6">
      <w:start w:val="1"/>
      <w:numFmt w:val="decimal"/>
      <w:lvlText w:val="%7."/>
      <w:lvlJc w:val="left"/>
      <w:pPr>
        <w:ind w:left="1190" w:hanging="170"/>
      </w:pPr>
      <w:rPr>
        <w:rFonts w:hint="default"/>
      </w:rPr>
    </w:lvl>
    <w:lvl w:ilvl="7">
      <w:start w:val="1"/>
      <w:numFmt w:val="lowerLetter"/>
      <w:lvlText w:val="%8."/>
      <w:lvlJc w:val="left"/>
      <w:pPr>
        <w:ind w:left="1360" w:hanging="170"/>
      </w:pPr>
      <w:rPr>
        <w:rFonts w:hint="default"/>
      </w:rPr>
    </w:lvl>
    <w:lvl w:ilvl="8">
      <w:start w:val="1"/>
      <w:numFmt w:val="lowerRoman"/>
      <w:lvlText w:val="%9."/>
      <w:lvlJc w:val="left"/>
      <w:pPr>
        <w:ind w:left="1530" w:hanging="170"/>
      </w:pPr>
      <w:rPr>
        <w:rFonts w:hint="default"/>
      </w:rPr>
    </w:lvl>
  </w:abstractNum>
  <w:abstractNum w:abstractNumId="31" w15:restartNumberingAfterBreak="0">
    <w:nsid w:val="3A074E1E"/>
    <w:multiLevelType w:val="hybridMultilevel"/>
    <w:tmpl w:val="2F44AF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3C01346B"/>
    <w:multiLevelType w:val="hybridMultilevel"/>
    <w:tmpl w:val="4692BA56"/>
    <w:lvl w:ilvl="0" w:tplc="108873BE">
      <w:start w:val="1"/>
      <w:numFmt w:val="lowerLetter"/>
      <w:lvlText w:val="%1."/>
      <w:lvlJc w:val="left"/>
      <w:pPr>
        <w:tabs>
          <w:tab w:val="num" w:pos="720"/>
        </w:tabs>
        <w:ind w:left="720" w:hanging="360"/>
      </w:pPr>
    </w:lvl>
    <w:lvl w:ilvl="1" w:tplc="9C3297B4" w:tentative="1">
      <w:start w:val="1"/>
      <w:numFmt w:val="lowerLetter"/>
      <w:lvlText w:val="%2."/>
      <w:lvlJc w:val="left"/>
      <w:pPr>
        <w:tabs>
          <w:tab w:val="num" w:pos="1440"/>
        </w:tabs>
        <w:ind w:left="1440" w:hanging="360"/>
      </w:pPr>
    </w:lvl>
    <w:lvl w:ilvl="2" w:tplc="8482E504" w:tentative="1">
      <w:start w:val="1"/>
      <w:numFmt w:val="lowerLetter"/>
      <w:lvlText w:val="%3."/>
      <w:lvlJc w:val="left"/>
      <w:pPr>
        <w:tabs>
          <w:tab w:val="num" w:pos="2160"/>
        </w:tabs>
        <w:ind w:left="2160" w:hanging="360"/>
      </w:pPr>
    </w:lvl>
    <w:lvl w:ilvl="3" w:tplc="66FC70BA" w:tentative="1">
      <w:start w:val="1"/>
      <w:numFmt w:val="lowerLetter"/>
      <w:lvlText w:val="%4."/>
      <w:lvlJc w:val="left"/>
      <w:pPr>
        <w:tabs>
          <w:tab w:val="num" w:pos="2880"/>
        </w:tabs>
        <w:ind w:left="2880" w:hanging="360"/>
      </w:pPr>
    </w:lvl>
    <w:lvl w:ilvl="4" w:tplc="23A02960" w:tentative="1">
      <w:start w:val="1"/>
      <w:numFmt w:val="lowerLetter"/>
      <w:lvlText w:val="%5."/>
      <w:lvlJc w:val="left"/>
      <w:pPr>
        <w:tabs>
          <w:tab w:val="num" w:pos="3600"/>
        </w:tabs>
        <w:ind w:left="3600" w:hanging="360"/>
      </w:pPr>
    </w:lvl>
    <w:lvl w:ilvl="5" w:tplc="C5529790" w:tentative="1">
      <w:start w:val="1"/>
      <w:numFmt w:val="lowerLetter"/>
      <w:lvlText w:val="%6."/>
      <w:lvlJc w:val="left"/>
      <w:pPr>
        <w:tabs>
          <w:tab w:val="num" w:pos="4320"/>
        </w:tabs>
        <w:ind w:left="4320" w:hanging="360"/>
      </w:pPr>
    </w:lvl>
    <w:lvl w:ilvl="6" w:tplc="FF18DC4E" w:tentative="1">
      <w:start w:val="1"/>
      <w:numFmt w:val="lowerLetter"/>
      <w:lvlText w:val="%7."/>
      <w:lvlJc w:val="left"/>
      <w:pPr>
        <w:tabs>
          <w:tab w:val="num" w:pos="5040"/>
        </w:tabs>
        <w:ind w:left="5040" w:hanging="360"/>
      </w:pPr>
    </w:lvl>
    <w:lvl w:ilvl="7" w:tplc="506A5F50" w:tentative="1">
      <w:start w:val="1"/>
      <w:numFmt w:val="lowerLetter"/>
      <w:lvlText w:val="%8."/>
      <w:lvlJc w:val="left"/>
      <w:pPr>
        <w:tabs>
          <w:tab w:val="num" w:pos="5760"/>
        </w:tabs>
        <w:ind w:left="5760" w:hanging="360"/>
      </w:pPr>
    </w:lvl>
    <w:lvl w:ilvl="8" w:tplc="D94CED88" w:tentative="1">
      <w:start w:val="1"/>
      <w:numFmt w:val="lowerLetter"/>
      <w:lvlText w:val="%9."/>
      <w:lvlJc w:val="left"/>
      <w:pPr>
        <w:tabs>
          <w:tab w:val="num" w:pos="6480"/>
        </w:tabs>
        <w:ind w:left="6480" w:hanging="360"/>
      </w:pPr>
    </w:lvl>
  </w:abstractNum>
  <w:abstractNum w:abstractNumId="33" w15:restartNumberingAfterBreak="0">
    <w:nsid w:val="3D257E56"/>
    <w:multiLevelType w:val="hybridMultilevel"/>
    <w:tmpl w:val="E800F75A"/>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34" w15:restartNumberingAfterBreak="0">
    <w:nsid w:val="4741392F"/>
    <w:multiLevelType w:val="hybridMultilevel"/>
    <w:tmpl w:val="F012A3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48DD1CBD"/>
    <w:multiLevelType w:val="hybridMultilevel"/>
    <w:tmpl w:val="78002CC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4DB13923"/>
    <w:multiLevelType w:val="hybridMultilevel"/>
    <w:tmpl w:val="AC4448CC"/>
    <w:lvl w:ilvl="0" w:tplc="3D506FDA">
      <w:start w:val="1"/>
      <w:numFmt w:val="bullet"/>
      <w:lvlText w:val=""/>
      <w:lvlJc w:val="left"/>
      <w:pPr>
        <w:ind w:left="720" w:hanging="360"/>
      </w:pPr>
      <w:rPr>
        <w:rFonts w:ascii="Symbol" w:hAnsi="Symbol" w:hint="default"/>
        <w:sz w:val="16"/>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37" w15:restartNumberingAfterBreak="0">
    <w:nsid w:val="4F04217D"/>
    <w:multiLevelType w:val="hybridMultilevel"/>
    <w:tmpl w:val="F474D1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503B27B1"/>
    <w:multiLevelType w:val="hybridMultilevel"/>
    <w:tmpl w:val="4BCEA2BE"/>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50AC0CA6"/>
    <w:multiLevelType w:val="hybridMultilevel"/>
    <w:tmpl w:val="EECE0A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535065BB"/>
    <w:multiLevelType w:val="hybridMultilevel"/>
    <w:tmpl w:val="E13C5DD4"/>
    <w:lvl w:ilvl="0" w:tplc="0C090001">
      <w:start w:val="1"/>
      <w:numFmt w:val="bullet"/>
      <w:lvlText w:val=""/>
      <w:lvlJc w:val="left"/>
      <w:pPr>
        <w:ind w:left="765" w:hanging="360"/>
      </w:pPr>
      <w:rPr>
        <w:rFonts w:ascii="Symbol" w:hAnsi="Symbol" w:hint="default"/>
      </w:rPr>
    </w:lvl>
    <w:lvl w:ilvl="1" w:tplc="0C090003">
      <w:start w:val="1"/>
      <w:numFmt w:val="bullet"/>
      <w:lvlText w:val="o"/>
      <w:lvlJc w:val="left"/>
      <w:pPr>
        <w:ind w:left="1485" w:hanging="360"/>
      </w:pPr>
      <w:rPr>
        <w:rFonts w:ascii="Courier New" w:hAnsi="Courier New" w:cs="Courier New" w:hint="default"/>
      </w:rPr>
    </w:lvl>
    <w:lvl w:ilvl="2" w:tplc="0C090005">
      <w:start w:val="1"/>
      <w:numFmt w:val="bullet"/>
      <w:lvlText w:val=""/>
      <w:lvlJc w:val="left"/>
      <w:pPr>
        <w:ind w:left="2205" w:hanging="360"/>
      </w:pPr>
      <w:rPr>
        <w:rFonts w:ascii="Wingdings" w:hAnsi="Wingdings" w:hint="default"/>
      </w:rPr>
    </w:lvl>
    <w:lvl w:ilvl="3" w:tplc="0C09000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41" w15:restartNumberingAfterBreak="0">
    <w:nsid w:val="549777A2"/>
    <w:multiLevelType w:val="hybridMultilevel"/>
    <w:tmpl w:val="AAB0C36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56507D94"/>
    <w:multiLevelType w:val="hybridMultilevel"/>
    <w:tmpl w:val="B01E1AE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3" w15:restartNumberingAfterBreak="0">
    <w:nsid w:val="568D1C43"/>
    <w:multiLevelType w:val="hybridMultilevel"/>
    <w:tmpl w:val="D91817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56F4289B"/>
    <w:multiLevelType w:val="hybridMultilevel"/>
    <w:tmpl w:val="00BA21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597B1BE4"/>
    <w:multiLevelType w:val="hybridMultilevel"/>
    <w:tmpl w:val="6C0EEF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5AFB0787"/>
    <w:multiLevelType w:val="hybridMultilevel"/>
    <w:tmpl w:val="EB84A57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5BE10AA3"/>
    <w:multiLevelType w:val="hybridMultilevel"/>
    <w:tmpl w:val="75BC27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5DC81086"/>
    <w:multiLevelType w:val="hybridMultilevel"/>
    <w:tmpl w:val="4BB273D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610F51EB"/>
    <w:multiLevelType w:val="hybridMultilevel"/>
    <w:tmpl w:val="35D2383E"/>
    <w:lvl w:ilvl="0" w:tplc="AD7E284C">
      <w:numFmt w:val="bullet"/>
      <w:lvlText w:val="-"/>
      <w:lvlJc w:val="left"/>
      <w:pPr>
        <w:ind w:left="720" w:hanging="360"/>
      </w:pPr>
      <w:rPr>
        <w:rFonts w:ascii="Segoe UI" w:eastAsiaTheme="minorHAnsi" w:hAnsi="Segoe UI" w:cs="Segoe UI" w:hint="default"/>
        <w:b w:val="0"/>
        <w:color w:val="000000" w:themeColor="tex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616C40A5"/>
    <w:multiLevelType w:val="hybridMultilevel"/>
    <w:tmpl w:val="93AA57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634A6649"/>
    <w:multiLevelType w:val="hybridMultilevel"/>
    <w:tmpl w:val="8898C1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637A19A9"/>
    <w:multiLevelType w:val="hybridMultilevel"/>
    <w:tmpl w:val="5F2235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649322C4"/>
    <w:multiLevelType w:val="hybridMultilevel"/>
    <w:tmpl w:val="ACE4317E"/>
    <w:lvl w:ilvl="0" w:tplc="732CF884">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4" w15:restartNumberingAfterBreak="0">
    <w:nsid w:val="658A234F"/>
    <w:multiLevelType w:val="hybridMultilevel"/>
    <w:tmpl w:val="0EFC57B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5" w15:restartNumberingAfterBreak="0">
    <w:nsid w:val="663A16CA"/>
    <w:multiLevelType w:val="hybridMultilevel"/>
    <w:tmpl w:val="F872FA34"/>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56" w15:restartNumberingAfterBreak="0">
    <w:nsid w:val="66FB6A10"/>
    <w:multiLevelType w:val="hybridMultilevel"/>
    <w:tmpl w:val="88106B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67074625"/>
    <w:multiLevelType w:val="hybridMultilevel"/>
    <w:tmpl w:val="5330B676"/>
    <w:lvl w:ilvl="0" w:tplc="BF6AEE8E">
      <w:numFmt w:val="bullet"/>
      <w:lvlText w:val=""/>
      <w:lvlJc w:val="left"/>
      <w:pPr>
        <w:ind w:left="720" w:hanging="360"/>
      </w:pPr>
      <w:rPr>
        <w:rFonts w:ascii="Symbol" w:eastAsiaTheme="minorHAnsi"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67B25407"/>
    <w:multiLevelType w:val="hybridMultilevel"/>
    <w:tmpl w:val="B28E75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67C8221D"/>
    <w:multiLevelType w:val="hybridMultilevel"/>
    <w:tmpl w:val="B15A64DA"/>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60" w15:restartNumberingAfterBreak="0">
    <w:nsid w:val="67CD7E0E"/>
    <w:multiLevelType w:val="hybridMultilevel"/>
    <w:tmpl w:val="86285530"/>
    <w:lvl w:ilvl="0" w:tplc="0C090001">
      <w:start w:val="1"/>
      <w:numFmt w:val="bullet"/>
      <w:lvlText w:val=""/>
      <w:lvlJc w:val="left"/>
      <w:pPr>
        <w:ind w:left="1035" w:hanging="360"/>
      </w:pPr>
      <w:rPr>
        <w:rFonts w:ascii="Symbol" w:hAnsi="Symbol" w:hint="default"/>
      </w:rPr>
    </w:lvl>
    <w:lvl w:ilvl="1" w:tplc="0C090003" w:tentative="1">
      <w:start w:val="1"/>
      <w:numFmt w:val="bullet"/>
      <w:lvlText w:val="o"/>
      <w:lvlJc w:val="left"/>
      <w:pPr>
        <w:ind w:left="1755" w:hanging="360"/>
      </w:pPr>
      <w:rPr>
        <w:rFonts w:ascii="Courier New" w:hAnsi="Courier New" w:cs="Courier New" w:hint="default"/>
      </w:rPr>
    </w:lvl>
    <w:lvl w:ilvl="2" w:tplc="0C090005" w:tentative="1">
      <w:start w:val="1"/>
      <w:numFmt w:val="bullet"/>
      <w:lvlText w:val=""/>
      <w:lvlJc w:val="left"/>
      <w:pPr>
        <w:ind w:left="2475" w:hanging="360"/>
      </w:pPr>
      <w:rPr>
        <w:rFonts w:ascii="Wingdings" w:hAnsi="Wingdings" w:hint="default"/>
      </w:rPr>
    </w:lvl>
    <w:lvl w:ilvl="3" w:tplc="0C090001" w:tentative="1">
      <w:start w:val="1"/>
      <w:numFmt w:val="bullet"/>
      <w:lvlText w:val=""/>
      <w:lvlJc w:val="left"/>
      <w:pPr>
        <w:ind w:left="3195" w:hanging="360"/>
      </w:pPr>
      <w:rPr>
        <w:rFonts w:ascii="Symbol" w:hAnsi="Symbol" w:hint="default"/>
      </w:rPr>
    </w:lvl>
    <w:lvl w:ilvl="4" w:tplc="0C090003" w:tentative="1">
      <w:start w:val="1"/>
      <w:numFmt w:val="bullet"/>
      <w:lvlText w:val="o"/>
      <w:lvlJc w:val="left"/>
      <w:pPr>
        <w:ind w:left="3915" w:hanging="360"/>
      </w:pPr>
      <w:rPr>
        <w:rFonts w:ascii="Courier New" w:hAnsi="Courier New" w:cs="Courier New" w:hint="default"/>
      </w:rPr>
    </w:lvl>
    <w:lvl w:ilvl="5" w:tplc="0C090005" w:tentative="1">
      <w:start w:val="1"/>
      <w:numFmt w:val="bullet"/>
      <w:lvlText w:val=""/>
      <w:lvlJc w:val="left"/>
      <w:pPr>
        <w:ind w:left="4635" w:hanging="360"/>
      </w:pPr>
      <w:rPr>
        <w:rFonts w:ascii="Wingdings" w:hAnsi="Wingdings" w:hint="default"/>
      </w:rPr>
    </w:lvl>
    <w:lvl w:ilvl="6" w:tplc="0C090001" w:tentative="1">
      <w:start w:val="1"/>
      <w:numFmt w:val="bullet"/>
      <w:lvlText w:val=""/>
      <w:lvlJc w:val="left"/>
      <w:pPr>
        <w:ind w:left="5355" w:hanging="360"/>
      </w:pPr>
      <w:rPr>
        <w:rFonts w:ascii="Symbol" w:hAnsi="Symbol" w:hint="default"/>
      </w:rPr>
    </w:lvl>
    <w:lvl w:ilvl="7" w:tplc="0C090003" w:tentative="1">
      <w:start w:val="1"/>
      <w:numFmt w:val="bullet"/>
      <w:lvlText w:val="o"/>
      <w:lvlJc w:val="left"/>
      <w:pPr>
        <w:ind w:left="6075" w:hanging="360"/>
      </w:pPr>
      <w:rPr>
        <w:rFonts w:ascii="Courier New" w:hAnsi="Courier New" w:cs="Courier New" w:hint="default"/>
      </w:rPr>
    </w:lvl>
    <w:lvl w:ilvl="8" w:tplc="0C090005" w:tentative="1">
      <w:start w:val="1"/>
      <w:numFmt w:val="bullet"/>
      <w:lvlText w:val=""/>
      <w:lvlJc w:val="left"/>
      <w:pPr>
        <w:ind w:left="6795" w:hanging="360"/>
      </w:pPr>
      <w:rPr>
        <w:rFonts w:ascii="Wingdings" w:hAnsi="Wingdings" w:hint="default"/>
      </w:rPr>
    </w:lvl>
  </w:abstractNum>
  <w:abstractNum w:abstractNumId="61" w15:restartNumberingAfterBreak="0">
    <w:nsid w:val="698A1BD0"/>
    <w:multiLevelType w:val="hybridMultilevel"/>
    <w:tmpl w:val="5280553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15:restartNumberingAfterBreak="0">
    <w:nsid w:val="6A6C726E"/>
    <w:multiLevelType w:val="hybridMultilevel"/>
    <w:tmpl w:val="57C45D8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15:restartNumberingAfterBreak="0">
    <w:nsid w:val="6F677FA6"/>
    <w:multiLevelType w:val="hybridMultilevel"/>
    <w:tmpl w:val="8EE8FE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15:restartNumberingAfterBreak="0">
    <w:nsid w:val="71A16EBA"/>
    <w:multiLevelType w:val="multilevel"/>
    <w:tmpl w:val="2698E5C8"/>
    <w:lvl w:ilvl="0">
      <w:start w:val="1"/>
      <w:numFmt w:val="upperLetter"/>
      <w:pStyle w:val="xAppendixLevel1"/>
      <w:lvlText w:val="Appendix %1"/>
      <w:lvlJc w:val="left"/>
      <w:pPr>
        <w:ind w:left="2268" w:hanging="2268"/>
      </w:pPr>
      <w:rPr>
        <w:rFonts w:hint="default"/>
        <w:color w:val="00264D"/>
        <w:sz w:val="44"/>
        <w:szCs w:val="44"/>
      </w:rPr>
    </w:lvl>
    <w:lvl w:ilvl="1">
      <w:start w:val="1"/>
      <w:numFmt w:val="decimal"/>
      <w:pStyle w:val="xAppendixLevel2"/>
      <w:lvlText w:val="%1.%2"/>
      <w:lvlJc w:val="left"/>
      <w:pPr>
        <w:ind w:left="851" w:hanging="851"/>
      </w:pPr>
      <w:rPr>
        <w:rFonts w:hint="default"/>
        <w:color w:val="00264D"/>
        <w:sz w:val="34"/>
        <w:szCs w:val="34"/>
      </w:rPr>
    </w:lvl>
    <w:lvl w:ilvl="2">
      <w:start w:val="1"/>
      <w:numFmt w:val="decimal"/>
      <w:pStyle w:val="xAppendixLevel3"/>
      <w:lvlText w:val="%1.%2.%3"/>
      <w:lvlJc w:val="left"/>
      <w:pPr>
        <w:ind w:left="851" w:hanging="851"/>
      </w:pPr>
      <w:rPr>
        <w:rFonts w:hint="default"/>
        <w:color w:val="00264D"/>
        <w:sz w:val="28"/>
        <w:szCs w:val="28"/>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5" w15:restartNumberingAfterBreak="0">
    <w:nsid w:val="7211572B"/>
    <w:multiLevelType w:val="hybridMultilevel"/>
    <w:tmpl w:val="8BC8D88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6" w15:restartNumberingAfterBreak="0">
    <w:nsid w:val="79B7218E"/>
    <w:multiLevelType w:val="hybridMultilevel"/>
    <w:tmpl w:val="9C061010"/>
    <w:lvl w:ilvl="0" w:tplc="3D506FDA">
      <w:start w:val="1"/>
      <w:numFmt w:val="bullet"/>
      <w:lvlText w:val=""/>
      <w:lvlJc w:val="left"/>
      <w:pPr>
        <w:ind w:left="340" w:hanging="340"/>
      </w:pPr>
      <w:rPr>
        <w:rFonts w:ascii="Symbol" w:hAnsi="Symbol" w:hint="default"/>
        <w:sz w:val="16"/>
      </w:rPr>
    </w:lvl>
    <w:lvl w:ilvl="1" w:tplc="168E9C4C">
      <w:start w:val="1"/>
      <w:numFmt w:val="bullet"/>
      <w:lvlText w:val=""/>
      <w:lvlJc w:val="left"/>
      <w:pPr>
        <w:ind w:left="680" w:hanging="340"/>
      </w:pPr>
      <w:rPr>
        <w:rFonts w:ascii="Symbol" w:hAnsi="Symbol" w:hint="default"/>
        <w:sz w:val="16"/>
      </w:rPr>
    </w:lvl>
    <w:lvl w:ilvl="2" w:tplc="B88EB012">
      <w:start w:val="1"/>
      <w:numFmt w:val="bullet"/>
      <w:lvlText w:val=""/>
      <w:lvlJc w:val="left"/>
      <w:pPr>
        <w:ind w:left="1134" w:hanging="454"/>
      </w:pPr>
      <w:rPr>
        <w:rFonts w:ascii="Symbol" w:hAnsi="Symbol" w:hint="default"/>
        <w:sz w:val="16"/>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7"/>
  </w:num>
  <w:num w:numId="2">
    <w:abstractNumId w:val="64"/>
  </w:num>
  <w:num w:numId="3">
    <w:abstractNumId w:val="14"/>
  </w:num>
  <w:num w:numId="4">
    <w:abstractNumId w:val="8"/>
  </w:num>
  <w:num w:numId="5">
    <w:abstractNumId w:val="30"/>
  </w:num>
  <w:num w:numId="6">
    <w:abstractNumId w:val="66"/>
  </w:num>
  <w:num w:numId="7">
    <w:abstractNumId w:val="37"/>
  </w:num>
  <w:num w:numId="8">
    <w:abstractNumId w:val="16"/>
  </w:num>
  <w:num w:numId="9">
    <w:abstractNumId w:val="6"/>
  </w:num>
  <w:num w:numId="10">
    <w:abstractNumId w:val="63"/>
  </w:num>
  <w:num w:numId="11">
    <w:abstractNumId w:val="61"/>
  </w:num>
  <w:num w:numId="12">
    <w:abstractNumId w:val="45"/>
  </w:num>
  <w:num w:numId="13">
    <w:abstractNumId w:val="48"/>
  </w:num>
  <w:num w:numId="14">
    <w:abstractNumId w:val="46"/>
  </w:num>
  <w:num w:numId="15">
    <w:abstractNumId w:val="51"/>
  </w:num>
  <w:num w:numId="16">
    <w:abstractNumId w:val="7"/>
  </w:num>
  <w:num w:numId="17">
    <w:abstractNumId w:val="15"/>
  </w:num>
  <w:num w:numId="18">
    <w:abstractNumId w:val="4"/>
  </w:num>
  <w:num w:numId="19">
    <w:abstractNumId w:val="19"/>
  </w:num>
  <w:num w:numId="20">
    <w:abstractNumId w:val="10"/>
  </w:num>
  <w:num w:numId="21">
    <w:abstractNumId w:val="40"/>
  </w:num>
  <w:num w:numId="22">
    <w:abstractNumId w:val="50"/>
  </w:num>
  <w:num w:numId="23">
    <w:abstractNumId w:val="62"/>
  </w:num>
  <w:num w:numId="2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
  </w:num>
  <w:num w:numId="26">
    <w:abstractNumId w:val="26"/>
  </w:num>
  <w:num w:numId="27">
    <w:abstractNumId w:val="35"/>
  </w:num>
  <w:num w:numId="28">
    <w:abstractNumId w:val="20"/>
  </w:num>
  <w:num w:numId="29">
    <w:abstractNumId w:val="31"/>
  </w:num>
  <w:num w:numId="30">
    <w:abstractNumId w:val="53"/>
  </w:num>
  <w:num w:numId="31">
    <w:abstractNumId w:val="0"/>
  </w:num>
  <w:num w:numId="32">
    <w:abstractNumId w:val="5"/>
  </w:num>
  <w:num w:numId="33">
    <w:abstractNumId w:val="32"/>
  </w:num>
  <w:num w:numId="34">
    <w:abstractNumId w:val="22"/>
  </w:num>
  <w:num w:numId="35">
    <w:abstractNumId w:val="18"/>
  </w:num>
  <w:num w:numId="36">
    <w:abstractNumId w:val="56"/>
  </w:num>
  <w:num w:numId="37">
    <w:abstractNumId w:val="9"/>
  </w:num>
  <w:num w:numId="38">
    <w:abstractNumId w:val="65"/>
  </w:num>
  <w:num w:numId="39">
    <w:abstractNumId w:val="42"/>
  </w:num>
  <w:num w:numId="40">
    <w:abstractNumId w:val="39"/>
  </w:num>
  <w:num w:numId="41">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6"/>
  </w:num>
  <w:num w:numId="43">
    <w:abstractNumId w:val="3"/>
  </w:num>
  <w:num w:numId="44">
    <w:abstractNumId w:val="23"/>
  </w:num>
  <w:num w:numId="45">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4"/>
    <w:lvlOverride w:ilvl="0">
      <w:startOverride w:val="1"/>
    </w:lvlOverride>
  </w:num>
  <w:num w:numId="47">
    <w:abstractNumId w:val="47"/>
  </w:num>
  <w:num w:numId="48">
    <w:abstractNumId w:val="25"/>
  </w:num>
  <w:num w:numId="49">
    <w:abstractNumId w:val="11"/>
  </w:num>
  <w:num w:numId="50">
    <w:abstractNumId w:val="55"/>
  </w:num>
  <w:num w:numId="51">
    <w:abstractNumId w:val="49"/>
  </w:num>
  <w:num w:numId="52">
    <w:abstractNumId w:val="1"/>
  </w:num>
  <w:num w:numId="53">
    <w:abstractNumId w:val="29"/>
  </w:num>
  <w:num w:numId="54">
    <w:abstractNumId w:val="12"/>
  </w:num>
  <w:num w:numId="55">
    <w:abstractNumId w:val="38"/>
  </w:num>
  <w:num w:numId="56">
    <w:abstractNumId w:val="21"/>
  </w:num>
  <w:num w:numId="57">
    <w:abstractNumId w:val="54"/>
  </w:num>
  <w:num w:numId="58">
    <w:abstractNumId w:val="17"/>
  </w:num>
  <w:num w:numId="59">
    <w:abstractNumId w:val="60"/>
  </w:num>
  <w:num w:numId="60">
    <w:abstractNumId w:val="57"/>
  </w:num>
  <w:num w:numId="61">
    <w:abstractNumId w:val="23"/>
  </w:num>
  <w:num w:numId="62">
    <w:abstractNumId w:val="23"/>
  </w:num>
  <w:num w:numId="63">
    <w:abstractNumId w:val="43"/>
  </w:num>
  <w:num w:numId="64">
    <w:abstractNumId w:val="23"/>
  </w:num>
  <w:num w:numId="65">
    <w:abstractNumId w:val="58"/>
  </w:num>
  <w:num w:numId="66">
    <w:abstractNumId w:val="44"/>
  </w:num>
  <w:num w:numId="67">
    <w:abstractNumId w:val="24"/>
  </w:num>
  <w:num w:numId="68">
    <w:abstractNumId w:val="52"/>
  </w:num>
  <w:num w:numId="69">
    <w:abstractNumId w:val="13"/>
  </w:num>
  <w:num w:numId="70">
    <w:abstractNumId w:val="34"/>
  </w:num>
  <w:num w:numId="71">
    <w:abstractNumId w:val="41"/>
  </w:num>
  <w:num w:numId="72">
    <w:abstractNumId w:val="28"/>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sbQwMrKwtLAwsjA0NDZT0lEKTi0uzszPAykwrAUAiSbytywAAAA="/>
  </w:docVars>
  <w:rsids>
    <w:rsidRoot w:val="007A76D0"/>
    <w:rsid w:val="000001EB"/>
    <w:rsid w:val="0000085F"/>
    <w:rsid w:val="00000A9B"/>
    <w:rsid w:val="00002727"/>
    <w:rsid w:val="00002C94"/>
    <w:rsid w:val="000032DC"/>
    <w:rsid w:val="00004A8F"/>
    <w:rsid w:val="00004DAE"/>
    <w:rsid w:val="000051CE"/>
    <w:rsid w:val="00005E07"/>
    <w:rsid w:val="00005E13"/>
    <w:rsid w:val="0000734B"/>
    <w:rsid w:val="00007710"/>
    <w:rsid w:val="00007D42"/>
    <w:rsid w:val="00007ED1"/>
    <w:rsid w:val="00013097"/>
    <w:rsid w:val="00014DF0"/>
    <w:rsid w:val="00015658"/>
    <w:rsid w:val="0001589A"/>
    <w:rsid w:val="00017DF5"/>
    <w:rsid w:val="00017E30"/>
    <w:rsid w:val="0002010C"/>
    <w:rsid w:val="000205BD"/>
    <w:rsid w:val="00024163"/>
    <w:rsid w:val="00026E20"/>
    <w:rsid w:val="00027F13"/>
    <w:rsid w:val="00030B3D"/>
    <w:rsid w:val="000318EA"/>
    <w:rsid w:val="00033603"/>
    <w:rsid w:val="000337F9"/>
    <w:rsid w:val="00034486"/>
    <w:rsid w:val="000354E7"/>
    <w:rsid w:val="00040629"/>
    <w:rsid w:val="00040D2B"/>
    <w:rsid w:val="000438DD"/>
    <w:rsid w:val="00043FEB"/>
    <w:rsid w:val="00044653"/>
    <w:rsid w:val="00044DA0"/>
    <w:rsid w:val="00045290"/>
    <w:rsid w:val="00045B96"/>
    <w:rsid w:val="00047A54"/>
    <w:rsid w:val="00047BDF"/>
    <w:rsid w:val="00047D19"/>
    <w:rsid w:val="00047D2B"/>
    <w:rsid w:val="0005212F"/>
    <w:rsid w:val="00052805"/>
    <w:rsid w:val="00053F85"/>
    <w:rsid w:val="00054B9E"/>
    <w:rsid w:val="00054BB2"/>
    <w:rsid w:val="000567C1"/>
    <w:rsid w:val="00056B67"/>
    <w:rsid w:val="0005789D"/>
    <w:rsid w:val="00057E8D"/>
    <w:rsid w:val="0006048B"/>
    <w:rsid w:val="0006164C"/>
    <w:rsid w:val="00063399"/>
    <w:rsid w:val="00064BB7"/>
    <w:rsid w:val="00065939"/>
    <w:rsid w:val="000663D3"/>
    <w:rsid w:val="00067145"/>
    <w:rsid w:val="00067E21"/>
    <w:rsid w:val="00067FC8"/>
    <w:rsid w:val="0007063F"/>
    <w:rsid w:val="00072D25"/>
    <w:rsid w:val="00074D81"/>
    <w:rsid w:val="00074DC7"/>
    <w:rsid w:val="0008372D"/>
    <w:rsid w:val="00083992"/>
    <w:rsid w:val="00083A9E"/>
    <w:rsid w:val="000841F4"/>
    <w:rsid w:val="000850B3"/>
    <w:rsid w:val="000856E3"/>
    <w:rsid w:val="00085834"/>
    <w:rsid w:val="000862FB"/>
    <w:rsid w:val="00087874"/>
    <w:rsid w:val="0009188F"/>
    <w:rsid w:val="00091A80"/>
    <w:rsid w:val="00093378"/>
    <w:rsid w:val="00093F96"/>
    <w:rsid w:val="00095D0D"/>
    <w:rsid w:val="00096AFA"/>
    <w:rsid w:val="00096C5F"/>
    <w:rsid w:val="00096EF0"/>
    <w:rsid w:val="000979F5"/>
    <w:rsid w:val="00097C4D"/>
    <w:rsid w:val="00097F2C"/>
    <w:rsid w:val="000A0883"/>
    <w:rsid w:val="000A0D3C"/>
    <w:rsid w:val="000A0D6B"/>
    <w:rsid w:val="000A13C3"/>
    <w:rsid w:val="000A1F02"/>
    <w:rsid w:val="000A239B"/>
    <w:rsid w:val="000A2F1B"/>
    <w:rsid w:val="000A4F42"/>
    <w:rsid w:val="000A6A29"/>
    <w:rsid w:val="000A6B36"/>
    <w:rsid w:val="000A7531"/>
    <w:rsid w:val="000B1534"/>
    <w:rsid w:val="000B3E04"/>
    <w:rsid w:val="000B4528"/>
    <w:rsid w:val="000B54F3"/>
    <w:rsid w:val="000B6DF8"/>
    <w:rsid w:val="000B7052"/>
    <w:rsid w:val="000B720D"/>
    <w:rsid w:val="000B754F"/>
    <w:rsid w:val="000B7985"/>
    <w:rsid w:val="000B7AA3"/>
    <w:rsid w:val="000C0472"/>
    <w:rsid w:val="000C1CEF"/>
    <w:rsid w:val="000C34BB"/>
    <w:rsid w:val="000C3D88"/>
    <w:rsid w:val="000C459D"/>
    <w:rsid w:val="000C7926"/>
    <w:rsid w:val="000D01AD"/>
    <w:rsid w:val="000D04FD"/>
    <w:rsid w:val="000D0DA3"/>
    <w:rsid w:val="000D3203"/>
    <w:rsid w:val="000D4195"/>
    <w:rsid w:val="000D4216"/>
    <w:rsid w:val="000D4B5E"/>
    <w:rsid w:val="000D5CE3"/>
    <w:rsid w:val="000D64CD"/>
    <w:rsid w:val="000D744F"/>
    <w:rsid w:val="000D7987"/>
    <w:rsid w:val="000E0D33"/>
    <w:rsid w:val="000E325F"/>
    <w:rsid w:val="000E5751"/>
    <w:rsid w:val="000E6705"/>
    <w:rsid w:val="000F0338"/>
    <w:rsid w:val="000F1763"/>
    <w:rsid w:val="000F21C9"/>
    <w:rsid w:val="000F2C6B"/>
    <w:rsid w:val="000F4294"/>
    <w:rsid w:val="000F4A27"/>
    <w:rsid w:val="000F6D04"/>
    <w:rsid w:val="000F6ED7"/>
    <w:rsid w:val="000F7B48"/>
    <w:rsid w:val="000F7DF2"/>
    <w:rsid w:val="000F7F2F"/>
    <w:rsid w:val="00101343"/>
    <w:rsid w:val="00101C45"/>
    <w:rsid w:val="00101CE6"/>
    <w:rsid w:val="001028F8"/>
    <w:rsid w:val="00102B5D"/>
    <w:rsid w:val="00103429"/>
    <w:rsid w:val="0010462B"/>
    <w:rsid w:val="00104822"/>
    <w:rsid w:val="00104C3A"/>
    <w:rsid w:val="001069F9"/>
    <w:rsid w:val="00107587"/>
    <w:rsid w:val="001111D5"/>
    <w:rsid w:val="001124FA"/>
    <w:rsid w:val="001129C9"/>
    <w:rsid w:val="00112F98"/>
    <w:rsid w:val="00112FD2"/>
    <w:rsid w:val="00113188"/>
    <w:rsid w:val="0011406B"/>
    <w:rsid w:val="0011553E"/>
    <w:rsid w:val="001157CD"/>
    <w:rsid w:val="0011585E"/>
    <w:rsid w:val="00116182"/>
    <w:rsid w:val="001163D1"/>
    <w:rsid w:val="0011718E"/>
    <w:rsid w:val="00117855"/>
    <w:rsid w:val="00120C51"/>
    <w:rsid w:val="00121CA1"/>
    <w:rsid w:val="001221EF"/>
    <w:rsid w:val="0012285B"/>
    <w:rsid w:val="00122A88"/>
    <w:rsid w:val="001242E7"/>
    <w:rsid w:val="00124C53"/>
    <w:rsid w:val="00124D96"/>
    <w:rsid w:val="00125AE9"/>
    <w:rsid w:val="00126688"/>
    <w:rsid w:val="0013091F"/>
    <w:rsid w:val="00131A1F"/>
    <w:rsid w:val="00132C79"/>
    <w:rsid w:val="00135B2C"/>
    <w:rsid w:val="00135ED7"/>
    <w:rsid w:val="00137279"/>
    <w:rsid w:val="00140A6C"/>
    <w:rsid w:val="001413E6"/>
    <w:rsid w:val="00141995"/>
    <w:rsid w:val="0014203C"/>
    <w:rsid w:val="001427C1"/>
    <w:rsid w:val="00143CBA"/>
    <w:rsid w:val="00144001"/>
    <w:rsid w:val="0014429D"/>
    <w:rsid w:val="00145516"/>
    <w:rsid w:val="00147322"/>
    <w:rsid w:val="00151249"/>
    <w:rsid w:val="00151988"/>
    <w:rsid w:val="001523D7"/>
    <w:rsid w:val="00152B89"/>
    <w:rsid w:val="00152FF3"/>
    <w:rsid w:val="00154BDF"/>
    <w:rsid w:val="001568C5"/>
    <w:rsid w:val="00157603"/>
    <w:rsid w:val="001600C1"/>
    <w:rsid w:val="00160955"/>
    <w:rsid w:val="00160A3F"/>
    <w:rsid w:val="00162F23"/>
    <w:rsid w:val="001634A5"/>
    <w:rsid w:val="0016356D"/>
    <w:rsid w:val="00165573"/>
    <w:rsid w:val="00165D5C"/>
    <w:rsid w:val="00165FFA"/>
    <w:rsid w:val="00166CD5"/>
    <w:rsid w:val="0016703D"/>
    <w:rsid w:val="00167672"/>
    <w:rsid w:val="00171042"/>
    <w:rsid w:val="00171F62"/>
    <w:rsid w:val="00171F80"/>
    <w:rsid w:val="001737E1"/>
    <w:rsid w:val="0017418C"/>
    <w:rsid w:val="00174E49"/>
    <w:rsid w:val="0017752B"/>
    <w:rsid w:val="001809F4"/>
    <w:rsid w:val="00180AB8"/>
    <w:rsid w:val="00180D9A"/>
    <w:rsid w:val="001819A2"/>
    <w:rsid w:val="00181F59"/>
    <w:rsid w:val="0018273B"/>
    <w:rsid w:val="001831B4"/>
    <w:rsid w:val="001835E7"/>
    <w:rsid w:val="0018360A"/>
    <w:rsid w:val="001838BC"/>
    <w:rsid w:val="00183B36"/>
    <w:rsid w:val="00185E0F"/>
    <w:rsid w:val="0018662E"/>
    <w:rsid w:val="00186C82"/>
    <w:rsid w:val="00187B26"/>
    <w:rsid w:val="00191526"/>
    <w:rsid w:val="00191ECE"/>
    <w:rsid w:val="00192859"/>
    <w:rsid w:val="00192F9A"/>
    <w:rsid w:val="00193435"/>
    <w:rsid w:val="001942B3"/>
    <w:rsid w:val="001946F0"/>
    <w:rsid w:val="001946F1"/>
    <w:rsid w:val="001959FB"/>
    <w:rsid w:val="00196E9A"/>
    <w:rsid w:val="00197211"/>
    <w:rsid w:val="001A1744"/>
    <w:rsid w:val="001A1C5B"/>
    <w:rsid w:val="001A1ED3"/>
    <w:rsid w:val="001A28C6"/>
    <w:rsid w:val="001A2AC5"/>
    <w:rsid w:val="001A3EDE"/>
    <w:rsid w:val="001A4083"/>
    <w:rsid w:val="001A58E6"/>
    <w:rsid w:val="001A5B49"/>
    <w:rsid w:val="001A7C76"/>
    <w:rsid w:val="001A7EA7"/>
    <w:rsid w:val="001B0795"/>
    <w:rsid w:val="001B18D6"/>
    <w:rsid w:val="001B21E2"/>
    <w:rsid w:val="001B2391"/>
    <w:rsid w:val="001B2EB8"/>
    <w:rsid w:val="001B31E9"/>
    <w:rsid w:val="001B44DE"/>
    <w:rsid w:val="001B4B46"/>
    <w:rsid w:val="001B4D27"/>
    <w:rsid w:val="001B7431"/>
    <w:rsid w:val="001C1921"/>
    <w:rsid w:val="001C35F2"/>
    <w:rsid w:val="001C409E"/>
    <w:rsid w:val="001C42CF"/>
    <w:rsid w:val="001C4669"/>
    <w:rsid w:val="001C46FD"/>
    <w:rsid w:val="001C533D"/>
    <w:rsid w:val="001C56A5"/>
    <w:rsid w:val="001C66F6"/>
    <w:rsid w:val="001D0BAC"/>
    <w:rsid w:val="001D14D4"/>
    <w:rsid w:val="001D1A57"/>
    <w:rsid w:val="001D2806"/>
    <w:rsid w:val="001D290F"/>
    <w:rsid w:val="001D2C88"/>
    <w:rsid w:val="001D461F"/>
    <w:rsid w:val="001D4846"/>
    <w:rsid w:val="001D561B"/>
    <w:rsid w:val="001D5C32"/>
    <w:rsid w:val="001D6A88"/>
    <w:rsid w:val="001E0867"/>
    <w:rsid w:val="001E20F1"/>
    <w:rsid w:val="001E3397"/>
    <w:rsid w:val="001E4136"/>
    <w:rsid w:val="001E4DA1"/>
    <w:rsid w:val="001E6D9E"/>
    <w:rsid w:val="001F04B8"/>
    <w:rsid w:val="001F20AA"/>
    <w:rsid w:val="001F24CF"/>
    <w:rsid w:val="001F2EB2"/>
    <w:rsid w:val="001F403D"/>
    <w:rsid w:val="001F5E1B"/>
    <w:rsid w:val="001F619C"/>
    <w:rsid w:val="001F669D"/>
    <w:rsid w:val="0020000D"/>
    <w:rsid w:val="002014F6"/>
    <w:rsid w:val="00201C0E"/>
    <w:rsid w:val="002023B8"/>
    <w:rsid w:val="0020588F"/>
    <w:rsid w:val="00207ABD"/>
    <w:rsid w:val="00207F1C"/>
    <w:rsid w:val="0021021F"/>
    <w:rsid w:val="002146DC"/>
    <w:rsid w:val="002148C5"/>
    <w:rsid w:val="00214B24"/>
    <w:rsid w:val="00214C96"/>
    <w:rsid w:val="002166BB"/>
    <w:rsid w:val="002169D5"/>
    <w:rsid w:val="0021792C"/>
    <w:rsid w:val="00217C0E"/>
    <w:rsid w:val="002211E8"/>
    <w:rsid w:val="00221D0F"/>
    <w:rsid w:val="00221F26"/>
    <w:rsid w:val="00225779"/>
    <w:rsid w:val="00225FF4"/>
    <w:rsid w:val="00226A75"/>
    <w:rsid w:val="00227D19"/>
    <w:rsid w:val="00227D7F"/>
    <w:rsid w:val="002308DD"/>
    <w:rsid w:val="0023225A"/>
    <w:rsid w:val="002325FF"/>
    <w:rsid w:val="00232694"/>
    <w:rsid w:val="00232862"/>
    <w:rsid w:val="002329E7"/>
    <w:rsid w:val="00232CE6"/>
    <w:rsid w:val="0023346F"/>
    <w:rsid w:val="00233F42"/>
    <w:rsid w:val="00234F2A"/>
    <w:rsid w:val="00234F3D"/>
    <w:rsid w:val="002351C1"/>
    <w:rsid w:val="00235E34"/>
    <w:rsid w:val="00240113"/>
    <w:rsid w:val="00240D2C"/>
    <w:rsid w:val="00240FF6"/>
    <w:rsid w:val="002417F6"/>
    <w:rsid w:val="00241E9E"/>
    <w:rsid w:val="0024251C"/>
    <w:rsid w:val="00242FE5"/>
    <w:rsid w:val="00243FCA"/>
    <w:rsid w:val="00244300"/>
    <w:rsid w:val="002448AE"/>
    <w:rsid w:val="00244AF3"/>
    <w:rsid w:val="00244F45"/>
    <w:rsid w:val="0024561E"/>
    <w:rsid w:val="0024564E"/>
    <w:rsid w:val="0024715C"/>
    <w:rsid w:val="00247CC3"/>
    <w:rsid w:val="002516B8"/>
    <w:rsid w:val="0025193D"/>
    <w:rsid w:val="002535B4"/>
    <w:rsid w:val="00253BD3"/>
    <w:rsid w:val="00253E86"/>
    <w:rsid w:val="00256611"/>
    <w:rsid w:val="00261161"/>
    <w:rsid w:val="00261A86"/>
    <w:rsid w:val="00261FB5"/>
    <w:rsid w:val="0026286F"/>
    <w:rsid w:val="00263500"/>
    <w:rsid w:val="00265D92"/>
    <w:rsid w:val="00266109"/>
    <w:rsid w:val="0026639C"/>
    <w:rsid w:val="00267E38"/>
    <w:rsid w:val="0027024E"/>
    <w:rsid w:val="00270396"/>
    <w:rsid w:val="00270623"/>
    <w:rsid w:val="00270FD5"/>
    <w:rsid w:val="0027210B"/>
    <w:rsid w:val="00272EEE"/>
    <w:rsid w:val="00273A00"/>
    <w:rsid w:val="00274A34"/>
    <w:rsid w:val="00275F0C"/>
    <w:rsid w:val="00276B8E"/>
    <w:rsid w:val="002770AF"/>
    <w:rsid w:val="002770F2"/>
    <w:rsid w:val="0027723F"/>
    <w:rsid w:val="00281D42"/>
    <w:rsid w:val="0028391B"/>
    <w:rsid w:val="00283AF6"/>
    <w:rsid w:val="00284476"/>
    <w:rsid w:val="0028521C"/>
    <w:rsid w:val="00285281"/>
    <w:rsid w:val="00285654"/>
    <w:rsid w:val="00285D1A"/>
    <w:rsid w:val="00286480"/>
    <w:rsid w:val="00287CAE"/>
    <w:rsid w:val="00287D47"/>
    <w:rsid w:val="00287E4C"/>
    <w:rsid w:val="0029017D"/>
    <w:rsid w:val="0029320C"/>
    <w:rsid w:val="00293CAA"/>
    <w:rsid w:val="002941D3"/>
    <w:rsid w:val="002946D0"/>
    <w:rsid w:val="00294C6F"/>
    <w:rsid w:val="002956EB"/>
    <w:rsid w:val="0029592F"/>
    <w:rsid w:val="0029711A"/>
    <w:rsid w:val="00297FB2"/>
    <w:rsid w:val="002A1024"/>
    <w:rsid w:val="002A3273"/>
    <w:rsid w:val="002A36A4"/>
    <w:rsid w:val="002A4541"/>
    <w:rsid w:val="002A54BC"/>
    <w:rsid w:val="002A6C27"/>
    <w:rsid w:val="002B0099"/>
    <w:rsid w:val="002B111C"/>
    <w:rsid w:val="002B1968"/>
    <w:rsid w:val="002B1EEF"/>
    <w:rsid w:val="002B2BF8"/>
    <w:rsid w:val="002B2EE6"/>
    <w:rsid w:val="002B4815"/>
    <w:rsid w:val="002B5822"/>
    <w:rsid w:val="002B758E"/>
    <w:rsid w:val="002C09DE"/>
    <w:rsid w:val="002C0A60"/>
    <w:rsid w:val="002C0F67"/>
    <w:rsid w:val="002C3710"/>
    <w:rsid w:val="002C3B26"/>
    <w:rsid w:val="002C3E18"/>
    <w:rsid w:val="002C400D"/>
    <w:rsid w:val="002C4462"/>
    <w:rsid w:val="002C7BF3"/>
    <w:rsid w:val="002D05C8"/>
    <w:rsid w:val="002D067D"/>
    <w:rsid w:val="002D2801"/>
    <w:rsid w:val="002D55AD"/>
    <w:rsid w:val="002D5685"/>
    <w:rsid w:val="002D64A4"/>
    <w:rsid w:val="002D6614"/>
    <w:rsid w:val="002D66A7"/>
    <w:rsid w:val="002D67B5"/>
    <w:rsid w:val="002D6FE3"/>
    <w:rsid w:val="002D7469"/>
    <w:rsid w:val="002D794A"/>
    <w:rsid w:val="002E0098"/>
    <w:rsid w:val="002E08F5"/>
    <w:rsid w:val="002E1538"/>
    <w:rsid w:val="002E254C"/>
    <w:rsid w:val="002E2628"/>
    <w:rsid w:val="002E3105"/>
    <w:rsid w:val="002E4005"/>
    <w:rsid w:val="002E4BA7"/>
    <w:rsid w:val="002E57AD"/>
    <w:rsid w:val="002E5D9A"/>
    <w:rsid w:val="002E6086"/>
    <w:rsid w:val="002E61B4"/>
    <w:rsid w:val="002E7BB3"/>
    <w:rsid w:val="002F032A"/>
    <w:rsid w:val="002F0518"/>
    <w:rsid w:val="002F0572"/>
    <w:rsid w:val="002F1CDF"/>
    <w:rsid w:val="002F297B"/>
    <w:rsid w:val="002F35E8"/>
    <w:rsid w:val="002F53C2"/>
    <w:rsid w:val="002F57F5"/>
    <w:rsid w:val="002F59A9"/>
    <w:rsid w:val="002F70C1"/>
    <w:rsid w:val="00300411"/>
    <w:rsid w:val="00301E62"/>
    <w:rsid w:val="00302076"/>
    <w:rsid w:val="003023FB"/>
    <w:rsid w:val="00303865"/>
    <w:rsid w:val="0030424A"/>
    <w:rsid w:val="003045C6"/>
    <w:rsid w:val="00304F86"/>
    <w:rsid w:val="00305E01"/>
    <w:rsid w:val="00307E26"/>
    <w:rsid w:val="0031086C"/>
    <w:rsid w:val="00312BDA"/>
    <w:rsid w:val="00313F32"/>
    <w:rsid w:val="003156E7"/>
    <w:rsid w:val="003160C5"/>
    <w:rsid w:val="00320286"/>
    <w:rsid w:val="0032099F"/>
    <w:rsid w:val="00321398"/>
    <w:rsid w:val="00321641"/>
    <w:rsid w:val="0032339C"/>
    <w:rsid w:val="003238D1"/>
    <w:rsid w:val="00324156"/>
    <w:rsid w:val="0032506B"/>
    <w:rsid w:val="00326093"/>
    <w:rsid w:val="00326A05"/>
    <w:rsid w:val="00326E51"/>
    <w:rsid w:val="0032740A"/>
    <w:rsid w:val="00330715"/>
    <w:rsid w:val="003316BF"/>
    <w:rsid w:val="00331A69"/>
    <w:rsid w:val="00331AC8"/>
    <w:rsid w:val="003327FE"/>
    <w:rsid w:val="00332C7A"/>
    <w:rsid w:val="00335367"/>
    <w:rsid w:val="003356FE"/>
    <w:rsid w:val="00335FBA"/>
    <w:rsid w:val="00340399"/>
    <w:rsid w:val="0034079F"/>
    <w:rsid w:val="00340AB5"/>
    <w:rsid w:val="00340ED0"/>
    <w:rsid w:val="00341928"/>
    <w:rsid w:val="00341BB9"/>
    <w:rsid w:val="003441A4"/>
    <w:rsid w:val="0034491B"/>
    <w:rsid w:val="003465D8"/>
    <w:rsid w:val="003476B1"/>
    <w:rsid w:val="00351396"/>
    <w:rsid w:val="00351455"/>
    <w:rsid w:val="00351D4B"/>
    <w:rsid w:val="00351DEB"/>
    <w:rsid w:val="003535F2"/>
    <w:rsid w:val="00353628"/>
    <w:rsid w:val="00355F88"/>
    <w:rsid w:val="003560B3"/>
    <w:rsid w:val="0035639E"/>
    <w:rsid w:val="0035723E"/>
    <w:rsid w:val="00357533"/>
    <w:rsid w:val="003576BD"/>
    <w:rsid w:val="00357E49"/>
    <w:rsid w:val="00357EEA"/>
    <w:rsid w:val="00361D25"/>
    <w:rsid w:val="00361EC0"/>
    <w:rsid w:val="00363784"/>
    <w:rsid w:val="00363AB8"/>
    <w:rsid w:val="0036479A"/>
    <w:rsid w:val="00366DCC"/>
    <w:rsid w:val="0037031B"/>
    <w:rsid w:val="0037218A"/>
    <w:rsid w:val="003726CD"/>
    <w:rsid w:val="00373054"/>
    <w:rsid w:val="00373ED3"/>
    <w:rsid w:val="00373F4B"/>
    <w:rsid w:val="00374A32"/>
    <w:rsid w:val="003756BF"/>
    <w:rsid w:val="00376DCF"/>
    <w:rsid w:val="003772AE"/>
    <w:rsid w:val="00381B2C"/>
    <w:rsid w:val="00381EE3"/>
    <w:rsid w:val="00382110"/>
    <w:rsid w:val="00382517"/>
    <w:rsid w:val="00383701"/>
    <w:rsid w:val="00383AD0"/>
    <w:rsid w:val="00383FD2"/>
    <w:rsid w:val="00385DD0"/>
    <w:rsid w:val="00386F82"/>
    <w:rsid w:val="00386FE1"/>
    <w:rsid w:val="0038760F"/>
    <w:rsid w:val="003876C5"/>
    <w:rsid w:val="00387745"/>
    <w:rsid w:val="00390B53"/>
    <w:rsid w:val="00391C60"/>
    <w:rsid w:val="00393D85"/>
    <w:rsid w:val="0039516F"/>
    <w:rsid w:val="0039690F"/>
    <w:rsid w:val="00396DF4"/>
    <w:rsid w:val="00396FF7"/>
    <w:rsid w:val="003973F2"/>
    <w:rsid w:val="00397FF8"/>
    <w:rsid w:val="003A02C9"/>
    <w:rsid w:val="003A063D"/>
    <w:rsid w:val="003A0CA4"/>
    <w:rsid w:val="003A1C1C"/>
    <w:rsid w:val="003A1C98"/>
    <w:rsid w:val="003A23AC"/>
    <w:rsid w:val="003A2DAD"/>
    <w:rsid w:val="003A375F"/>
    <w:rsid w:val="003A3C72"/>
    <w:rsid w:val="003A400A"/>
    <w:rsid w:val="003A4F52"/>
    <w:rsid w:val="003A6F6D"/>
    <w:rsid w:val="003B1480"/>
    <w:rsid w:val="003B21FF"/>
    <w:rsid w:val="003B4031"/>
    <w:rsid w:val="003B5517"/>
    <w:rsid w:val="003B61BB"/>
    <w:rsid w:val="003B6325"/>
    <w:rsid w:val="003B6614"/>
    <w:rsid w:val="003B6D2E"/>
    <w:rsid w:val="003B6E28"/>
    <w:rsid w:val="003B7E4B"/>
    <w:rsid w:val="003C1545"/>
    <w:rsid w:val="003C1D62"/>
    <w:rsid w:val="003C270A"/>
    <w:rsid w:val="003C2C36"/>
    <w:rsid w:val="003C3644"/>
    <w:rsid w:val="003C37C4"/>
    <w:rsid w:val="003C480F"/>
    <w:rsid w:val="003C4836"/>
    <w:rsid w:val="003C4EB4"/>
    <w:rsid w:val="003C6B8B"/>
    <w:rsid w:val="003C6D6D"/>
    <w:rsid w:val="003C7B5D"/>
    <w:rsid w:val="003D0FB0"/>
    <w:rsid w:val="003D19A3"/>
    <w:rsid w:val="003D1C84"/>
    <w:rsid w:val="003D313D"/>
    <w:rsid w:val="003D6286"/>
    <w:rsid w:val="003E02E5"/>
    <w:rsid w:val="003E211B"/>
    <w:rsid w:val="003E5926"/>
    <w:rsid w:val="003E5BDC"/>
    <w:rsid w:val="003E7C0F"/>
    <w:rsid w:val="003F029F"/>
    <w:rsid w:val="003F0730"/>
    <w:rsid w:val="003F0D71"/>
    <w:rsid w:val="003F2D57"/>
    <w:rsid w:val="003F2F6A"/>
    <w:rsid w:val="003F467E"/>
    <w:rsid w:val="003F5093"/>
    <w:rsid w:val="003F5205"/>
    <w:rsid w:val="003F68BC"/>
    <w:rsid w:val="003F6EBB"/>
    <w:rsid w:val="003F6EFA"/>
    <w:rsid w:val="003F7365"/>
    <w:rsid w:val="003F7F9E"/>
    <w:rsid w:val="00400A91"/>
    <w:rsid w:val="004013D6"/>
    <w:rsid w:val="00401459"/>
    <w:rsid w:val="00401CDD"/>
    <w:rsid w:val="004021A5"/>
    <w:rsid w:val="00404032"/>
    <w:rsid w:val="00405E7E"/>
    <w:rsid w:val="0040679F"/>
    <w:rsid w:val="00407CF9"/>
    <w:rsid w:val="00410BA9"/>
    <w:rsid w:val="00410D0C"/>
    <w:rsid w:val="004118CA"/>
    <w:rsid w:val="00411E8C"/>
    <w:rsid w:val="00413599"/>
    <w:rsid w:val="00413A52"/>
    <w:rsid w:val="00413E6A"/>
    <w:rsid w:val="00414C9E"/>
    <w:rsid w:val="00415090"/>
    <w:rsid w:val="00416591"/>
    <w:rsid w:val="00416856"/>
    <w:rsid w:val="00417050"/>
    <w:rsid w:val="00417F38"/>
    <w:rsid w:val="0042018D"/>
    <w:rsid w:val="004215AC"/>
    <w:rsid w:val="00423244"/>
    <w:rsid w:val="004245E5"/>
    <w:rsid w:val="00425051"/>
    <w:rsid w:val="00426562"/>
    <w:rsid w:val="004277DD"/>
    <w:rsid w:val="00427EEF"/>
    <w:rsid w:val="00430203"/>
    <w:rsid w:val="00430E82"/>
    <w:rsid w:val="004322D3"/>
    <w:rsid w:val="00432673"/>
    <w:rsid w:val="00433922"/>
    <w:rsid w:val="00435ABC"/>
    <w:rsid w:val="00436FB9"/>
    <w:rsid w:val="00437476"/>
    <w:rsid w:val="004377EB"/>
    <w:rsid w:val="00437DBB"/>
    <w:rsid w:val="0044042D"/>
    <w:rsid w:val="00444F98"/>
    <w:rsid w:val="004455BE"/>
    <w:rsid w:val="00446231"/>
    <w:rsid w:val="004464AD"/>
    <w:rsid w:val="00450060"/>
    <w:rsid w:val="004507CC"/>
    <w:rsid w:val="00451284"/>
    <w:rsid w:val="0045207B"/>
    <w:rsid w:val="00453C8C"/>
    <w:rsid w:val="0045441A"/>
    <w:rsid w:val="00454AA5"/>
    <w:rsid w:val="004555A5"/>
    <w:rsid w:val="00456097"/>
    <w:rsid w:val="00460C7E"/>
    <w:rsid w:val="0046172A"/>
    <w:rsid w:val="00464D6F"/>
    <w:rsid w:val="00465761"/>
    <w:rsid w:val="004660B6"/>
    <w:rsid w:val="004665AF"/>
    <w:rsid w:val="004669BD"/>
    <w:rsid w:val="00470351"/>
    <w:rsid w:val="004704AF"/>
    <w:rsid w:val="0047152B"/>
    <w:rsid w:val="0047201C"/>
    <w:rsid w:val="00472105"/>
    <w:rsid w:val="00472635"/>
    <w:rsid w:val="004737D0"/>
    <w:rsid w:val="004742DE"/>
    <w:rsid w:val="00476937"/>
    <w:rsid w:val="00476B5E"/>
    <w:rsid w:val="00476C2A"/>
    <w:rsid w:val="0047778E"/>
    <w:rsid w:val="00477925"/>
    <w:rsid w:val="00480117"/>
    <w:rsid w:val="00482489"/>
    <w:rsid w:val="0048275E"/>
    <w:rsid w:val="00482DEA"/>
    <w:rsid w:val="004836B0"/>
    <w:rsid w:val="004864F1"/>
    <w:rsid w:val="0049007A"/>
    <w:rsid w:val="00490317"/>
    <w:rsid w:val="004907BB"/>
    <w:rsid w:val="00490990"/>
    <w:rsid w:val="0049189B"/>
    <w:rsid w:val="00492574"/>
    <w:rsid w:val="00493FC1"/>
    <w:rsid w:val="00494D17"/>
    <w:rsid w:val="00494D4F"/>
    <w:rsid w:val="004952C6"/>
    <w:rsid w:val="004956D4"/>
    <w:rsid w:val="00495A73"/>
    <w:rsid w:val="004964A6"/>
    <w:rsid w:val="004A0725"/>
    <w:rsid w:val="004A1634"/>
    <w:rsid w:val="004A16CF"/>
    <w:rsid w:val="004A2DAA"/>
    <w:rsid w:val="004A2DFE"/>
    <w:rsid w:val="004A2EDB"/>
    <w:rsid w:val="004A31E9"/>
    <w:rsid w:val="004A39CA"/>
    <w:rsid w:val="004A3C89"/>
    <w:rsid w:val="004A442B"/>
    <w:rsid w:val="004A6757"/>
    <w:rsid w:val="004A76F1"/>
    <w:rsid w:val="004A7DA5"/>
    <w:rsid w:val="004A7E57"/>
    <w:rsid w:val="004B0190"/>
    <w:rsid w:val="004B0EFA"/>
    <w:rsid w:val="004B1316"/>
    <w:rsid w:val="004B1F4F"/>
    <w:rsid w:val="004B26D7"/>
    <w:rsid w:val="004B3750"/>
    <w:rsid w:val="004B4234"/>
    <w:rsid w:val="004B4499"/>
    <w:rsid w:val="004B4B2E"/>
    <w:rsid w:val="004B6077"/>
    <w:rsid w:val="004B79FC"/>
    <w:rsid w:val="004C02FC"/>
    <w:rsid w:val="004C036A"/>
    <w:rsid w:val="004C0F7F"/>
    <w:rsid w:val="004C14E2"/>
    <w:rsid w:val="004C3FAF"/>
    <w:rsid w:val="004C68A0"/>
    <w:rsid w:val="004C73A6"/>
    <w:rsid w:val="004D0073"/>
    <w:rsid w:val="004D01BA"/>
    <w:rsid w:val="004D1B83"/>
    <w:rsid w:val="004D1D28"/>
    <w:rsid w:val="004D27CD"/>
    <w:rsid w:val="004D5FA0"/>
    <w:rsid w:val="004D61EE"/>
    <w:rsid w:val="004D6661"/>
    <w:rsid w:val="004D6C14"/>
    <w:rsid w:val="004D7145"/>
    <w:rsid w:val="004D7D22"/>
    <w:rsid w:val="004E0A85"/>
    <w:rsid w:val="004E0BCB"/>
    <w:rsid w:val="004E141D"/>
    <w:rsid w:val="004E1BA9"/>
    <w:rsid w:val="004E3084"/>
    <w:rsid w:val="004E328E"/>
    <w:rsid w:val="004E46E3"/>
    <w:rsid w:val="004E6A8F"/>
    <w:rsid w:val="004F0340"/>
    <w:rsid w:val="004F40F8"/>
    <w:rsid w:val="004F64FB"/>
    <w:rsid w:val="004F6976"/>
    <w:rsid w:val="004F72E8"/>
    <w:rsid w:val="00500290"/>
    <w:rsid w:val="00504264"/>
    <w:rsid w:val="00504F9F"/>
    <w:rsid w:val="005052CE"/>
    <w:rsid w:val="00505B3A"/>
    <w:rsid w:val="005067F3"/>
    <w:rsid w:val="00506BBE"/>
    <w:rsid w:val="00506BC9"/>
    <w:rsid w:val="00506E77"/>
    <w:rsid w:val="00506FD2"/>
    <w:rsid w:val="00507EC9"/>
    <w:rsid w:val="00510569"/>
    <w:rsid w:val="00510E61"/>
    <w:rsid w:val="005117CC"/>
    <w:rsid w:val="00511938"/>
    <w:rsid w:val="005121F0"/>
    <w:rsid w:val="005124CF"/>
    <w:rsid w:val="00513A37"/>
    <w:rsid w:val="00513C59"/>
    <w:rsid w:val="005140DB"/>
    <w:rsid w:val="0051412B"/>
    <w:rsid w:val="00515B62"/>
    <w:rsid w:val="00516067"/>
    <w:rsid w:val="0051637F"/>
    <w:rsid w:val="0051717D"/>
    <w:rsid w:val="005171EE"/>
    <w:rsid w:val="00517A92"/>
    <w:rsid w:val="00517AB8"/>
    <w:rsid w:val="00517BDB"/>
    <w:rsid w:val="005201E6"/>
    <w:rsid w:val="0052112D"/>
    <w:rsid w:val="00523746"/>
    <w:rsid w:val="005244BA"/>
    <w:rsid w:val="00525012"/>
    <w:rsid w:val="00525AF9"/>
    <w:rsid w:val="00527814"/>
    <w:rsid w:val="00527BC7"/>
    <w:rsid w:val="00527E67"/>
    <w:rsid w:val="00530912"/>
    <w:rsid w:val="00530E1C"/>
    <w:rsid w:val="0053261A"/>
    <w:rsid w:val="00532AEC"/>
    <w:rsid w:val="00532D2E"/>
    <w:rsid w:val="00532F21"/>
    <w:rsid w:val="00533A76"/>
    <w:rsid w:val="0053728A"/>
    <w:rsid w:val="005401B8"/>
    <w:rsid w:val="005403BD"/>
    <w:rsid w:val="005414A9"/>
    <w:rsid w:val="005423C0"/>
    <w:rsid w:val="00545F10"/>
    <w:rsid w:val="005471B8"/>
    <w:rsid w:val="0055184C"/>
    <w:rsid w:val="00551888"/>
    <w:rsid w:val="00552178"/>
    <w:rsid w:val="00553DC7"/>
    <w:rsid w:val="00553EBB"/>
    <w:rsid w:val="00554281"/>
    <w:rsid w:val="005544BB"/>
    <w:rsid w:val="0055483D"/>
    <w:rsid w:val="00554CFF"/>
    <w:rsid w:val="00555538"/>
    <w:rsid w:val="005555B3"/>
    <w:rsid w:val="005576F7"/>
    <w:rsid w:val="00557BE8"/>
    <w:rsid w:val="00562F9A"/>
    <w:rsid w:val="005634F4"/>
    <w:rsid w:val="00563646"/>
    <w:rsid w:val="00565220"/>
    <w:rsid w:val="00567306"/>
    <w:rsid w:val="0057076A"/>
    <w:rsid w:val="00571006"/>
    <w:rsid w:val="00571B00"/>
    <w:rsid w:val="00571E2F"/>
    <w:rsid w:val="00572037"/>
    <w:rsid w:val="00572039"/>
    <w:rsid w:val="00572266"/>
    <w:rsid w:val="00572F09"/>
    <w:rsid w:val="00573651"/>
    <w:rsid w:val="00575E4A"/>
    <w:rsid w:val="00576A29"/>
    <w:rsid w:val="005774FE"/>
    <w:rsid w:val="00577894"/>
    <w:rsid w:val="00580B89"/>
    <w:rsid w:val="00580F8C"/>
    <w:rsid w:val="00581ECE"/>
    <w:rsid w:val="005824A0"/>
    <w:rsid w:val="00582938"/>
    <w:rsid w:val="00583EDA"/>
    <w:rsid w:val="00584AB9"/>
    <w:rsid w:val="005854A7"/>
    <w:rsid w:val="00587145"/>
    <w:rsid w:val="005873E0"/>
    <w:rsid w:val="00587D06"/>
    <w:rsid w:val="00591252"/>
    <w:rsid w:val="0059131A"/>
    <w:rsid w:val="00591601"/>
    <w:rsid w:val="005922FA"/>
    <w:rsid w:val="00592A97"/>
    <w:rsid w:val="005939E0"/>
    <w:rsid w:val="00594954"/>
    <w:rsid w:val="0059630F"/>
    <w:rsid w:val="00596502"/>
    <w:rsid w:val="0059650A"/>
    <w:rsid w:val="0059662A"/>
    <w:rsid w:val="00596892"/>
    <w:rsid w:val="00596B01"/>
    <w:rsid w:val="005A13D5"/>
    <w:rsid w:val="005A3CCA"/>
    <w:rsid w:val="005A4B0B"/>
    <w:rsid w:val="005A52E4"/>
    <w:rsid w:val="005A6211"/>
    <w:rsid w:val="005A634C"/>
    <w:rsid w:val="005A644F"/>
    <w:rsid w:val="005A6B1E"/>
    <w:rsid w:val="005A6B61"/>
    <w:rsid w:val="005A775B"/>
    <w:rsid w:val="005A7C20"/>
    <w:rsid w:val="005B01EB"/>
    <w:rsid w:val="005B0F01"/>
    <w:rsid w:val="005B169C"/>
    <w:rsid w:val="005B17DA"/>
    <w:rsid w:val="005B29D4"/>
    <w:rsid w:val="005B29DA"/>
    <w:rsid w:val="005B58CE"/>
    <w:rsid w:val="005B5D28"/>
    <w:rsid w:val="005B68DA"/>
    <w:rsid w:val="005B715A"/>
    <w:rsid w:val="005B7C5B"/>
    <w:rsid w:val="005C1218"/>
    <w:rsid w:val="005C12F2"/>
    <w:rsid w:val="005C1CA9"/>
    <w:rsid w:val="005C32C3"/>
    <w:rsid w:val="005C3909"/>
    <w:rsid w:val="005C3AC7"/>
    <w:rsid w:val="005C3E7E"/>
    <w:rsid w:val="005C4173"/>
    <w:rsid w:val="005C43D7"/>
    <w:rsid w:val="005C4E58"/>
    <w:rsid w:val="005C51DC"/>
    <w:rsid w:val="005C54A4"/>
    <w:rsid w:val="005C5752"/>
    <w:rsid w:val="005C62AE"/>
    <w:rsid w:val="005C6A86"/>
    <w:rsid w:val="005C6CDB"/>
    <w:rsid w:val="005D040E"/>
    <w:rsid w:val="005D1983"/>
    <w:rsid w:val="005D2A44"/>
    <w:rsid w:val="005D3D7E"/>
    <w:rsid w:val="005D41ED"/>
    <w:rsid w:val="005D46FD"/>
    <w:rsid w:val="005D4A29"/>
    <w:rsid w:val="005D4E5E"/>
    <w:rsid w:val="005D57D0"/>
    <w:rsid w:val="005D5D96"/>
    <w:rsid w:val="005E0BE4"/>
    <w:rsid w:val="005E281A"/>
    <w:rsid w:val="005E39D3"/>
    <w:rsid w:val="005E4305"/>
    <w:rsid w:val="005E5898"/>
    <w:rsid w:val="005E5EDE"/>
    <w:rsid w:val="005E670D"/>
    <w:rsid w:val="005E6B26"/>
    <w:rsid w:val="005F04A7"/>
    <w:rsid w:val="005F0F45"/>
    <w:rsid w:val="005F10D9"/>
    <w:rsid w:val="005F2996"/>
    <w:rsid w:val="005F3018"/>
    <w:rsid w:val="005F3042"/>
    <w:rsid w:val="005F3D47"/>
    <w:rsid w:val="005F4402"/>
    <w:rsid w:val="005F5448"/>
    <w:rsid w:val="005F6558"/>
    <w:rsid w:val="005F66EA"/>
    <w:rsid w:val="005F758B"/>
    <w:rsid w:val="0060066B"/>
    <w:rsid w:val="0060073C"/>
    <w:rsid w:val="0060147F"/>
    <w:rsid w:val="006025FD"/>
    <w:rsid w:val="006031C6"/>
    <w:rsid w:val="00603238"/>
    <w:rsid w:val="00603BA5"/>
    <w:rsid w:val="00603C44"/>
    <w:rsid w:val="006040D3"/>
    <w:rsid w:val="00605C5C"/>
    <w:rsid w:val="00606598"/>
    <w:rsid w:val="00606BED"/>
    <w:rsid w:val="00610683"/>
    <w:rsid w:val="0061082D"/>
    <w:rsid w:val="00610A4F"/>
    <w:rsid w:val="00611A08"/>
    <w:rsid w:val="00613743"/>
    <w:rsid w:val="006139E0"/>
    <w:rsid w:val="006145A3"/>
    <w:rsid w:val="006151C7"/>
    <w:rsid w:val="00615391"/>
    <w:rsid w:val="006154FF"/>
    <w:rsid w:val="006172E3"/>
    <w:rsid w:val="0062148C"/>
    <w:rsid w:val="00623F2E"/>
    <w:rsid w:val="00624041"/>
    <w:rsid w:val="00624280"/>
    <w:rsid w:val="006244AE"/>
    <w:rsid w:val="00624A8B"/>
    <w:rsid w:val="00626BFC"/>
    <w:rsid w:val="00627170"/>
    <w:rsid w:val="00627DC8"/>
    <w:rsid w:val="0063059E"/>
    <w:rsid w:val="00631B0F"/>
    <w:rsid w:val="006320A0"/>
    <w:rsid w:val="0063226D"/>
    <w:rsid w:val="00633247"/>
    <w:rsid w:val="00634652"/>
    <w:rsid w:val="006349B1"/>
    <w:rsid w:val="00634B49"/>
    <w:rsid w:val="00636006"/>
    <w:rsid w:val="00640368"/>
    <w:rsid w:val="0064064A"/>
    <w:rsid w:val="00641FF6"/>
    <w:rsid w:val="0064217F"/>
    <w:rsid w:val="006451CF"/>
    <w:rsid w:val="006459FE"/>
    <w:rsid w:val="00646348"/>
    <w:rsid w:val="00647322"/>
    <w:rsid w:val="006502C1"/>
    <w:rsid w:val="00650F02"/>
    <w:rsid w:val="00652BEB"/>
    <w:rsid w:val="00653665"/>
    <w:rsid w:val="00653916"/>
    <w:rsid w:val="00654392"/>
    <w:rsid w:val="00656344"/>
    <w:rsid w:val="00656464"/>
    <w:rsid w:val="006566EA"/>
    <w:rsid w:val="00656BA5"/>
    <w:rsid w:val="00657958"/>
    <w:rsid w:val="006579A5"/>
    <w:rsid w:val="00660463"/>
    <w:rsid w:val="006629DE"/>
    <w:rsid w:val="0066309D"/>
    <w:rsid w:val="006637FA"/>
    <w:rsid w:val="006647D2"/>
    <w:rsid w:val="00664B10"/>
    <w:rsid w:val="00664CC5"/>
    <w:rsid w:val="0066569F"/>
    <w:rsid w:val="006657BA"/>
    <w:rsid w:val="00665D23"/>
    <w:rsid w:val="0066728E"/>
    <w:rsid w:val="0067028E"/>
    <w:rsid w:val="0067093F"/>
    <w:rsid w:val="006731EE"/>
    <w:rsid w:val="00673A86"/>
    <w:rsid w:val="00673B2B"/>
    <w:rsid w:val="00675317"/>
    <w:rsid w:val="0067610F"/>
    <w:rsid w:val="0067684C"/>
    <w:rsid w:val="00676E4B"/>
    <w:rsid w:val="0067725A"/>
    <w:rsid w:val="00677D25"/>
    <w:rsid w:val="00680669"/>
    <w:rsid w:val="006813A6"/>
    <w:rsid w:val="00681650"/>
    <w:rsid w:val="00681A2E"/>
    <w:rsid w:val="00681F4F"/>
    <w:rsid w:val="0068292F"/>
    <w:rsid w:val="00682DE1"/>
    <w:rsid w:val="00683798"/>
    <w:rsid w:val="00683840"/>
    <w:rsid w:val="00683AEA"/>
    <w:rsid w:val="00684158"/>
    <w:rsid w:val="00684CB1"/>
    <w:rsid w:val="00686006"/>
    <w:rsid w:val="006867B3"/>
    <w:rsid w:val="00690F78"/>
    <w:rsid w:val="006910EB"/>
    <w:rsid w:val="0069136F"/>
    <w:rsid w:val="00691428"/>
    <w:rsid w:val="006917C2"/>
    <w:rsid w:val="00691D71"/>
    <w:rsid w:val="00692747"/>
    <w:rsid w:val="006937A3"/>
    <w:rsid w:val="0069591B"/>
    <w:rsid w:val="00696F48"/>
    <w:rsid w:val="0069744D"/>
    <w:rsid w:val="006A0EF4"/>
    <w:rsid w:val="006A17FE"/>
    <w:rsid w:val="006A1AA0"/>
    <w:rsid w:val="006A1F4B"/>
    <w:rsid w:val="006A27C0"/>
    <w:rsid w:val="006A2CB8"/>
    <w:rsid w:val="006A40AF"/>
    <w:rsid w:val="006A54CB"/>
    <w:rsid w:val="006A5AE5"/>
    <w:rsid w:val="006A5B18"/>
    <w:rsid w:val="006A5DCC"/>
    <w:rsid w:val="006A6B67"/>
    <w:rsid w:val="006B1158"/>
    <w:rsid w:val="006B5415"/>
    <w:rsid w:val="006B5532"/>
    <w:rsid w:val="006B6ACE"/>
    <w:rsid w:val="006B6E74"/>
    <w:rsid w:val="006B7B98"/>
    <w:rsid w:val="006C07C0"/>
    <w:rsid w:val="006C18F2"/>
    <w:rsid w:val="006C2BBE"/>
    <w:rsid w:val="006C3B9D"/>
    <w:rsid w:val="006C3E0E"/>
    <w:rsid w:val="006C4534"/>
    <w:rsid w:val="006C45EB"/>
    <w:rsid w:val="006C473D"/>
    <w:rsid w:val="006C4A6D"/>
    <w:rsid w:val="006C52A4"/>
    <w:rsid w:val="006C5371"/>
    <w:rsid w:val="006C5698"/>
    <w:rsid w:val="006C6E4C"/>
    <w:rsid w:val="006C6EDB"/>
    <w:rsid w:val="006D0604"/>
    <w:rsid w:val="006D0ACF"/>
    <w:rsid w:val="006D17FB"/>
    <w:rsid w:val="006D1876"/>
    <w:rsid w:val="006D1FC1"/>
    <w:rsid w:val="006D32AC"/>
    <w:rsid w:val="006D58E8"/>
    <w:rsid w:val="006D6B5A"/>
    <w:rsid w:val="006D6F9B"/>
    <w:rsid w:val="006D780C"/>
    <w:rsid w:val="006D7911"/>
    <w:rsid w:val="006E0BE4"/>
    <w:rsid w:val="006E27E6"/>
    <w:rsid w:val="006E36A3"/>
    <w:rsid w:val="006E413B"/>
    <w:rsid w:val="006E4C77"/>
    <w:rsid w:val="006E500B"/>
    <w:rsid w:val="006E5CA4"/>
    <w:rsid w:val="006E634A"/>
    <w:rsid w:val="006E6DC9"/>
    <w:rsid w:val="006F15CE"/>
    <w:rsid w:val="006F218D"/>
    <w:rsid w:val="006F31B4"/>
    <w:rsid w:val="006F3D31"/>
    <w:rsid w:val="006F4577"/>
    <w:rsid w:val="006F5B5A"/>
    <w:rsid w:val="006F7005"/>
    <w:rsid w:val="0070030A"/>
    <w:rsid w:val="00700F04"/>
    <w:rsid w:val="0070125C"/>
    <w:rsid w:val="00701AF5"/>
    <w:rsid w:val="00701E46"/>
    <w:rsid w:val="00703BC5"/>
    <w:rsid w:val="00704F45"/>
    <w:rsid w:val="007051E7"/>
    <w:rsid w:val="007052EB"/>
    <w:rsid w:val="00706233"/>
    <w:rsid w:val="00707E3A"/>
    <w:rsid w:val="00710087"/>
    <w:rsid w:val="007103C2"/>
    <w:rsid w:val="007104C6"/>
    <w:rsid w:val="00710BBA"/>
    <w:rsid w:val="00710EEC"/>
    <w:rsid w:val="007111ED"/>
    <w:rsid w:val="0071261D"/>
    <w:rsid w:val="00713AB6"/>
    <w:rsid w:val="00713BFB"/>
    <w:rsid w:val="007154EF"/>
    <w:rsid w:val="00720D59"/>
    <w:rsid w:val="00720F29"/>
    <w:rsid w:val="00721056"/>
    <w:rsid w:val="00721627"/>
    <w:rsid w:val="0072227E"/>
    <w:rsid w:val="00722EE0"/>
    <w:rsid w:val="00723A9B"/>
    <w:rsid w:val="00723C16"/>
    <w:rsid w:val="0072420D"/>
    <w:rsid w:val="00726FF2"/>
    <w:rsid w:val="00727701"/>
    <w:rsid w:val="007312A4"/>
    <w:rsid w:val="00731D6A"/>
    <w:rsid w:val="0073299C"/>
    <w:rsid w:val="00732CAB"/>
    <w:rsid w:val="00733ABC"/>
    <w:rsid w:val="00733AC6"/>
    <w:rsid w:val="0073412A"/>
    <w:rsid w:val="00734149"/>
    <w:rsid w:val="00735D7F"/>
    <w:rsid w:val="00736663"/>
    <w:rsid w:val="0073695E"/>
    <w:rsid w:val="007376B2"/>
    <w:rsid w:val="00737791"/>
    <w:rsid w:val="00740257"/>
    <w:rsid w:val="007408A3"/>
    <w:rsid w:val="0074091A"/>
    <w:rsid w:val="007429DD"/>
    <w:rsid w:val="00742F8C"/>
    <w:rsid w:val="007432E2"/>
    <w:rsid w:val="007441E5"/>
    <w:rsid w:val="007444AB"/>
    <w:rsid w:val="007450A0"/>
    <w:rsid w:val="0074514D"/>
    <w:rsid w:val="007457BA"/>
    <w:rsid w:val="00747A64"/>
    <w:rsid w:val="00750950"/>
    <w:rsid w:val="007509CC"/>
    <w:rsid w:val="0075123E"/>
    <w:rsid w:val="00752258"/>
    <w:rsid w:val="00752805"/>
    <w:rsid w:val="00752CB1"/>
    <w:rsid w:val="007532E7"/>
    <w:rsid w:val="007536A1"/>
    <w:rsid w:val="00753BC7"/>
    <w:rsid w:val="007552B6"/>
    <w:rsid w:val="007601AE"/>
    <w:rsid w:val="007607C8"/>
    <w:rsid w:val="00760834"/>
    <w:rsid w:val="00761788"/>
    <w:rsid w:val="00761B39"/>
    <w:rsid w:val="007638F8"/>
    <w:rsid w:val="007639CF"/>
    <w:rsid w:val="00763A3F"/>
    <w:rsid w:val="00764086"/>
    <w:rsid w:val="00764732"/>
    <w:rsid w:val="00765305"/>
    <w:rsid w:val="007659AF"/>
    <w:rsid w:val="007672EB"/>
    <w:rsid w:val="007676AB"/>
    <w:rsid w:val="00770250"/>
    <w:rsid w:val="007702E2"/>
    <w:rsid w:val="00771346"/>
    <w:rsid w:val="00771C9D"/>
    <w:rsid w:val="00771CAE"/>
    <w:rsid w:val="00772EDD"/>
    <w:rsid w:val="00773B10"/>
    <w:rsid w:val="0077403C"/>
    <w:rsid w:val="00774182"/>
    <w:rsid w:val="00775B2F"/>
    <w:rsid w:val="00776163"/>
    <w:rsid w:val="007771CF"/>
    <w:rsid w:val="00777DEE"/>
    <w:rsid w:val="00777EBD"/>
    <w:rsid w:val="00780B24"/>
    <w:rsid w:val="00781584"/>
    <w:rsid w:val="00782AA6"/>
    <w:rsid w:val="0078334D"/>
    <w:rsid w:val="00783AD2"/>
    <w:rsid w:val="007842C4"/>
    <w:rsid w:val="00784AF7"/>
    <w:rsid w:val="00784DB2"/>
    <w:rsid w:val="00784E34"/>
    <w:rsid w:val="00784FBE"/>
    <w:rsid w:val="0078512B"/>
    <w:rsid w:val="00786663"/>
    <w:rsid w:val="007909FF"/>
    <w:rsid w:val="007918FF"/>
    <w:rsid w:val="00792CA2"/>
    <w:rsid w:val="00793E6C"/>
    <w:rsid w:val="00794B49"/>
    <w:rsid w:val="0079602B"/>
    <w:rsid w:val="00796EC5"/>
    <w:rsid w:val="00797BB6"/>
    <w:rsid w:val="007A0AB5"/>
    <w:rsid w:val="007A18B4"/>
    <w:rsid w:val="007A1E3A"/>
    <w:rsid w:val="007A22D7"/>
    <w:rsid w:val="007A55E5"/>
    <w:rsid w:val="007A5C67"/>
    <w:rsid w:val="007A5E59"/>
    <w:rsid w:val="007A6411"/>
    <w:rsid w:val="007A6BD9"/>
    <w:rsid w:val="007A76D0"/>
    <w:rsid w:val="007B1B9C"/>
    <w:rsid w:val="007B342E"/>
    <w:rsid w:val="007B39C0"/>
    <w:rsid w:val="007B3A6D"/>
    <w:rsid w:val="007B54F3"/>
    <w:rsid w:val="007B5A23"/>
    <w:rsid w:val="007B5CD1"/>
    <w:rsid w:val="007B6A54"/>
    <w:rsid w:val="007B75EC"/>
    <w:rsid w:val="007B7E25"/>
    <w:rsid w:val="007C0332"/>
    <w:rsid w:val="007C0E92"/>
    <w:rsid w:val="007C1DC5"/>
    <w:rsid w:val="007C2334"/>
    <w:rsid w:val="007C30CC"/>
    <w:rsid w:val="007C5A43"/>
    <w:rsid w:val="007C5C59"/>
    <w:rsid w:val="007C5D58"/>
    <w:rsid w:val="007C63CB"/>
    <w:rsid w:val="007C6452"/>
    <w:rsid w:val="007C64D6"/>
    <w:rsid w:val="007C6DC5"/>
    <w:rsid w:val="007D00D1"/>
    <w:rsid w:val="007D21CF"/>
    <w:rsid w:val="007D69EC"/>
    <w:rsid w:val="007D7498"/>
    <w:rsid w:val="007D7EAF"/>
    <w:rsid w:val="007E05EE"/>
    <w:rsid w:val="007E0BD6"/>
    <w:rsid w:val="007E2540"/>
    <w:rsid w:val="007E3421"/>
    <w:rsid w:val="007E41FB"/>
    <w:rsid w:val="007E522D"/>
    <w:rsid w:val="007E634C"/>
    <w:rsid w:val="007E68BA"/>
    <w:rsid w:val="007F03DC"/>
    <w:rsid w:val="007F067C"/>
    <w:rsid w:val="007F0D0A"/>
    <w:rsid w:val="007F1114"/>
    <w:rsid w:val="007F1D33"/>
    <w:rsid w:val="007F2970"/>
    <w:rsid w:val="007F2FE2"/>
    <w:rsid w:val="007F3061"/>
    <w:rsid w:val="007F3C56"/>
    <w:rsid w:val="007F3D82"/>
    <w:rsid w:val="007F3FBD"/>
    <w:rsid w:val="007F465A"/>
    <w:rsid w:val="007F4D55"/>
    <w:rsid w:val="007F5A7E"/>
    <w:rsid w:val="007F5E06"/>
    <w:rsid w:val="007F663B"/>
    <w:rsid w:val="007F7588"/>
    <w:rsid w:val="007F7C98"/>
    <w:rsid w:val="008005FB"/>
    <w:rsid w:val="008008C1"/>
    <w:rsid w:val="00801B02"/>
    <w:rsid w:val="00801C98"/>
    <w:rsid w:val="00801CE0"/>
    <w:rsid w:val="00801F67"/>
    <w:rsid w:val="008026AA"/>
    <w:rsid w:val="0080287A"/>
    <w:rsid w:val="0080387F"/>
    <w:rsid w:val="00803996"/>
    <w:rsid w:val="00804286"/>
    <w:rsid w:val="00804C2E"/>
    <w:rsid w:val="00805EB2"/>
    <w:rsid w:val="008107FD"/>
    <w:rsid w:val="00810A36"/>
    <w:rsid w:val="00810B33"/>
    <w:rsid w:val="00811E3C"/>
    <w:rsid w:val="0081477B"/>
    <w:rsid w:val="0081480D"/>
    <w:rsid w:val="0081518B"/>
    <w:rsid w:val="00816825"/>
    <w:rsid w:val="00817BC4"/>
    <w:rsid w:val="0082008B"/>
    <w:rsid w:val="00820662"/>
    <w:rsid w:val="00822ABB"/>
    <w:rsid w:val="00823E24"/>
    <w:rsid w:val="008243DF"/>
    <w:rsid w:val="00824BB0"/>
    <w:rsid w:val="00825F19"/>
    <w:rsid w:val="008306C1"/>
    <w:rsid w:val="00830E37"/>
    <w:rsid w:val="00831073"/>
    <w:rsid w:val="0083171E"/>
    <w:rsid w:val="008317F2"/>
    <w:rsid w:val="0083219B"/>
    <w:rsid w:val="00833492"/>
    <w:rsid w:val="00833816"/>
    <w:rsid w:val="00835CA6"/>
    <w:rsid w:val="00836DF7"/>
    <w:rsid w:val="00840534"/>
    <w:rsid w:val="00840F83"/>
    <w:rsid w:val="00841DF2"/>
    <w:rsid w:val="00843548"/>
    <w:rsid w:val="00844CA0"/>
    <w:rsid w:val="008458DB"/>
    <w:rsid w:val="00845A83"/>
    <w:rsid w:val="00846EAF"/>
    <w:rsid w:val="00847025"/>
    <w:rsid w:val="0084761C"/>
    <w:rsid w:val="00847A1D"/>
    <w:rsid w:val="00847DCC"/>
    <w:rsid w:val="00850032"/>
    <w:rsid w:val="008511BB"/>
    <w:rsid w:val="00854457"/>
    <w:rsid w:val="00854B5B"/>
    <w:rsid w:val="00854F8A"/>
    <w:rsid w:val="00855103"/>
    <w:rsid w:val="00855B51"/>
    <w:rsid w:val="0085641E"/>
    <w:rsid w:val="00856493"/>
    <w:rsid w:val="008602AD"/>
    <w:rsid w:val="008633C0"/>
    <w:rsid w:val="00864C4E"/>
    <w:rsid w:val="0086528A"/>
    <w:rsid w:val="008661E6"/>
    <w:rsid w:val="008662D3"/>
    <w:rsid w:val="00866894"/>
    <w:rsid w:val="00867843"/>
    <w:rsid w:val="008700D8"/>
    <w:rsid w:val="00870F68"/>
    <w:rsid w:val="00872246"/>
    <w:rsid w:val="008728B5"/>
    <w:rsid w:val="00873E64"/>
    <w:rsid w:val="00874515"/>
    <w:rsid w:val="00875859"/>
    <w:rsid w:val="00876FF7"/>
    <w:rsid w:val="008805ED"/>
    <w:rsid w:val="00882460"/>
    <w:rsid w:val="008826AE"/>
    <w:rsid w:val="00883665"/>
    <w:rsid w:val="00883DA4"/>
    <w:rsid w:val="00883E03"/>
    <w:rsid w:val="00883F2E"/>
    <w:rsid w:val="008853E6"/>
    <w:rsid w:val="00885D70"/>
    <w:rsid w:val="008861C7"/>
    <w:rsid w:val="008900A8"/>
    <w:rsid w:val="0089012E"/>
    <w:rsid w:val="008922A5"/>
    <w:rsid w:val="00892458"/>
    <w:rsid w:val="00892A20"/>
    <w:rsid w:val="00892D76"/>
    <w:rsid w:val="008952D4"/>
    <w:rsid w:val="008A0256"/>
    <w:rsid w:val="008A0F52"/>
    <w:rsid w:val="008A145F"/>
    <w:rsid w:val="008A2B8F"/>
    <w:rsid w:val="008A2D69"/>
    <w:rsid w:val="008A4B23"/>
    <w:rsid w:val="008A55C6"/>
    <w:rsid w:val="008A5892"/>
    <w:rsid w:val="008A61CB"/>
    <w:rsid w:val="008A70CC"/>
    <w:rsid w:val="008A79FD"/>
    <w:rsid w:val="008B044E"/>
    <w:rsid w:val="008B0737"/>
    <w:rsid w:val="008B18F8"/>
    <w:rsid w:val="008B2A6D"/>
    <w:rsid w:val="008B2C29"/>
    <w:rsid w:val="008B4431"/>
    <w:rsid w:val="008B4EE5"/>
    <w:rsid w:val="008B516B"/>
    <w:rsid w:val="008B521D"/>
    <w:rsid w:val="008B67FE"/>
    <w:rsid w:val="008B6C26"/>
    <w:rsid w:val="008B7323"/>
    <w:rsid w:val="008B7B2E"/>
    <w:rsid w:val="008C091C"/>
    <w:rsid w:val="008C1316"/>
    <w:rsid w:val="008C1B46"/>
    <w:rsid w:val="008C21F8"/>
    <w:rsid w:val="008C2FEC"/>
    <w:rsid w:val="008C394C"/>
    <w:rsid w:val="008C4439"/>
    <w:rsid w:val="008C45EA"/>
    <w:rsid w:val="008C586A"/>
    <w:rsid w:val="008C5979"/>
    <w:rsid w:val="008C5C6A"/>
    <w:rsid w:val="008C6493"/>
    <w:rsid w:val="008C6B86"/>
    <w:rsid w:val="008D1A0F"/>
    <w:rsid w:val="008D295A"/>
    <w:rsid w:val="008D3542"/>
    <w:rsid w:val="008D5A51"/>
    <w:rsid w:val="008D6F62"/>
    <w:rsid w:val="008D71D0"/>
    <w:rsid w:val="008D7259"/>
    <w:rsid w:val="008E014E"/>
    <w:rsid w:val="008E23F3"/>
    <w:rsid w:val="008E3039"/>
    <w:rsid w:val="008E3392"/>
    <w:rsid w:val="008E383D"/>
    <w:rsid w:val="008E3E4A"/>
    <w:rsid w:val="008E4CA0"/>
    <w:rsid w:val="008E52FB"/>
    <w:rsid w:val="008E5950"/>
    <w:rsid w:val="008E59B1"/>
    <w:rsid w:val="008E5DA8"/>
    <w:rsid w:val="008E6C25"/>
    <w:rsid w:val="008E790B"/>
    <w:rsid w:val="008E7F8D"/>
    <w:rsid w:val="008F1D01"/>
    <w:rsid w:val="008F23B0"/>
    <w:rsid w:val="008F3AD4"/>
    <w:rsid w:val="008F436A"/>
    <w:rsid w:val="008F4752"/>
    <w:rsid w:val="008F5C94"/>
    <w:rsid w:val="008F6660"/>
    <w:rsid w:val="008F675E"/>
    <w:rsid w:val="008F703E"/>
    <w:rsid w:val="008F789B"/>
    <w:rsid w:val="00900880"/>
    <w:rsid w:val="009028A5"/>
    <w:rsid w:val="00904E72"/>
    <w:rsid w:val="00905A6D"/>
    <w:rsid w:val="00905F11"/>
    <w:rsid w:val="00907496"/>
    <w:rsid w:val="009078EC"/>
    <w:rsid w:val="009079A2"/>
    <w:rsid w:val="00913268"/>
    <w:rsid w:val="00913CE8"/>
    <w:rsid w:val="0091416F"/>
    <w:rsid w:val="009143E9"/>
    <w:rsid w:val="00914405"/>
    <w:rsid w:val="00914DD8"/>
    <w:rsid w:val="00915188"/>
    <w:rsid w:val="009157C5"/>
    <w:rsid w:val="0091623B"/>
    <w:rsid w:val="00922751"/>
    <w:rsid w:val="009232B0"/>
    <w:rsid w:val="009236B7"/>
    <w:rsid w:val="00924CEC"/>
    <w:rsid w:val="009253C9"/>
    <w:rsid w:val="00926619"/>
    <w:rsid w:val="009273C6"/>
    <w:rsid w:val="0092790D"/>
    <w:rsid w:val="00930510"/>
    <w:rsid w:val="009330E0"/>
    <w:rsid w:val="00933404"/>
    <w:rsid w:val="00933FDD"/>
    <w:rsid w:val="00935899"/>
    <w:rsid w:val="00937211"/>
    <w:rsid w:val="0093736C"/>
    <w:rsid w:val="00937A7C"/>
    <w:rsid w:val="00940E37"/>
    <w:rsid w:val="00941016"/>
    <w:rsid w:val="009426C0"/>
    <w:rsid w:val="00945FA7"/>
    <w:rsid w:val="0094658D"/>
    <w:rsid w:val="00946A90"/>
    <w:rsid w:val="00946F49"/>
    <w:rsid w:val="00947C4B"/>
    <w:rsid w:val="00950649"/>
    <w:rsid w:val="00950ECE"/>
    <w:rsid w:val="00951001"/>
    <w:rsid w:val="009515AD"/>
    <w:rsid w:val="00952BB6"/>
    <w:rsid w:val="0095478E"/>
    <w:rsid w:val="00955F75"/>
    <w:rsid w:val="009563A9"/>
    <w:rsid w:val="00956FF3"/>
    <w:rsid w:val="009574FA"/>
    <w:rsid w:val="00960D0D"/>
    <w:rsid w:val="0096232C"/>
    <w:rsid w:val="0096243A"/>
    <w:rsid w:val="009624B5"/>
    <w:rsid w:val="009626FD"/>
    <w:rsid w:val="00962BF8"/>
    <w:rsid w:val="00963C39"/>
    <w:rsid w:val="00964E05"/>
    <w:rsid w:val="00964F44"/>
    <w:rsid w:val="009654DC"/>
    <w:rsid w:val="0096592D"/>
    <w:rsid w:val="00965A24"/>
    <w:rsid w:val="0096620D"/>
    <w:rsid w:val="00966C37"/>
    <w:rsid w:val="00972A53"/>
    <w:rsid w:val="0097324B"/>
    <w:rsid w:val="0097385E"/>
    <w:rsid w:val="009740D6"/>
    <w:rsid w:val="00974BFD"/>
    <w:rsid w:val="0097506E"/>
    <w:rsid w:val="009765A0"/>
    <w:rsid w:val="009775AC"/>
    <w:rsid w:val="0098028F"/>
    <w:rsid w:val="009802E3"/>
    <w:rsid w:val="0098068B"/>
    <w:rsid w:val="009806CC"/>
    <w:rsid w:val="0098248A"/>
    <w:rsid w:val="00982D9C"/>
    <w:rsid w:val="009831D9"/>
    <w:rsid w:val="00983F10"/>
    <w:rsid w:val="00983F53"/>
    <w:rsid w:val="0098438E"/>
    <w:rsid w:val="009845B7"/>
    <w:rsid w:val="009845DC"/>
    <w:rsid w:val="00984B54"/>
    <w:rsid w:val="00984CEE"/>
    <w:rsid w:val="00984DF7"/>
    <w:rsid w:val="00986653"/>
    <w:rsid w:val="009871E8"/>
    <w:rsid w:val="009871FF"/>
    <w:rsid w:val="009900F3"/>
    <w:rsid w:val="00990121"/>
    <w:rsid w:val="00990529"/>
    <w:rsid w:val="009907A5"/>
    <w:rsid w:val="009914AA"/>
    <w:rsid w:val="009914F0"/>
    <w:rsid w:val="00991F4E"/>
    <w:rsid w:val="00992166"/>
    <w:rsid w:val="009926ED"/>
    <w:rsid w:val="009929BD"/>
    <w:rsid w:val="00993882"/>
    <w:rsid w:val="0099441D"/>
    <w:rsid w:val="00995697"/>
    <w:rsid w:val="009958DC"/>
    <w:rsid w:val="00995D40"/>
    <w:rsid w:val="00996078"/>
    <w:rsid w:val="00997287"/>
    <w:rsid w:val="00997A4C"/>
    <w:rsid w:val="009A056E"/>
    <w:rsid w:val="009A0A65"/>
    <w:rsid w:val="009A0F4F"/>
    <w:rsid w:val="009A15AC"/>
    <w:rsid w:val="009A2AA9"/>
    <w:rsid w:val="009A2D70"/>
    <w:rsid w:val="009A3602"/>
    <w:rsid w:val="009A42EF"/>
    <w:rsid w:val="009A62E5"/>
    <w:rsid w:val="009A69FE"/>
    <w:rsid w:val="009A6D99"/>
    <w:rsid w:val="009A7865"/>
    <w:rsid w:val="009A7B87"/>
    <w:rsid w:val="009A7E94"/>
    <w:rsid w:val="009B0D47"/>
    <w:rsid w:val="009B1E72"/>
    <w:rsid w:val="009B4DA7"/>
    <w:rsid w:val="009B5063"/>
    <w:rsid w:val="009B548D"/>
    <w:rsid w:val="009B58DB"/>
    <w:rsid w:val="009B6145"/>
    <w:rsid w:val="009B743E"/>
    <w:rsid w:val="009B782A"/>
    <w:rsid w:val="009B7ECE"/>
    <w:rsid w:val="009C0802"/>
    <w:rsid w:val="009C0A7E"/>
    <w:rsid w:val="009C43D7"/>
    <w:rsid w:val="009C52D3"/>
    <w:rsid w:val="009C62D5"/>
    <w:rsid w:val="009C673C"/>
    <w:rsid w:val="009C6FE8"/>
    <w:rsid w:val="009C750F"/>
    <w:rsid w:val="009C7F02"/>
    <w:rsid w:val="009C7FC7"/>
    <w:rsid w:val="009D0C8F"/>
    <w:rsid w:val="009D107E"/>
    <w:rsid w:val="009D1E92"/>
    <w:rsid w:val="009D3DC6"/>
    <w:rsid w:val="009D4A32"/>
    <w:rsid w:val="009D5B21"/>
    <w:rsid w:val="009D6037"/>
    <w:rsid w:val="009D7727"/>
    <w:rsid w:val="009D7E47"/>
    <w:rsid w:val="009E1053"/>
    <w:rsid w:val="009E2705"/>
    <w:rsid w:val="009E2C82"/>
    <w:rsid w:val="009E2F39"/>
    <w:rsid w:val="009E35AF"/>
    <w:rsid w:val="009E60DF"/>
    <w:rsid w:val="009E6709"/>
    <w:rsid w:val="009E6ED4"/>
    <w:rsid w:val="009E701F"/>
    <w:rsid w:val="009F0FDC"/>
    <w:rsid w:val="009F1C01"/>
    <w:rsid w:val="009F20E4"/>
    <w:rsid w:val="009F3E71"/>
    <w:rsid w:val="009F4487"/>
    <w:rsid w:val="009F4878"/>
    <w:rsid w:val="009F4B2F"/>
    <w:rsid w:val="009F55AD"/>
    <w:rsid w:val="009F6B04"/>
    <w:rsid w:val="009F7484"/>
    <w:rsid w:val="009F7979"/>
    <w:rsid w:val="00A00ACF"/>
    <w:rsid w:val="00A00BA1"/>
    <w:rsid w:val="00A0125C"/>
    <w:rsid w:val="00A01EB9"/>
    <w:rsid w:val="00A01EEA"/>
    <w:rsid w:val="00A02040"/>
    <w:rsid w:val="00A0233F"/>
    <w:rsid w:val="00A0255B"/>
    <w:rsid w:val="00A02E7B"/>
    <w:rsid w:val="00A0302F"/>
    <w:rsid w:val="00A03A67"/>
    <w:rsid w:val="00A03BFE"/>
    <w:rsid w:val="00A0448E"/>
    <w:rsid w:val="00A060B6"/>
    <w:rsid w:val="00A06693"/>
    <w:rsid w:val="00A0752E"/>
    <w:rsid w:val="00A1169E"/>
    <w:rsid w:val="00A1211C"/>
    <w:rsid w:val="00A13A3E"/>
    <w:rsid w:val="00A14C7A"/>
    <w:rsid w:val="00A154BA"/>
    <w:rsid w:val="00A16650"/>
    <w:rsid w:val="00A17051"/>
    <w:rsid w:val="00A17810"/>
    <w:rsid w:val="00A20697"/>
    <w:rsid w:val="00A213CC"/>
    <w:rsid w:val="00A21A16"/>
    <w:rsid w:val="00A2236A"/>
    <w:rsid w:val="00A23792"/>
    <w:rsid w:val="00A23ACC"/>
    <w:rsid w:val="00A243E9"/>
    <w:rsid w:val="00A24FFD"/>
    <w:rsid w:val="00A26DC7"/>
    <w:rsid w:val="00A30872"/>
    <w:rsid w:val="00A30E26"/>
    <w:rsid w:val="00A315F5"/>
    <w:rsid w:val="00A31BF3"/>
    <w:rsid w:val="00A3235B"/>
    <w:rsid w:val="00A33318"/>
    <w:rsid w:val="00A337E0"/>
    <w:rsid w:val="00A3613A"/>
    <w:rsid w:val="00A3680D"/>
    <w:rsid w:val="00A36920"/>
    <w:rsid w:val="00A37D54"/>
    <w:rsid w:val="00A37FB8"/>
    <w:rsid w:val="00A400D4"/>
    <w:rsid w:val="00A41837"/>
    <w:rsid w:val="00A43B5C"/>
    <w:rsid w:val="00A43DE6"/>
    <w:rsid w:val="00A443AD"/>
    <w:rsid w:val="00A44620"/>
    <w:rsid w:val="00A44C47"/>
    <w:rsid w:val="00A452D4"/>
    <w:rsid w:val="00A46340"/>
    <w:rsid w:val="00A46E21"/>
    <w:rsid w:val="00A51A23"/>
    <w:rsid w:val="00A51BE7"/>
    <w:rsid w:val="00A52B68"/>
    <w:rsid w:val="00A53FB1"/>
    <w:rsid w:val="00A548A0"/>
    <w:rsid w:val="00A60275"/>
    <w:rsid w:val="00A6079A"/>
    <w:rsid w:val="00A60BA1"/>
    <w:rsid w:val="00A6291B"/>
    <w:rsid w:val="00A63CBE"/>
    <w:rsid w:val="00A6434E"/>
    <w:rsid w:val="00A646E3"/>
    <w:rsid w:val="00A67603"/>
    <w:rsid w:val="00A7197D"/>
    <w:rsid w:val="00A72F96"/>
    <w:rsid w:val="00A73A2D"/>
    <w:rsid w:val="00A749C7"/>
    <w:rsid w:val="00A7585B"/>
    <w:rsid w:val="00A75BFF"/>
    <w:rsid w:val="00A777A0"/>
    <w:rsid w:val="00A80ABB"/>
    <w:rsid w:val="00A80C0D"/>
    <w:rsid w:val="00A81C48"/>
    <w:rsid w:val="00A823C8"/>
    <w:rsid w:val="00A849E7"/>
    <w:rsid w:val="00A85369"/>
    <w:rsid w:val="00A85CF6"/>
    <w:rsid w:val="00A869D6"/>
    <w:rsid w:val="00A8722C"/>
    <w:rsid w:val="00A91507"/>
    <w:rsid w:val="00A9186E"/>
    <w:rsid w:val="00A91D81"/>
    <w:rsid w:val="00A92246"/>
    <w:rsid w:val="00A92F03"/>
    <w:rsid w:val="00A93CD5"/>
    <w:rsid w:val="00A94C57"/>
    <w:rsid w:val="00A95800"/>
    <w:rsid w:val="00A964C7"/>
    <w:rsid w:val="00A965D7"/>
    <w:rsid w:val="00A9687E"/>
    <w:rsid w:val="00A96DD1"/>
    <w:rsid w:val="00A97F1B"/>
    <w:rsid w:val="00A97F5C"/>
    <w:rsid w:val="00AA019C"/>
    <w:rsid w:val="00AA0C94"/>
    <w:rsid w:val="00AA2492"/>
    <w:rsid w:val="00AA4BDA"/>
    <w:rsid w:val="00AA565E"/>
    <w:rsid w:val="00AA5FFB"/>
    <w:rsid w:val="00AA76D5"/>
    <w:rsid w:val="00AA7FB4"/>
    <w:rsid w:val="00AB0011"/>
    <w:rsid w:val="00AB0EA2"/>
    <w:rsid w:val="00AB2607"/>
    <w:rsid w:val="00AB267C"/>
    <w:rsid w:val="00AB2EB0"/>
    <w:rsid w:val="00AB3BFF"/>
    <w:rsid w:val="00AB68E9"/>
    <w:rsid w:val="00AC0FA3"/>
    <w:rsid w:val="00AC1574"/>
    <w:rsid w:val="00AC15AC"/>
    <w:rsid w:val="00AC29A0"/>
    <w:rsid w:val="00AC2BF2"/>
    <w:rsid w:val="00AC39FF"/>
    <w:rsid w:val="00AC3A61"/>
    <w:rsid w:val="00AC3AD7"/>
    <w:rsid w:val="00AC46B7"/>
    <w:rsid w:val="00AC49D5"/>
    <w:rsid w:val="00AC516E"/>
    <w:rsid w:val="00AC5607"/>
    <w:rsid w:val="00AC692F"/>
    <w:rsid w:val="00AC7228"/>
    <w:rsid w:val="00AC79C8"/>
    <w:rsid w:val="00AD3DBF"/>
    <w:rsid w:val="00AD3EE1"/>
    <w:rsid w:val="00AD3F5D"/>
    <w:rsid w:val="00AD5223"/>
    <w:rsid w:val="00AD54EC"/>
    <w:rsid w:val="00AD5992"/>
    <w:rsid w:val="00AD5AD9"/>
    <w:rsid w:val="00AD6D89"/>
    <w:rsid w:val="00AE178A"/>
    <w:rsid w:val="00AE1DD7"/>
    <w:rsid w:val="00AE4069"/>
    <w:rsid w:val="00AE4ED6"/>
    <w:rsid w:val="00AE5233"/>
    <w:rsid w:val="00AE7495"/>
    <w:rsid w:val="00AE7AEB"/>
    <w:rsid w:val="00AE7DBC"/>
    <w:rsid w:val="00AF18B7"/>
    <w:rsid w:val="00AF1A63"/>
    <w:rsid w:val="00AF1C7F"/>
    <w:rsid w:val="00AF3D77"/>
    <w:rsid w:val="00AF4A8A"/>
    <w:rsid w:val="00AF4BDE"/>
    <w:rsid w:val="00AF5974"/>
    <w:rsid w:val="00AF6AFD"/>
    <w:rsid w:val="00AF71E8"/>
    <w:rsid w:val="00AF7215"/>
    <w:rsid w:val="00B00FA0"/>
    <w:rsid w:val="00B01950"/>
    <w:rsid w:val="00B023EE"/>
    <w:rsid w:val="00B02E49"/>
    <w:rsid w:val="00B03784"/>
    <w:rsid w:val="00B03A87"/>
    <w:rsid w:val="00B06101"/>
    <w:rsid w:val="00B067C1"/>
    <w:rsid w:val="00B07731"/>
    <w:rsid w:val="00B10A3C"/>
    <w:rsid w:val="00B10C4A"/>
    <w:rsid w:val="00B119DE"/>
    <w:rsid w:val="00B11B1E"/>
    <w:rsid w:val="00B12EA7"/>
    <w:rsid w:val="00B15197"/>
    <w:rsid w:val="00B15336"/>
    <w:rsid w:val="00B15F07"/>
    <w:rsid w:val="00B17068"/>
    <w:rsid w:val="00B2009F"/>
    <w:rsid w:val="00B20343"/>
    <w:rsid w:val="00B2077E"/>
    <w:rsid w:val="00B21398"/>
    <w:rsid w:val="00B22379"/>
    <w:rsid w:val="00B223F6"/>
    <w:rsid w:val="00B22EB6"/>
    <w:rsid w:val="00B23FEE"/>
    <w:rsid w:val="00B2410D"/>
    <w:rsid w:val="00B2563A"/>
    <w:rsid w:val="00B25CBC"/>
    <w:rsid w:val="00B30DE6"/>
    <w:rsid w:val="00B31922"/>
    <w:rsid w:val="00B320DF"/>
    <w:rsid w:val="00B32D84"/>
    <w:rsid w:val="00B33890"/>
    <w:rsid w:val="00B349FD"/>
    <w:rsid w:val="00B35B90"/>
    <w:rsid w:val="00B366C9"/>
    <w:rsid w:val="00B36AE3"/>
    <w:rsid w:val="00B37471"/>
    <w:rsid w:val="00B4040C"/>
    <w:rsid w:val="00B4067D"/>
    <w:rsid w:val="00B40B58"/>
    <w:rsid w:val="00B42003"/>
    <w:rsid w:val="00B42C4B"/>
    <w:rsid w:val="00B43598"/>
    <w:rsid w:val="00B43F1F"/>
    <w:rsid w:val="00B45449"/>
    <w:rsid w:val="00B4582A"/>
    <w:rsid w:val="00B45A03"/>
    <w:rsid w:val="00B527BC"/>
    <w:rsid w:val="00B52D5A"/>
    <w:rsid w:val="00B5372C"/>
    <w:rsid w:val="00B538D9"/>
    <w:rsid w:val="00B54525"/>
    <w:rsid w:val="00B54D81"/>
    <w:rsid w:val="00B552C0"/>
    <w:rsid w:val="00B55AFA"/>
    <w:rsid w:val="00B5604D"/>
    <w:rsid w:val="00B570DF"/>
    <w:rsid w:val="00B61123"/>
    <w:rsid w:val="00B61F46"/>
    <w:rsid w:val="00B62E06"/>
    <w:rsid w:val="00B63BAB"/>
    <w:rsid w:val="00B640E0"/>
    <w:rsid w:val="00B6551A"/>
    <w:rsid w:val="00B65FCD"/>
    <w:rsid w:val="00B66147"/>
    <w:rsid w:val="00B6750D"/>
    <w:rsid w:val="00B675AF"/>
    <w:rsid w:val="00B67B6C"/>
    <w:rsid w:val="00B70473"/>
    <w:rsid w:val="00B7066F"/>
    <w:rsid w:val="00B70E68"/>
    <w:rsid w:val="00B71744"/>
    <w:rsid w:val="00B7287F"/>
    <w:rsid w:val="00B72C73"/>
    <w:rsid w:val="00B73F65"/>
    <w:rsid w:val="00B741F3"/>
    <w:rsid w:val="00B742D4"/>
    <w:rsid w:val="00B74585"/>
    <w:rsid w:val="00B74A78"/>
    <w:rsid w:val="00B751A5"/>
    <w:rsid w:val="00B757CC"/>
    <w:rsid w:val="00B75A1C"/>
    <w:rsid w:val="00B76CEE"/>
    <w:rsid w:val="00B77135"/>
    <w:rsid w:val="00B77373"/>
    <w:rsid w:val="00B77A03"/>
    <w:rsid w:val="00B77BD4"/>
    <w:rsid w:val="00B8034D"/>
    <w:rsid w:val="00B8062E"/>
    <w:rsid w:val="00B82E9B"/>
    <w:rsid w:val="00B831DC"/>
    <w:rsid w:val="00B831DF"/>
    <w:rsid w:val="00B83467"/>
    <w:rsid w:val="00B83F5D"/>
    <w:rsid w:val="00B8400C"/>
    <w:rsid w:val="00B84391"/>
    <w:rsid w:val="00B845BF"/>
    <w:rsid w:val="00B84B75"/>
    <w:rsid w:val="00B85ADB"/>
    <w:rsid w:val="00B866E3"/>
    <w:rsid w:val="00B86A5E"/>
    <w:rsid w:val="00B87D8E"/>
    <w:rsid w:val="00B919E0"/>
    <w:rsid w:val="00B91A47"/>
    <w:rsid w:val="00B93B6E"/>
    <w:rsid w:val="00B941DB"/>
    <w:rsid w:val="00B946DF"/>
    <w:rsid w:val="00B94A63"/>
    <w:rsid w:val="00B94F17"/>
    <w:rsid w:val="00B96396"/>
    <w:rsid w:val="00B966D2"/>
    <w:rsid w:val="00BA0EA1"/>
    <w:rsid w:val="00BA36B1"/>
    <w:rsid w:val="00BA375D"/>
    <w:rsid w:val="00BA3B4D"/>
    <w:rsid w:val="00BA3DB6"/>
    <w:rsid w:val="00BA3DB9"/>
    <w:rsid w:val="00BA4BCF"/>
    <w:rsid w:val="00BA62A9"/>
    <w:rsid w:val="00BA72E0"/>
    <w:rsid w:val="00BA7425"/>
    <w:rsid w:val="00BA75AE"/>
    <w:rsid w:val="00BA7BBA"/>
    <w:rsid w:val="00BB187F"/>
    <w:rsid w:val="00BB1AA6"/>
    <w:rsid w:val="00BB2757"/>
    <w:rsid w:val="00BB306E"/>
    <w:rsid w:val="00BB5AE1"/>
    <w:rsid w:val="00BB5C42"/>
    <w:rsid w:val="00BB6401"/>
    <w:rsid w:val="00BB7613"/>
    <w:rsid w:val="00BB7B00"/>
    <w:rsid w:val="00BC058E"/>
    <w:rsid w:val="00BC0971"/>
    <w:rsid w:val="00BC2737"/>
    <w:rsid w:val="00BC2CC4"/>
    <w:rsid w:val="00BC3223"/>
    <w:rsid w:val="00BC390F"/>
    <w:rsid w:val="00BC392E"/>
    <w:rsid w:val="00BC3D87"/>
    <w:rsid w:val="00BC4A1B"/>
    <w:rsid w:val="00BD01EF"/>
    <w:rsid w:val="00BD0994"/>
    <w:rsid w:val="00BD0A1F"/>
    <w:rsid w:val="00BD2BC4"/>
    <w:rsid w:val="00BD4889"/>
    <w:rsid w:val="00BD4EB2"/>
    <w:rsid w:val="00BD4F67"/>
    <w:rsid w:val="00BD6660"/>
    <w:rsid w:val="00BD7C21"/>
    <w:rsid w:val="00BD7F02"/>
    <w:rsid w:val="00BE038E"/>
    <w:rsid w:val="00BE0E8B"/>
    <w:rsid w:val="00BE3978"/>
    <w:rsid w:val="00BE3BA2"/>
    <w:rsid w:val="00BE4870"/>
    <w:rsid w:val="00BE5426"/>
    <w:rsid w:val="00BE6722"/>
    <w:rsid w:val="00BE69BF"/>
    <w:rsid w:val="00BE6CA7"/>
    <w:rsid w:val="00BE7BDF"/>
    <w:rsid w:val="00BF0684"/>
    <w:rsid w:val="00BF0967"/>
    <w:rsid w:val="00BF1094"/>
    <w:rsid w:val="00BF1B90"/>
    <w:rsid w:val="00BF3E04"/>
    <w:rsid w:val="00BF4A9D"/>
    <w:rsid w:val="00BF4EFE"/>
    <w:rsid w:val="00BF5288"/>
    <w:rsid w:val="00C00099"/>
    <w:rsid w:val="00C002FE"/>
    <w:rsid w:val="00C01C78"/>
    <w:rsid w:val="00C0422E"/>
    <w:rsid w:val="00C05233"/>
    <w:rsid w:val="00C05395"/>
    <w:rsid w:val="00C0705F"/>
    <w:rsid w:val="00C07290"/>
    <w:rsid w:val="00C1085F"/>
    <w:rsid w:val="00C11A57"/>
    <w:rsid w:val="00C11BCA"/>
    <w:rsid w:val="00C14DD2"/>
    <w:rsid w:val="00C15B2D"/>
    <w:rsid w:val="00C17010"/>
    <w:rsid w:val="00C22DCA"/>
    <w:rsid w:val="00C24E97"/>
    <w:rsid w:val="00C254FB"/>
    <w:rsid w:val="00C30A58"/>
    <w:rsid w:val="00C3117A"/>
    <w:rsid w:val="00C316A3"/>
    <w:rsid w:val="00C336F4"/>
    <w:rsid w:val="00C33E2E"/>
    <w:rsid w:val="00C3449D"/>
    <w:rsid w:val="00C35228"/>
    <w:rsid w:val="00C354F2"/>
    <w:rsid w:val="00C35CE3"/>
    <w:rsid w:val="00C369DF"/>
    <w:rsid w:val="00C37249"/>
    <w:rsid w:val="00C37276"/>
    <w:rsid w:val="00C37B07"/>
    <w:rsid w:val="00C4145C"/>
    <w:rsid w:val="00C4231D"/>
    <w:rsid w:val="00C428E1"/>
    <w:rsid w:val="00C43F21"/>
    <w:rsid w:val="00C444AB"/>
    <w:rsid w:val="00C44E99"/>
    <w:rsid w:val="00C4526B"/>
    <w:rsid w:val="00C456FB"/>
    <w:rsid w:val="00C45BB6"/>
    <w:rsid w:val="00C508B0"/>
    <w:rsid w:val="00C50D23"/>
    <w:rsid w:val="00C50EA4"/>
    <w:rsid w:val="00C5160A"/>
    <w:rsid w:val="00C52A95"/>
    <w:rsid w:val="00C52AD3"/>
    <w:rsid w:val="00C5365D"/>
    <w:rsid w:val="00C53A66"/>
    <w:rsid w:val="00C53B69"/>
    <w:rsid w:val="00C53C5A"/>
    <w:rsid w:val="00C547D0"/>
    <w:rsid w:val="00C54DBC"/>
    <w:rsid w:val="00C5617F"/>
    <w:rsid w:val="00C56E6F"/>
    <w:rsid w:val="00C56EAB"/>
    <w:rsid w:val="00C56FFD"/>
    <w:rsid w:val="00C57426"/>
    <w:rsid w:val="00C60EB3"/>
    <w:rsid w:val="00C614D5"/>
    <w:rsid w:val="00C61B54"/>
    <w:rsid w:val="00C61D31"/>
    <w:rsid w:val="00C66730"/>
    <w:rsid w:val="00C66C75"/>
    <w:rsid w:val="00C66D10"/>
    <w:rsid w:val="00C670EA"/>
    <w:rsid w:val="00C706E0"/>
    <w:rsid w:val="00C70A85"/>
    <w:rsid w:val="00C70FC3"/>
    <w:rsid w:val="00C70FD3"/>
    <w:rsid w:val="00C72787"/>
    <w:rsid w:val="00C73880"/>
    <w:rsid w:val="00C73B47"/>
    <w:rsid w:val="00C74392"/>
    <w:rsid w:val="00C74F23"/>
    <w:rsid w:val="00C75A56"/>
    <w:rsid w:val="00C7676F"/>
    <w:rsid w:val="00C80592"/>
    <w:rsid w:val="00C805E9"/>
    <w:rsid w:val="00C807FE"/>
    <w:rsid w:val="00C809C5"/>
    <w:rsid w:val="00C80D52"/>
    <w:rsid w:val="00C81C04"/>
    <w:rsid w:val="00C82E84"/>
    <w:rsid w:val="00C846A6"/>
    <w:rsid w:val="00C84E1B"/>
    <w:rsid w:val="00C85610"/>
    <w:rsid w:val="00C86353"/>
    <w:rsid w:val="00C86476"/>
    <w:rsid w:val="00C87669"/>
    <w:rsid w:val="00C87BCA"/>
    <w:rsid w:val="00C905F5"/>
    <w:rsid w:val="00C90F92"/>
    <w:rsid w:val="00C92ABD"/>
    <w:rsid w:val="00C9444D"/>
    <w:rsid w:val="00C94682"/>
    <w:rsid w:val="00C950D4"/>
    <w:rsid w:val="00C95B5F"/>
    <w:rsid w:val="00C95BDC"/>
    <w:rsid w:val="00C976FA"/>
    <w:rsid w:val="00C97C23"/>
    <w:rsid w:val="00CA0AD0"/>
    <w:rsid w:val="00CA0E57"/>
    <w:rsid w:val="00CA180E"/>
    <w:rsid w:val="00CA32E1"/>
    <w:rsid w:val="00CA57C8"/>
    <w:rsid w:val="00CA7824"/>
    <w:rsid w:val="00CB019F"/>
    <w:rsid w:val="00CB0774"/>
    <w:rsid w:val="00CB4968"/>
    <w:rsid w:val="00CB4FEA"/>
    <w:rsid w:val="00CB4FF3"/>
    <w:rsid w:val="00CB6F4E"/>
    <w:rsid w:val="00CC42DD"/>
    <w:rsid w:val="00CC5FF8"/>
    <w:rsid w:val="00CC64BB"/>
    <w:rsid w:val="00CC6F12"/>
    <w:rsid w:val="00CC7BFC"/>
    <w:rsid w:val="00CD007C"/>
    <w:rsid w:val="00CD0535"/>
    <w:rsid w:val="00CD0A15"/>
    <w:rsid w:val="00CD1539"/>
    <w:rsid w:val="00CD20DC"/>
    <w:rsid w:val="00CD251F"/>
    <w:rsid w:val="00CD2CF8"/>
    <w:rsid w:val="00CD2FE9"/>
    <w:rsid w:val="00CD31A6"/>
    <w:rsid w:val="00CD3377"/>
    <w:rsid w:val="00CD3774"/>
    <w:rsid w:val="00CD3C21"/>
    <w:rsid w:val="00CD3E6F"/>
    <w:rsid w:val="00CD41C5"/>
    <w:rsid w:val="00CD5FC7"/>
    <w:rsid w:val="00CD6900"/>
    <w:rsid w:val="00CE047D"/>
    <w:rsid w:val="00CE0A8C"/>
    <w:rsid w:val="00CE0D51"/>
    <w:rsid w:val="00CE1778"/>
    <w:rsid w:val="00CE21A1"/>
    <w:rsid w:val="00CE3884"/>
    <w:rsid w:val="00CE4E10"/>
    <w:rsid w:val="00CE58DE"/>
    <w:rsid w:val="00CE5A7A"/>
    <w:rsid w:val="00CE612B"/>
    <w:rsid w:val="00CE63C4"/>
    <w:rsid w:val="00CE6B7E"/>
    <w:rsid w:val="00CE769A"/>
    <w:rsid w:val="00CE76EA"/>
    <w:rsid w:val="00CF00E4"/>
    <w:rsid w:val="00CF049C"/>
    <w:rsid w:val="00CF07F2"/>
    <w:rsid w:val="00CF1B6C"/>
    <w:rsid w:val="00CF2482"/>
    <w:rsid w:val="00CF2A13"/>
    <w:rsid w:val="00CF4AD6"/>
    <w:rsid w:val="00CF69C8"/>
    <w:rsid w:val="00CF7A99"/>
    <w:rsid w:val="00CF7B88"/>
    <w:rsid w:val="00CF7C29"/>
    <w:rsid w:val="00D002F7"/>
    <w:rsid w:val="00D0168E"/>
    <w:rsid w:val="00D01B85"/>
    <w:rsid w:val="00D01CAF"/>
    <w:rsid w:val="00D022DC"/>
    <w:rsid w:val="00D038B6"/>
    <w:rsid w:val="00D03B84"/>
    <w:rsid w:val="00D041A1"/>
    <w:rsid w:val="00D04B70"/>
    <w:rsid w:val="00D050D1"/>
    <w:rsid w:val="00D05155"/>
    <w:rsid w:val="00D05866"/>
    <w:rsid w:val="00D06383"/>
    <w:rsid w:val="00D0656B"/>
    <w:rsid w:val="00D06EC2"/>
    <w:rsid w:val="00D06FCE"/>
    <w:rsid w:val="00D105E7"/>
    <w:rsid w:val="00D10CF5"/>
    <w:rsid w:val="00D12AE3"/>
    <w:rsid w:val="00D135D4"/>
    <w:rsid w:val="00D14FE1"/>
    <w:rsid w:val="00D15772"/>
    <w:rsid w:val="00D16396"/>
    <w:rsid w:val="00D16BB7"/>
    <w:rsid w:val="00D1754B"/>
    <w:rsid w:val="00D179D3"/>
    <w:rsid w:val="00D17ACB"/>
    <w:rsid w:val="00D17C10"/>
    <w:rsid w:val="00D17E79"/>
    <w:rsid w:val="00D202D9"/>
    <w:rsid w:val="00D208F3"/>
    <w:rsid w:val="00D21749"/>
    <w:rsid w:val="00D21EAC"/>
    <w:rsid w:val="00D22956"/>
    <w:rsid w:val="00D24E5B"/>
    <w:rsid w:val="00D25C72"/>
    <w:rsid w:val="00D25DB8"/>
    <w:rsid w:val="00D25DC0"/>
    <w:rsid w:val="00D263A4"/>
    <w:rsid w:val="00D26584"/>
    <w:rsid w:val="00D265CB"/>
    <w:rsid w:val="00D30C58"/>
    <w:rsid w:val="00D3234A"/>
    <w:rsid w:val="00D3337F"/>
    <w:rsid w:val="00D359BE"/>
    <w:rsid w:val="00D35B02"/>
    <w:rsid w:val="00D373D4"/>
    <w:rsid w:val="00D3793D"/>
    <w:rsid w:val="00D379A6"/>
    <w:rsid w:val="00D41003"/>
    <w:rsid w:val="00D43E5B"/>
    <w:rsid w:val="00D44469"/>
    <w:rsid w:val="00D44608"/>
    <w:rsid w:val="00D454E7"/>
    <w:rsid w:val="00D4585E"/>
    <w:rsid w:val="00D4731E"/>
    <w:rsid w:val="00D4771E"/>
    <w:rsid w:val="00D47FEA"/>
    <w:rsid w:val="00D51080"/>
    <w:rsid w:val="00D52929"/>
    <w:rsid w:val="00D552F7"/>
    <w:rsid w:val="00D55D0D"/>
    <w:rsid w:val="00D5615C"/>
    <w:rsid w:val="00D5672C"/>
    <w:rsid w:val="00D56755"/>
    <w:rsid w:val="00D56A44"/>
    <w:rsid w:val="00D5767B"/>
    <w:rsid w:val="00D57965"/>
    <w:rsid w:val="00D57A8E"/>
    <w:rsid w:val="00D57B9C"/>
    <w:rsid w:val="00D60193"/>
    <w:rsid w:val="00D6088B"/>
    <w:rsid w:val="00D61A53"/>
    <w:rsid w:val="00D63C37"/>
    <w:rsid w:val="00D66155"/>
    <w:rsid w:val="00D6662A"/>
    <w:rsid w:val="00D6749D"/>
    <w:rsid w:val="00D70C2C"/>
    <w:rsid w:val="00D70DE7"/>
    <w:rsid w:val="00D71297"/>
    <w:rsid w:val="00D72EFD"/>
    <w:rsid w:val="00D73D5F"/>
    <w:rsid w:val="00D741A1"/>
    <w:rsid w:val="00D744D9"/>
    <w:rsid w:val="00D760BE"/>
    <w:rsid w:val="00D76CA5"/>
    <w:rsid w:val="00D7751A"/>
    <w:rsid w:val="00D8019D"/>
    <w:rsid w:val="00D809AE"/>
    <w:rsid w:val="00D82365"/>
    <w:rsid w:val="00D847B6"/>
    <w:rsid w:val="00D84C69"/>
    <w:rsid w:val="00D85673"/>
    <w:rsid w:val="00D858E2"/>
    <w:rsid w:val="00D859BE"/>
    <w:rsid w:val="00D86589"/>
    <w:rsid w:val="00D86734"/>
    <w:rsid w:val="00D869D4"/>
    <w:rsid w:val="00D86D36"/>
    <w:rsid w:val="00D87CD9"/>
    <w:rsid w:val="00D91D84"/>
    <w:rsid w:val="00D93307"/>
    <w:rsid w:val="00D93EC1"/>
    <w:rsid w:val="00D93EC6"/>
    <w:rsid w:val="00D95008"/>
    <w:rsid w:val="00D95164"/>
    <w:rsid w:val="00D95665"/>
    <w:rsid w:val="00D96DFE"/>
    <w:rsid w:val="00DA2E98"/>
    <w:rsid w:val="00DA32D3"/>
    <w:rsid w:val="00DA4935"/>
    <w:rsid w:val="00DA4FD5"/>
    <w:rsid w:val="00DA4FF8"/>
    <w:rsid w:val="00DA55FF"/>
    <w:rsid w:val="00DA5854"/>
    <w:rsid w:val="00DA5CD5"/>
    <w:rsid w:val="00DA6578"/>
    <w:rsid w:val="00DA6830"/>
    <w:rsid w:val="00DA6E4D"/>
    <w:rsid w:val="00DA7667"/>
    <w:rsid w:val="00DB078D"/>
    <w:rsid w:val="00DB09C6"/>
    <w:rsid w:val="00DB17DC"/>
    <w:rsid w:val="00DB1DB1"/>
    <w:rsid w:val="00DB1E25"/>
    <w:rsid w:val="00DB35FB"/>
    <w:rsid w:val="00DB4B1F"/>
    <w:rsid w:val="00DB4C59"/>
    <w:rsid w:val="00DB5758"/>
    <w:rsid w:val="00DB5A42"/>
    <w:rsid w:val="00DB5C88"/>
    <w:rsid w:val="00DC167A"/>
    <w:rsid w:val="00DC18B8"/>
    <w:rsid w:val="00DC2A27"/>
    <w:rsid w:val="00DC3393"/>
    <w:rsid w:val="00DC35DA"/>
    <w:rsid w:val="00DC3AEE"/>
    <w:rsid w:val="00DC46BF"/>
    <w:rsid w:val="00DD0BF2"/>
    <w:rsid w:val="00DD1833"/>
    <w:rsid w:val="00DD2773"/>
    <w:rsid w:val="00DD358E"/>
    <w:rsid w:val="00DD3EE2"/>
    <w:rsid w:val="00DD522F"/>
    <w:rsid w:val="00DD5C1B"/>
    <w:rsid w:val="00DD5FAA"/>
    <w:rsid w:val="00DD66FC"/>
    <w:rsid w:val="00DD6773"/>
    <w:rsid w:val="00DD6832"/>
    <w:rsid w:val="00DE3E09"/>
    <w:rsid w:val="00DE3F2E"/>
    <w:rsid w:val="00DE4719"/>
    <w:rsid w:val="00DE48FE"/>
    <w:rsid w:val="00DE6C6D"/>
    <w:rsid w:val="00DF1003"/>
    <w:rsid w:val="00DF120E"/>
    <w:rsid w:val="00DF158C"/>
    <w:rsid w:val="00DF2D0E"/>
    <w:rsid w:val="00DF3798"/>
    <w:rsid w:val="00DF43B0"/>
    <w:rsid w:val="00DF4A5D"/>
    <w:rsid w:val="00DF57F2"/>
    <w:rsid w:val="00DF5CD1"/>
    <w:rsid w:val="00DF5F67"/>
    <w:rsid w:val="00DF6E4B"/>
    <w:rsid w:val="00DF714E"/>
    <w:rsid w:val="00DF7975"/>
    <w:rsid w:val="00E00E59"/>
    <w:rsid w:val="00E0113C"/>
    <w:rsid w:val="00E0260E"/>
    <w:rsid w:val="00E02D7A"/>
    <w:rsid w:val="00E031CC"/>
    <w:rsid w:val="00E0521C"/>
    <w:rsid w:val="00E05669"/>
    <w:rsid w:val="00E0587C"/>
    <w:rsid w:val="00E05AC2"/>
    <w:rsid w:val="00E06315"/>
    <w:rsid w:val="00E064DC"/>
    <w:rsid w:val="00E07AA9"/>
    <w:rsid w:val="00E07D10"/>
    <w:rsid w:val="00E07E47"/>
    <w:rsid w:val="00E10264"/>
    <w:rsid w:val="00E10AE5"/>
    <w:rsid w:val="00E11165"/>
    <w:rsid w:val="00E11D34"/>
    <w:rsid w:val="00E12B4C"/>
    <w:rsid w:val="00E12F48"/>
    <w:rsid w:val="00E133B2"/>
    <w:rsid w:val="00E14BF2"/>
    <w:rsid w:val="00E16C42"/>
    <w:rsid w:val="00E178A5"/>
    <w:rsid w:val="00E20D32"/>
    <w:rsid w:val="00E21235"/>
    <w:rsid w:val="00E2161A"/>
    <w:rsid w:val="00E2162E"/>
    <w:rsid w:val="00E21CAB"/>
    <w:rsid w:val="00E22067"/>
    <w:rsid w:val="00E221FD"/>
    <w:rsid w:val="00E229A8"/>
    <w:rsid w:val="00E22C08"/>
    <w:rsid w:val="00E22E8A"/>
    <w:rsid w:val="00E22F07"/>
    <w:rsid w:val="00E23A69"/>
    <w:rsid w:val="00E250B6"/>
    <w:rsid w:val="00E25887"/>
    <w:rsid w:val="00E25EE6"/>
    <w:rsid w:val="00E260DF"/>
    <w:rsid w:val="00E2689E"/>
    <w:rsid w:val="00E26E50"/>
    <w:rsid w:val="00E2780F"/>
    <w:rsid w:val="00E30C11"/>
    <w:rsid w:val="00E31C8D"/>
    <w:rsid w:val="00E31EEF"/>
    <w:rsid w:val="00E3316D"/>
    <w:rsid w:val="00E34ECE"/>
    <w:rsid w:val="00E35324"/>
    <w:rsid w:val="00E3778F"/>
    <w:rsid w:val="00E42E2A"/>
    <w:rsid w:val="00E42EE8"/>
    <w:rsid w:val="00E43052"/>
    <w:rsid w:val="00E43395"/>
    <w:rsid w:val="00E434C1"/>
    <w:rsid w:val="00E43B32"/>
    <w:rsid w:val="00E43F6E"/>
    <w:rsid w:val="00E4470C"/>
    <w:rsid w:val="00E44EC1"/>
    <w:rsid w:val="00E46664"/>
    <w:rsid w:val="00E474B2"/>
    <w:rsid w:val="00E47D9E"/>
    <w:rsid w:val="00E50778"/>
    <w:rsid w:val="00E50C28"/>
    <w:rsid w:val="00E51BD0"/>
    <w:rsid w:val="00E5318B"/>
    <w:rsid w:val="00E53710"/>
    <w:rsid w:val="00E56635"/>
    <w:rsid w:val="00E575E6"/>
    <w:rsid w:val="00E57DFF"/>
    <w:rsid w:val="00E60A9B"/>
    <w:rsid w:val="00E611A5"/>
    <w:rsid w:val="00E61376"/>
    <w:rsid w:val="00E61D60"/>
    <w:rsid w:val="00E627C5"/>
    <w:rsid w:val="00E634D6"/>
    <w:rsid w:val="00E63AD2"/>
    <w:rsid w:val="00E6430D"/>
    <w:rsid w:val="00E64356"/>
    <w:rsid w:val="00E64A54"/>
    <w:rsid w:val="00E652B8"/>
    <w:rsid w:val="00E6735B"/>
    <w:rsid w:val="00E709CB"/>
    <w:rsid w:val="00E71160"/>
    <w:rsid w:val="00E718DD"/>
    <w:rsid w:val="00E71B90"/>
    <w:rsid w:val="00E7413C"/>
    <w:rsid w:val="00E7467B"/>
    <w:rsid w:val="00E750A4"/>
    <w:rsid w:val="00E75564"/>
    <w:rsid w:val="00E75B82"/>
    <w:rsid w:val="00E760D2"/>
    <w:rsid w:val="00E76BEF"/>
    <w:rsid w:val="00E76C05"/>
    <w:rsid w:val="00E76E67"/>
    <w:rsid w:val="00E771DB"/>
    <w:rsid w:val="00E7728A"/>
    <w:rsid w:val="00E77CF5"/>
    <w:rsid w:val="00E806C5"/>
    <w:rsid w:val="00E80F49"/>
    <w:rsid w:val="00E81B0B"/>
    <w:rsid w:val="00E8397C"/>
    <w:rsid w:val="00E84A02"/>
    <w:rsid w:val="00E850BB"/>
    <w:rsid w:val="00E85A89"/>
    <w:rsid w:val="00E86C69"/>
    <w:rsid w:val="00E87CBE"/>
    <w:rsid w:val="00E90296"/>
    <w:rsid w:val="00E91900"/>
    <w:rsid w:val="00E91E37"/>
    <w:rsid w:val="00E9355E"/>
    <w:rsid w:val="00E9390D"/>
    <w:rsid w:val="00E93EC1"/>
    <w:rsid w:val="00E94F48"/>
    <w:rsid w:val="00E952CF"/>
    <w:rsid w:val="00E95B78"/>
    <w:rsid w:val="00E95D4D"/>
    <w:rsid w:val="00E96B64"/>
    <w:rsid w:val="00E971B4"/>
    <w:rsid w:val="00E97F65"/>
    <w:rsid w:val="00EA03BD"/>
    <w:rsid w:val="00EA0555"/>
    <w:rsid w:val="00EA0E4F"/>
    <w:rsid w:val="00EA1D37"/>
    <w:rsid w:val="00EA1FA1"/>
    <w:rsid w:val="00EA540C"/>
    <w:rsid w:val="00EA7319"/>
    <w:rsid w:val="00EA76AE"/>
    <w:rsid w:val="00EB0351"/>
    <w:rsid w:val="00EB055D"/>
    <w:rsid w:val="00EB0ACA"/>
    <w:rsid w:val="00EB1298"/>
    <w:rsid w:val="00EB1DBF"/>
    <w:rsid w:val="00EB1F74"/>
    <w:rsid w:val="00EB3786"/>
    <w:rsid w:val="00EB3924"/>
    <w:rsid w:val="00EB409F"/>
    <w:rsid w:val="00EB5742"/>
    <w:rsid w:val="00EB5EF2"/>
    <w:rsid w:val="00EB5F03"/>
    <w:rsid w:val="00EB6160"/>
    <w:rsid w:val="00EB62A5"/>
    <w:rsid w:val="00EB6D77"/>
    <w:rsid w:val="00EB75A9"/>
    <w:rsid w:val="00EB7923"/>
    <w:rsid w:val="00EC1D39"/>
    <w:rsid w:val="00EC1F63"/>
    <w:rsid w:val="00EC2DDE"/>
    <w:rsid w:val="00EC34B7"/>
    <w:rsid w:val="00EC3F7E"/>
    <w:rsid w:val="00EC426C"/>
    <w:rsid w:val="00EC530D"/>
    <w:rsid w:val="00EC5A62"/>
    <w:rsid w:val="00EC6CDE"/>
    <w:rsid w:val="00EC7D90"/>
    <w:rsid w:val="00ED06D4"/>
    <w:rsid w:val="00ED0B60"/>
    <w:rsid w:val="00ED3132"/>
    <w:rsid w:val="00ED3571"/>
    <w:rsid w:val="00ED4486"/>
    <w:rsid w:val="00ED4C88"/>
    <w:rsid w:val="00ED4FE7"/>
    <w:rsid w:val="00ED55F8"/>
    <w:rsid w:val="00ED6281"/>
    <w:rsid w:val="00ED74ED"/>
    <w:rsid w:val="00ED797A"/>
    <w:rsid w:val="00EE1878"/>
    <w:rsid w:val="00EE22C0"/>
    <w:rsid w:val="00EE25B6"/>
    <w:rsid w:val="00EE26BD"/>
    <w:rsid w:val="00EE3287"/>
    <w:rsid w:val="00EE4630"/>
    <w:rsid w:val="00EE67AD"/>
    <w:rsid w:val="00EE6B03"/>
    <w:rsid w:val="00EE733D"/>
    <w:rsid w:val="00EF0A1D"/>
    <w:rsid w:val="00EF2556"/>
    <w:rsid w:val="00EF4103"/>
    <w:rsid w:val="00EF68DB"/>
    <w:rsid w:val="00EF73FD"/>
    <w:rsid w:val="00F00DA4"/>
    <w:rsid w:val="00F01E58"/>
    <w:rsid w:val="00F0304C"/>
    <w:rsid w:val="00F0337B"/>
    <w:rsid w:val="00F043E1"/>
    <w:rsid w:val="00F04952"/>
    <w:rsid w:val="00F066CA"/>
    <w:rsid w:val="00F06BF0"/>
    <w:rsid w:val="00F072BE"/>
    <w:rsid w:val="00F07989"/>
    <w:rsid w:val="00F07A4D"/>
    <w:rsid w:val="00F1026D"/>
    <w:rsid w:val="00F1041D"/>
    <w:rsid w:val="00F114F9"/>
    <w:rsid w:val="00F12140"/>
    <w:rsid w:val="00F12F80"/>
    <w:rsid w:val="00F1307D"/>
    <w:rsid w:val="00F136E7"/>
    <w:rsid w:val="00F137F6"/>
    <w:rsid w:val="00F161C8"/>
    <w:rsid w:val="00F20554"/>
    <w:rsid w:val="00F2087F"/>
    <w:rsid w:val="00F21E1F"/>
    <w:rsid w:val="00F22FF9"/>
    <w:rsid w:val="00F2458F"/>
    <w:rsid w:val="00F2470B"/>
    <w:rsid w:val="00F24B2F"/>
    <w:rsid w:val="00F25639"/>
    <w:rsid w:val="00F25CFA"/>
    <w:rsid w:val="00F26C87"/>
    <w:rsid w:val="00F30C69"/>
    <w:rsid w:val="00F313CC"/>
    <w:rsid w:val="00F31E05"/>
    <w:rsid w:val="00F31FE8"/>
    <w:rsid w:val="00F32DE6"/>
    <w:rsid w:val="00F32E1C"/>
    <w:rsid w:val="00F34149"/>
    <w:rsid w:val="00F356D0"/>
    <w:rsid w:val="00F35B5B"/>
    <w:rsid w:val="00F368A6"/>
    <w:rsid w:val="00F371B6"/>
    <w:rsid w:val="00F3736C"/>
    <w:rsid w:val="00F37D99"/>
    <w:rsid w:val="00F411FF"/>
    <w:rsid w:val="00F41287"/>
    <w:rsid w:val="00F4232A"/>
    <w:rsid w:val="00F42D7F"/>
    <w:rsid w:val="00F436D1"/>
    <w:rsid w:val="00F44373"/>
    <w:rsid w:val="00F44CCD"/>
    <w:rsid w:val="00F45A6F"/>
    <w:rsid w:val="00F4632D"/>
    <w:rsid w:val="00F4654F"/>
    <w:rsid w:val="00F4729D"/>
    <w:rsid w:val="00F47397"/>
    <w:rsid w:val="00F50E39"/>
    <w:rsid w:val="00F5223E"/>
    <w:rsid w:val="00F52626"/>
    <w:rsid w:val="00F526C3"/>
    <w:rsid w:val="00F53D45"/>
    <w:rsid w:val="00F540B2"/>
    <w:rsid w:val="00F54C56"/>
    <w:rsid w:val="00F55B2B"/>
    <w:rsid w:val="00F56302"/>
    <w:rsid w:val="00F5645D"/>
    <w:rsid w:val="00F5705E"/>
    <w:rsid w:val="00F578A6"/>
    <w:rsid w:val="00F603AB"/>
    <w:rsid w:val="00F60EFD"/>
    <w:rsid w:val="00F6137E"/>
    <w:rsid w:val="00F62347"/>
    <w:rsid w:val="00F64BB4"/>
    <w:rsid w:val="00F64DDC"/>
    <w:rsid w:val="00F64E21"/>
    <w:rsid w:val="00F651F6"/>
    <w:rsid w:val="00F65623"/>
    <w:rsid w:val="00F65751"/>
    <w:rsid w:val="00F6598A"/>
    <w:rsid w:val="00F65F2C"/>
    <w:rsid w:val="00F6785A"/>
    <w:rsid w:val="00F70021"/>
    <w:rsid w:val="00F71E67"/>
    <w:rsid w:val="00F7205C"/>
    <w:rsid w:val="00F7257F"/>
    <w:rsid w:val="00F72654"/>
    <w:rsid w:val="00F73832"/>
    <w:rsid w:val="00F73CBF"/>
    <w:rsid w:val="00F7416C"/>
    <w:rsid w:val="00F74393"/>
    <w:rsid w:val="00F74CD4"/>
    <w:rsid w:val="00F756F3"/>
    <w:rsid w:val="00F7642C"/>
    <w:rsid w:val="00F779EF"/>
    <w:rsid w:val="00F77B13"/>
    <w:rsid w:val="00F77C2B"/>
    <w:rsid w:val="00F80AF3"/>
    <w:rsid w:val="00F81828"/>
    <w:rsid w:val="00F82BC2"/>
    <w:rsid w:val="00F83583"/>
    <w:rsid w:val="00F841D6"/>
    <w:rsid w:val="00F84B27"/>
    <w:rsid w:val="00F84E87"/>
    <w:rsid w:val="00F853AC"/>
    <w:rsid w:val="00F86054"/>
    <w:rsid w:val="00F863FE"/>
    <w:rsid w:val="00F86DCA"/>
    <w:rsid w:val="00F90169"/>
    <w:rsid w:val="00F90983"/>
    <w:rsid w:val="00F90B1A"/>
    <w:rsid w:val="00F923EC"/>
    <w:rsid w:val="00F92CEB"/>
    <w:rsid w:val="00F93DF5"/>
    <w:rsid w:val="00F93FA0"/>
    <w:rsid w:val="00F942A4"/>
    <w:rsid w:val="00F94ED5"/>
    <w:rsid w:val="00F94F37"/>
    <w:rsid w:val="00F959A6"/>
    <w:rsid w:val="00F9619C"/>
    <w:rsid w:val="00F9697F"/>
    <w:rsid w:val="00FA0EEC"/>
    <w:rsid w:val="00FA1952"/>
    <w:rsid w:val="00FA1A74"/>
    <w:rsid w:val="00FA1D41"/>
    <w:rsid w:val="00FA1EB1"/>
    <w:rsid w:val="00FA1F90"/>
    <w:rsid w:val="00FA2AAA"/>
    <w:rsid w:val="00FA2F53"/>
    <w:rsid w:val="00FA3F07"/>
    <w:rsid w:val="00FA3FE6"/>
    <w:rsid w:val="00FA43DD"/>
    <w:rsid w:val="00FA48FD"/>
    <w:rsid w:val="00FA4902"/>
    <w:rsid w:val="00FA5EE3"/>
    <w:rsid w:val="00FA6EFD"/>
    <w:rsid w:val="00FA7461"/>
    <w:rsid w:val="00FA760C"/>
    <w:rsid w:val="00FB0718"/>
    <w:rsid w:val="00FB16B5"/>
    <w:rsid w:val="00FB1AB9"/>
    <w:rsid w:val="00FB272A"/>
    <w:rsid w:val="00FB2B3D"/>
    <w:rsid w:val="00FB30F5"/>
    <w:rsid w:val="00FB3951"/>
    <w:rsid w:val="00FB42C3"/>
    <w:rsid w:val="00FB4457"/>
    <w:rsid w:val="00FB4758"/>
    <w:rsid w:val="00FB4D84"/>
    <w:rsid w:val="00FB569C"/>
    <w:rsid w:val="00FB71C0"/>
    <w:rsid w:val="00FB720A"/>
    <w:rsid w:val="00FC06A1"/>
    <w:rsid w:val="00FC09C8"/>
    <w:rsid w:val="00FC0C45"/>
    <w:rsid w:val="00FC31A8"/>
    <w:rsid w:val="00FC3517"/>
    <w:rsid w:val="00FC3E99"/>
    <w:rsid w:val="00FC5C05"/>
    <w:rsid w:val="00FC5D0B"/>
    <w:rsid w:val="00FC5F4A"/>
    <w:rsid w:val="00FC6220"/>
    <w:rsid w:val="00FC63D6"/>
    <w:rsid w:val="00FC68F4"/>
    <w:rsid w:val="00FC70F9"/>
    <w:rsid w:val="00FC7159"/>
    <w:rsid w:val="00FD006B"/>
    <w:rsid w:val="00FD1356"/>
    <w:rsid w:val="00FD1596"/>
    <w:rsid w:val="00FD1F57"/>
    <w:rsid w:val="00FD3E25"/>
    <w:rsid w:val="00FD4013"/>
    <w:rsid w:val="00FD43F0"/>
    <w:rsid w:val="00FD4851"/>
    <w:rsid w:val="00FD550F"/>
    <w:rsid w:val="00FD6B99"/>
    <w:rsid w:val="00FD7161"/>
    <w:rsid w:val="00FD717F"/>
    <w:rsid w:val="00FD79E8"/>
    <w:rsid w:val="00FE0840"/>
    <w:rsid w:val="00FE2298"/>
    <w:rsid w:val="00FE3AFE"/>
    <w:rsid w:val="00FE3BB3"/>
    <w:rsid w:val="00FE5705"/>
    <w:rsid w:val="00FF0797"/>
    <w:rsid w:val="00FF2EB1"/>
    <w:rsid w:val="00FF3631"/>
    <w:rsid w:val="00FF4A53"/>
    <w:rsid w:val="071AF0A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62CE262"/>
  <w15:docId w15:val="{55FAE837-59AE-4370-9439-67C8048F1B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9" w:unhideWhenUsed="1" w:qFormat="1"/>
    <w:lsdException w:name="heading 6" w:semiHidden="1" w:uiPriority="19" w:unhideWhenUsed="1" w:qFormat="1"/>
    <w:lsdException w:name="heading 7" w:semiHidden="1" w:uiPriority="19" w:unhideWhenUsed="1"/>
    <w:lsdException w:name="heading 8" w:semiHidden="1" w:uiPriority="19" w:unhideWhenUsed="1"/>
    <w:lsdException w:name="heading 9" w:semiHidden="1" w:uiPriority="1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8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789D"/>
    <w:pPr>
      <w:spacing w:after="120" w:line="240" w:lineRule="auto"/>
    </w:pPr>
    <w:rPr>
      <w:rFonts w:ascii="Segoe UI" w:hAnsi="Segoe UI"/>
      <w:sz w:val="19"/>
      <w:lang w:val="en-AU"/>
    </w:rPr>
  </w:style>
  <w:style w:type="paragraph" w:styleId="Heading1">
    <w:name w:val="heading 1"/>
    <w:basedOn w:val="Normal"/>
    <w:next w:val="Normal"/>
    <w:link w:val="Heading1Char"/>
    <w:uiPriority w:val="1"/>
    <w:qFormat/>
    <w:rsid w:val="009F20E4"/>
    <w:pPr>
      <w:keepNext/>
      <w:numPr>
        <w:numId w:val="4"/>
      </w:numPr>
      <w:spacing w:before="480" w:after="240" w:line="440" w:lineRule="exact"/>
      <w:outlineLvl w:val="0"/>
    </w:pPr>
    <w:rPr>
      <w:rFonts w:eastAsia="Times New Roman" w:cs="Times New Roman"/>
      <w:b/>
      <w:color w:val="00264D"/>
      <w:sz w:val="36"/>
      <w:szCs w:val="19"/>
      <w:lang w:eastAsia="en-AU"/>
    </w:rPr>
  </w:style>
  <w:style w:type="paragraph" w:styleId="Heading2">
    <w:name w:val="heading 2"/>
    <w:basedOn w:val="Normal"/>
    <w:next w:val="Normal"/>
    <w:link w:val="Heading2Char"/>
    <w:uiPriority w:val="1"/>
    <w:qFormat/>
    <w:rsid w:val="00A73A2D"/>
    <w:pPr>
      <w:keepNext/>
      <w:numPr>
        <w:ilvl w:val="1"/>
        <w:numId w:val="4"/>
      </w:numPr>
      <w:spacing w:before="480" w:after="180"/>
      <w:outlineLvl w:val="1"/>
    </w:pPr>
    <w:rPr>
      <w:rFonts w:ascii="Segoe UI Semibold" w:eastAsia="Times New Roman" w:hAnsi="Segoe UI Semibold" w:cs="Times New Roman"/>
      <w:color w:val="00264D"/>
      <w:sz w:val="30"/>
      <w:szCs w:val="19"/>
      <w:lang w:eastAsia="en-AU"/>
    </w:rPr>
  </w:style>
  <w:style w:type="paragraph" w:styleId="Heading3">
    <w:name w:val="heading 3"/>
    <w:basedOn w:val="Normal"/>
    <w:next w:val="Normal"/>
    <w:link w:val="Heading3Char"/>
    <w:uiPriority w:val="1"/>
    <w:qFormat/>
    <w:rsid w:val="00BA3DB6"/>
    <w:pPr>
      <w:keepNext/>
      <w:numPr>
        <w:ilvl w:val="2"/>
        <w:numId w:val="4"/>
      </w:numPr>
      <w:spacing w:before="480" w:after="60"/>
      <w:outlineLvl w:val="2"/>
    </w:pPr>
    <w:rPr>
      <w:rFonts w:ascii="Segoe UI Semibold" w:eastAsia="Times New Roman" w:hAnsi="Segoe UI Semibold" w:cs="Times New Roman"/>
      <w:color w:val="00264D"/>
      <w:sz w:val="26"/>
      <w:szCs w:val="19"/>
      <w:lang w:eastAsia="en-AU"/>
    </w:rPr>
  </w:style>
  <w:style w:type="paragraph" w:styleId="Heading4">
    <w:name w:val="heading 4"/>
    <w:basedOn w:val="Normal"/>
    <w:next w:val="Normal"/>
    <w:link w:val="Heading4Char"/>
    <w:uiPriority w:val="1"/>
    <w:qFormat/>
    <w:rsid w:val="00D3337F"/>
    <w:pPr>
      <w:keepNext/>
      <w:numPr>
        <w:ilvl w:val="3"/>
        <w:numId w:val="4"/>
      </w:numPr>
      <w:spacing w:before="240" w:after="60"/>
      <w:outlineLvl w:val="3"/>
    </w:pPr>
    <w:rPr>
      <w:rFonts w:ascii="Segoe UI Semibold" w:eastAsia="Times New Roman" w:hAnsi="Segoe UI Semibold" w:cs="Times New Roman"/>
      <w:color w:val="00264D" w:themeColor="background2"/>
      <w:sz w:val="25"/>
      <w:szCs w:val="19"/>
      <w:lang w:eastAsia="en-AU"/>
    </w:rPr>
  </w:style>
  <w:style w:type="paragraph" w:styleId="Heading5">
    <w:name w:val="heading 5"/>
    <w:basedOn w:val="Normal"/>
    <w:next w:val="Normal"/>
    <w:link w:val="Heading5Char"/>
    <w:uiPriority w:val="19"/>
    <w:qFormat/>
    <w:rsid w:val="00D3337F"/>
    <w:pPr>
      <w:keepNext/>
      <w:numPr>
        <w:ilvl w:val="4"/>
        <w:numId w:val="4"/>
      </w:numPr>
      <w:spacing w:before="240" w:after="60"/>
      <w:outlineLvl w:val="4"/>
    </w:pPr>
    <w:rPr>
      <w:rFonts w:eastAsia="Times New Roman" w:cs="Times New Roman"/>
      <w:b/>
      <w:color w:val="808080" w:themeColor="background1" w:themeShade="80"/>
      <w:sz w:val="22"/>
      <w:szCs w:val="24"/>
      <w:lang w:eastAsia="en-AU"/>
    </w:rPr>
  </w:style>
  <w:style w:type="paragraph" w:styleId="Heading6">
    <w:name w:val="heading 6"/>
    <w:basedOn w:val="Normal"/>
    <w:next w:val="Normal"/>
    <w:link w:val="Heading6Char"/>
    <w:uiPriority w:val="19"/>
    <w:qFormat/>
    <w:rsid w:val="00BA3DB6"/>
    <w:pPr>
      <w:keepNext/>
      <w:keepLines/>
      <w:numPr>
        <w:ilvl w:val="5"/>
        <w:numId w:val="4"/>
      </w:numPr>
      <w:spacing w:before="200" w:after="60"/>
      <w:outlineLvl w:val="5"/>
    </w:pPr>
    <w:rPr>
      <w:rFonts w:eastAsiaTheme="majorEastAsia" w:cstheme="majorBidi"/>
      <w:b/>
      <w:i/>
      <w:iCs/>
      <w:color w:val="00264D"/>
      <w:szCs w:val="19"/>
      <w:lang w:eastAsia="en-AU"/>
    </w:rPr>
  </w:style>
  <w:style w:type="paragraph" w:styleId="Heading7">
    <w:name w:val="heading 7"/>
    <w:basedOn w:val="Normal"/>
    <w:next w:val="Normal"/>
    <w:link w:val="Heading7Char"/>
    <w:uiPriority w:val="19"/>
    <w:semiHidden/>
    <w:rsid w:val="006F5B5A"/>
    <w:pPr>
      <w:keepNext/>
      <w:keepLines/>
      <w:spacing w:before="200" w:after="0"/>
      <w:outlineLvl w:val="6"/>
    </w:pPr>
    <w:rPr>
      <w:rFonts w:eastAsiaTheme="majorEastAsia" w:cstheme="majorBidi"/>
      <w:i/>
      <w:iCs/>
      <w:color w:val="404040" w:themeColor="text1" w:themeTint="BF"/>
    </w:rPr>
  </w:style>
  <w:style w:type="paragraph" w:styleId="Heading8">
    <w:name w:val="heading 8"/>
    <w:basedOn w:val="Normal"/>
    <w:next w:val="Normal"/>
    <w:link w:val="Heading8Char"/>
    <w:uiPriority w:val="19"/>
    <w:semiHidden/>
    <w:rsid w:val="006F5B5A"/>
    <w:pPr>
      <w:keepNext/>
      <w:keepLines/>
      <w:spacing w:before="200" w:after="0"/>
      <w:outlineLvl w:val="7"/>
    </w:pPr>
    <w:rPr>
      <w:rFonts w:eastAsiaTheme="majorEastAsia"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05789D"/>
    <w:rPr>
      <w:rFonts w:ascii="Segoe UI" w:eastAsia="Times New Roman" w:hAnsi="Segoe UI" w:cs="Times New Roman"/>
      <w:b/>
      <w:color w:val="00264D"/>
      <w:sz w:val="36"/>
      <w:szCs w:val="19"/>
      <w:lang w:val="en-AU" w:eastAsia="en-AU"/>
    </w:rPr>
  </w:style>
  <w:style w:type="character" w:customStyle="1" w:styleId="Heading2Char">
    <w:name w:val="Heading 2 Char"/>
    <w:basedOn w:val="DefaultParagraphFont"/>
    <w:link w:val="Heading2"/>
    <w:uiPriority w:val="1"/>
    <w:rsid w:val="0005789D"/>
    <w:rPr>
      <w:rFonts w:ascii="Segoe UI Semibold" w:eastAsia="Times New Roman" w:hAnsi="Segoe UI Semibold" w:cs="Times New Roman"/>
      <w:color w:val="00264D"/>
      <w:sz w:val="30"/>
      <w:szCs w:val="19"/>
      <w:lang w:val="en-AU" w:eastAsia="en-AU"/>
    </w:rPr>
  </w:style>
  <w:style w:type="character" w:customStyle="1" w:styleId="Heading3Char">
    <w:name w:val="Heading 3 Char"/>
    <w:basedOn w:val="DefaultParagraphFont"/>
    <w:link w:val="Heading3"/>
    <w:uiPriority w:val="1"/>
    <w:rsid w:val="0005789D"/>
    <w:rPr>
      <w:rFonts w:ascii="Segoe UI Semibold" w:eastAsia="Times New Roman" w:hAnsi="Segoe UI Semibold" w:cs="Times New Roman"/>
      <w:color w:val="00264D"/>
      <w:sz w:val="26"/>
      <w:szCs w:val="19"/>
      <w:lang w:val="en-AU" w:eastAsia="en-AU"/>
    </w:rPr>
  </w:style>
  <w:style w:type="character" w:customStyle="1" w:styleId="Heading4Char">
    <w:name w:val="Heading 4 Char"/>
    <w:basedOn w:val="DefaultParagraphFont"/>
    <w:link w:val="Heading4"/>
    <w:uiPriority w:val="1"/>
    <w:rsid w:val="0005789D"/>
    <w:rPr>
      <w:rFonts w:ascii="Segoe UI Semibold" w:eastAsia="Times New Roman" w:hAnsi="Segoe UI Semibold" w:cs="Times New Roman"/>
      <w:color w:val="00264D" w:themeColor="background2"/>
      <w:sz w:val="25"/>
      <w:szCs w:val="19"/>
      <w:lang w:val="en-AU" w:eastAsia="en-AU"/>
    </w:rPr>
  </w:style>
  <w:style w:type="character" w:customStyle="1" w:styleId="Heading5Char">
    <w:name w:val="Heading 5 Char"/>
    <w:basedOn w:val="DefaultParagraphFont"/>
    <w:link w:val="Heading5"/>
    <w:uiPriority w:val="19"/>
    <w:rsid w:val="003B5517"/>
    <w:rPr>
      <w:rFonts w:ascii="Segoe UI" w:eastAsia="Times New Roman" w:hAnsi="Segoe UI" w:cs="Times New Roman"/>
      <w:b/>
      <w:color w:val="808080" w:themeColor="background1" w:themeShade="80"/>
      <w:szCs w:val="24"/>
      <w:lang w:val="en-AU" w:eastAsia="en-AU"/>
    </w:rPr>
  </w:style>
  <w:style w:type="character" w:customStyle="1" w:styleId="Heading6Char">
    <w:name w:val="Heading 6 Char"/>
    <w:basedOn w:val="DefaultParagraphFont"/>
    <w:link w:val="Heading6"/>
    <w:uiPriority w:val="19"/>
    <w:rsid w:val="006F5B5A"/>
    <w:rPr>
      <w:rFonts w:ascii="Segoe UI" w:eastAsiaTheme="majorEastAsia" w:hAnsi="Segoe UI" w:cstheme="majorBidi"/>
      <w:b/>
      <w:i/>
      <w:iCs/>
      <w:color w:val="00264D"/>
      <w:sz w:val="19"/>
      <w:szCs w:val="19"/>
      <w:lang w:val="en-AU" w:eastAsia="en-AU"/>
    </w:rPr>
  </w:style>
  <w:style w:type="paragraph" w:customStyle="1" w:styleId="Bullet">
    <w:name w:val="Bullet"/>
    <w:basedOn w:val="Normal"/>
    <w:link w:val="BulletChar"/>
    <w:uiPriority w:val="2"/>
    <w:qFormat/>
    <w:rsid w:val="003E02E5"/>
    <w:pPr>
      <w:numPr>
        <w:numId w:val="44"/>
      </w:numPr>
      <w:suppressAutoHyphens/>
      <w:ind w:left="360"/>
    </w:pPr>
    <w:rPr>
      <w:rFonts w:eastAsia="Times New Roman" w:cs="Times New Roman"/>
      <w:szCs w:val="19"/>
      <w:lang w:eastAsia="en-AU"/>
    </w:rPr>
  </w:style>
  <w:style w:type="paragraph" w:customStyle="1" w:styleId="TableNheader">
    <w:name w:val="Table N header"/>
    <w:basedOn w:val="Heading5"/>
    <w:uiPriority w:val="2"/>
    <w:qFormat/>
    <w:rsid w:val="009C750F"/>
    <w:pPr>
      <w:spacing w:before="40" w:after="40"/>
    </w:pPr>
    <w:rPr>
      <w:rFonts w:ascii="Segoe UI Semibold" w:hAnsi="Segoe UI Semibold"/>
      <w:b w:val="0"/>
      <w:color w:val="00264D" w:themeColor="background2"/>
      <w:sz w:val="18"/>
    </w:rPr>
  </w:style>
  <w:style w:type="paragraph" w:customStyle="1" w:styleId="TableNText">
    <w:name w:val="Table N Text"/>
    <w:basedOn w:val="TableNheader"/>
    <w:link w:val="TableNTextChar"/>
    <w:uiPriority w:val="2"/>
    <w:qFormat/>
    <w:rsid w:val="0023346F"/>
    <w:rPr>
      <w:rFonts w:ascii="Segoe UI" w:hAnsi="Segoe UI"/>
      <w:color w:val="auto"/>
      <w:sz w:val="17"/>
    </w:rPr>
  </w:style>
  <w:style w:type="paragraph" w:styleId="Header">
    <w:name w:val="header"/>
    <w:basedOn w:val="Normal"/>
    <w:link w:val="HeaderChar"/>
    <w:uiPriority w:val="99"/>
    <w:unhideWhenUsed/>
    <w:rsid w:val="00302076"/>
    <w:pPr>
      <w:tabs>
        <w:tab w:val="center" w:pos="4513"/>
        <w:tab w:val="right" w:pos="9026"/>
      </w:tabs>
      <w:spacing w:after="0"/>
    </w:pPr>
  </w:style>
  <w:style w:type="character" w:customStyle="1" w:styleId="HeaderChar">
    <w:name w:val="Header Char"/>
    <w:basedOn w:val="DefaultParagraphFont"/>
    <w:link w:val="Header"/>
    <w:uiPriority w:val="99"/>
    <w:rsid w:val="00302076"/>
    <w:rPr>
      <w:rFonts w:ascii="Segoe UI" w:hAnsi="Segoe UI"/>
      <w:sz w:val="19"/>
    </w:rPr>
  </w:style>
  <w:style w:type="paragraph" w:styleId="Footer">
    <w:name w:val="footer"/>
    <w:basedOn w:val="Normal"/>
    <w:link w:val="FooterChar"/>
    <w:uiPriority w:val="89"/>
    <w:unhideWhenUsed/>
    <w:rsid w:val="00302076"/>
    <w:pPr>
      <w:tabs>
        <w:tab w:val="center" w:pos="4513"/>
        <w:tab w:val="right" w:pos="9026"/>
      </w:tabs>
      <w:spacing w:after="0"/>
    </w:pPr>
  </w:style>
  <w:style w:type="character" w:customStyle="1" w:styleId="FooterChar">
    <w:name w:val="Footer Char"/>
    <w:basedOn w:val="DefaultParagraphFont"/>
    <w:link w:val="Footer"/>
    <w:uiPriority w:val="89"/>
    <w:rsid w:val="00302076"/>
    <w:rPr>
      <w:rFonts w:ascii="Segoe UI" w:hAnsi="Segoe UI"/>
      <w:sz w:val="19"/>
    </w:rPr>
  </w:style>
  <w:style w:type="paragraph" w:styleId="Caption">
    <w:name w:val="caption"/>
    <w:basedOn w:val="Normal"/>
    <w:next w:val="Normal"/>
    <w:uiPriority w:val="35"/>
    <w:qFormat/>
    <w:rsid w:val="00413A52"/>
    <w:pPr>
      <w:spacing w:before="360"/>
    </w:pPr>
    <w:rPr>
      <w:rFonts w:ascii="Segoe UI Semibold" w:hAnsi="Segoe UI Semibold"/>
      <w:bCs/>
      <w:color w:val="00264D" w:themeColor="background2"/>
      <w:sz w:val="20"/>
      <w:szCs w:val="18"/>
    </w:rPr>
  </w:style>
  <w:style w:type="paragraph" w:customStyle="1" w:styleId="TableNBullet">
    <w:name w:val="Table N Bullet"/>
    <w:basedOn w:val="Bullet"/>
    <w:link w:val="TableNBulletChar"/>
    <w:uiPriority w:val="9"/>
    <w:qFormat/>
    <w:rsid w:val="000A13C3"/>
    <w:pPr>
      <w:numPr>
        <w:numId w:val="5"/>
      </w:numPr>
      <w:spacing w:before="40" w:after="40"/>
    </w:pPr>
    <w:rPr>
      <w:sz w:val="17"/>
    </w:rPr>
  </w:style>
  <w:style w:type="paragraph" w:customStyle="1" w:styleId="TableNListnumbered">
    <w:name w:val="Table N List (numbered)"/>
    <w:basedOn w:val="TableNBullet"/>
    <w:uiPriority w:val="1"/>
    <w:qFormat/>
    <w:rsid w:val="0029320C"/>
    <w:pPr>
      <w:numPr>
        <w:numId w:val="1"/>
      </w:numPr>
      <w:ind w:left="170" w:hanging="170"/>
    </w:pPr>
  </w:style>
  <w:style w:type="paragraph" w:customStyle="1" w:styleId="xAppendixLevel1">
    <w:name w:val="xAppendix Level 1"/>
    <w:basedOn w:val="Heading1"/>
    <w:next w:val="Normal"/>
    <w:uiPriority w:val="98"/>
    <w:qFormat/>
    <w:rsid w:val="002B5822"/>
    <w:pPr>
      <w:pageBreakBefore/>
      <w:numPr>
        <w:numId w:val="2"/>
      </w:numPr>
    </w:pPr>
    <w:rPr>
      <w:rFonts w:ascii="Segoe UI Semibold" w:hAnsi="Segoe UI Semibold"/>
      <w:b w:val="0"/>
      <w:bCs/>
      <w:sz w:val="44"/>
    </w:rPr>
  </w:style>
  <w:style w:type="paragraph" w:customStyle="1" w:styleId="xAppendixLevel2">
    <w:name w:val="xAppendix Level 2"/>
    <w:basedOn w:val="Heading2"/>
    <w:next w:val="Normal"/>
    <w:uiPriority w:val="98"/>
    <w:qFormat/>
    <w:rsid w:val="002B5822"/>
    <w:pPr>
      <w:numPr>
        <w:numId w:val="2"/>
      </w:numPr>
    </w:pPr>
    <w:rPr>
      <w:bCs/>
      <w:sz w:val="34"/>
    </w:rPr>
  </w:style>
  <w:style w:type="paragraph" w:customStyle="1" w:styleId="xAppendixLevel3">
    <w:name w:val="xAppendix Level 3"/>
    <w:basedOn w:val="Heading3"/>
    <w:next w:val="Normal"/>
    <w:uiPriority w:val="98"/>
    <w:qFormat/>
    <w:rsid w:val="002B5822"/>
    <w:pPr>
      <w:numPr>
        <w:numId w:val="2"/>
      </w:numPr>
    </w:pPr>
    <w:rPr>
      <w:bCs/>
    </w:rPr>
  </w:style>
  <w:style w:type="paragraph" w:customStyle="1" w:styleId="Listnumbered">
    <w:name w:val="List (numbered)"/>
    <w:basedOn w:val="Normal"/>
    <w:link w:val="ListnumberedChar"/>
    <w:uiPriority w:val="4"/>
    <w:qFormat/>
    <w:rsid w:val="00BE4870"/>
    <w:pPr>
      <w:numPr>
        <w:numId w:val="3"/>
      </w:numPr>
    </w:pPr>
  </w:style>
  <w:style w:type="paragraph" w:customStyle="1" w:styleId="Source">
    <w:name w:val="Source"/>
    <w:basedOn w:val="Normal"/>
    <w:next w:val="Normal"/>
    <w:link w:val="SourceChar"/>
    <w:uiPriority w:val="39"/>
    <w:rsid w:val="00000A9B"/>
    <w:pPr>
      <w:spacing w:before="120" w:after="240"/>
    </w:pPr>
    <w:rPr>
      <w:rFonts w:eastAsia="Times New Roman" w:cs="Times New Roman"/>
      <w:i/>
      <w:sz w:val="17"/>
      <w:szCs w:val="19"/>
      <w:lang w:eastAsia="en-AU"/>
    </w:rPr>
  </w:style>
  <w:style w:type="character" w:customStyle="1" w:styleId="SourceChar">
    <w:name w:val="Source Char"/>
    <w:basedOn w:val="DefaultParagraphFont"/>
    <w:link w:val="Source"/>
    <w:uiPriority w:val="39"/>
    <w:rsid w:val="00000A9B"/>
    <w:rPr>
      <w:rFonts w:ascii="Segoe UI" w:eastAsia="Times New Roman" w:hAnsi="Segoe UI" w:cs="Times New Roman"/>
      <w:i/>
      <w:sz w:val="17"/>
      <w:szCs w:val="19"/>
      <w:lang w:val="en-AU" w:eastAsia="en-AU"/>
    </w:rPr>
  </w:style>
  <w:style w:type="paragraph" w:customStyle="1" w:styleId="TableExpbullet">
    <w:name w:val="Table Exp bullet"/>
    <w:basedOn w:val="TableNBullet"/>
    <w:uiPriority w:val="2"/>
    <w:qFormat/>
    <w:rsid w:val="0029320C"/>
    <w:rPr>
      <w:sz w:val="16"/>
    </w:rPr>
  </w:style>
  <w:style w:type="paragraph" w:customStyle="1" w:styleId="Tableexpheader">
    <w:name w:val="Table exp header"/>
    <w:basedOn w:val="TableNheader"/>
    <w:uiPriority w:val="2"/>
    <w:qFormat/>
    <w:rsid w:val="0029320C"/>
    <w:rPr>
      <w:sz w:val="17"/>
    </w:rPr>
  </w:style>
  <w:style w:type="paragraph" w:customStyle="1" w:styleId="TableexpListnumbered">
    <w:name w:val="Table exp List (numbered)"/>
    <w:basedOn w:val="TableNListnumbered"/>
    <w:uiPriority w:val="2"/>
    <w:qFormat/>
    <w:rsid w:val="0029320C"/>
    <w:rPr>
      <w:sz w:val="16"/>
    </w:rPr>
  </w:style>
  <w:style w:type="paragraph" w:customStyle="1" w:styleId="TableExpText">
    <w:name w:val="Table Exp Text"/>
    <w:basedOn w:val="TableNText"/>
    <w:uiPriority w:val="2"/>
    <w:qFormat/>
    <w:rsid w:val="0029320C"/>
    <w:rPr>
      <w:sz w:val="16"/>
    </w:rPr>
  </w:style>
  <w:style w:type="character" w:customStyle="1" w:styleId="Heading7Char">
    <w:name w:val="Heading 7 Char"/>
    <w:basedOn w:val="DefaultParagraphFont"/>
    <w:link w:val="Heading7"/>
    <w:uiPriority w:val="19"/>
    <w:semiHidden/>
    <w:rsid w:val="006F5B5A"/>
    <w:rPr>
      <w:rFonts w:ascii="Segoe UI" w:eastAsiaTheme="majorEastAsia" w:hAnsi="Segoe UI" w:cstheme="majorBidi"/>
      <w:i/>
      <w:iCs/>
      <w:color w:val="404040" w:themeColor="text1" w:themeTint="BF"/>
      <w:sz w:val="19"/>
    </w:rPr>
  </w:style>
  <w:style w:type="paragraph" w:customStyle="1" w:styleId="Tablecolumnheading">
    <w:name w:val="Table column heading"/>
    <w:basedOn w:val="Normal"/>
    <w:link w:val="TablecolumnheadingChar"/>
    <w:uiPriority w:val="1"/>
    <w:rsid w:val="00653916"/>
    <w:pPr>
      <w:keepNext/>
      <w:spacing w:before="40" w:after="40"/>
    </w:pPr>
    <w:rPr>
      <w:rFonts w:ascii="Segoe UI Semibold" w:eastAsia="Times New Roman" w:hAnsi="Segoe UI Semibold" w:cs="Times New Roman"/>
      <w:color w:val="00264D"/>
      <w:sz w:val="18"/>
      <w:szCs w:val="17"/>
      <w:lang w:eastAsia="en-AU"/>
    </w:rPr>
  </w:style>
  <w:style w:type="character" w:customStyle="1" w:styleId="TablecolumnheadingChar">
    <w:name w:val="Table column heading Char"/>
    <w:basedOn w:val="DefaultParagraphFont"/>
    <w:link w:val="Tablecolumnheading"/>
    <w:uiPriority w:val="1"/>
    <w:rsid w:val="00653916"/>
    <w:rPr>
      <w:rFonts w:ascii="Segoe UI Semibold" w:eastAsia="Times New Roman" w:hAnsi="Segoe UI Semibold" w:cs="Times New Roman"/>
      <w:color w:val="00264D"/>
      <w:sz w:val="18"/>
      <w:szCs w:val="17"/>
      <w:lang w:val="en-AU" w:eastAsia="en-AU"/>
    </w:rPr>
  </w:style>
  <w:style w:type="paragraph" w:styleId="BalloonText">
    <w:name w:val="Balloon Text"/>
    <w:basedOn w:val="Normal"/>
    <w:link w:val="BalloonTextChar"/>
    <w:uiPriority w:val="99"/>
    <w:semiHidden/>
    <w:unhideWhenUsed/>
    <w:rsid w:val="00B2563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B2563A"/>
    <w:rPr>
      <w:rFonts w:ascii="Tahoma" w:hAnsi="Tahoma" w:cs="Tahoma"/>
      <w:sz w:val="16"/>
      <w:szCs w:val="16"/>
    </w:rPr>
  </w:style>
  <w:style w:type="table" w:styleId="LightList-Accent5">
    <w:name w:val="Light List Accent 5"/>
    <w:basedOn w:val="TableNormal"/>
    <w:uiPriority w:val="61"/>
    <w:rsid w:val="0098248A"/>
    <w:pPr>
      <w:spacing w:after="0" w:line="240" w:lineRule="auto"/>
    </w:pPr>
    <w:tblPr>
      <w:tblStyleRowBandSize w:val="1"/>
      <w:tblStyleColBandSize w:val="1"/>
      <w:tblBorders>
        <w:top w:val="single" w:sz="8" w:space="0" w:color="E6E6E1" w:themeColor="accent5"/>
        <w:left w:val="single" w:sz="8" w:space="0" w:color="E6E6E1" w:themeColor="accent5"/>
        <w:bottom w:val="single" w:sz="8" w:space="0" w:color="E6E6E1" w:themeColor="accent5"/>
        <w:right w:val="single" w:sz="8" w:space="0" w:color="E6E6E1" w:themeColor="accent5"/>
      </w:tblBorders>
    </w:tblPr>
    <w:tblStylePr w:type="firstRow">
      <w:pPr>
        <w:spacing w:before="0" w:after="0" w:line="240" w:lineRule="auto"/>
      </w:pPr>
      <w:rPr>
        <w:b/>
        <w:bCs/>
        <w:color w:val="FFFFFF" w:themeColor="background1"/>
      </w:rPr>
      <w:tblPr/>
      <w:tcPr>
        <w:shd w:val="clear" w:color="auto" w:fill="E6E6E1" w:themeFill="accent5"/>
      </w:tcPr>
    </w:tblStylePr>
    <w:tblStylePr w:type="lastRow">
      <w:pPr>
        <w:spacing w:before="0" w:after="0" w:line="240" w:lineRule="auto"/>
      </w:pPr>
      <w:rPr>
        <w:b/>
        <w:bCs/>
      </w:rPr>
      <w:tblPr/>
      <w:tcPr>
        <w:tcBorders>
          <w:top w:val="double" w:sz="6" w:space="0" w:color="E6E6E1" w:themeColor="accent5"/>
          <w:left w:val="single" w:sz="8" w:space="0" w:color="E6E6E1" w:themeColor="accent5"/>
          <w:bottom w:val="single" w:sz="8" w:space="0" w:color="E6E6E1" w:themeColor="accent5"/>
          <w:right w:val="single" w:sz="8" w:space="0" w:color="E6E6E1" w:themeColor="accent5"/>
        </w:tcBorders>
      </w:tcPr>
    </w:tblStylePr>
    <w:tblStylePr w:type="firstCol">
      <w:rPr>
        <w:b/>
        <w:bCs/>
      </w:rPr>
    </w:tblStylePr>
    <w:tblStylePr w:type="lastCol">
      <w:rPr>
        <w:b/>
        <w:bCs/>
      </w:rPr>
    </w:tblStylePr>
    <w:tblStylePr w:type="band1Vert">
      <w:tblPr/>
      <w:tcPr>
        <w:tcBorders>
          <w:top w:val="single" w:sz="8" w:space="0" w:color="E6E6E1" w:themeColor="accent5"/>
          <w:left w:val="single" w:sz="8" w:space="0" w:color="E6E6E1" w:themeColor="accent5"/>
          <w:bottom w:val="single" w:sz="8" w:space="0" w:color="E6E6E1" w:themeColor="accent5"/>
          <w:right w:val="single" w:sz="8" w:space="0" w:color="E6E6E1" w:themeColor="accent5"/>
        </w:tcBorders>
      </w:tcPr>
    </w:tblStylePr>
    <w:tblStylePr w:type="band1Horz">
      <w:tblPr/>
      <w:tcPr>
        <w:tcBorders>
          <w:top w:val="single" w:sz="8" w:space="0" w:color="E6E6E1" w:themeColor="accent5"/>
          <w:left w:val="single" w:sz="8" w:space="0" w:color="E6E6E1" w:themeColor="accent5"/>
          <w:bottom w:val="single" w:sz="8" w:space="0" w:color="E6E6E1" w:themeColor="accent5"/>
          <w:right w:val="single" w:sz="8" w:space="0" w:color="E6E6E1" w:themeColor="accent5"/>
        </w:tcBorders>
      </w:tcPr>
    </w:tblStylePr>
  </w:style>
  <w:style w:type="table" w:styleId="MediumShading1-Accent5">
    <w:name w:val="Medium Shading 1 Accent 5"/>
    <w:basedOn w:val="TableNormal"/>
    <w:uiPriority w:val="63"/>
    <w:rsid w:val="0098248A"/>
    <w:pPr>
      <w:spacing w:after="0" w:line="240" w:lineRule="auto"/>
    </w:pPr>
    <w:tblPr>
      <w:tblStyleRowBandSize w:val="1"/>
      <w:tblStyleColBandSize w:val="1"/>
      <w:tblBorders>
        <w:top w:val="single" w:sz="8" w:space="0" w:color="ECECE8" w:themeColor="accent5" w:themeTint="BF"/>
        <w:left w:val="single" w:sz="8" w:space="0" w:color="ECECE8" w:themeColor="accent5" w:themeTint="BF"/>
        <w:bottom w:val="single" w:sz="8" w:space="0" w:color="ECECE8" w:themeColor="accent5" w:themeTint="BF"/>
        <w:right w:val="single" w:sz="8" w:space="0" w:color="ECECE8" w:themeColor="accent5" w:themeTint="BF"/>
        <w:insideH w:val="single" w:sz="8" w:space="0" w:color="ECECE8" w:themeColor="accent5" w:themeTint="BF"/>
      </w:tblBorders>
    </w:tblPr>
    <w:tblStylePr w:type="firstRow">
      <w:pPr>
        <w:spacing w:before="0" w:after="0" w:line="240" w:lineRule="auto"/>
      </w:pPr>
      <w:rPr>
        <w:b/>
        <w:bCs/>
        <w:color w:val="FFFFFF" w:themeColor="background1"/>
      </w:rPr>
      <w:tblPr/>
      <w:tcPr>
        <w:tcBorders>
          <w:top w:val="single" w:sz="8" w:space="0" w:color="ECECE8" w:themeColor="accent5" w:themeTint="BF"/>
          <w:left w:val="single" w:sz="8" w:space="0" w:color="ECECE8" w:themeColor="accent5" w:themeTint="BF"/>
          <w:bottom w:val="single" w:sz="8" w:space="0" w:color="ECECE8" w:themeColor="accent5" w:themeTint="BF"/>
          <w:right w:val="single" w:sz="8" w:space="0" w:color="ECECE8" w:themeColor="accent5" w:themeTint="BF"/>
          <w:insideH w:val="nil"/>
          <w:insideV w:val="nil"/>
        </w:tcBorders>
        <w:shd w:val="clear" w:color="auto" w:fill="E6E6E1" w:themeFill="accent5"/>
      </w:tcPr>
    </w:tblStylePr>
    <w:tblStylePr w:type="lastRow">
      <w:pPr>
        <w:spacing w:before="0" w:after="0" w:line="240" w:lineRule="auto"/>
      </w:pPr>
      <w:rPr>
        <w:b/>
        <w:bCs/>
      </w:rPr>
      <w:tblPr/>
      <w:tcPr>
        <w:tcBorders>
          <w:top w:val="double" w:sz="6" w:space="0" w:color="ECECE8" w:themeColor="accent5" w:themeTint="BF"/>
          <w:left w:val="single" w:sz="8" w:space="0" w:color="ECECE8" w:themeColor="accent5" w:themeTint="BF"/>
          <w:bottom w:val="single" w:sz="8" w:space="0" w:color="ECECE8" w:themeColor="accent5" w:themeTint="BF"/>
          <w:right w:val="single" w:sz="8" w:space="0" w:color="ECECE8" w:themeColor="accent5" w:themeTint="BF"/>
          <w:insideH w:val="nil"/>
          <w:insideV w:val="nil"/>
        </w:tcBorders>
      </w:tcPr>
    </w:tblStylePr>
    <w:tblStylePr w:type="firstCol">
      <w:rPr>
        <w:b/>
        <w:bCs/>
      </w:rPr>
    </w:tblStylePr>
    <w:tblStylePr w:type="lastCol">
      <w:rPr>
        <w:b/>
        <w:bCs/>
      </w:rPr>
    </w:tblStylePr>
    <w:tblStylePr w:type="band1Vert">
      <w:tblPr/>
      <w:tcPr>
        <w:shd w:val="clear" w:color="auto" w:fill="F8F8F7" w:themeFill="accent5" w:themeFillTint="3F"/>
      </w:tcPr>
    </w:tblStylePr>
    <w:tblStylePr w:type="band1Horz">
      <w:tblPr/>
      <w:tcPr>
        <w:tcBorders>
          <w:insideH w:val="nil"/>
          <w:insideV w:val="nil"/>
        </w:tcBorders>
        <w:shd w:val="clear" w:color="auto" w:fill="F8F8F7" w:themeFill="accent5" w:themeFillTint="3F"/>
      </w:tcPr>
    </w:tblStylePr>
    <w:tblStylePr w:type="band2Horz">
      <w:tblPr/>
      <w:tcPr>
        <w:tcBorders>
          <w:insideH w:val="nil"/>
          <w:insideV w:val="nil"/>
        </w:tcBorders>
      </w:tcPr>
    </w:tblStylePr>
  </w:style>
  <w:style w:type="character" w:customStyle="1" w:styleId="TableNBulletChar">
    <w:name w:val="Table N Bullet Char"/>
    <w:basedOn w:val="DefaultParagraphFont"/>
    <w:link w:val="TableNBullet"/>
    <w:uiPriority w:val="9"/>
    <w:rsid w:val="000A13C3"/>
    <w:rPr>
      <w:rFonts w:ascii="Segoe UI" w:eastAsia="Times New Roman" w:hAnsi="Segoe UI" w:cs="Times New Roman"/>
      <w:sz w:val="17"/>
      <w:szCs w:val="19"/>
      <w:lang w:val="en-AU" w:eastAsia="en-AU"/>
    </w:rPr>
  </w:style>
  <w:style w:type="table" w:styleId="TableGrid">
    <w:name w:val="Table Grid"/>
    <w:aliases w:val="Table,NOUS,NOUS Side Header,Nous Table"/>
    <w:basedOn w:val="TableNormal"/>
    <w:uiPriority w:val="39"/>
    <w:rsid w:val="00E031CC"/>
    <w:pPr>
      <w:spacing w:after="0" w:line="240" w:lineRule="auto"/>
    </w:pPr>
    <w:rPr>
      <w:rFonts w:ascii="Segoe UI" w:hAnsi="Segoe UI"/>
      <w:sz w:val="18"/>
    </w:rPr>
    <w:tblPr>
      <w:tblBorders>
        <w:top w:val="single" w:sz="8" w:space="0" w:color="E6E6E1" w:themeColor="accent5"/>
        <w:bottom w:val="single" w:sz="8" w:space="0" w:color="E6E6E1" w:themeColor="accent5"/>
        <w:insideH w:val="single" w:sz="8" w:space="0" w:color="E6E6E1" w:themeColor="accent5"/>
      </w:tblBorders>
      <w:tblCellMar>
        <w:top w:w="57" w:type="dxa"/>
        <w:left w:w="85" w:type="dxa"/>
        <w:bottom w:w="57" w:type="dxa"/>
        <w:right w:w="85" w:type="dxa"/>
      </w:tblCellMar>
    </w:tblPr>
    <w:tcPr>
      <w:vAlign w:val="center"/>
    </w:tcPr>
    <w:tblStylePr w:type="firstRow">
      <w:pPr>
        <w:jc w:val="left"/>
      </w:pPr>
      <w:rPr>
        <w:rFonts w:ascii="Segoe UI" w:hAnsi="Segoe UI"/>
        <w:b/>
        <w:color w:val="00264D" w:themeColor="background2"/>
        <w:sz w:val="18"/>
      </w:rPr>
      <w:tblPr/>
      <w:trPr>
        <w:cantSplit/>
        <w:tblHeader/>
      </w:trPr>
      <w:tcPr>
        <w:tcBorders>
          <w:top w:val="single" w:sz="24" w:space="0" w:color="F8981D" w:themeColor="accent3"/>
          <w:left w:val="nil"/>
          <w:bottom w:val="nil"/>
          <w:right w:val="nil"/>
          <w:insideH w:val="nil"/>
          <w:insideV w:val="single" w:sz="8" w:space="0" w:color="FFFFFF" w:themeColor="background1"/>
          <w:tl2br w:val="nil"/>
          <w:tr2bl w:val="nil"/>
        </w:tcBorders>
        <w:shd w:val="clear" w:color="auto" w:fill="E6E6E1" w:themeFill="accent5"/>
      </w:tcPr>
    </w:tblStylePr>
  </w:style>
  <w:style w:type="character" w:customStyle="1" w:styleId="BulletChar">
    <w:name w:val="Bullet Char"/>
    <w:basedOn w:val="DefaultParagraphFont"/>
    <w:link w:val="Bullet"/>
    <w:uiPriority w:val="2"/>
    <w:rsid w:val="003E02E5"/>
    <w:rPr>
      <w:rFonts w:ascii="Segoe UI" w:eastAsia="Times New Roman" w:hAnsi="Segoe UI" w:cs="Times New Roman"/>
      <w:sz w:val="19"/>
      <w:szCs w:val="19"/>
      <w:lang w:val="en-AU" w:eastAsia="en-AU"/>
    </w:rPr>
  </w:style>
  <w:style w:type="paragraph" w:styleId="ListParagraph">
    <w:name w:val="List Paragraph"/>
    <w:basedOn w:val="Normal"/>
    <w:uiPriority w:val="34"/>
    <w:qFormat/>
    <w:rsid w:val="00CF07F2"/>
    <w:pPr>
      <w:ind w:left="720"/>
      <w:contextualSpacing/>
    </w:pPr>
  </w:style>
  <w:style w:type="paragraph" w:customStyle="1" w:styleId="URL-groupcomau">
    <w:name w:val="URL - group.com.au"/>
    <w:basedOn w:val="Normal"/>
    <w:link w:val="URL-groupcomauChar"/>
    <w:uiPriority w:val="89"/>
    <w:semiHidden/>
    <w:qFormat/>
    <w:rsid w:val="000D4195"/>
    <w:pPr>
      <w:spacing w:after="0"/>
    </w:pPr>
    <w:rPr>
      <w:rFonts w:eastAsia="Times New Roman" w:cs="Times New Roman"/>
      <w:color w:val="2E368F" w:themeColor="text2"/>
      <w:spacing w:val="20"/>
      <w:sz w:val="14"/>
      <w:szCs w:val="19"/>
      <w:lang w:eastAsia="en-AU"/>
    </w:rPr>
  </w:style>
  <w:style w:type="character" w:customStyle="1" w:styleId="URL-groupcomauChar">
    <w:name w:val="URL - group.com.au Char"/>
    <w:basedOn w:val="DefaultParagraphFont"/>
    <w:link w:val="URL-groupcomau"/>
    <w:uiPriority w:val="89"/>
    <w:semiHidden/>
    <w:rsid w:val="000D4195"/>
    <w:rPr>
      <w:rFonts w:ascii="Segoe UI" w:eastAsia="Times New Roman" w:hAnsi="Segoe UI" w:cs="Times New Roman"/>
      <w:color w:val="2E368F" w:themeColor="text2"/>
      <w:spacing w:val="20"/>
      <w:sz w:val="14"/>
      <w:szCs w:val="19"/>
      <w:lang w:val="en-AU" w:eastAsia="en-AU"/>
    </w:rPr>
  </w:style>
  <w:style w:type="paragraph" w:customStyle="1" w:styleId="URL-nous">
    <w:name w:val="URL - nous"/>
    <w:basedOn w:val="Normal"/>
    <w:link w:val="URL-nousChar"/>
    <w:uiPriority w:val="89"/>
    <w:semiHidden/>
    <w:qFormat/>
    <w:rsid w:val="000D4195"/>
    <w:pPr>
      <w:spacing w:after="0"/>
    </w:pPr>
    <w:rPr>
      <w:rFonts w:eastAsia="Times New Roman" w:cs="Times New Roman"/>
      <w:color w:val="FF3A40" w:themeColor="accent1"/>
      <w:spacing w:val="20"/>
      <w:sz w:val="14"/>
      <w:szCs w:val="19"/>
      <w:lang w:eastAsia="en-AU"/>
    </w:rPr>
  </w:style>
  <w:style w:type="character" w:customStyle="1" w:styleId="URL-nousChar">
    <w:name w:val="URL - nous Char"/>
    <w:basedOn w:val="DefaultParagraphFont"/>
    <w:link w:val="URL-nous"/>
    <w:uiPriority w:val="89"/>
    <w:semiHidden/>
    <w:rsid w:val="000D4195"/>
    <w:rPr>
      <w:rFonts w:ascii="Segoe UI" w:eastAsia="Times New Roman" w:hAnsi="Segoe UI" w:cs="Times New Roman"/>
      <w:color w:val="FF3A40" w:themeColor="accent1"/>
      <w:spacing w:val="20"/>
      <w:sz w:val="14"/>
      <w:szCs w:val="19"/>
      <w:lang w:val="en-AU" w:eastAsia="en-AU"/>
    </w:rPr>
  </w:style>
  <w:style w:type="table" w:customStyle="1" w:styleId="SideTitle">
    <w:name w:val="Side Title"/>
    <w:basedOn w:val="TableNormal"/>
    <w:uiPriority w:val="99"/>
    <w:rsid w:val="001C1921"/>
    <w:pPr>
      <w:spacing w:after="0" w:line="240" w:lineRule="auto"/>
    </w:pPr>
    <w:rPr>
      <w:rFonts w:ascii="Segoe UI" w:hAnsi="Segoe UI"/>
      <w:sz w:val="18"/>
    </w:rPr>
    <w:tblPr>
      <w:tblBorders>
        <w:insideH w:val="single" w:sz="8" w:space="0" w:color="E6E6E1" w:themeColor="accent5"/>
      </w:tblBorders>
      <w:tblCellMar>
        <w:top w:w="57" w:type="dxa"/>
        <w:left w:w="85" w:type="dxa"/>
        <w:bottom w:w="57" w:type="dxa"/>
        <w:right w:w="85" w:type="dxa"/>
      </w:tblCellMar>
    </w:tblPr>
    <w:tblStylePr w:type="firstCol">
      <w:pPr>
        <w:jc w:val="center"/>
      </w:pPr>
      <w:rPr>
        <w:rFonts w:ascii="Segoe UI" w:hAnsi="Segoe UI"/>
        <w:b/>
        <w:color w:val="00264D" w:themeColor="background2"/>
        <w:sz w:val="18"/>
      </w:rPr>
      <w:tblPr/>
      <w:tcPr>
        <w:tcBorders>
          <w:top w:val="nil"/>
          <w:left w:val="single" w:sz="24" w:space="0" w:color="F8981D" w:themeColor="accent3"/>
          <w:bottom w:val="single" w:sz="8" w:space="0" w:color="FFFFFF" w:themeColor="background1"/>
          <w:right w:val="nil"/>
          <w:insideH w:val="nil"/>
          <w:insideV w:val="nil"/>
          <w:tl2br w:val="nil"/>
          <w:tr2bl w:val="nil"/>
        </w:tcBorders>
        <w:shd w:val="clear" w:color="auto" w:fill="E6E6E1" w:themeFill="accent5"/>
      </w:tcPr>
    </w:tblStylePr>
  </w:style>
  <w:style w:type="character" w:customStyle="1" w:styleId="Heading8Char">
    <w:name w:val="Heading 8 Char"/>
    <w:basedOn w:val="DefaultParagraphFont"/>
    <w:link w:val="Heading8"/>
    <w:uiPriority w:val="19"/>
    <w:semiHidden/>
    <w:rsid w:val="006F5B5A"/>
    <w:rPr>
      <w:rFonts w:ascii="Segoe UI" w:eastAsiaTheme="majorEastAsia" w:hAnsi="Segoe UI" w:cstheme="majorBidi"/>
      <w:color w:val="404040" w:themeColor="text1" w:themeTint="BF"/>
      <w:sz w:val="20"/>
      <w:szCs w:val="20"/>
    </w:rPr>
  </w:style>
  <w:style w:type="character" w:styleId="Hyperlink">
    <w:name w:val="Hyperlink"/>
    <w:basedOn w:val="DefaultParagraphFont"/>
    <w:uiPriority w:val="99"/>
    <w:unhideWhenUsed/>
    <w:rsid w:val="00F066CA"/>
    <w:rPr>
      <w:color w:val="00264D" w:themeColor="background2"/>
      <w:u w:val="single"/>
    </w:rPr>
  </w:style>
  <w:style w:type="table" w:customStyle="1" w:styleId="NousTableStyletopandsideheading">
    <w:name w:val="Nous Table Style top and side heading"/>
    <w:basedOn w:val="TableNormal"/>
    <w:uiPriority w:val="99"/>
    <w:rsid w:val="00F2470B"/>
    <w:pPr>
      <w:spacing w:after="0" w:line="240" w:lineRule="auto"/>
    </w:pPr>
    <w:tblPr>
      <w:tblBorders>
        <w:insideH w:val="single" w:sz="8" w:space="0" w:color="F9F9F9"/>
      </w:tblBorders>
      <w:tblCellMar>
        <w:top w:w="57" w:type="dxa"/>
        <w:left w:w="85" w:type="dxa"/>
        <w:bottom w:w="57" w:type="dxa"/>
        <w:right w:w="85" w:type="dxa"/>
      </w:tblCellMar>
    </w:tblPr>
    <w:tblStylePr w:type="firstRow">
      <w:pPr>
        <w:jc w:val="left"/>
      </w:pPr>
      <w:rPr>
        <w:rFonts w:ascii="Segoe UI" w:hAnsi="Segoe UI"/>
        <w:b/>
        <w:color w:val="00264D" w:themeColor="background2"/>
        <w:sz w:val="18"/>
      </w:rPr>
      <w:tblPr/>
      <w:tcPr>
        <w:tcBorders>
          <w:top w:val="single" w:sz="24" w:space="0" w:color="F8981D" w:themeColor="accent3"/>
          <w:insideV w:val="single" w:sz="8" w:space="0" w:color="FFFFFF" w:themeColor="background1"/>
        </w:tcBorders>
        <w:shd w:val="clear" w:color="auto" w:fill="E6E6E1" w:themeFill="accent5"/>
      </w:tcPr>
    </w:tblStylePr>
    <w:tblStylePr w:type="firstCol">
      <w:pPr>
        <w:jc w:val="center"/>
      </w:pPr>
      <w:rPr>
        <w:rFonts w:ascii="Segoe UI" w:hAnsi="Segoe UI"/>
        <w:b/>
        <w:color w:val="00264D" w:themeColor="background2"/>
        <w:sz w:val="18"/>
      </w:rPr>
      <w:tblPr/>
      <w:tcPr>
        <w:tcBorders>
          <w:left w:val="single" w:sz="24" w:space="0" w:color="F8981D" w:themeColor="accent3"/>
        </w:tcBorders>
        <w:shd w:val="clear" w:color="auto" w:fill="E6E6E1" w:themeFill="accent5"/>
        <w:vAlign w:val="center"/>
      </w:tcPr>
    </w:tblStylePr>
  </w:style>
  <w:style w:type="character" w:styleId="CommentReference">
    <w:name w:val="annotation reference"/>
    <w:basedOn w:val="DefaultParagraphFont"/>
    <w:uiPriority w:val="99"/>
    <w:semiHidden/>
    <w:unhideWhenUsed/>
    <w:rsid w:val="00D741A1"/>
    <w:rPr>
      <w:sz w:val="16"/>
      <w:szCs w:val="16"/>
    </w:rPr>
  </w:style>
  <w:style w:type="paragraph" w:styleId="CommentText">
    <w:name w:val="annotation text"/>
    <w:basedOn w:val="Normal"/>
    <w:link w:val="CommentTextChar"/>
    <w:uiPriority w:val="99"/>
    <w:unhideWhenUsed/>
    <w:rsid w:val="00D741A1"/>
    <w:rPr>
      <w:sz w:val="20"/>
      <w:szCs w:val="20"/>
    </w:rPr>
  </w:style>
  <w:style w:type="character" w:customStyle="1" w:styleId="CommentTextChar">
    <w:name w:val="Comment Text Char"/>
    <w:basedOn w:val="DefaultParagraphFont"/>
    <w:link w:val="CommentText"/>
    <w:uiPriority w:val="99"/>
    <w:rsid w:val="00D741A1"/>
    <w:rPr>
      <w:rFonts w:ascii="Segoe UI" w:hAnsi="Segoe UI"/>
      <w:sz w:val="20"/>
      <w:szCs w:val="20"/>
      <w:lang w:val="en-AU"/>
    </w:rPr>
  </w:style>
  <w:style w:type="paragraph" w:styleId="CommentSubject">
    <w:name w:val="annotation subject"/>
    <w:basedOn w:val="CommentText"/>
    <w:next w:val="CommentText"/>
    <w:link w:val="CommentSubjectChar"/>
    <w:uiPriority w:val="99"/>
    <w:semiHidden/>
    <w:unhideWhenUsed/>
    <w:rsid w:val="00D741A1"/>
    <w:rPr>
      <w:b/>
      <w:bCs/>
    </w:rPr>
  </w:style>
  <w:style w:type="character" w:customStyle="1" w:styleId="CommentSubjectChar">
    <w:name w:val="Comment Subject Char"/>
    <w:basedOn w:val="CommentTextChar"/>
    <w:link w:val="CommentSubject"/>
    <w:uiPriority w:val="99"/>
    <w:semiHidden/>
    <w:rsid w:val="00D741A1"/>
    <w:rPr>
      <w:rFonts w:ascii="Segoe UI" w:hAnsi="Segoe UI"/>
      <w:b/>
      <w:bCs/>
      <w:sz w:val="20"/>
      <w:szCs w:val="20"/>
      <w:lang w:val="en-AU"/>
    </w:rPr>
  </w:style>
  <w:style w:type="paragraph" w:styleId="Revision">
    <w:name w:val="Revision"/>
    <w:hidden/>
    <w:uiPriority w:val="99"/>
    <w:semiHidden/>
    <w:rsid w:val="003A23AC"/>
    <w:pPr>
      <w:spacing w:after="0" w:line="240" w:lineRule="auto"/>
    </w:pPr>
    <w:rPr>
      <w:rFonts w:ascii="Segoe UI" w:hAnsi="Segoe UI"/>
      <w:sz w:val="19"/>
      <w:lang w:val="en-AU"/>
    </w:rPr>
  </w:style>
  <w:style w:type="paragraph" w:styleId="FootnoteText">
    <w:name w:val="footnote text"/>
    <w:basedOn w:val="Normal"/>
    <w:link w:val="FootnoteTextChar"/>
    <w:uiPriority w:val="99"/>
    <w:unhideWhenUsed/>
    <w:rsid w:val="00116182"/>
    <w:pPr>
      <w:spacing w:after="0"/>
    </w:pPr>
    <w:rPr>
      <w:sz w:val="20"/>
      <w:szCs w:val="20"/>
    </w:rPr>
  </w:style>
  <w:style w:type="character" w:customStyle="1" w:styleId="FootnoteTextChar">
    <w:name w:val="Footnote Text Char"/>
    <w:basedOn w:val="DefaultParagraphFont"/>
    <w:link w:val="FootnoteText"/>
    <w:uiPriority w:val="99"/>
    <w:rsid w:val="00116182"/>
    <w:rPr>
      <w:rFonts w:ascii="Segoe UI" w:hAnsi="Segoe UI"/>
      <w:sz w:val="20"/>
      <w:szCs w:val="20"/>
      <w:lang w:val="en-AU"/>
    </w:rPr>
  </w:style>
  <w:style w:type="character" w:styleId="FootnoteReference">
    <w:name w:val="footnote reference"/>
    <w:basedOn w:val="DefaultParagraphFont"/>
    <w:uiPriority w:val="99"/>
    <w:unhideWhenUsed/>
    <w:rsid w:val="00116182"/>
    <w:rPr>
      <w:vertAlign w:val="superscript"/>
    </w:rPr>
  </w:style>
  <w:style w:type="paragraph" w:customStyle="1" w:styleId="Default">
    <w:name w:val="Default"/>
    <w:rsid w:val="00396DF4"/>
    <w:pPr>
      <w:autoSpaceDE w:val="0"/>
      <w:autoSpaceDN w:val="0"/>
      <w:adjustRightInd w:val="0"/>
      <w:spacing w:after="0" w:line="240" w:lineRule="auto"/>
    </w:pPr>
    <w:rPr>
      <w:rFonts w:ascii="Arial Narrow" w:hAnsi="Arial Narrow" w:cs="Arial Narrow"/>
      <w:color w:val="000000"/>
      <w:sz w:val="24"/>
      <w:szCs w:val="24"/>
      <w:lang w:val="en-AU"/>
    </w:rPr>
  </w:style>
  <w:style w:type="character" w:styleId="FollowedHyperlink">
    <w:name w:val="FollowedHyperlink"/>
    <w:basedOn w:val="DefaultParagraphFont"/>
    <w:uiPriority w:val="99"/>
    <w:semiHidden/>
    <w:unhideWhenUsed/>
    <w:rsid w:val="00DB4C59"/>
    <w:rPr>
      <w:color w:val="0048C7" w:themeColor="followedHyperlink"/>
      <w:u w:val="single"/>
    </w:rPr>
  </w:style>
  <w:style w:type="paragraph" w:styleId="NormalWeb">
    <w:name w:val="Normal (Web)"/>
    <w:basedOn w:val="Normal"/>
    <w:uiPriority w:val="99"/>
    <w:semiHidden/>
    <w:unhideWhenUsed/>
    <w:rsid w:val="002B758E"/>
    <w:pPr>
      <w:spacing w:before="100" w:beforeAutospacing="1" w:after="100" w:afterAutospacing="1"/>
    </w:pPr>
    <w:rPr>
      <w:rFonts w:ascii="Times New Roman" w:eastAsia="Times New Roman" w:hAnsi="Times New Roman" w:cs="Times New Roman"/>
      <w:sz w:val="24"/>
      <w:szCs w:val="24"/>
      <w:lang w:eastAsia="en-AU"/>
    </w:rPr>
  </w:style>
  <w:style w:type="character" w:customStyle="1" w:styleId="ListnumberedChar">
    <w:name w:val="List (numbered) Char"/>
    <w:basedOn w:val="DefaultParagraphFont"/>
    <w:link w:val="Listnumbered"/>
    <w:uiPriority w:val="4"/>
    <w:rsid w:val="009B4DA7"/>
    <w:rPr>
      <w:rFonts w:ascii="Segoe UI" w:hAnsi="Segoe UI"/>
      <w:sz w:val="19"/>
      <w:lang w:val="en-AU"/>
    </w:rPr>
  </w:style>
  <w:style w:type="paragraph" w:styleId="EndnoteText">
    <w:name w:val="endnote text"/>
    <w:basedOn w:val="Normal"/>
    <w:link w:val="EndnoteTextChar"/>
    <w:uiPriority w:val="99"/>
    <w:unhideWhenUsed/>
    <w:rsid w:val="00CD251F"/>
    <w:pPr>
      <w:spacing w:after="0"/>
    </w:pPr>
    <w:rPr>
      <w:sz w:val="20"/>
      <w:szCs w:val="20"/>
    </w:rPr>
  </w:style>
  <w:style w:type="character" w:customStyle="1" w:styleId="EndnoteTextChar">
    <w:name w:val="Endnote Text Char"/>
    <w:basedOn w:val="DefaultParagraphFont"/>
    <w:link w:val="EndnoteText"/>
    <w:uiPriority w:val="99"/>
    <w:rsid w:val="00CD251F"/>
    <w:rPr>
      <w:rFonts w:ascii="Segoe UI" w:hAnsi="Segoe UI"/>
      <w:sz w:val="20"/>
      <w:szCs w:val="20"/>
      <w:lang w:val="en-AU"/>
    </w:rPr>
  </w:style>
  <w:style w:type="character" w:styleId="EndnoteReference">
    <w:name w:val="endnote reference"/>
    <w:basedOn w:val="DefaultParagraphFont"/>
    <w:uiPriority w:val="99"/>
    <w:semiHidden/>
    <w:unhideWhenUsed/>
    <w:rsid w:val="00CD251F"/>
    <w:rPr>
      <w:vertAlign w:val="superscript"/>
    </w:rPr>
  </w:style>
  <w:style w:type="paragraph" w:customStyle="1" w:styleId="Covertitle">
    <w:name w:val="Cover title"/>
    <w:basedOn w:val="Normal"/>
    <w:link w:val="CovertitleChar"/>
    <w:uiPriority w:val="99"/>
    <w:semiHidden/>
    <w:rsid w:val="008B7323"/>
    <w:pPr>
      <w:suppressAutoHyphens/>
      <w:spacing w:after="0" w:line="720" w:lineRule="exact"/>
    </w:pPr>
    <w:rPr>
      <w:rFonts w:eastAsia="Times New Roman" w:cs="Times New Roman"/>
      <w:color w:val="2E368F" w:themeColor="text2"/>
      <w:sz w:val="84"/>
      <w:szCs w:val="19"/>
      <w:lang w:eastAsia="en-AU"/>
    </w:rPr>
  </w:style>
  <w:style w:type="character" w:customStyle="1" w:styleId="CovertitleChar">
    <w:name w:val="Cover title Char"/>
    <w:basedOn w:val="DefaultParagraphFont"/>
    <w:link w:val="Covertitle"/>
    <w:uiPriority w:val="99"/>
    <w:semiHidden/>
    <w:rsid w:val="008B7323"/>
    <w:rPr>
      <w:rFonts w:ascii="Segoe UI" w:eastAsia="Times New Roman" w:hAnsi="Segoe UI" w:cs="Times New Roman"/>
      <w:color w:val="2E368F" w:themeColor="text2"/>
      <w:sz w:val="84"/>
      <w:szCs w:val="19"/>
      <w:lang w:val="en-AU" w:eastAsia="en-AU"/>
    </w:rPr>
  </w:style>
  <w:style w:type="paragraph" w:customStyle="1" w:styleId="CoverPage-Client">
    <w:name w:val="Cover Page - Client"/>
    <w:basedOn w:val="Normal"/>
    <w:link w:val="CoverPage-ClientChar"/>
    <w:uiPriority w:val="99"/>
    <w:semiHidden/>
    <w:rsid w:val="008B7323"/>
    <w:pPr>
      <w:suppressAutoHyphens/>
      <w:spacing w:before="480" w:after="0" w:line="380" w:lineRule="exact"/>
    </w:pPr>
    <w:rPr>
      <w:rFonts w:eastAsia="Times New Roman" w:cs="Times New Roman"/>
      <w:color w:val="2E368F" w:themeColor="text2"/>
      <w:sz w:val="36"/>
      <w:szCs w:val="19"/>
      <w:lang w:eastAsia="en-AU"/>
    </w:rPr>
  </w:style>
  <w:style w:type="character" w:customStyle="1" w:styleId="CoverPage-ClientChar">
    <w:name w:val="Cover Page - Client Char"/>
    <w:basedOn w:val="DefaultParagraphFont"/>
    <w:link w:val="CoverPage-Client"/>
    <w:uiPriority w:val="99"/>
    <w:semiHidden/>
    <w:rsid w:val="008B7323"/>
    <w:rPr>
      <w:rFonts w:ascii="Segoe UI" w:eastAsia="Times New Roman" w:hAnsi="Segoe UI" w:cs="Times New Roman"/>
      <w:color w:val="2E368F" w:themeColor="text2"/>
      <w:sz w:val="36"/>
      <w:szCs w:val="19"/>
      <w:lang w:val="en-AU" w:eastAsia="en-AU"/>
    </w:rPr>
  </w:style>
  <w:style w:type="paragraph" w:customStyle="1" w:styleId="CoverPage-Date">
    <w:name w:val="Cover Page - Date"/>
    <w:basedOn w:val="Normal"/>
    <w:link w:val="CoverPage-DateChar"/>
    <w:uiPriority w:val="99"/>
    <w:semiHidden/>
    <w:rsid w:val="008B7323"/>
    <w:pPr>
      <w:suppressAutoHyphens/>
      <w:spacing w:before="320" w:after="0" w:line="280" w:lineRule="exact"/>
    </w:pPr>
    <w:rPr>
      <w:rFonts w:eastAsia="Times New Roman" w:cs="Times New Roman"/>
      <w:color w:val="00264D" w:themeColor="background2"/>
      <w:sz w:val="24"/>
      <w:szCs w:val="19"/>
      <w:lang w:eastAsia="en-AU"/>
    </w:rPr>
  </w:style>
  <w:style w:type="character" w:customStyle="1" w:styleId="CoverPage-DateChar">
    <w:name w:val="Cover Page - Date Char"/>
    <w:basedOn w:val="DefaultParagraphFont"/>
    <w:link w:val="CoverPage-Date"/>
    <w:uiPriority w:val="99"/>
    <w:semiHidden/>
    <w:rsid w:val="008B7323"/>
    <w:rPr>
      <w:rFonts w:ascii="Segoe UI" w:eastAsia="Times New Roman" w:hAnsi="Segoe UI" w:cs="Times New Roman"/>
      <w:color w:val="00264D" w:themeColor="background2"/>
      <w:sz w:val="24"/>
      <w:szCs w:val="19"/>
      <w:lang w:val="en-AU" w:eastAsia="en-AU"/>
    </w:rPr>
  </w:style>
  <w:style w:type="character" w:styleId="PlaceholderText">
    <w:name w:val="Placeholder Text"/>
    <w:basedOn w:val="DefaultParagraphFont"/>
    <w:uiPriority w:val="99"/>
    <w:semiHidden/>
    <w:rsid w:val="008B7323"/>
    <w:rPr>
      <w:color w:val="808080"/>
    </w:rPr>
  </w:style>
  <w:style w:type="paragraph" w:styleId="TOCHeading">
    <w:name w:val="TOC Heading"/>
    <w:basedOn w:val="Heading1"/>
    <w:next w:val="Normal"/>
    <w:uiPriority w:val="39"/>
    <w:semiHidden/>
    <w:unhideWhenUsed/>
    <w:qFormat/>
    <w:rsid w:val="008B7323"/>
    <w:pPr>
      <w:keepLines/>
      <w:numPr>
        <w:numId w:val="0"/>
      </w:numPr>
      <w:spacing w:after="0" w:line="276" w:lineRule="auto"/>
      <w:outlineLvl w:val="9"/>
    </w:pPr>
    <w:rPr>
      <w:rFonts w:asciiTheme="majorHAnsi" w:eastAsiaTheme="majorEastAsia" w:hAnsiTheme="majorHAnsi" w:cstheme="majorBidi"/>
      <w:bCs/>
      <w:color w:val="EA0006" w:themeColor="accent1" w:themeShade="BF"/>
      <w:sz w:val="28"/>
      <w:szCs w:val="28"/>
      <w:lang w:val="en-US" w:eastAsia="ja-JP"/>
    </w:rPr>
  </w:style>
  <w:style w:type="paragraph" w:styleId="TOC1">
    <w:name w:val="toc 1"/>
    <w:basedOn w:val="Normal"/>
    <w:next w:val="Normal"/>
    <w:autoRedefine/>
    <w:uiPriority w:val="39"/>
    <w:unhideWhenUsed/>
    <w:rsid w:val="008B7323"/>
    <w:pPr>
      <w:spacing w:after="100"/>
    </w:pPr>
  </w:style>
  <w:style w:type="paragraph" w:styleId="TOC3">
    <w:name w:val="toc 3"/>
    <w:basedOn w:val="Normal"/>
    <w:next w:val="Normal"/>
    <w:autoRedefine/>
    <w:uiPriority w:val="39"/>
    <w:unhideWhenUsed/>
    <w:rsid w:val="008B7323"/>
    <w:pPr>
      <w:spacing w:after="100"/>
      <w:ind w:left="380"/>
    </w:pPr>
  </w:style>
  <w:style w:type="paragraph" w:styleId="TOC2">
    <w:name w:val="toc 2"/>
    <w:basedOn w:val="Normal"/>
    <w:next w:val="Normal"/>
    <w:autoRedefine/>
    <w:uiPriority w:val="39"/>
    <w:unhideWhenUsed/>
    <w:rsid w:val="008B7323"/>
    <w:pPr>
      <w:spacing w:after="100"/>
      <w:ind w:left="190"/>
    </w:pPr>
  </w:style>
  <w:style w:type="paragraph" w:customStyle="1" w:styleId="paragraph">
    <w:name w:val="paragraph"/>
    <w:basedOn w:val="Normal"/>
    <w:rsid w:val="006657BA"/>
    <w:pPr>
      <w:spacing w:before="100" w:beforeAutospacing="1" w:after="100" w:afterAutospacing="1"/>
    </w:pPr>
    <w:rPr>
      <w:rFonts w:ascii="Times New Roman" w:eastAsia="Times New Roman" w:hAnsi="Times New Roman" w:cs="Times New Roman"/>
      <w:sz w:val="24"/>
      <w:szCs w:val="24"/>
      <w:lang w:eastAsia="en-AU"/>
    </w:rPr>
  </w:style>
  <w:style w:type="character" w:styleId="Emphasis">
    <w:name w:val="Emphasis"/>
    <w:basedOn w:val="DefaultParagraphFont"/>
    <w:uiPriority w:val="20"/>
    <w:qFormat/>
    <w:rsid w:val="00624280"/>
    <w:rPr>
      <w:i/>
      <w:iCs/>
    </w:rPr>
  </w:style>
  <w:style w:type="character" w:customStyle="1" w:styleId="TableNTextChar">
    <w:name w:val="Table N Text Char"/>
    <w:basedOn w:val="DefaultParagraphFont"/>
    <w:link w:val="TableNText"/>
    <w:uiPriority w:val="2"/>
    <w:rsid w:val="007F2970"/>
    <w:rPr>
      <w:rFonts w:ascii="Segoe UI" w:eastAsia="Times New Roman" w:hAnsi="Segoe UI" w:cs="Times New Roman"/>
      <w:sz w:val="17"/>
      <w:szCs w:val="24"/>
      <w:lang w:val="en-AU"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145085">
      <w:bodyDiv w:val="1"/>
      <w:marLeft w:val="0"/>
      <w:marRight w:val="0"/>
      <w:marTop w:val="0"/>
      <w:marBottom w:val="0"/>
      <w:divBdr>
        <w:top w:val="none" w:sz="0" w:space="0" w:color="auto"/>
        <w:left w:val="none" w:sz="0" w:space="0" w:color="auto"/>
        <w:bottom w:val="none" w:sz="0" w:space="0" w:color="auto"/>
        <w:right w:val="none" w:sz="0" w:space="0" w:color="auto"/>
      </w:divBdr>
    </w:div>
    <w:div w:id="419107127">
      <w:bodyDiv w:val="1"/>
      <w:marLeft w:val="0"/>
      <w:marRight w:val="0"/>
      <w:marTop w:val="0"/>
      <w:marBottom w:val="0"/>
      <w:divBdr>
        <w:top w:val="none" w:sz="0" w:space="0" w:color="auto"/>
        <w:left w:val="none" w:sz="0" w:space="0" w:color="auto"/>
        <w:bottom w:val="none" w:sz="0" w:space="0" w:color="auto"/>
        <w:right w:val="none" w:sz="0" w:space="0" w:color="auto"/>
      </w:divBdr>
    </w:div>
    <w:div w:id="985938680">
      <w:bodyDiv w:val="1"/>
      <w:marLeft w:val="0"/>
      <w:marRight w:val="0"/>
      <w:marTop w:val="0"/>
      <w:marBottom w:val="0"/>
      <w:divBdr>
        <w:top w:val="none" w:sz="0" w:space="0" w:color="auto"/>
        <w:left w:val="none" w:sz="0" w:space="0" w:color="auto"/>
        <w:bottom w:val="none" w:sz="0" w:space="0" w:color="auto"/>
        <w:right w:val="none" w:sz="0" w:space="0" w:color="auto"/>
      </w:divBdr>
    </w:div>
    <w:div w:id="998191403">
      <w:bodyDiv w:val="1"/>
      <w:marLeft w:val="0"/>
      <w:marRight w:val="0"/>
      <w:marTop w:val="0"/>
      <w:marBottom w:val="0"/>
      <w:divBdr>
        <w:top w:val="none" w:sz="0" w:space="0" w:color="auto"/>
        <w:left w:val="none" w:sz="0" w:space="0" w:color="auto"/>
        <w:bottom w:val="none" w:sz="0" w:space="0" w:color="auto"/>
        <w:right w:val="none" w:sz="0" w:space="0" w:color="auto"/>
      </w:divBdr>
    </w:div>
    <w:div w:id="1009259404">
      <w:bodyDiv w:val="1"/>
      <w:marLeft w:val="0"/>
      <w:marRight w:val="0"/>
      <w:marTop w:val="0"/>
      <w:marBottom w:val="0"/>
      <w:divBdr>
        <w:top w:val="none" w:sz="0" w:space="0" w:color="auto"/>
        <w:left w:val="none" w:sz="0" w:space="0" w:color="auto"/>
        <w:bottom w:val="none" w:sz="0" w:space="0" w:color="auto"/>
        <w:right w:val="none" w:sz="0" w:space="0" w:color="auto"/>
      </w:divBdr>
    </w:div>
    <w:div w:id="1036585338">
      <w:bodyDiv w:val="1"/>
      <w:marLeft w:val="0"/>
      <w:marRight w:val="0"/>
      <w:marTop w:val="0"/>
      <w:marBottom w:val="0"/>
      <w:divBdr>
        <w:top w:val="none" w:sz="0" w:space="0" w:color="auto"/>
        <w:left w:val="none" w:sz="0" w:space="0" w:color="auto"/>
        <w:bottom w:val="none" w:sz="0" w:space="0" w:color="auto"/>
        <w:right w:val="none" w:sz="0" w:space="0" w:color="auto"/>
      </w:divBdr>
    </w:div>
    <w:div w:id="1221555936">
      <w:bodyDiv w:val="1"/>
      <w:marLeft w:val="0"/>
      <w:marRight w:val="0"/>
      <w:marTop w:val="0"/>
      <w:marBottom w:val="0"/>
      <w:divBdr>
        <w:top w:val="none" w:sz="0" w:space="0" w:color="auto"/>
        <w:left w:val="none" w:sz="0" w:space="0" w:color="auto"/>
        <w:bottom w:val="none" w:sz="0" w:space="0" w:color="auto"/>
        <w:right w:val="none" w:sz="0" w:space="0" w:color="auto"/>
      </w:divBdr>
    </w:div>
    <w:div w:id="1543636074">
      <w:bodyDiv w:val="1"/>
      <w:marLeft w:val="0"/>
      <w:marRight w:val="0"/>
      <w:marTop w:val="0"/>
      <w:marBottom w:val="0"/>
      <w:divBdr>
        <w:top w:val="none" w:sz="0" w:space="0" w:color="auto"/>
        <w:left w:val="none" w:sz="0" w:space="0" w:color="auto"/>
        <w:bottom w:val="none" w:sz="0" w:space="0" w:color="auto"/>
        <w:right w:val="none" w:sz="0" w:space="0" w:color="auto"/>
      </w:divBdr>
    </w:div>
    <w:div w:id="1561134644">
      <w:bodyDiv w:val="1"/>
      <w:marLeft w:val="0"/>
      <w:marRight w:val="0"/>
      <w:marTop w:val="0"/>
      <w:marBottom w:val="0"/>
      <w:divBdr>
        <w:top w:val="none" w:sz="0" w:space="0" w:color="auto"/>
        <w:left w:val="none" w:sz="0" w:space="0" w:color="auto"/>
        <w:bottom w:val="none" w:sz="0" w:space="0" w:color="auto"/>
        <w:right w:val="none" w:sz="0" w:space="0" w:color="auto"/>
      </w:divBdr>
    </w:div>
    <w:div w:id="1664118937">
      <w:bodyDiv w:val="1"/>
      <w:marLeft w:val="0"/>
      <w:marRight w:val="0"/>
      <w:marTop w:val="0"/>
      <w:marBottom w:val="0"/>
      <w:divBdr>
        <w:top w:val="none" w:sz="0" w:space="0" w:color="auto"/>
        <w:left w:val="none" w:sz="0" w:space="0" w:color="auto"/>
        <w:bottom w:val="none" w:sz="0" w:space="0" w:color="auto"/>
        <w:right w:val="none" w:sz="0" w:space="0" w:color="auto"/>
      </w:divBdr>
    </w:div>
    <w:div w:id="18352976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image" Target="media/image5.emf"/><Relationship Id="rId3" Type="http://schemas.openxmlformats.org/officeDocument/2006/relationships/customXml" Target="../customXml/item3.xml"/><Relationship Id="rId21" Type="http://schemas.openxmlformats.org/officeDocument/2006/relationships/header" Target="header4.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4.jpeg"/><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footer" Target="footer3.xml"/></Relationships>
</file>

<file path=word/_rels/footer3.xml.rels><?xml version="1.0" encoding="UTF-8" standalone="yes"?>
<Relationships xmlns="http://schemas.openxmlformats.org/package/2006/relationships"><Relationship Id="rId1" Type="http://schemas.openxmlformats.org/officeDocument/2006/relationships/image" Target="media/image6.png"/></Relationships>
</file>

<file path=word/_rels/footnotes.xml.rels><?xml version="1.0" encoding="UTF-8" standalone="yes"?>
<Relationships xmlns="http://schemas.openxmlformats.org/package/2006/relationships"><Relationship Id="rId1" Type="http://schemas.openxmlformats.org/officeDocument/2006/relationships/hyperlink" Target="http://www.arcgis.com/home/webmap/viewer.html?url=https://services2.arcgis.com/rzk7fNEt0xoEp3cX/ArcGIS/rest/services/NNTT_Custodial_AGOL/FeatureServer/6&amp;source=sd"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New Brand">
      <a:dk1>
        <a:sysClr val="windowText" lastClr="000000"/>
      </a:dk1>
      <a:lt1>
        <a:sysClr val="window" lastClr="FFFFFF"/>
      </a:lt1>
      <a:dk2>
        <a:srgbClr val="2E368F"/>
      </a:dk2>
      <a:lt2>
        <a:srgbClr val="00264D"/>
      </a:lt2>
      <a:accent1>
        <a:srgbClr val="FF3A40"/>
      </a:accent1>
      <a:accent2>
        <a:srgbClr val="F25E21"/>
      </a:accent2>
      <a:accent3>
        <a:srgbClr val="F8981D"/>
      </a:accent3>
      <a:accent4>
        <a:srgbClr val="FED13B"/>
      </a:accent4>
      <a:accent5>
        <a:srgbClr val="E6E6E1"/>
      </a:accent5>
      <a:accent6>
        <a:srgbClr val="25B3E0"/>
      </a:accent6>
      <a:hlink>
        <a:srgbClr val="0048C7"/>
      </a:hlink>
      <a:folHlink>
        <a:srgbClr val="0048C7"/>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noFill/>
        <a:ln w="25400">
          <a:solidFill>
            <a:schemeClr val="accent3"/>
          </a:solid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lnDef>
      <a:spPr>
        <a:ln w="25400">
          <a:solidFill>
            <a:schemeClr val="accent3"/>
          </a:solidFill>
        </a:ln>
      </a:spPr>
      <a:bodyPr/>
      <a:lstStyle/>
      <a:style>
        <a:lnRef idx="1">
          <a:schemeClr val="accent1"/>
        </a:lnRef>
        <a:fillRef idx="0">
          <a:schemeClr val="accent1"/>
        </a:fillRef>
        <a:effectRef idx="0">
          <a:schemeClr val="accent1"/>
        </a:effectRef>
        <a:fontRef idx="minor">
          <a:schemeClr val="tx1"/>
        </a:fontRef>
      </a:style>
    </a:ln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2020-06-01T00:00:00</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mc5611b894cf49d8aeeb8ebf39dc09bc xmlns="166541c0-0594-4e6a-9105-c24d4b6de6f7">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11463c70-78df-4e3b-b0ff-f66cd3cb26ec</TermId>
        </TermInfo>
      </Terms>
    </mc5611b894cf49d8aeeb8ebf39dc09bc>
    <jd1c641577414dfdab1686c9d5d0dbd0 xmlns="166541c0-0594-4e6a-9105-c24d4b6de6f7">
      <Terms xmlns="http://schemas.microsoft.com/office/infopath/2007/PartnerControls"/>
    </jd1c641577414dfdab1686c9d5d0dbd0>
    <hc4a8f51d7584793bcee84017ea96cb3 xmlns="166541c0-0594-4e6a-9105-c24d4b6de6f7">
      <Terms xmlns="http://schemas.microsoft.com/office/infopath/2007/PartnerControls">
        <TermInfo xmlns="http://schemas.microsoft.com/office/infopath/2007/PartnerControls">
          <TermName xmlns="http://schemas.microsoft.com/office/infopath/2007/PartnerControls">Training</TermName>
          <TermId xmlns="http://schemas.microsoft.com/office/infopath/2007/PartnerControls">2f396fb6-baad-479d-8254-1550153bbe31</TermId>
        </TermInfo>
        <TermInfo xmlns="http://schemas.microsoft.com/office/infopath/2007/PartnerControls">
          <TermName xmlns="http://schemas.microsoft.com/office/infopath/2007/PartnerControls">Meeting Minute</TermName>
          <TermId xmlns="http://schemas.microsoft.com/office/infopath/2007/PartnerControls">ad799f49-bdf8-4ec2-bcb1-44d38b617948</TermId>
        </TermInfo>
        <TermInfo xmlns="http://schemas.microsoft.com/office/infopath/2007/PartnerControls">
          <TermName xmlns="http://schemas.microsoft.com/office/infopath/2007/PartnerControls">COVID-19</TermName>
          <TermId xmlns="http://schemas.microsoft.com/office/infopath/2007/PartnerControls">c1da604a-829f-435b-844b-fd97e09d1455</TermId>
        </TermInfo>
        <TermInfo xmlns="http://schemas.microsoft.com/office/infopath/2007/PartnerControls">
          <TermName xmlns="http://schemas.microsoft.com/office/infopath/2007/PartnerControls">Cabinet</TermName>
          <TermId xmlns="http://schemas.microsoft.com/office/infopath/2007/PartnerControls">84cba657-17c1-4642-9e59-a0df180c2be5</TermId>
        </TermInfo>
      </Terms>
    </hc4a8f51d7584793bcee84017ea96cb3>
    <ShareHubID xmlns="166541c0-0594-4e6a-9105-c24d4b6de6f7">DOC22-44318</ShareHubID>
    <TaxCatchAll xmlns="166541c0-0594-4e6a-9105-c24d4b6de6f7">
      <Value>62</Value>
      <Value>18</Value>
      <Value>29</Value>
      <Value>30</Value>
      <Value>57</Value>
    </TaxCatchAll>
    <PMCNotes xmlns="166541c0-0594-4e6a-9105-c24d4b6de6f7" xsi:nil="true"/>
    <NonRecordJustification xmlns="685f9fda-bd71-4433-b331-92feb9553089">None</NonRecordJustification>
  </documentManagement>
</p:properties>
</file>

<file path=customXml/item3.xml><?xml version="1.0" encoding="utf-8"?>
<ct:contentTypeSchema xmlns:ct="http://schemas.microsoft.com/office/2006/metadata/contentType" xmlns:ma="http://schemas.microsoft.com/office/2006/metadata/properties/metaAttributes" ct:_="" ma:_="" ma:contentTypeName="ShareHub Document" ma:contentTypeID="0x0101002825A64A6E1845A99A9D8EE8A5686ECB009B58D7D72C3ED54C851955501673F8AC" ma:contentTypeVersion="12" ma:contentTypeDescription="ShareHub Document" ma:contentTypeScope="" ma:versionID="97f9b7b7c78848d4214b9782eb89bc56">
  <xsd:schema xmlns:xsd="http://www.w3.org/2001/XMLSchema" xmlns:xs="http://www.w3.org/2001/XMLSchema" xmlns:p="http://schemas.microsoft.com/office/2006/metadata/properties" xmlns:ns1="166541c0-0594-4e6a-9105-c24d4b6de6f7" xmlns:ns3="685f9fda-bd71-4433-b331-92feb9553089" targetNamespace="http://schemas.microsoft.com/office/2006/metadata/properties" ma:root="true" ma:fieldsID="76f1aafd45aee4e06fde14cce240cffd" ns1:_="" ns3:_="">
    <xsd:import namespace="166541c0-0594-4e6a-9105-c24d4b6de6f7"/>
    <xsd:import namespace="685f9fda-bd71-4433-b331-92feb9553089"/>
    <xsd:element name="properties">
      <xsd:complexType>
        <xsd:sequence>
          <xsd:element name="documentManagement">
            <xsd:complexType>
              <xsd:all>
                <xsd:element ref="ns1:ShareHubID" minOccurs="0"/>
                <xsd:element ref="ns3:NonRecordJustification" minOccurs="0"/>
                <xsd:element ref="ns1:PMCNotes" minOccurs="0"/>
                <xsd:element ref="ns1:mc5611b894cf49d8aeeb8ebf39dc09bc" minOccurs="0"/>
                <xsd:element ref="ns1:TaxCatchAll" minOccurs="0"/>
                <xsd:element ref="ns1:TaxCatchAllLabel" minOccurs="0"/>
                <xsd:element ref="ns1:jd1c641577414dfdab1686c9d5d0dbd0" minOccurs="0"/>
                <xsd:element ref="ns1:SharedWithUsers" minOccurs="0"/>
                <xsd:element ref="ns1:hc4a8f51d7584793bcee84017ea96cb3"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66541c0-0594-4e6a-9105-c24d4b6de6f7" elementFormDefault="qualified">
    <xsd:import namespace="http://schemas.microsoft.com/office/2006/documentManagement/types"/>
    <xsd:import namespace="http://schemas.microsoft.com/office/infopath/2007/PartnerControls"/>
    <xsd:element name="ShareHubID" ma:index="0" nillable="true" ma:displayName="Record ID" ma:indexed="true" ma:internalName="ShareHubID">
      <xsd:simpleType>
        <xsd:restriction base="dms:Text">
          <xsd:maxLength value="255"/>
        </xsd:restriction>
      </xsd:simpleType>
    </xsd:element>
    <xsd:element name="PMCNotes" ma:index="6" nillable="true" ma:displayName="Notes" ma:internalName="PMCNotes">
      <xsd:simpleType>
        <xsd:restriction base="dms:Note">
          <xsd:maxLength value="255"/>
        </xsd:restriction>
      </xsd:simpleType>
    </xsd:element>
    <xsd:element name="mc5611b894cf49d8aeeb8ebf39dc09bc" ma:index="8" ma:taxonomy="true" ma:internalName="mc5611b894cf49d8aeeb8ebf39dc09bc" ma:taxonomyFieldName="HPRMSecurityLevel" ma:displayName="Security Classification" ma:default="57;#OFFICIAL|11463c70-78df-4e3b-b0ff-f66cd3cb26ec" ma:fieldId="{6c5611b8-94cf-49d8-aeeb-8ebf39dc09bc}" ma:sspId="fdd71c70-8dda-4116-8995-314ca52d638a" ma:termSetId="ad616a2a-2f34-42df-868f-846f11d5d891"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aea88e85-05a7-4360-91dc-760ce9bb3d8d}" ma:internalName="TaxCatchAll" ma:showField="CatchAllData" ma:web="166541c0-0594-4e6a-9105-c24d4b6de6f7">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aea88e85-05a7-4360-91dc-760ce9bb3d8d}" ma:internalName="TaxCatchAllLabel" ma:readOnly="true" ma:showField="CatchAllDataLabel" ma:web="166541c0-0594-4e6a-9105-c24d4b6de6f7">
      <xsd:complexType>
        <xsd:complexContent>
          <xsd:extension base="dms:MultiChoiceLookup">
            <xsd:sequence>
              <xsd:element name="Value" type="dms:Lookup" maxOccurs="unbounded" minOccurs="0" nillable="true"/>
            </xsd:sequence>
          </xsd:extension>
        </xsd:complexContent>
      </xsd:complexType>
    </xsd:element>
    <xsd:element name="jd1c641577414dfdab1686c9d5d0dbd0" ma:index="12" nillable="true" ma:taxonomy="true" ma:internalName="jd1c641577414dfdab1686c9d5d0dbd0" ma:taxonomyFieldName="HPRMSecurityCaveat" ma:displayName="Information Marker" ma:fieldId="{3d1c6415-7741-4dfd-ab16-86c9d5d0dbd0}" ma:taxonomyMulti="true" ma:sspId="fdd71c70-8dda-4116-8995-314ca52d638a" ma:termSetId="4779c3b8-a320-4a06-b8c8-666ff4292a5a" ma:anchorId="00000000-0000-0000-0000-000000000000" ma:open="false" ma:isKeyword="false">
      <xsd:complexType>
        <xsd:sequence>
          <xsd:element ref="pc:Terms" minOccurs="0" maxOccurs="1"/>
        </xsd:sequence>
      </xsd:complexType>
    </xsd:element>
    <xsd:element name="SharedWithUsers" ma:index="17"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hc4a8f51d7584793bcee84017ea96cb3" ma:index="18" nillable="true" ma:taxonomy="true" ma:internalName="hc4a8f51d7584793bcee84017ea96cb3" ma:taxonomyFieldName="ESearchTags" ma:displayName="Tags" ma:fieldId="{1c4a8f51-d758-4793-bcee-84017ea96cb3}" ma:taxonomyMulti="true" ma:sspId="fdd71c70-8dda-4116-8995-314ca52d638a" ma:termSetId="8f252924-ebd5-4b35-b39d-81596a6204b5" ma:anchorId="00000000-0000-0000-0000-000000000000"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85f9fda-bd71-4433-b331-92feb9553089" elementFormDefault="qualified">
    <xsd:import namespace="http://schemas.microsoft.com/office/2006/documentManagement/types"/>
    <xsd:import namespace="http://schemas.microsoft.com/office/infopath/2007/PartnerControls"/>
    <xsd:element name="NonRecordJustification" ma:index="5" nillable="true" ma:displayName="Non-record justification" ma:default="None" ma:format="Dropdown" ma:internalName="NonRecordJustification" ma:readOnly="false">
      <xsd:simpleType>
        <xsd:restriction base="dms:Choice">
          <xsd:enumeration value="None"/>
          <xsd:enumeration value="Not defined as a record under the Archives Act of 1983"/>
          <xsd:enumeration value="Duplicate or low value item"/>
          <xsd:enumeration value="Superced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1" ma:displayName="Content Type"/>
        <xsd:element ref="dc:title" minOccurs="0"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CB462EA-10A7-4754-94DC-A6846B7C0C55}">
  <ds:schemaRefs>
    <ds:schemaRef ds:uri="http://schemas.openxmlformats.org/package/2006/metadata/core-properties"/>
    <ds:schemaRef ds:uri="http://purl.org/dc/dcmitype/"/>
    <ds:schemaRef ds:uri="http://schemas.microsoft.com/office/infopath/2007/PartnerControls"/>
    <ds:schemaRef ds:uri="http://purl.org/dc/elements/1.1/"/>
    <ds:schemaRef ds:uri="http://schemas.microsoft.com/office/2006/metadata/properties"/>
    <ds:schemaRef ds:uri="http://schemas.microsoft.com/office/2006/documentManagement/types"/>
    <ds:schemaRef ds:uri="http://purl.org/dc/terms/"/>
    <ds:schemaRef ds:uri="166541c0-0594-4e6a-9105-c24d4b6de6f7"/>
    <ds:schemaRef ds:uri="685f9fda-bd71-4433-b331-92feb9553089"/>
    <ds:schemaRef ds:uri="http://www.w3.org/XML/1998/namespace"/>
  </ds:schemaRefs>
</ds:datastoreItem>
</file>

<file path=customXml/itemProps3.xml><?xml version="1.0" encoding="utf-8"?>
<ds:datastoreItem xmlns:ds="http://schemas.openxmlformats.org/officeDocument/2006/customXml" ds:itemID="{AE29B4B6-5495-48BB-BF85-AE3EBFD2CD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66541c0-0594-4e6a-9105-c24d4b6de6f7"/>
    <ds:schemaRef ds:uri="685f9fda-bd71-4433-b331-92feb95530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51B4A30-4335-4615-B531-124E826026D8}">
  <ds:schemaRefs>
    <ds:schemaRef ds:uri="http://schemas.microsoft.com/sharepoint/v3/contenttype/forms"/>
  </ds:schemaRefs>
</ds:datastoreItem>
</file>

<file path=customXml/itemProps5.xml><?xml version="1.0" encoding="utf-8"?>
<ds:datastoreItem xmlns:ds="http://schemas.openxmlformats.org/officeDocument/2006/customXml" ds:itemID="{8F1EA68E-BBEE-4380-B303-1B0990FA78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26</Pages>
  <Words>7482</Words>
  <Characters>42652</Characters>
  <Application>Microsoft Office Word</Application>
  <DocSecurity>0</DocSecurity>
  <Lines>355</Lines>
  <Paragraphs>100</Paragraphs>
  <ScaleCrop>false</ScaleCrop>
  <HeadingPairs>
    <vt:vector size="2" baseType="variant">
      <vt:variant>
        <vt:lpstr>Title</vt:lpstr>
      </vt:variant>
      <vt:variant>
        <vt:i4>1</vt:i4>
      </vt:variant>
    </vt:vector>
  </HeadingPairs>
  <TitlesOfParts>
    <vt:vector size="1" baseType="lpstr">
      <vt:lpstr>Review of Performance as a Native Title Representative Body: Carpentaria Land Council Aboriginal Corporation</vt:lpstr>
    </vt:vector>
  </TitlesOfParts>
  <Company>The Nous Group</Company>
  <LinksUpToDate>false</LinksUpToDate>
  <CharactersWithSpaces>50034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Review of Performance as a Native Title Representative Body: Carpentaria Land Council Aboriginal Corporation</dc:title>
  <dc:subject>Summary Report</dc:subject>
  <dc:creator>Nicholas Dillon</dc:creator>
  <cp:keywords/>
  <cp:lastModifiedBy>Cameron, Suzana</cp:lastModifiedBy>
  <cp:revision>25</cp:revision>
  <cp:lastPrinted>2018-03-01T08:12:00Z</cp:lastPrinted>
  <dcterms:created xsi:type="dcterms:W3CDTF">2020-09-09T02:07:00Z</dcterms:created>
  <dcterms:modified xsi:type="dcterms:W3CDTF">2022-01-04T05:50:00Z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0x0101002825A64A6E1845A99A9D8EE8A5686ECB009B58D7D72C3ED54C851955501673F8AC</vt:lpwstr>
  </property>
  <property fmtid="{D5CDD505-2E9C-101B-9397-08002B2CF9AE}" pid="3" name="Doc type - level 2">
    <vt:lpwstr/>
  </property>
  <property fmtid="{D5CDD505-2E9C-101B-9397-08002B2CF9AE}" pid="4" name="Project doc type">
    <vt:lpwstr>36;#Reports|2362088c-9416-420b-887a-88c6ccd422fb</vt:lpwstr>
  </property>
  <property fmtid="{D5CDD505-2E9C-101B-9397-08002B2CF9AE}" pid="5" name="HPRMSecurityLevel">
    <vt:lpwstr>57;#OFFICIAL|11463c70-78df-4e3b-b0ff-f66cd3cb26ec</vt:lpwstr>
  </property>
  <property fmtid="{D5CDD505-2E9C-101B-9397-08002B2CF9AE}" pid="6" name="ESearchTags">
    <vt:lpwstr>29;#Training|2f396fb6-baad-479d-8254-1550153bbe31;#30;#Meeting Minute|ad799f49-bdf8-4ec2-bcb1-44d38b617948;#62;#COVID-19|c1da604a-829f-435b-844b-fd97e09d1455;#18;#Cabinet|84cba657-17c1-4642-9e59-a0df180c2be5</vt:lpwstr>
  </property>
  <property fmtid="{D5CDD505-2E9C-101B-9397-08002B2CF9AE}" pid="7" name="PMC.ESearch.TagGeneratedTime">
    <vt:lpwstr>2022-02-23T17:04:58</vt:lpwstr>
  </property>
  <property fmtid="{D5CDD505-2E9C-101B-9397-08002B2CF9AE}" pid="8" name="HPRMSecurityCaveat">
    <vt:lpwstr/>
  </property>
</Properties>
</file>