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2263A" w14:textId="74852272" w:rsidR="005C7397" w:rsidRPr="005D3AB2" w:rsidRDefault="005C7397" w:rsidP="005D3AB2">
      <w:pPr>
        <w:rPr>
          <w:rFonts w:ascii="Century Gothic" w:hAnsi="Century Gothic"/>
          <w:b/>
          <w:sz w:val="56"/>
          <w:szCs w:val="56"/>
        </w:rPr>
      </w:pPr>
      <w:bookmarkStart w:id="0" w:name="_Toc59445413"/>
      <w:r w:rsidRPr="005D3AB2">
        <w:rPr>
          <w:rFonts w:ascii="Century Gothic" w:hAnsi="Century Gothic"/>
          <w:b/>
          <w:sz w:val="56"/>
          <w:szCs w:val="56"/>
        </w:rPr>
        <w:t>NATIONAL INDIGENOUS AUSTRALIANS AGENCY</w:t>
      </w:r>
      <w:bookmarkEnd w:id="0"/>
    </w:p>
    <w:p w14:paraId="3B840F25" w14:textId="74A515A1" w:rsidR="005C7397" w:rsidRPr="005D3AB2" w:rsidRDefault="005C7397" w:rsidP="005D3AB2">
      <w:pPr>
        <w:rPr>
          <w:rFonts w:ascii="Century Gothic" w:hAnsi="Century Gothic"/>
          <w:b/>
          <w:sz w:val="56"/>
          <w:szCs w:val="56"/>
        </w:rPr>
      </w:pPr>
      <w:bookmarkStart w:id="1" w:name="_Toc59445414"/>
      <w:r w:rsidRPr="005D3AB2">
        <w:rPr>
          <w:rFonts w:ascii="Century Gothic" w:hAnsi="Century Gothic"/>
          <w:b/>
          <w:sz w:val="56"/>
          <w:szCs w:val="56"/>
        </w:rPr>
        <w:t>Corporate Plan 2020-21</w:t>
      </w:r>
      <w:bookmarkEnd w:id="1"/>
      <w:r w:rsidRPr="005D3AB2">
        <w:rPr>
          <w:rFonts w:ascii="Century Gothic" w:hAnsi="Century Gothic"/>
          <w:b/>
          <w:sz w:val="56"/>
          <w:szCs w:val="56"/>
        </w:rPr>
        <w:t xml:space="preserve"> </w:t>
      </w:r>
    </w:p>
    <w:p w14:paraId="3852DE87" w14:textId="5E2FAB72" w:rsidR="003A441C" w:rsidRPr="004A709D" w:rsidRDefault="003A441C" w:rsidP="004A709D">
      <w:pPr>
        <w:pStyle w:val="Default"/>
        <w:spacing w:after="300" w:line="361" w:lineRule="atLeast"/>
        <w:rPr>
          <w:rFonts w:cstheme="minorBidi"/>
          <w:color w:val="1A2A38"/>
          <w:sz w:val="22"/>
          <w:szCs w:val="22"/>
        </w:rPr>
      </w:pPr>
    </w:p>
    <w:p w14:paraId="460C2098" w14:textId="77777777" w:rsidR="003A441C" w:rsidRPr="004A709D" w:rsidRDefault="003A441C" w:rsidP="004A709D">
      <w:pPr>
        <w:spacing w:after="300" w:line="361" w:lineRule="atLeast"/>
        <w:rPr>
          <w:rFonts w:ascii="Century Gothic" w:hAnsi="Century Gothic"/>
          <w:b/>
          <w:color w:val="1A2A38"/>
        </w:rPr>
      </w:pPr>
      <w:r w:rsidRPr="004A709D">
        <w:rPr>
          <w:rFonts w:ascii="Century Gothic" w:hAnsi="Century Gothic"/>
          <w:b/>
          <w:color w:val="1A2A38"/>
        </w:rPr>
        <w:br w:type="page"/>
      </w:r>
    </w:p>
    <w:p w14:paraId="65D11C6A" w14:textId="7B2B9C92" w:rsidR="003A441C" w:rsidRPr="00C60B26" w:rsidRDefault="00147B76" w:rsidP="001625D7">
      <w:pPr>
        <w:pStyle w:val="Default"/>
        <w:spacing w:after="300" w:line="361" w:lineRule="atLeast"/>
        <w:outlineLvl w:val="1"/>
        <w:rPr>
          <w:rFonts w:cstheme="minorBidi"/>
          <w:b/>
          <w:color w:val="58A28B"/>
          <w:sz w:val="32"/>
          <w:szCs w:val="22"/>
        </w:rPr>
      </w:pPr>
      <w:r w:rsidRPr="00C60B26">
        <w:rPr>
          <w:rFonts w:cstheme="minorBidi"/>
          <w:b/>
          <w:color w:val="58A28B"/>
          <w:sz w:val="32"/>
          <w:szCs w:val="22"/>
        </w:rPr>
        <w:lastRenderedPageBreak/>
        <w:t>CONTENTS</w:t>
      </w:r>
    </w:p>
    <w:sdt>
      <w:sdtPr>
        <w:rPr>
          <w:rFonts w:asciiTheme="minorHAnsi" w:hAnsiTheme="minorHAnsi"/>
          <w:b w:val="0"/>
          <w:color w:val="auto"/>
          <w:sz w:val="22"/>
          <w:lang w:val="en-AU"/>
        </w:rPr>
        <w:id w:val="1462774595"/>
        <w:docPartObj>
          <w:docPartGallery w:val="Table of Contents"/>
          <w:docPartUnique/>
        </w:docPartObj>
      </w:sdtPr>
      <w:sdtEndPr>
        <w:rPr>
          <w:bCs/>
          <w:noProof/>
        </w:rPr>
      </w:sdtEndPr>
      <w:sdtContent>
        <w:sdt>
          <w:sdtPr>
            <w:rPr>
              <w:rFonts w:asciiTheme="minorHAnsi" w:hAnsiTheme="minorHAnsi"/>
              <w:b w:val="0"/>
              <w:color w:val="auto"/>
              <w:sz w:val="22"/>
              <w:lang w:val="en-AU"/>
            </w:rPr>
            <w:id w:val="-832828113"/>
            <w:docPartObj>
              <w:docPartGallery w:val="Table of Contents"/>
              <w:docPartUnique/>
            </w:docPartObj>
          </w:sdtPr>
          <w:sdtEndPr>
            <w:rPr>
              <w:bCs/>
              <w:noProof/>
            </w:rPr>
          </w:sdtEndPr>
          <w:sdtContent>
            <w:p w14:paraId="5881AEBD" w14:textId="462121FC" w:rsidR="00147B76" w:rsidRPr="006406A0" w:rsidRDefault="00147B76" w:rsidP="006406A0">
              <w:pPr>
                <w:pStyle w:val="TOCHeading"/>
                <w:rPr>
                  <w:sz w:val="40"/>
                </w:rPr>
              </w:pPr>
            </w:p>
            <w:p w14:paraId="23EC5E5C" w14:textId="3DEFB94B" w:rsidR="006E5F49" w:rsidRDefault="00321F99">
              <w:pPr>
                <w:pStyle w:val="TOC1"/>
                <w:rPr>
                  <w:rFonts w:eastAsiaTheme="minorEastAsia"/>
                  <w:noProof/>
                  <w:lang w:eastAsia="en-AU"/>
                </w:rPr>
              </w:pPr>
              <w:r>
                <w:rPr>
                  <w:rFonts w:ascii="Century Gothic" w:hAnsi="Century Gothic"/>
                  <w:sz w:val="28"/>
                </w:rPr>
                <w:fldChar w:fldCharType="begin"/>
              </w:r>
              <w:r>
                <w:rPr>
                  <w:rFonts w:ascii="Century Gothic" w:hAnsi="Century Gothic"/>
                  <w:sz w:val="28"/>
                </w:rPr>
                <w:instrText xml:space="preserve"> TOC \o "1-1" \h \z \u </w:instrText>
              </w:r>
              <w:r>
                <w:rPr>
                  <w:rFonts w:ascii="Century Gothic" w:hAnsi="Century Gothic"/>
                  <w:sz w:val="28"/>
                </w:rPr>
                <w:fldChar w:fldCharType="separate"/>
              </w:r>
              <w:hyperlink w:anchor="_Toc59456216" w:history="1">
                <w:r w:rsidR="006E5F49" w:rsidRPr="00F743FB">
                  <w:rPr>
                    <w:rStyle w:val="Hyperlink"/>
                    <w:noProof/>
                  </w:rPr>
                  <w:t>MESSAGE FROM THE CHIEF EXECUTIVE OFFICER</w:t>
                </w:r>
                <w:r w:rsidR="006E5F49">
                  <w:rPr>
                    <w:noProof/>
                    <w:webHidden/>
                  </w:rPr>
                  <w:tab/>
                </w:r>
                <w:bookmarkStart w:id="2" w:name="_GoBack"/>
                <w:bookmarkEnd w:id="2"/>
                <w:r w:rsidR="006E5F49">
                  <w:rPr>
                    <w:noProof/>
                    <w:webHidden/>
                  </w:rPr>
                  <w:fldChar w:fldCharType="begin"/>
                </w:r>
                <w:r w:rsidR="006E5F49">
                  <w:rPr>
                    <w:noProof/>
                    <w:webHidden/>
                  </w:rPr>
                  <w:instrText xml:space="preserve"> PAGEREF _Toc59456216 \h </w:instrText>
                </w:r>
                <w:r w:rsidR="006E5F49">
                  <w:rPr>
                    <w:noProof/>
                    <w:webHidden/>
                  </w:rPr>
                </w:r>
                <w:r w:rsidR="006E5F49">
                  <w:rPr>
                    <w:noProof/>
                    <w:webHidden/>
                  </w:rPr>
                  <w:fldChar w:fldCharType="separate"/>
                </w:r>
                <w:r w:rsidR="00D50203">
                  <w:rPr>
                    <w:noProof/>
                    <w:webHidden/>
                  </w:rPr>
                  <w:t>5</w:t>
                </w:r>
                <w:r w:rsidR="006E5F49">
                  <w:rPr>
                    <w:noProof/>
                    <w:webHidden/>
                  </w:rPr>
                  <w:fldChar w:fldCharType="end"/>
                </w:r>
              </w:hyperlink>
            </w:p>
            <w:p w14:paraId="3DECADFD" w14:textId="2309EB12" w:rsidR="006E5F49" w:rsidRDefault="001726E8">
              <w:pPr>
                <w:pStyle w:val="TOC1"/>
                <w:rPr>
                  <w:rFonts w:eastAsiaTheme="minorEastAsia"/>
                  <w:noProof/>
                  <w:lang w:eastAsia="en-AU"/>
                </w:rPr>
              </w:pPr>
              <w:hyperlink w:anchor="_Toc59456217" w:history="1">
                <w:r w:rsidR="006E5F49" w:rsidRPr="00F743FB">
                  <w:rPr>
                    <w:rStyle w:val="Hyperlink"/>
                    <w:noProof/>
                  </w:rPr>
                  <w:t>OUR OPERATING ENVIRONMENT</w:t>
                </w:r>
                <w:r w:rsidR="006E5F49">
                  <w:rPr>
                    <w:noProof/>
                    <w:webHidden/>
                  </w:rPr>
                  <w:tab/>
                </w:r>
                <w:r w:rsidR="006E5F49">
                  <w:rPr>
                    <w:noProof/>
                    <w:webHidden/>
                  </w:rPr>
                  <w:fldChar w:fldCharType="begin"/>
                </w:r>
                <w:r w:rsidR="006E5F49">
                  <w:rPr>
                    <w:noProof/>
                    <w:webHidden/>
                  </w:rPr>
                  <w:instrText xml:space="preserve"> PAGEREF _Toc59456217 \h </w:instrText>
                </w:r>
                <w:r w:rsidR="006E5F49">
                  <w:rPr>
                    <w:noProof/>
                    <w:webHidden/>
                  </w:rPr>
                </w:r>
                <w:r w:rsidR="006E5F49">
                  <w:rPr>
                    <w:noProof/>
                    <w:webHidden/>
                  </w:rPr>
                  <w:fldChar w:fldCharType="separate"/>
                </w:r>
                <w:r w:rsidR="00D50203">
                  <w:rPr>
                    <w:noProof/>
                    <w:webHidden/>
                  </w:rPr>
                  <w:t>8</w:t>
                </w:r>
                <w:r w:rsidR="006E5F49">
                  <w:rPr>
                    <w:noProof/>
                    <w:webHidden/>
                  </w:rPr>
                  <w:fldChar w:fldCharType="end"/>
                </w:r>
              </w:hyperlink>
            </w:p>
            <w:p w14:paraId="3BDB9016" w14:textId="2050CA96" w:rsidR="006E5F49" w:rsidRDefault="001726E8">
              <w:pPr>
                <w:pStyle w:val="TOC1"/>
                <w:rPr>
                  <w:rFonts w:eastAsiaTheme="minorEastAsia"/>
                  <w:noProof/>
                  <w:lang w:eastAsia="en-AU"/>
                </w:rPr>
              </w:pPr>
              <w:hyperlink w:anchor="_Toc59456218" w:history="1">
                <w:r w:rsidR="006E5F49" w:rsidRPr="00F743FB">
                  <w:rPr>
                    <w:rStyle w:val="Hyperlink"/>
                    <w:noProof/>
                  </w:rPr>
                  <w:t>OUR CAPABILITIES</w:t>
                </w:r>
                <w:r w:rsidR="006E5F49">
                  <w:rPr>
                    <w:noProof/>
                    <w:webHidden/>
                  </w:rPr>
                  <w:tab/>
                </w:r>
                <w:r w:rsidR="006E5F49">
                  <w:rPr>
                    <w:noProof/>
                    <w:webHidden/>
                  </w:rPr>
                  <w:fldChar w:fldCharType="begin"/>
                </w:r>
                <w:r w:rsidR="006E5F49">
                  <w:rPr>
                    <w:noProof/>
                    <w:webHidden/>
                  </w:rPr>
                  <w:instrText xml:space="preserve"> PAGEREF _Toc59456218 \h </w:instrText>
                </w:r>
                <w:r w:rsidR="006E5F49">
                  <w:rPr>
                    <w:noProof/>
                    <w:webHidden/>
                  </w:rPr>
                </w:r>
                <w:r w:rsidR="006E5F49">
                  <w:rPr>
                    <w:noProof/>
                    <w:webHidden/>
                  </w:rPr>
                  <w:fldChar w:fldCharType="separate"/>
                </w:r>
                <w:r w:rsidR="00D50203">
                  <w:rPr>
                    <w:noProof/>
                    <w:webHidden/>
                  </w:rPr>
                  <w:t>10</w:t>
                </w:r>
                <w:r w:rsidR="006E5F49">
                  <w:rPr>
                    <w:noProof/>
                    <w:webHidden/>
                  </w:rPr>
                  <w:fldChar w:fldCharType="end"/>
                </w:r>
              </w:hyperlink>
            </w:p>
            <w:p w14:paraId="71337946" w14:textId="7AE2C95B" w:rsidR="006E5F49" w:rsidRDefault="001726E8">
              <w:pPr>
                <w:pStyle w:val="TOC1"/>
                <w:rPr>
                  <w:rFonts w:eastAsiaTheme="minorEastAsia"/>
                  <w:noProof/>
                  <w:lang w:eastAsia="en-AU"/>
                </w:rPr>
              </w:pPr>
              <w:hyperlink w:anchor="_Toc59456219" w:history="1">
                <w:r w:rsidR="006E5F49" w:rsidRPr="00F743FB">
                  <w:rPr>
                    <w:rStyle w:val="Hyperlink"/>
                    <w:noProof/>
                  </w:rPr>
                  <w:t>RISK OVERSIGHT AND MANAGEMENT</w:t>
                </w:r>
                <w:r w:rsidR="006E5F49">
                  <w:rPr>
                    <w:noProof/>
                    <w:webHidden/>
                  </w:rPr>
                  <w:tab/>
                </w:r>
                <w:r w:rsidR="006E5F49">
                  <w:rPr>
                    <w:noProof/>
                    <w:webHidden/>
                  </w:rPr>
                  <w:fldChar w:fldCharType="begin"/>
                </w:r>
                <w:r w:rsidR="006E5F49">
                  <w:rPr>
                    <w:noProof/>
                    <w:webHidden/>
                  </w:rPr>
                  <w:instrText xml:space="preserve"> PAGEREF _Toc59456219 \h </w:instrText>
                </w:r>
                <w:r w:rsidR="006E5F49">
                  <w:rPr>
                    <w:noProof/>
                    <w:webHidden/>
                  </w:rPr>
                </w:r>
                <w:r w:rsidR="006E5F49">
                  <w:rPr>
                    <w:noProof/>
                    <w:webHidden/>
                  </w:rPr>
                  <w:fldChar w:fldCharType="separate"/>
                </w:r>
                <w:r w:rsidR="00D50203">
                  <w:rPr>
                    <w:noProof/>
                    <w:webHidden/>
                  </w:rPr>
                  <w:t>12</w:t>
                </w:r>
                <w:r w:rsidR="006E5F49">
                  <w:rPr>
                    <w:noProof/>
                    <w:webHidden/>
                  </w:rPr>
                  <w:fldChar w:fldCharType="end"/>
                </w:r>
              </w:hyperlink>
            </w:p>
            <w:p w14:paraId="5EC0781A" w14:textId="4C7A6920" w:rsidR="006E5F49" w:rsidRDefault="001726E8">
              <w:pPr>
                <w:pStyle w:val="TOC1"/>
                <w:rPr>
                  <w:rFonts w:eastAsiaTheme="minorEastAsia"/>
                  <w:noProof/>
                  <w:lang w:eastAsia="en-AU"/>
                </w:rPr>
              </w:pPr>
              <w:hyperlink w:anchor="_Toc59456220" w:history="1">
                <w:r w:rsidR="006E5F49" w:rsidRPr="00F743FB">
                  <w:rPr>
                    <w:rStyle w:val="Hyperlink"/>
                    <w:noProof/>
                  </w:rPr>
                  <w:t>OUR PERFORMANCE</w:t>
                </w:r>
                <w:r w:rsidR="006E5F49">
                  <w:rPr>
                    <w:noProof/>
                    <w:webHidden/>
                  </w:rPr>
                  <w:tab/>
                </w:r>
                <w:r w:rsidR="006E5F49">
                  <w:rPr>
                    <w:noProof/>
                    <w:webHidden/>
                  </w:rPr>
                  <w:fldChar w:fldCharType="begin"/>
                </w:r>
                <w:r w:rsidR="006E5F49">
                  <w:rPr>
                    <w:noProof/>
                    <w:webHidden/>
                  </w:rPr>
                  <w:instrText xml:space="preserve"> PAGEREF _Toc59456220 \h </w:instrText>
                </w:r>
                <w:r w:rsidR="006E5F49">
                  <w:rPr>
                    <w:noProof/>
                    <w:webHidden/>
                  </w:rPr>
                </w:r>
                <w:r w:rsidR="006E5F49">
                  <w:rPr>
                    <w:noProof/>
                    <w:webHidden/>
                  </w:rPr>
                  <w:fldChar w:fldCharType="separate"/>
                </w:r>
                <w:r w:rsidR="00D50203">
                  <w:rPr>
                    <w:noProof/>
                    <w:webHidden/>
                  </w:rPr>
                  <w:t>14</w:t>
                </w:r>
                <w:r w:rsidR="006E5F49">
                  <w:rPr>
                    <w:noProof/>
                    <w:webHidden/>
                  </w:rPr>
                  <w:fldChar w:fldCharType="end"/>
                </w:r>
              </w:hyperlink>
            </w:p>
            <w:p w14:paraId="23AED1E9" w14:textId="046EA63E" w:rsidR="00147B76" w:rsidRDefault="00321F99" w:rsidP="006406A0">
              <w:pPr>
                <w:spacing w:after="120"/>
              </w:pPr>
              <w:r>
                <w:rPr>
                  <w:rFonts w:ascii="Century Gothic" w:hAnsi="Century Gothic"/>
                  <w:sz w:val="28"/>
                </w:rPr>
                <w:fldChar w:fldCharType="end"/>
              </w:r>
            </w:p>
          </w:sdtContent>
        </w:sdt>
      </w:sdtContent>
    </w:sdt>
    <w:p w14:paraId="05DCBE56" w14:textId="44E9841F" w:rsidR="007831E1" w:rsidRDefault="007831E1">
      <w:pPr>
        <w:rPr>
          <w:rFonts w:ascii="Century Gothic" w:hAnsi="Century Gothic"/>
          <w:color w:val="1A2A38"/>
        </w:rPr>
      </w:pPr>
      <w:r>
        <w:rPr>
          <w:color w:val="1A2A38"/>
        </w:rPr>
        <w:br w:type="page"/>
      </w:r>
    </w:p>
    <w:p w14:paraId="2FA0270A" w14:textId="4DCF60EE" w:rsidR="00BD3505" w:rsidRPr="00BD3505" w:rsidRDefault="00BD3505" w:rsidP="00BD3505">
      <w:pPr>
        <w:pStyle w:val="NormalWeb"/>
        <w:shd w:val="clear" w:color="auto" w:fill="F5F5F5"/>
        <w:spacing w:line="270" w:lineRule="atLeast"/>
        <w:rPr>
          <w:rFonts w:ascii="Century Gothic" w:hAnsi="Century Gothic" w:cs="Arial"/>
          <w:color w:val="2C2B2B"/>
          <w:sz w:val="18"/>
          <w:szCs w:val="18"/>
          <w:lang w:val="en-US"/>
        </w:rPr>
      </w:pPr>
      <w:r w:rsidRPr="00BD3505">
        <w:rPr>
          <w:rStyle w:val="Strong"/>
          <w:rFonts w:ascii="Century Gothic" w:hAnsi="Century Gothic" w:cs="Arial"/>
          <w:color w:val="2C2B2B"/>
          <w:sz w:val="18"/>
          <w:szCs w:val="18"/>
          <w:lang w:val="en-US"/>
        </w:rPr>
        <w:lastRenderedPageBreak/>
        <w:t>National Indigenous Australians Agency 2020-21 Corporate Plan</w:t>
      </w:r>
    </w:p>
    <w:p w14:paraId="2E06750A" w14:textId="49B4A367" w:rsidR="00BD3505" w:rsidRPr="00BD3505" w:rsidRDefault="00BD3505" w:rsidP="00BD3505">
      <w:pPr>
        <w:pStyle w:val="NormalWeb"/>
        <w:shd w:val="clear" w:color="auto" w:fill="F5F5F5"/>
        <w:spacing w:line="270" w:lineRule="atLeast"/>
        <w:rPr>
          <w:rFonts w:ascii="Century Gothic" w:hAnsi="Century Gothic" w:cs="Arial"/>
          <w:color w:val="2C2B2B"/>
          <w:sz w:val="18"/>
          <w:szCs w:val="18"/>
          <w:lang w:val="en-US"/>
        </w:rPr>
      </w:pPr>
      <w:r w:rsidRPr="00BD3505">
        <w:rPr>
          <w:rFonts w:ascii="Century Gothic" w:hAnsi="Century Gothic" w:cs="Arial"/>
          <w:color w:val="2C2B2B"/>
          <w:sz w:val="18"/>
          <w:szCs w:val="18"/>
          <w:lang w:val="en-US"/>
        </w:rPr>
        <w:t>© Commonwealth of Australia 2020</w:t>
      </w:r>
    </w:p>
    <w:p w14:paraId="30118C01" w14:textId="77777777" w:rsidR="00FA4B6D" w:rsidRPr="00FA4B6D" w:rsidRDefault="00FA4B6D" w:rsidP="00FA4B6D">
      <w:pPr>
        <w:pStyle w:val="NormalWeb"/>
        <w:shd w:val="clear" w:color="auto" w:fill="F5F5F5"/>
        <w:spacing w:line="270" w:lineRule="atLeast"/>
        <w:rPr>
          <w:rFonts w:ascii="Century Gothic" w:hAnsi="Century Gothic" w:cs="Arial"/>
          <w:color w:val="2C2B2B"/>
          <w:sz w:val="18"/>
          <w:szCs w:val="18"/>
          <w:lang w:val="en-US"/>
        </w:rPr>
      </w:pPr>
      <w:r w:rsidRPr="00FA4B6D">
        <w:rPr>
          <w:rFonts w:ascii="Century Gothic" w:hAnsi="Century Gothic" w:cs="Arial"/>
          <w:color w:val="2C2B2B"/>
          <w:sz w:val="18"/>
          <w:szCs w:val="18"/>
          <w:lang w:val="en-US"/>
        </w:rPr>
        <w:t>ISSN - 2652-9416</w:t>
      </w:r>
    </w:p>
    <w:p w14:paraId="2125D679" w14:textId="77777777" w:rsidR="00BD3505" w:rsidRPr="00BD3505" w:rsidRDefault="00BD3505" w:rsidP="00BD3505">
      <w:pPr>
        <w:pStyle w:val="NormalWeb"/>
        <w:shd w:val="clear" w:color="auto" w:fill="F5F5F5"/>
        <w:spacing w:before="0" w:beforeAutospacing="0" w:after="0" w:afterAutospacing="0" w:line="270" w:lineRule="atLeast"/>
        <w:rPr>
          <w:rFonts w:ascii="Century Gothic" w:hAnsi="Century Gothic" w:cs="Arial"/>
          <w:color w:val="2C2B2B"/>
          <w:sz w:val="18"/>
          <w:szCs w:val="18"/>
          <w:lang w:val="en-US"/>
        </w:rPr>
      </w:pPr>
      <w:r w:rsidRPr="00BD3505">
        <w:rPr>
          <w:rStyle w:val="Strong"/>
          <w:rFonts w:ascii="Century Gothic" w:hAnsi="Century Gothic" w:cs="Arial"/>
          <w:color w:val="2C2B2B"/>
          <w:sz w:val="18"/>
          <w:szCs w:val="18"/>
          <w:lang w:val="en-US"/>
        </w:rPr>
        <w:t>Copyright Notice</w:t>
      </w:r>
    </w:p>
    <w:p w14:paraId="43A19E4C" w14:textId="77777777" w:rsidR="00BD3505" w:rsidRPr="00BD3505" w:rsidRDefault="00BD3505" w:rsidP="00BD3505">
      <w:pPr>
        <w:pStyle w:val="NormalWeb"/>
        <w:shd w:val="clear" w:color="auto" w:fill="F5F5F5"/>
        <w:spacing w:before="0" w:beforeAutospacing="0" w:after="0" w:afterAutospacing="0" w:line="270" w:lineRule="atLeast"/>
        <w:rPr>
          <w:rFonts w:ascii="Century Gothic" w:hAnsi="Century Gothic" w:cs="Arial"/>
          <w:color w:val="2C2B2B"/>
          <w:sz w:val="18"/>
          <w:szCs w:val="18"/>
          <w:lang w:val="en-US"/>
        </w:rPr>
      </w:pPr>
      <w:r w:rsidRPr="00BD3505">
        <w:rPr>
          <w:rFonts w:ascii="Century Gothic" w:hAnsi="Century Gothic" w:cs="Arial"/>
          <w:color w:val="2C2B2B"/>
          <w:sz w:val="18"/>
          <w:szCs w:val="18"/>
          <w:lang w:val="en-US"/>
        </w:rPr>
        <w:t>With the exception of the Commonwealth Coat of Arms, this work is licensed under a Creative Commons Attribution 4.0 International licence (CC BY 4.0)( </w:t>
      </w:r>
      <w:hyperlink r:id="rId11" w:history="1">
        <w:r w:rsidRPr="00BD3505">
          <w:rPr>
            <w:rStyle w:val="Hyperlink"/>
            <w:rFonts w:ascii="Century Gothic" w:hAnsi="Century Gothic" w:cs="Arial"/>
            <w:sz w:val="18"/>
            <w:szCs w:val="18"/>
            <w:lang w:val="en-US"/>
          </w:rPr>
          <w:t>https://creativecommons.org/licenses/by/4.0/</w:t>
        </w:r>
      </w:hyperlink>
      <w:r w:rsidRPr="00BD3505">
        <w:rPr>
          <w:rFonts w:ascii="Century Gothic" w:hAnsi="Century Gothic" w:cs="Arial"/>
          <w:color w:val="2C2B2B"/>
          <w:sz w:val="18"/>
          <w:szCs w:val="18"/>
          <w:lang w:val="en-US"/>
        </w:rPr>
        <w:t> ).</w:t>
      </w:r>
    </w:p>
    <w:p w14:paraId="2A42A83F" w14:textId="332019BD" w:rsidR="00BD3505" w:rsidRPr="00BD3505" w:rsidRDefault="00BD3505" w:rsidP="00BD3505">
      <w:pPr>
        <w:pStyle w:val="NormalWeb"/>
        <w:shd w:val="clear" w:color="auto" w:fill="F5F5F5"/>
        <w:spacing w:line="270" w:lineRule="atLeast"/>
        <w:rPr>
          <w:rFonts w:ascii="Century Gothic" w:hAnsi="Century Gothic" w:cs="Arial"/>
          <w:color w:val="2C2B2B"/>
          <w:sz w:val="18"/>
          <w:szCs w:val="18"/>
          <w:lang w:val="en-US"/>
        </w:rPr>
      </w:pPr>
      <w:r w:rsidRPr="00BD3505">
        <w:rPr>
          <w:rFonts w:ascii="Century Gothic" w:hAnsi="Century Gothic" w:cs="Arial"/>
          <w:noProof/>
          <w:color w:val="1772AF"/>
          <w:sz w:val="18"/>
          <w:szCs w:val="18"/>
        </w:rPr>
        <w:drawing>
          <wp:inline distT="0" distB="0" distL="0" distR="0" wp14:anchorId="6A8C9E42" wp14:editId="12612048">
            <wp:extent cx="829310" cy="287020"/>
            <wp:effectExtent l="0" t="0" r="8890" b="0"/>
            <wp:docPr id="17" name="Picture 17" descr="ccby">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9310" cy="287020"/>
                    </a:xfrm>
                    <a:prstGeom prst="rect">
                      <a:avLst/>
                    </a:prstGeom>
                    <a:noFill/>
                    <a:ln>
                      <a:noFill/>
                    </a:ln>
                  </pic:spPr>
                </pic:pic>
              </a:graphicData>
            </a:graphic>
          </wp:inline>
        </w:drawing>
      </w:r>
    </w:p>
    <w:p w14:paraId="5A3D3C2C" w14:textId="77777777" w:rsidR="00BD3505" w:rsidRPr="00BD3505" w:rsidRDefault="00BD3505" w:rsidP="00BD3505">
      <w:pPr>
        <w:pStyle w:val="NormalWeb"/>
        <w:shd w:val="clear" w:color="auto" w:fill="F5F5F5"/>
        <w:spacing w:line="270" w:lineRule="atLeast"/>
        <w:rPr>
          <w:rFonts w:ascii="Century Gothic" w:hAnsi="Century Gothic" w:cs="Arial"/>
          <w:color w:val="2C2B2B"/>
          <w:sz w:val="18"/>
          <w:szCs w:val="18"/>
          <w:lang w:val="en-US"/>
        </w:rPr>
      </w:pPr>
      <w:r w:rsidRPr="00BD3505">
        <w:rPr>
          <w:rStyle w:val="Strong"/>
          <w:rFonts w:ascii="Century Gothic" w:hAnsi="Century Gothic" w:cs="Arial"/>
          <w:color w:val="2C2B2B"/>
          <w:sz w:val="18"/>
          <w:szCs w:val="18"/>
          <w:lang w:val="en-US"/>
        </w:rPr>
        <w:t>Third party copyright</w:t>
      </w:r>
      <w:r w:rsidRPr="00BD3505">
        <w:rPr>
          <w:rFonts w:ascii="Century Gothic" w:hAnsi="Century Gothic" w:cs="Arial"/>
          <w:b/>
          <w:bCs/>
          <w:color w:val="2C2B2B"/>
          <w:sz w:val="18"/>
          <w:szCs w:val="18"/>
          <w:lang w:val="en-US"/>
        </w:rPr>
        <w:br/>
      </w:r>
      <w:r w:rsidRPr="00BD3505">
        <w:rPr>
          <w:rFonts w:ascii="Century Gothic" w:hAnsi="Century Gothic" w:cs="Arial"/>
          <w:color w:val="2C2B2B"/>
          <w:sz w:val="18"/>
          <w:szCs w:val="18"/>
          <w:lang w:val="en-US"/>
        </w:rPr>
        <w:t>Wherever a third party holds copyright in this material, the copyright remains with that party.  Their permission may be required to use the material. Please contact them directly.</w:t>
      </w:r>
    </w:p>
    <w:p w14:paraId="7A3A422A" w14:textId="77777777" w:rsidR="00BD3505" w:rsidRPr="00BD3505" w:rsidRDefault="00BD3505" w:rsidP="00BD3505">
      <w:pPr>
        <w:pStyle w:val="NormalWeb"/>
        <w:shd w:val="clear" w:color="auto" w:fill="F5F5F5"/>
        <w:spacing w:line="270" w:lineRule="atLeast"/>
        <w:rPr>
          <w:rFonts w:ascii="Century Gothic" w:hAnsi="Century Gothic" w:cs="Arial"/>
          <w:color w:val="2C2B2B"/>
          <w:sz w:val="18"/>
          <w:szCs w:val="18"/>
          <w:lang w:val="en-US"/>
        </w:rPr>
      </w:pPr>
      <w:r w:rsidRPr="00BD3505">
        <w:rPr>
          <w:rStyle w:val="Strong"/>
          <w:rFonts w:ascii="Century Gothic" w:hAnsi="Century Gothic" w:cs="Arial"/>
          <w:color w:val="2C2B2B"/>
          <w:sz w:val="18"/>
          <w:szCs w:val="18"/>
          <w:lang w:val="en-US"/>
        </w:rPr>
        <w:t>Attribution</w:t>
      </w:r>
      <w:r w:rsidRPr="00BD3505">
        <w:rPr>
          <w:rFonts w:ascii="Century Gothic" w:hAnsi="Century Gothic" w:cs="Arial"/>
          <w:b/>
          <w:bCs/>
          <w:color w:val="2C2B2B"/>
          <w:sz w:val="18"/>
          <w:szCs w:val="18"/>
          <w:lang w:val="en-US"/>
        </w:rPr>
        <w:br/>
      </w:r>
      <w:r w:rsidRPr="00BD3505">
        <w:rPr>
          <w:rFonts w:ascii="Century Gothic" w:hAnsi="Century Gothic" w:cs="Arial"/>
          <w:color w:val="2C2B2B"/>
          <w:sz w:val="18"/>
          <w:szCs w:val="18"/>
          <w:lang w:val="en-US"/>
        </w:rPr>
        <w:t>This publication should be attributed as follows:</w:t>
      </w:r>
    </w:p>
    <w:p w14:paraId="6F82725A" w14:textId="77777777" w:rsidR="00BD3505" w:rsidRPr="00BD3505" w:rsidRDefault="00BD3505" w:rsidP="00BD3505">
      <w:pPr>
        <w:pStyle w:val="NormalWeb"/>
        <w:shd w:val="clear" w:color="auto" w:fill="F5F5F5"/>
        <w:spacing w:line="270" w:lineRule="atLeast"/>
        <w:rPr>
          <w:rStyle w:val="Emphasis"/>
          <w:rFonts w:ascii="Century Gothic" w:hAnsi="Century Gothic" w:cs="Arial"/>
          <w:color w:val="2C2B2B"/>
          <w:sz w:val="18"/>
          <w:szCs w:val="18"/>
          <w:lang w:val="en-US"/>
        </w:rPr>
      </w:pPr>
      <w:r w:rsidRPr="00BD3505">
        <w:rPr>
          <w:rFonts w:ascii="Century Gothic" w:hAnsi="Century Gothic" w:cs="Arial"/>
          <w:color w:val="2C2B2B"/>
          <w:sz w:val="18"/>
          <w:szCs w:val="18"/>
          <w:lang w:val="en-US"/>
        </w:rPr>
        <w:t>© Commonwealth of Australia, </w:t>
      </w:r>
      <w:r w:rsidRPr="00BD3505">
        <w:rPr>
          <w:rStyle w:val="Emphasis"/>
          <w:rFonts w:ascii="Century Gothic" w:hAnsi="Century Gothic" w:cs="Arial"/>
          <w:color w:val="2C2B2B"/>
          <w:sz w:val="18"/>
          <w:szCs w:val="18"/>
          <w:lang w:val="en-US"/>
        </w:rPr>
        <w:t>National Indigenous Australians Agency, National Indigenous Australians Agency 2020-21 Corporate Plan</w:t>
      </w:r>
    </w:p>
    <w:p w14:paraId="0894DC34" w14:textId="13C108FC" w:rsidR="00BD3505" w:rsidRPr="00BD3505" w:rsidRDefault="00BD3505" w:rsidP="00BD3505">
      <w:pPr>
        <w:pStyle w:val="NormalWeb"/>
        <w:shd w:val="clear" w:color="auto" w:fill="F5F5F5"/>
        <w:spacing w:line="270" w:lineRule="atLeast"/>
        <w:rPr>
          <w:rFonts w:ascii="Century Gothic" w:hAnsi="Century Gothic" w:cs="Arial"/>
          <w:color w:val="2C2B2B"/>
          <w:sz w:val="18"/>
          <w:szCs w:val="18"/>
          <w:lang w:val="en-US"/>
        </w:rPr>
      </w:pPr>
      <w:r w:rsidRPr="00BD3505">
        <w:rPr>
          <w:rStyle w:val="Strong"/>
          <w:rFonts w:ascii="Century Gothic" w:hAnsi="Century Gothic" w:cs="Arial"/>
          <w:color w:val="2C2B2B"/>
          <w:sz w:val="18"/>
          <w:szCs w:val="18"/>
          <w:lang w:val="en-US"/>
        </w:rPr>
        <w:t>Use of the Coat of Arms</w:t>
      </w:r>
      <w:r w:rsidRPr="00BD3505">
        <w:rPr>
          <w:rFonts w:ascii="Century Gothic" w:hAnsi="Century Gothic" w:cs="Arial"/>
          <w:b/>
          <w:bCs/>
          <w:color w:val="2C2B2B"/>
          <w:sz w:val="18"/>
          <w:szCs w:val="18"/>
          <w:lang w:val="en-US"/>
        </w:rPr>
        <w:br/>
      </w:r>
      <w:r w:rsidRPr="00BD3505">
        <w:rPr>
          <w:rFonts w:ascii="Century Gothic" w:hAnsi="Century Gothic" w:cs="Arial"/>
          <w:color w:val="2C2B2B"/>
          <w:sz w:val="18"/>
          <w:szCs w:val="18"/>
          <w:lang w:val="en-US"/>
        </w:rPr>
        <w:t>The terms under which the Coat of Arms can be used are detailed on the following website:</w:t>
      </w:r>
      <w:r w:rsidRPr="00BD3505">
        <w:rPr>
          <w:rFonts w:ascii="Century Gothic" w:hAnsi="Century Gothic" w:cs="Arial"/>
          <w:color w:val="2C2B2B"/>
          <w:sz w:val="18"/>
          <w:szCs w:val="18"/>
          <w:lang w:val="en-US"/>
        </w:rPr>
        <w:br/>
      </w:r>
      <w:hyperlink r:id="rId14" w:history="1">
        <w:r w:rsidRPr="00BD3505">
          <w:rPr>
            <w:rStyle w:val="Hyperlink"/>
            <w:rFonts w:ascii="Century Gothic" w:hAnsi="Century Gothic" w:cs="Arial"/>
            <w:sz w:val="18"/>
            <w:szCs w:val="18"/>
            <w:lang w:val="en-US"/>
          </w:rPr>
          <w:t>https://pmc.gov.au/cca</w:t>
        </w:r>
      </w:hyperlink>
    </w:p>
    <w:p w14:paraId="76E1D0DB" w14:textId="77777777" w:rsidR="00BD3505" w:rsidRPr="00BD3505" w:rsidRDefault="00BD3505" w:rsidP="00BD3505">
      <w:pPr>
        <w:pStyle w:val="NormalWeb"/>
        <w:shd w:val="clear" w:color="auto" w:fill="F5F5F5"/>
        <w:spacing w:after="0" w:afterAutospacing="0" w:line="270" w:lineRule="atLeast"/>
        <w:rPr>
          <w:rFonts w:ascii="Century Gothic" w:hAnsi="Century Gothic" w:cs="Arial"/>
          <w:color w:val="2C2B2B"/>
          <w:sz w:val="18"/>
          <w:szCs w:val="18"/>
          <w:lang w:val="en-US"/>
        </w:rPr>
      </w:pPr>
      <w:r w:rsidRPr="00BD3505">
        <w:rPr>
          <w:rStyle w:val="Strong"/>
          <w:rFonts w:ascii="Century Gothic" w:hAnsi="Century Gothic" w:cs="Arial"/>
          <w:color w:val="2C2B2B"/>
          <w:sz w:val="18"/>
          <w:szCs w:val="18"/>
          <w:lang w:val="en-US"/>
        </w:rPr>
        <w:t>Other uses</w:t>
      </w:r>
      <w:r w:rsidRPr="00BD3505">
        <w:rPr>
          <w:rFonts w:ascii="Century Gothic" w:hAnsi="Century Gothic" w:cs="Arial"/>
          <w:b/>
          <w:bCs/>
          <w:color w:val="2C2B2B"/>
          <w:sz w:val="18"/>
          <w:szCs w:val="18"/>
          <w:lang w:val="en-US"/>
        </w:rPr>
        <w:br/>
      </w:r>
      <w:r w:rsidRPr="00BD3505">
        <w:rPr>
          <w:rFonts w:ascii="Century Gothic" w:hAnsi="Century Gothic" w:cs="Arial"/>
          <w:color w:val="2C2B2B"/>
          <w:sz w:val="18"/>
          <w:szCs w:val="18"/>
          <w:lang w:val="en-US"/>
        </w:rPr>
        <w:t>Enquiries regarding this document are welcome at:</w:t>
      </w:r>
    </w:p>
    <w:p w14:paraId="5ADD3B4E" w14:textId="2A862262" w:rsidR="003A441C" w:rsidRPr="00BD3505" w:rsidRDefault="00BD3505" w:rsidP="00BD3505">
      <w:pPr>
        <w:pStyle w:val="NormalWeb"/>
        <w:shd w:val="clear" w:color="auto" w:fill="F5F5F5"/>
        <w:spacing w:before="0" w:beforeAutospacing="0" w:line="270" w:lineRule="atLeast"/>
        <w:rPr>
          <w:rStyle w:val="Hyperlink"/>
          <w:lang w:val="en-US"/>
        </w:rPr>
      </w:pPr>
      <w:r w:rsidRPr="00BD3505">
        <w:rPr>
          <w:rStyle w:val="Hyperlink"/>
          <w:rFonts w:ascii="Century Gothic" w:hAnsi="Century Gothic" w:cs="Arial"/>
          <w:sz w:val="18"/>
          <w:szCs w:val="18"/>
          <w:lang w:val="en-US"/>
        </w:rPr>
        <w:t>NIAA-Governance@niaa.gov.au</w:t>
      </w:r>
      <w:r w:rsidR="003A441C" w:rsidRPr="00BD3505">
        <w:rPr>
          <w:rStyle w:val="Hyperlink"/>
          <w:rFonts w:ascii="Arial" w:hAnsi="Arial" w:cs="Arial"/>
          <w:sz w:val="18"/>
          <w:szCs w:val="18"/>
          <w:lang w:val="en-US"/>
        </w:rPr>
        <w:br w:type="page"/>
      </w:r>
    </w:p>
    <w:p w14:paraId="56CD0FE7" w14:textId="6A7A09CE" w:rsidR="003A441C" w:rsidRPr="00147B76" w:rsidRDefault="003C0F8F" w:rsidP="00321F99">
      <w:pPr>
        <w:pStyle w:val="Heading2"/>
      </w:pPr>
      <w:bookmarkStart w:id="3" w:name="_Toc52967392"/>
      <w:bookmarkStart w:id="4" w:name="_Toc52982143"/>
      <w:bookmarkStart w:id="5" w:name="_Toc55483146"/>
      <w:r w:rsidRPr="00147B76">
        <w:lastRenderedPageBreak/>
        <w:t>ACKNOWLEDGEMENT</w:t>
      </w:r>
      <w:r w:rsidR="00423DB8" w:rsidRPr="00147B76">
        <w:t xml:space="preserve"> OF</w:t>
      </w:r>
      <w:r w:rsidR="003A441C" w:rsidRPr="00147B76">
        <w:t xml:space="preserve"> COUNTRY</w:t>
      </w:r>
      <w:bookmarkEnd w:id="3"/>
      <w:bookmarkEnd w:id="4"/>
      <w:bookmarkEnd w:id="5"/>
    </w:p>
    <w:p w14:paraId="15BDF63C" w14:textId="3DAB6217" w:rsidR="003A441C" w:rsidRPr="00295DE4" w:rsidRDefault="00423DB8" w:rsidP="004A709D">
      <w:pPr>
        <w:pStyle w:val="Default"/>
        <w:spacing w:after="300" w:line="361" w:lineRule="atLeast"/>
        <w:rPr>
          <w:rFonts w:cstheme="minorBidi"/>
          <w:color w:val="1A2A38"/>
          <w:sz w:val="22"/>
          <w:szCs w:val="22"/>
        </w:rPr>
      </w:pPr>
      <w:r w:rsidRPr="00295DE4">
        <w:rPr>
          <w:rFonts w:cstheme="minorBidi"/>
          <w:iCs/>
          <w:color w:val="1A2A38"/>
          <w:sz w:val="22"/>
          <w:szCs w:val="22"/>
        </w:rPr>
        <w:t>The National Indigenous Australians Agency acknowledges the traditional owners and custodians of country throughout Australia and acknowledges their continuing connection to land, waters and community. We pay our respects to the people, the cultures and the elders past, present and emerging.</w:t>
      </w:r>
      <w:r w:rsidR="003A441C" w:rsidRPr="00295DE4">
        <w:rPr>
          <w:rFonts w:cstheme="minorBidi"/>
          <w:color w:val="1A2A38"/>
          <w:sz w:val="22"/>
          <w:szCs w:val="22"/>
        </w:rPr>
        <w:br w:type="page"/>
      </w:r>
    </w:p>
    <w:p w14:paraId="7F7CB5AB" w14:textId="07CF219B" w:rsidR="00147B76" w:rsidRPr="00BD3505" w:rsidRDefault="003A441C" w:rsidP="00BD3505">
      <w:pPr>
        <w:pStyle w:val="Heading1"/>
      </w:pPr>
      <w:bookmarkStart w:id="6" w:name="_Toc52967393"/>
      <w:bookmarkStart w:id="7" w:name="_Toc52982144"/>
      <w:bookmarkStart w:id="8" w:name="_Toc55483147"/>
      <w:bookmarkStart w:id="9" w:name="_Toc59456216"/>
      <w:r w:rsidRPr="00BD3505">
        <w:lastRenderedPageBreak/>
        <w:t>MESSAGE FROM THE CHIEF EXECUTIVE OFFICER</w:t>
      </w:r>
      <w:bookmarkEnd w:id="6"/>
      <w:bookmarkEnd w:id="7"/>
      <w:bookmarkEnd w:id="8"/>
      <w:bookmarkEnd w:id="9"/>
    </w:p>
    <w:p w14:paraId="24F58261" w14:textId="77777777" w:rsidR="00C23ED6" w:rsidRDefault="00CC652D" w:rsidP="00C23ED6">
      <w:pPr>
        <w:pStyle w:val="Default"/>
        <w:spacing w:after="300" w:line="361" w:lineRule="atLeast"/>
        <w:rPr>
          <w:rFonts w:cstheme="minorBidi"/>
          <w:color w:val="1A2A38"/>
          <w:sz w:val="22"/>
          <w:szCs w:val="22"/>
        </w:rPr>
      </w:pPr>
      <w:r w:rsidRPr="004A709D">
        <w:rPr>
          <w:rFonts w:cstheme="minorBidi"/>
          <w:color w:val="1A2A38"/>
          <w:sz w:val="22"/>
          <w:szCs w:val="22"/>
        </w:rPr>
        <w:t>I am pleased to present the National Indigenous Australians Agency (NIAA) 2020–21 Corporate Plan</w:t>
      </w:r>
      <w:r w:rsidR="00C23ED6">
        <w:rPr>
          <w:rFonts w:cstheme="minorBidi"/>
          <w:color w:val="1A2A38"/>
          <w:sz w:val="22"/>
          <w:szCs w:val="22"/>
        </w:rPr>
        <w:t xml:space="preserve">, which covers the reporting </w:t>
      </w:r>
      <w:r w:rsidR="00273481">
        <w:rPr>
          <w:rFonts w:cstheme="minorBidi"/>
          <w:color w:val="1A2A38"/>
          <w:sz w:val="22"/>
          <w:szCs w:val="22"/>
        </w:rPr>
        <w:t xml:space="preserve">period </w:t>
      </w:r>
      <w:r w:rsidR="00C23ED6">
        <w:rPr>
          <w:rFonts w:cstheme="minorBidi"/>
          <w:color w:val="1A2A38"/>
          <w:sz w:val="22"/>
          <w:szCs w:val="22"/>
        </w:rPr>
        <w:t>2020-21 to 2023-24</w:t>
      </w:r>
      <w:r w:rsidR="00273481">
        <w:rPr>
          <w:rFonts w:cstheme="minorBidi"/>
          <w:color w:val="1A2A38"/>
          <w:sz w:val="22"/>
          <w:szCs w:val="22"/>
        </w:rPr>
        <w:t>,</w:t>
      </w:r>
      <w:r w:rsidR="00C23ED6">
        <w:rPr>
          <w:rFonts w:cstheme="minorBidi"/>
          <w:color w:val="1A2A38"/>
          <w:sz w:val="22"/>
          <w:szCs w:val="22"/>
        </w:rPr>
        <w:t xml:space="preserve"> as required under </w:t>
      </w:r>
      <w:r w:rsidR="00C23ED6" w:rsidRPr="009A3FD4">
        <w:rPr>
          <w:rFonts w:cstheme="minorBidi"/>
          <w:color w:val="1A2A38"/>
          <w:sz w:val="22"/>
          <w:szCs w:val="22"/>
        </w:rPr>
        <w:t>paragraph 35 (1) (b) of the </w:t>
      </w:r>
      <w:r w:rsidR="00C23ED6" w:rsidRPr="006B0F8D">
        <w:rPr>
          <w:rFonts w:cstheme="minorBidi"/>
          <w:i/>
          <w:color w:val="1A2A38"/>
          <w:sz w:val="22"/>
          <w:szCs w:val="22"/>
        </w:rPr>
        <w:t>Public Governance, Performance and Accountability Act 2013</w:t>
      </w:r>
      <w:r w:rsidR="00C23ED6" w:rsidRPr="0005487A">
        <w:rPr>
          <w:rFonts w:cstheme="minorBidi"/>
          <w:color w:val="1A2A38"/>
          <w:sz w:val="22"/>
          <w:szCs w:val="22"/>
        </w:rPr>
        <w:t> </w:t>
      </w:r>
      <w:r w:rsidR="00C23ED6">
        <w:rPr>
          <w:rFonts w:cstheme="minorBidi"/>
          <w:color w:val="1A2A38"/>
          <w:sz w:val="22"/>
          <w:szCs w:val="22"/>
        </w:rPr>
        <w:t>(PGPA Act)</w:t>
      </w:r>
      <w:r w:rsidR="00C23ED6" w:rsidRPr="0005487A">
        <w:rPr>
          <w:rFonts w:cstheme="minorBidi"/>
          <w:color w:val="1A2A38"/>
          <w:sz w:val="22"/>
          <w:szCs w:val="22"/>
        </w:rPr>
        <w:t>.</w:t>
      </w:r>
    </w:p>
    <w:p w14:paraId="6E7CB9DC" w14:textId="2C95E39A" w:rsidR="00CC652D" w:rsidRPr="006F4F7A" w:rsidRDefault="00C23ED6" w:rsidP="004A709D">
      <w:pPr>
        <w:pStyle w:val="Default"/>
        <w:spacing w:after="300" w:line="361" w:lineRule="atLeast"/>
        <w:rPr>
          <w:color w:val="1A2A38"/>
        </w:rPr>
      </w:pPr>
      <w:r>
        <w:rPr>
          <w:rFonts w:cstheme="minorBidi"/>
          <w:color w:val="1A2A38"/>
          <w:sz w:val="22"/>
          <w:szCs w:val="22"/>
        </w:rPr>
        <w:t>T</w:t>
      </w:r>
      <w:r w:rsidRPr="009A3FD4">
        <w:rPr>
          <w:rFonts w:cstheme="minorBidi"/>
          <w:color w:val="1A2A38"/>
          <w:sz w:val="22"/>
          <w:szCs w:val="22"/>
        </w:rPr>
        <w:t xml:space="preserve">he Corporate Plan is the </w:t>
      </w:r>
      <w:r>
        <w:rPr>
          <w:rFonts w:cstheme="minorBidi"/>
          <w:color w:val="1A2A38"/>
          <w:sz w:val="22"/>
          <w:szCs w:val="22"/>
        </w:rPr>
        <w:t>NIAA’s</w:t>
      </w:r>
      <w:r w:rsidR="00CC652D" w:rsidRPr="004A709D">
        <w:rPr>
          <w:rFonts w:cstheme="minorBidi"/>
          <w:color w:val="1A2A38"/>
          <w:sz w:val="22"/>
          <w:szCs w:val="22"/>
        </w:rPr>
        <w:t xml:space="preserve"> primary planning </w:t>
      </w:r>
      <w:r w:rsidRPr="009A3FD4">
        <w:rPr>
          <w:rFonts w:cstheme="minorBidi"/>
          <w:color w:val="1A2A38"/>
          <w:sz w:val="22"/>
          <w:szCs w:val="22"/>
        </w:rPr>
        <w:t xml:space="preserve">document and informs the reader about the significant activities </w:t>
      </w:r>
      <w:r>
        <w:rPr>
          <w:rFonts w:cstheme="minorBidi"/>
          <w:color w:val="1A2A38"/>
          <w:sz w:val="22"/>
          <w:szCs w:val="22"/>
        </w:rPr>
        <w:t xml:space="preserve">and expected </w:t>
      </w:r>
      <w:r w:rsidR="00CC652D" w:rsidRPr="004A709D">
        <w:rPr>
          <w:rFonts w:cstheme="minorBidi"/>
          <w:color w:val="1A2A38"/>
          <w:sz w:val="22"/>
          <w:szCs w:val="22"/>
        </w:rPr>
        <w:t xml:space="preserve">performance </w:t>
      </w:r>
      <w:r>
        <w:rPr>
          <w:rFonts w:cstheme="minorBidi"/>
          <w:color w:val="1A2A38"/>
          <w:sz w:val="22"/>
          <w:szCs w:val="22"/>
        </w:rPr>
        <w:t xml:space="preserve">required to achieve the NIAA’s </w:t>
      </w:r>
      <w:r w:rsidRPr="00634507">
        <w:rPr>
          <w:rFonts w:cstheme="minorBidi"/>
          <w:color w:val="1A2A38"/>
          <w:sz w:val="22"/>
          <w:szCs w:val="22"/>
        </w:rPr>
        <w:t>purpose</w:t>
      </w:r>
      <w:r w:rsidR="00273481">
        <w:rPr>
          <w:rFonts w:cstheme="minorBidi"/>
          <w:color w:val="1A2A38"/>
          <w:sz w:val="22"/>
          <w:szCs w:val="22"/>
        </w:rPr>
        <w:t xml:space="preserve"> over the respective period</w:t>
      </w:r>
      <w:r w:rsidRPr="009A3FD4">
        <w:rPr>
          <w:rFonts w:ascii="Arial" w:eastAsia="Times New Roman" w:hAnsi="Arial" w:cs="Arial"/>
          <w:lang w:eastAsia="en-AU"/>
        </w:rPr>
        <w:t xml:space="preserve">. </w:t>
      </w:r>
      <w:r>
        <w:rPr>
          <w:rFonts w:cstheme="minorBidi"/>
          <w:color w:val="1A2A38"/>
          <w:sz w:val="22"/>
          <w:szCs w:val="22"/>
        </w:rPr>
        <w:t xml:space="preserve">Performance against the Corporate Plan will be reported through the annual performance statements </w:t>
      </w:r>
      <w:r w:rsidRPr="0005487A">
        <w:rPr>
          <w:rFonts w:cstheme="minorBidi"/>
          <w:color w:val="1A2A38"/>
          <w:sz w:val="22"/>
          <w:szCs w:val="22"/>
        </w:rPr>
        <w:t xml:space="preserve">in the </w:t>
      </w:r>
      <w:r>
        <w:rPr>
          <w:rFonts w:cstheme="minorBidi"/>
          <w:color w:val="1A2A38"/>
          <w:sz w:val="22"/>
          <w:szCs w:val="22"/>
        </w:rPr>
        <w:t xml:space="preserve">NIAA’s </w:t>
      </w:r>
      <w:r w:rsidRPr="0005487A">
        <w:rPr>
          <w:rFonts w:cstheme="minorBidi"/>
          <w:color w:val="1A2A38"/>
          <w:sz w:val="22"/>
          <w:szCs w:val="22"/>
        </w:rPr>
        <w:t>Annual Report</w:t>
      </w:r>
      <w:r>
        <w:rPr>
          <w:rFonts w:cstheme="minorBidi"/>
          <w:color w:val="1A2A38"/>
          <w:sz w:val="22"/>
          <w:szCs w:val="22"/>
        </w:rPr>
        <w:t xml:space="preserve"> for 2020-21</w:t>
      </w:r>
      <w:r w:rsidR="00CC652D" w:rsidRPr="004A709D">
        <w:rPr>
          <w:rFonts w:cstheme="minorBidi"/>
          <w:color w:val="1A2A38"/>
          <w:sz w:val="22"/>
          <w:szCs w:val="22"/>
        </w:rPr>
        <w:t>.</w:t>
      </w:r>
    </w:p>
    <w:p w14:paraId="04DDA23F" w14:textId="153835DF" w:rsidR="0019028F" w:rsidRDefault="0019028F" w:rsidP="0019028F">
      <w:pPr>
        <w:pStyle w:val="Default"/>
        <w:spacing w:after="300" w:line="361" w:lineRule="atLeast"/>
        <w:rPr>
          <w:rFonts w:cstheme="minorBidi"/>
          <w:color w:val="1A2A38"/>
          <w:sz w:val="22"/>
          <w:szCs w:val="22"/>
        </w:rPr>
      </w:pPr>
      <w:r>
        <w:rPr>
          <w:rFonts w:cstheme="minorBidi"/>
          <w:color w:val="1A2A38"/>
          <w:sz w:val="22"/>
          <w:szCs w:val="22"/>
        </w:rPr>
        <w:t>The</w:t>
      </w:r>
      <w:r w:rsidR="000B54BC">
        <w:rPr>
          <w:rFonts w:cstheme="minorBidi"/>
          <w:color w:val="1A2A38"/>
          <w:sz w:val="22"/>
          <w:szCs w:val="22"/>
        </w:rPr>
        <w:t xml:space="preserve"> </w:t>
      </w:r>
      <w:r w:rsidR="007C5EC3" w:rsidRPr="004A709D">
        <w:rPr>
          <w:rFonts w:cstheme="minorBidi"/>
          <w:color w:val="1A2A38"/>
          <w:sz w:val="22"/>
          <w:szCs w:val="22"/>
        </w:rPr>
        <w:t xml:space="preserve">NIAA </w:t>
      </w:r>
      <w:r>
        <w:rPr>
          <w:rFonts w:cstheme="minorBidi"/>
          <w:color w:val="1A2A38"/>
          <w:sz w:val="22"/>
          <w:szCs w:val="22"/>
        </w:rPr>
        <w:t>was</w:t>
      </w:r>
      <w:r w:rsidR="000B54BC">
        <w:rPr>
          <w:rFonts w:cstheme="minorBidi"/>
          <w:color w:val="1A2A38"/>
          <w:sz w:val="22"/>
          <w:szCs w:val="22"/>
        </w:rPr>
        <w:t xml:space="preserve"> </w:t>
      </w:r>
      <w:r w:rsidR="007C5EC3" w:rsidRPr="004A709D">
        <w:rPr>
          <w:rFonts w:cstheme="minorBidi"/>
          <w:color w:val="1A2A38"/>
          <w:sz w:val="22"/>
          <w:szCs w:val="22"/>
        </w:rPr>
        <w:t>establish</w:t>
      </w:r>
      <w:r w:rsidR="00CB3CB8" w:rsidRPr="004A709D">
        <w:rPr>
          <w:rFonts w:cstheme="minorBidi"/>
          <w:color w:val="1A2A38"/>
          <w:sz w:val="22"/>
          <w:szCs w:val="22"/>
        </w:rPr>
        <w:t>ed</w:t>
      </w:r>
      <w:r w:rsidR="007C5EC3" w:rsidRPr="004A709D">
        <w:rPr>
          <w:rFonts w:cstheme="minorBidi"/>
          <w:color w:val="1A2A38"/>
          <w:sz w:val="22"/>
          <w:szCs w:val="22"/>
        </w:rPr>
        <w:t xml:space="preserve"> </w:t>
      </w:r>
      <w:r>
        <w:rPr>
          <w:rFonts w:cstheme="minorBidi"/>
          <w:color w:val="1A2A38"/>
          <w:sz w:val="22"/>
          <w:szCs w:val="22"/>
        </w:rPr>
        <w:t>by Executive Order on 29 May 2019 with responsibility for a number of key government priorities, including:</w:t>
      </w:r>
    </w:p>
    <w:p w14:paraId="41F30D94" w14:textId="1A0CDD99" w:rsidR="007C5EC3" w:rsidRPr="004A709D" w:rsidRDefault="0019028F" w:rsidP="006F4F7A">
      <w:pPr>
        <w:pStyle w:val="Default"/>
        <w:numPr>
          <w:ilvl w:val="0"/>
          <w:numId w:val="42"/>
        </w:numPr>
        <w:spacing w:after="300" w:line="361" w:lineRule="atLeast"/>
        <w:rPr>
          <w:rFonts w:cstheme="minorBidi"/>
          <w:color w:val="1A2A38"/>
          <w:sz w:val="22"/>
          <w:szCs w:val="22"/>
        </w:rPr>
      </w:pPr>
      <w:r w:rsidRPr="0019028F">
        <w:rPr>
          <w:rFonts w:cstheme="minorBidi"/>
          <w:color w:val="1A2A38"/>
          <w:sz w:val="22"/>
          <w:szCs w:val="22"/>
        </w:rPr>
        <w:t>to</w:t>
      </w:r>
      <w:r w:rsidR="000B54BC">
        <w:rPr>
          <w:rFonts w:cstheme="minorBidi"/>
          <w:color w:val="1A2A38"/>
          <w:sz w:val="22"/>
          <w:szCs w:val="22"/>
        </w:rPr>
        <w:t xml:space="preserve"> </w:t>
      </w:r>
      <w:r w:rsidR="007C5EC3" w:rsidRPr="004A709D">
        <w:rPr>
          <w:rFonts w:cstheme="minorBidi"/>
          <w:color w:val="1A2A38"/>
          <w:sz w:val="22"/>
          <w:szCs w:val="22"/>
        </w:rPr>
        <w:t xml:space="preserve">lead </w:t>
      </w:r>
      <w:r w:rsidRPr="0019028F">
        <w:rPr>
          <w:rFonts w:cstheme="minorBidi"/>
          <w:color w:val="1A2A38"/>
          <w:sz w:val="22"/>
          <w:szCs w:val="22"/>
        </w:rPr>
        <w:t xml:space="preserve">and coordinate </w:t>
      </w:r>
      <w:r w:rsidR="007C5EC3" w:rsidRPr="004A709D">
        <w:rPr>
          <w:rFonts w:cstheme="minorBidi"/>
          <w:color w:val="1A2A38"/>
          <w:sz w:val="22"/>
          <w:szCs w:val="22"/>
        </w:rPr>
        <w:t xml:space="preserve">Commonwealth policy development, program design and implementation </w:t>
      </w:r>
      <w:r w:rsidR="009C69F0">
        <w:rPr>
          <w:rFonts w:cstheme="minorBidi"/>
          <w:color w:val="1A2A38"/>
          <w:sz w:val="22"/>
          <w:szCs w:val="22"/>
        </w:rPr>
        <w:t xml:space="preserve">and service delivery </w:t>
      </w:r>
      <w:r w:rsidR="007C5EC3" w:rsidRPr="004A709D">
        <w:rPr>
          <w:rFonts w:cstheme="minorBidi"/>
          <w:color w:val="1A2A38"/>
          <w:sz w:val="22"/>
          <w:szCs w:val="22"/>
        </w:rPr>
        <w:t>for Aboriginal and Torres Strait Islander peoples</w:t>
      </w:r>
      <w:r w:rsidRPr="0019028F">
        <w:rPr>
          <w:rFonts w:cstheme="minorBidi"/>
          <w:color w:val="1A2A38"/>
          <w:sz w:val="22"/>
          <w:szCs w:val="22"/>
        </w:rPr>
        <w:t>;</w:t>
      </w:r>
    </w:p>
    <w:p w14:paraId="58054315" w14:textId="77777777" w:rsidR="0019028F" w:rsidRDefault="0019028F" w:rsidP="00DE7D85">
      <w:pPr>
        <w:pStyle w:val="Default"/>
        <w:numPr>
          <w:ilvl w:val="0"/>
          <w:numId w:val="42"/>
        </w:numPr>
        <w:spacing w:after="300" w:line="361" w:lineRule="atLeast"/>
        <w:rPr>
          <w:rFonts w:cstheme="minorBidi"/>
          <w:color w:val="1A2A38"/>
          <w:sz w:val="22"/>
          <w:szCs w:val="22"/>
        </w:rPr>
      </w:pPr>
      <w:r w:rsidRPr="00E8762F">
        <w:rPr>
          <w:rFonts w:cstheme="minorBidi"/>
          <w:color w:val="1A2A38"/>
          <w:sz w:val="22"/>
          <w:szCs w:val="22"/>
        </w:rPr>
        <w:t>to provide advice to the Prime Minister and the Minister for Indigenous Australians on whole-of-government priorities for Aboriginal and Torres Strait Islander peoples;</w:t>
      </w:r>
    </w:p>
    <w:p w14:paraId="2E33AF44" w14:textId="285E1F60" w:rsidR="0019028F" w:rsidRDefault="0019028F" w:rsidP="00DE7D85">
      <w:pPr>
        <w:pStyle w:val="Default"/>
        <w:numPr>
          <w:ilvl w:val="0"/>
          <w:numId w:val="42"/>
        </w:numPr>
        <w:spacing w:after="300" w:line="361" w:lineRule="atLeast"/>
        <w:rPr>
          <w:rFonts w:cstheme="minorBidi"/>
          <w:color w:val="1A2A38"/>
          <w:sz w:val="22"/>
          <w:szCs w:val="22"/>
        </w:rPr>
      </w:pPr>
      <w:r w:rsidRPr="00E8762F">
        <w:rPr>
          <w:rFonts w:cstheme="minorBidi"/>
          <w:color w:val="1A2A38"/>
          <w:sz w:val="22"/>
          <w:szCs w:val="22"/>
        </w:rPr>
        <w:t xml:space="preserve">to lead and coordinate the development and </w:t>
      </w:r>
      <w:r w:rsidR="00D35095" w:rsidRPr="004A709D">
        <w:rPr>
          <w:rFonts w:cstheme="minorBidi"/>
          <w:color w:val="1A2A38"/>
          <w:sz w:val="22"/>
          <w:szCs w:val="22"/>
        </w:rPr>
        <w:t>implement</w:t>
      </w:r>
      <w:r w:rsidR="000B54BC">
        <w:rPr>
          <w:rFonts w:cstheme="minorBidi"/>
          <w:color w:val="1A2A38"/>
          <w:sz w:val="22"/>
          <w:szCs w:val="22"/>
        </w:rPr>
        <w:t>ation</w:t>
      </w:r>
      <w:r w:rsidR="00D35095" w:rsidRPr="004A709D">
        <w:rPr>
          <w:rFonts w:cstheme="minorBidi"/>
          <w:color w:val="1A2A38"/>
          <w:sz w:val="22"/>
          <w:szCs w:val="22"/>
        </w:rPr>
        <w:t xml:space="preserve"> </w:t>
      </w:r>
      <w:r w:rsidRPr="00E8762F">
        <w:rPr>
          <w:rFonts w:cstheme="minorBidi"/>
          <w:color w:val="1A2A38"/>
          <w:sz w:val="22"/>
          <w:szCs w:val="22"/>
        </w:rPr>
        <w:t>of Australia’s</w:t>
      </w:r>
      <w:r w:rsidR="007C5EC3" w:rsidRPr="004A709D">
        <w:rPr>
          <w:rFonts w:cstheme="minorBidi"/>
          <w:color w:val="1A2A38"/>
          <w:sz w:val="22"/>
          <w:szCs w:val="22"/>
        </w:rPr>
        <w:t xml:space="preserve"> Closing the Gap targets </w:t>
      </w:r>
      <w:r w:rsidRPr="00E8762F">
        <w:rPr>
          <w:rFonts w:cstheme="minorBidi"/>
          <w:color w:val="1A2A38"/>
          <w:sz w:val="22"/>
          <w:szCs w:val="22"/>
        </w:rPr>
        <w:t xml:space="preserve">in partnership with Indigenous Australians; </w:t>
      </w:r>
      <w:r w:rsidR="007C5EC3" w:rsidRPr="004A709D">
        <w:rPr>
          <w:rFonts w:cstheme="minorBidi"/>
          <w:color w:val="1A2A38"/>
          <w:sz w:val="22"/>
          <w:szCs w:val="22"/>
        </w:rPr>
        <w:t>and</w:t>
      </w:r>
    </w:p>
    <w:p w14:paraId="0FD77D2D" w14:textId="77777777" w:rsidR="007C5EC3" w:rsidRPr="00E8762F" w:rsidRDefault="0019028F" w:rsidP="00DE7D85">
      <w:pPr>
        <w:pStyle w:val="Default"/>
        <w:numPr>
          <w:ilvl w:val="0"/>
          <w:numId w:val="42"/>
        </w:numPr>
        <w:spacing w:after="300" w:line="361" w:lineRule="atLeast"/>
        <w:rPr>
          <w:rFonts w:cstheme="minorBidi"/>
          <w:color w:val="1A2A38"/>
          <w:sz w:val="22"/>
          <w:szCs w:val="22"/>
        </w:rPr>
      </w:pPr>
      <w:r w:rsidRPr="00E8762F">
        <w:rPr>
          <w:rFonts w:cstheme="minorBidi"/>
          <w:color w:val="1A2A38"/>
          <w:sz w:val="22"/>
          <w:szCs w:val="22"/>
        </w:rPr>
        <w:t>to lead Commonwealth activities to promote reconciliation</w:t>
      </w:r>
      <w:r>
        <w:rPr>
          <w:rFonts w:cstheme="minorBidi"/>
          <w:color w:val="1A2A38"/>
          <w:sz w:val="22"/>
          <w:szCs w:val="22"/>
        </w:rPr>
        <w:t xml:space="preserve">. </w:t>
      </w:r>
    </w:p>
    <w:p w14:paraId="65418FB8" w14:textId="39E92D8C" w:rsidR="00C23ED6" w:rsidRDefault="00C23ED6" w:rsidP="00C23ED6">
      <w:pPr>
        <w:pStyle w:val="Default"/>
        <w:spacing w:after="300" w:line="361" w:lineRule="atLeast"/>
        <w:rPr>
          <w:rFonts w:cstheme="minorBidi"/>
          <w:color w:val="1A2A38"/>
          <w:sz w:val="22"/>
          <w:szCs w:val="22"/>
        </w:rPr>
      </w:pPr>
      <w:r w:rsidRPr="004A709D">
        <w:rPr>
          <w:rFonts w:cstheme="minorBidi"/>
          <w:color w:val="1A2A38"/>
          <w:sz w:val="22"/>
          <w:szCs w:val="22"/>
        </w:rPr>
        <w:t xml:space="preserve">In setting our priorities </w:t>
      </w:r>
      <w:r>
        <w:rPr>
          <w:rFonts w:cstheme="minorBidi"/>
          <w:color w:val="1A2A38"/>
          <w:sz w:val="22"/>
          <w:szCs w:val="22"/>
        </w:rPr>
        <w:t>in</w:t>
      </w:r>
      <w:r w:rsidRPr="004A709D" w:rsidDel="00B64012">
        <w:rPr>
          <w:rFonts w:cstheme="minorBidi"/>
          <w:color w:val="1A2A38"/>
          <w:sz w:val="22"/>
          <w:szCs w:val="22"/>
        </w:rPr>
        <w:t xml:space="preserve"> this Corporate Plan, </w:t>
      </w:r>
      <w:r w:rsidRPr="004A709D">
        <w:rPr>
          <w:rFonts w:cstheme="minorBidi"/>
          <w:color w:val="1A2A38"/>
          <w:sz w:val="22"/>
          <w:szCs w:val="22"/>
        </w:rPr>
        <w:t xml:space="preserve">we </w:t>
      </w:r>
      <w:r w:rsidR="0021705D">
        <w:rPr>
          <w:rFonts w:cstheme="minorBidi"/>
          <w:color w:val="1A2A38"/>
          <w:sz w:val="22"/>
          <w:szCs w:val="22"/>
        </w:rPr>
        <w:t>have considered the evolving</w:t>
      </w:r>
      <w:r w:rsidRPr="004A709D">
        <w:rPr>
          <w:rFonts w:cstheme="minorBidi"/>
          <w:color w:val="1A2A38"/>
          <w:sz w:val="22"/>
          <w:szCs w:val="22"/>
        </w:rPr>
        <w:t xml:space="preserve"> challenges our nation, communities and individuals face.</w:t>
      </w:r>
      <w:r w:rsidR="001461E7">
        <w:rPr>
          <w:rFonts w:cstheme="minorBidi"/>
          <w:color w:val="1A2A38"/>
          <w:sz w:val="22"/>
          <w:szCs w:val="22"/>
        </w:rPr>
        <w:t xml:space="preserve"> We are acutely aware of </w:t>
      </w:r>
      <w:r>
        <w:rPr>
          <w:rFonts w:cstheme="minorBidi"/>
          <w:color w:val="1A2A38"/>
          <w:sz w:val="22"/>
          <w:szCs w:val="22"/>
        </w:rPr>
        <w:t>the</w:t>
      </w:r>
      <w:r w:rsidRPr="00380CEA">
        <w:rPr>
          <w:rFonts w:cstheme="minorBidi"/>
          <w:color w:val="1A2A38"/>
          <w:sz w:val="22"/>
          <w:szCs w:val="22"/>
        </w:rPr>
        <w:t xml:space="preserve"> </w:t>
      </w:r>
      <w:r w:rsidR="001461E7">
        <w:rPr>
          <w:rFonts w:cstheme="minorBidi"/>
          <w:color w:val="1A2A38"/>
          <w:sz w:val="22"/>
          <w:szCs w:val="22"/>
        </w:rPr>
        <w:t xml:space="preserve">ongoing </w:t>
      </w:r>
      <w:r w:rsidRPr="00380CEA">
        <w:rPr>
          <w:rFonts w:cstheme="minorBidi"/>
          <w:color w:val="1A2A38"/>
          <w:sz w:val="22"/>
          <w:szCs w:val="22"/>
        </w:rPr>
        <w:t>risks</w:t>
      </w:r>
      <w:r w:rsidR="007C5EC3" w:rsidRPr="004A709D">
        <w:rPr>
          <w:rFonts w:cstheme="minorBidi"/>
          <w:color w:val="1A2A38"/>
          <w:sz w:val="22"/>
          <w:szCs w:val="22"/>
        </w:rPr>
        <w:t xml:space="preserve"> that </w:t>
      </w:r>
      <w:r w:rsidRPr="00380CEA">
        <w:rPr>
          <w:rFonts w:cstheme="minorBidi"/>
          <w:color w:val="1A2A38"/>
          <w:sz w:val="22"/>
          <w:szCs w:val="22"/>
        </w:rPr>
        <w:t xml:space="preserve">COVID-19 </w:t>
      </w:r>
      <w:r>
        <w:rPr>
          <w:rFonts w:cstheme="minorBidi"/>
          <w:color w:val="1A2A38"/>
          <w:sz w:val="22"/>
          <w:szCs w:val="22"/>
        </w:rPr>
        <w:t>present</w:t>
      </w:r>
      <w:r w:rsidR="001461E7">
        <w:rPr>
          <w:rFonts w:cstheme="minorBidi"/>
          <w:color w:val="1A2A38"/>
          <w:sz w:val="22"/>
          <w:szCs w:val="22"/>
        </w:rPr>
        <w:t>s</w:t>
      </w:r>
      <w:r w:rsidRPr="00380CEA">
        <w:rPr>
          <w:rFonts w:cstheme="minorBidi"/>
          <w:color w:val="1A2A38"/>
          <w:sz w:val="22"/>
          <w:szCs w:val="22"/>
        </w:rPr>
        <w:t xml:space="preserve"> to</w:t>
      </w:r>
      <w:r>
        <w:rPr>
          <w:rFonts w:cstheme="minorBidi"/>
          <w:color w:val="1A2A38"/>
          <w:sz w:val="22"/>
          <w:szCs w:val="22"/>
        </w:rPr>
        <w:t xml:space="preserve"> </w:t>
      </w:r>
      <w:r w:rsidRPr="00380CEA">
        <w:rPr>
          <w:rFonts w:cstheme="minorBidi"/>
          <w:color w:val="1A2A38"/>
          <w:sz w:val="22"/>
          <w:szCs w:val="22"/>
        </w:rPr>
        <w:t>Indigenous communities</w:t>
      </w:r>
      <w:r w:rsidR="001461E7">
        <w:rPr>
          <w:rFonts w:cstheme="minorBidi"/>
          <w:color w:val="1A2A38"/>
          <w:sz w:val="22"/>
          <w:szCs w:val="22"/>
        </w:rPr>
        <w:t xml:space="preserve"> and</w:t>
      </w:r>
      <w:r w:rsidRPr="00380CEA">
        <w:rPr>
          <w:rFonts w:cstheme="minorBidi"/>
          <w:color w:val="1A2A38"/>
          <w:sz w:val="22"/>
          <w:szCs w:val="22"/>
        </w:rPr>
        <w:t xml:space="preserve"> </w:t>
      </w:r>
      <w:r w:rsidR="00CE094C">
        <w:rPr>
          <w:rFonts w:cstheme="minorBidi"/>
          <w:color w:val="1A2A38"/>
          <w:sz w:val="22"/>
          <w:szCs w:val="22"/>
        </w:rPr>
        <w:t>in particular those</w:t>
      </w:r>
      <w:r>
        <w:rPr>
          <w:rFonts w:cstheme="minorBidi"/>
          <w:color w:val="1A2A38"/>
          <w:sz w:val="22"/>
          <w:szCs w:val="22"/>
        </w:rPr>
        <w:t xml:space="preserve"> in remote and very</w:t>
      </w:r>
      <w:r>
        <w:rPr>
          <w:rFonts w:cstheme="minorBidi"/>
          <w:color w:val="1A2A38"/>
          <w:sz w:val="22"/>
          <w:szCs w:val="22"/>
        </w:rPr>
        <w:noBreakHyphen/>
      </w:r>
      <w:r w:rsidRPr="00380CEA">
        <w:rPr>
          <w:rFonts w:cstheme="minorBidi"/>
          <w:color w:val="1A2A38"/>
          <w:sz w:val="22"/>
          <w:szCs w:val="22"/>
        </w:rPr>
        <w:t>remote Australia.</w:t>
      </w:r>
      <w:r>
        <w:rPr>
          <w:rFonts w:cstheme="minorBidi"/>
          <w:color w:val="1A2A38"/>
          <w:sz w:val="22"/>
          <w:szCs w:val="22"/>
        </w:rPr>
        <w:t xml:space="preserve"> </w:t>
      </w:r>
      <w:r w:rsidRPr="004A709D">
        <w:rPr>
          <w:rFonts w:cstheme="minorBidi"/>
          <w:color w:val="1A2A38"/>
          <w:sz w:val="22"/>
          <w:szCs w:val="22"/>
        </w:rPr>
        <w:t xml:space="preserve">The impact of the current health and economic conditions are likely to continue for </w:t>
      </w:r>
      <w:r>
        <w:rPr>
          <w:rFonts w:cstheme="minorBidi"/>
          <w:color w:val="1A2A38"/>
          <w:sz w:val="22"/>
          <w:szCs w:val="22"/>
        </w:rPr>
        <w:t xml:space="preserve">the </w:t>
      </w:r>
      <w:r w:rsidRPr="004A709D">
        <w:rPr>
          <w:rFonts w:cstheme="minorBidi"/>
          <w:color w:val="1A2A38"/>
          <w:sz w:val="22"/>
          <w:szCs w:val="22"/>
        </w:rPr>
        <w:t>coming years</w:t>
      </w:r>
      <w:r>
        <w:rPr>
          <w:rFonts w:cstheme="minorBidi"/>
          <w:color w:val="1A2A38"/>
          <w:sz w:val="22"/>
          <w:szCs w:val="22"/>
        </w:rPr>
        <w:t>, with the full impact currently unknown</w:t>
      </w:r>
      <w:r w:rsidRPr="004A709D">
        <w:rPr>
          <w:rFonts w:cstheme="minorBidi"/>
          <w:color w:val="1A2A38"/>
          <w:sz w:val="22"/>
          <w:szCs w:val="22"/>
        </w:rPr>
        <w:t xml:space="preserve">. </w:t>
      </w:r>
      <w:r w:rsidR="007A762E">
        <w:rPr>
          <w:rFonts w:cstheme="minorBidi"/>
          <w:color w:val="1A2A38"/>
          <w:sz w:val="22"/>
          <w:szCs w:val="22"/>
        </w:rPr>
        <w:t>As such, t</w:t>
      </w:r>
      <w:r w:rsidR="001461E7">
        <w:rPr>
          <w:rFonts w:cstheme="minorBidi"/>
          <w:color w:val="1A2A38"/>
          <w:sz w:val="22"/>
          <w:szCs w:val="22"/>
        </w:rPr>
        <w:t xml:space="preserve">he NIAA </w:t>
      </w:r>
      <w:r w:rsidR="007C5EC3" w:rsidRPr="004A709D">
        <w:rPr>
          <w:rFonts w:cstheme="minorBidi"/>
          <w:color w:val="1A2A38"/>
          <w:sz w:val="22"/>
          <w:szCs w:val="22"/>
        </w:rPr>
        <w:t xml:space="preserve">will </w:t>
      </w:r>
      <w:r w:rsidR="007A762E">
        <w:rPr>
          <w:rFonts w:cstheme="minorBidi"/>
          <w:color w:val="1A2A38"/>
          <w:sz w:val="22"/>
          <w:szCs w:val="22"/>
        </w:rPr>
        <w:t xml:space="preserve">need to </w:t>
      </w:r>
      <w:r w:rsidR="001461E7">
        <w:rPr>
          <w:rFonts w:cstheme="minorBidi"/>
          <w:color w:val="1A2A38"/>
          <w:sz w:val="22"/>
          <w:szCs w:val="22"/>
        </w:rPr>
        <w:t xml:space="preserve">be flexible in responding to the </w:t>
      </w:r>
      <w:r w:rsidR="001461E7" w:rsidRPr="004A709D">
        <w:rPr>
          <w:rFonts w:cstheme="minorBidi"/>
          <w:color w:val="1A2A38"/>
          <w:sz w:val="22"/>
          <w:szCs w:val="22"/>
        </w:rPr>
        <w:t>changing operating environment</w:t>
      </w:r>
      <w:r w:rsidR="001461E7">
        <w:rPr>
          <w:rFonts w:cstheme="minorBidi"/>
          <w:color w:val="1A2A38"/>
          <w:sz w:val="22"/>
          <w:szCs w:val="22"/>
        </w:rPr>
        <w:t xml:space="preserve"> and emerging issues.</w:t>
      </w:r>
    </w:p>
    <w:p w14:paraId="172D36C6" w14:textId="207E7471" w:rsidR="007C5EC3" w:rsidRPr="004A709D" w:rsidRDefault="00CE094C" w:rsidP="004A709D">
      <w:pPr>
        <w:pStyle w:val="Default"/>
        <w:spacing w:after="300" w:line="361" w:lineRule="atLeast"/>
        <w:rPr>
          <w:rFonts w:cstheme="minorBidi"/>
          <w:color w:val="1A2A38"/>
          <w:sz w:val="22"/>
          <w:szCs w:val="22"/>
        </w:rPr>
      </w:pPr>
      <w:r>
        <w:rPr>
          <w:rFonts w:cstheme="minorBidi"/>
          <w:color w:val="1A2A38"/>
          <w:sz w:val="22"/>
          <w:szCs w:val="22"/>
        </w:rPr>
        <w:t>T</w:t>
      </w:r>
      <w:r w:rsidR="00C23ED6">
        <w:rPr>
          <w:rFonts w:cstheme="minorBidi"/>
          <w:color w:val="1A2A38"/>
          <w:sz w:val="22"/>
          <w:szCs w:val="22"/>
        </w:rPr>
        <w:t>he NIAA is responding in a number of ways</w:t>
      </w:r>
      <w:r w:rsidR="007C5EC3" w:rsidRPr="004A709D">
        <w:rPr>
          <w:rFonts w:cstheme="minorBidi"/>
          <w:color w:val="1A2A38"/>
          <w:sz w:val="22"/>
          <w:szCs w:val="22"/>
        </w:rPr>
        <w:t xml:space="preserve"> to </w:t>
      </w:r>
      <w:r w:rsidR="00C23ED6" w:rsidRPr="004A709D">
        <w:rPr>
          <w:rFonts w:cstheme="minorBidi"/>
          <w:color w:val="1A2A38"/>
          <w:sz w:val="22"/>
          <w:szCs w:val="22"/>
        </w:rPr>
        <w:t>assist the Australian Government achieve its objectives in improving</w:t>
      </w:r>
      <w:r w:rsidR="007C5EC3" w:rsidRPr="004A709D">
        <w:rPr>
          <w:rFonts w:cstheme="minorBidi"/>
          <w:color w:val="1A2A38"/>
          <w:sz w:val="22"/>
          <w:szCs w:val="22"/>
        </w:rPr>
        <w:t xml:space="preserve"> </w:t>
      </w:r>
      <w:r w:rsidR="005415C3" w:rsidRPr="004A709D">
        <w:rPr>
          <w:rFonts w:cstheme="minorBidi"/>
          <w:color w:val="1A2A38"/>
          <w:sz w:val="22"/>
          <w:szCs w:val="22"/>
        </w:rPr>
        <w:t xml:space="preserve">the lives of </w:t>
      </w:r>
      <w:r w:rsidR="00392C44" w:rsidRPr="004A709D">
        <w:rPr>
          <w:rFonts w:cstheme="minorBidi"/>
          <w:color w:val="1A2A38"/>
          <w:sz w:val="22"/>
          <w:szCs w:val="22"/>
        </w:rPr>
        <w:t>Indigenous Australians</w:t>
      </w:r>
      <w:r w:rsidR="005415C3" w:rsidRPr="004A709D">
        <w:rPr>
          <w:rFonts w:cstheme="minorBidi"/>
          <w:color w:val="1A2A38"/>
          <w:sz w:val="22"/>
          <w:szCs w:val="22"/>
        </w:rPr>
        <w:t>.</w:t>
      </w:r>
      <w:r w:rsidR="001461E7">
        <w:rPr>
          <w:rFonts w:cstheme="minorBidi"/>
          <w:color w:val="1A2A38"/>
          <w:sz w:val="22"/>
          <w:szCs w:val="22"/>
        </w:rPr>
        <w:t xml:space="preserve"> Key priorities in our</w:t>
      </w:r>
      <w:r w:rsidR="00C23ED6">
        <w:rPr>
          <w:rFonts w:cstheme="minorBidi"/>
          <w:color w:val="1A2A38"/>
          <w:sz w:val="22"/>
          <w:szCs w:val="22"/>
        </w:rPr>
        <w:t xml:space="preserve"> Corporate Plan</w:t>
      </w:r>
      <w:r>
        <w:rPr>
          <w:rFonts w:cstheme="minorBidi"/>
          <w:color w:val="1A2A38"/>
          <w:sz w:val="22"/>
          <w:szCs w:val="22"/>
        </w:rPr>
        <w:t xml:space="preserve"> include</w:t>
      </w:r>
      <w:r w:rsidR="00C23ED6">
        <w:rPr>
          <w:rFonts w:cstheme="minorBidi"/>
          <w:color w:val="1A2A38"/>
          <w:sz w:val="22"/>
          <w:szCs w:val="22"/>
        </w:rPr>
        <w:t>:</w:t>
      </w:r>
    </w:p>
    <w:p w14:paraId="4D40BC2B" w14:textId="6E6EDC90" w:rsidR="004F3E09" w:rsidRDefault="004D0BA0" w:rsidP="006B0F8D">
      <w:pPr>
        <w:pStyle w:val="Default"/>
        <w:numPr>
          <w:ilvl w:val="0"/>
          <w:numId w:val="42"/>
        </w:numPr>
        <w:spacing w:after="300" w:line="361" w:lineRule="atLeast"/>
        <w:rPr>
          <w:rFonts w:cstheme="minorBidi"/>
          <w:color w:val="1A2A38"/>
          <w:sz w:val="22"/>
          <w:szCs w:val="22"/>
        </w:rPr>
      </w:pPr>
      <w:r w:rsidRPr="004A709D">
        <w:rPr>
          <w:rFonts w:cstheme="minorBidi"/>
          <w:color w:val="1A2A38"/>
          <w:sz w:val="22"/>
          <w:szCs w:val="22"/>
        </w:rPr>
        <w:t xml:space="preserve">Supporting economic growth in remote communities </w:t>
      </w:r>
      <w:r w:rsidR="001461E7">
        <w:rPr>
          <w:rFonts w:cstheme="minorBidi"/>
          <w:color w:val="1A2A38"/>
          <w:sz w:val="22"/>
          <w:szCs w:val="22"/>
        </w:rPr>
        <w:t>and strengthening the focus on jobs and wealth creation</w:t>
      </w:r>
      <w:r w:rsidR="00CA014D" w:rsidRPr="004A709D">
        <w:rPr>
          <w:rFonts w:cstheme="minorBidi"/>
          <w:color w:val="1A2A38"/>
          <w:sz w:val="22"/>
          <w:szCs w:val="22"/>
        </w:rPr>
        <w:t>.</w:t>
      </w:r>
      <w:r w:rsidRPr="004A709D">
        <w:rPr>
          <w:rFonts w:cstheme="minorBidi"/>
          <w:color w:val="1A2A38"/>
          <w:sz w:val="22"/>
          <w:szCs w:val="22"/>
        </w:rPr>
        <w:t xml:space="preserve"> </w:t>
      </w:r>
      <w:r w:rsidR="00163DC0" w:rsidRPr="004A709D">
        <w:rPr>
          <w:rFonts w:cstheme="minorBidi"/>
          <w:color w:val="1A2A38"/>
          <w:sz w:val="22"/>
          <w:szCs w:val="22"/>
        </w:rPr>
        <w:t>T</w:t>
      </w:r>
      <w:r w:rsidRPr="004A709D">
        <w:rPr>
          <w:rFonts w:cstheme="minorBidi"/>
          <w:color w:val="1A2A38"/>
          <w:sz w:val="22"/>
          <w:szCs w:val="22"/>
        </w:rPr>
        <w:t>he life changing impact that employment has on the hea</w:t>
      </w:r>
      <w:r w:rsidR="0081030B" w:rsidRPr="004A709D">
        <w:rPr>
          <w:rFonts w:cstheme="minorBidi"/>
          <w:color w:val="1A2A38"/>
          <w:sz w:val="22"/>
          <w:szCs w:val="22"/>
        </w:rPr>
        <w:t>l</w:t>
      </w:r>
      <w:r w:rsidRPr="004A709D">
        <w:rPr>
          <w:rFonts w:cstheme="minorBidi"/>
          <w:color w:val="1A2A38"/>
          <w:sz w:val="22"/>
          <w:szCs w:val="22"/>
        </w:rPr>
        <w:t>th and wellbeing of both individual</w:t>
      </w:r>
      <w:r w:rsidR="00820022" w:rsidRPr="004A709D">
        <w:rPr>
          <w:rFonts w:cstheme="minorBidi"/>
          <w:color w:val="1A2A38"/>
          <w:sz w:val="22"/>
          <w:szCs w:val="22"/>
        </w:rPr>
        <w:t>s</w:t>
      </w:r>
      <w:r w:rsidRPr="004A709D">
        <w:rPr>
          <w:rFonts w:cstheme="minorBidi"/>
          <w:color w:val="1A2A38"/>
          <w:sz w:val="22"/>
          <w:szCs w:val="22"/>
        </w:rPr>
        <w:t xml:space="preserve"> and famil</w:t>
      </w:r>
      <w:r w:rsidR="00820022" w:rsidRPr="004A709D">
        <w:rPr>
          <w:rFonts w:cstheme="minorBidi"/>
          <w:color w:val="1A2A38"/>
          <w:sz w:val="22"/>
          <w:szCs w:val="22"/>
        </w:rPr>
        <w:t>ies</w:t>
      </w:r>
      <w:r w:rsidR="00163DC0" w:rsidRPr="004A709D">
        <w:rPr>
          <w:rFonts w:cstheme="minorBidi"/>
          <w:color w:val="1A2A38"/>
          <w:sz w:val="22"/>
          <w:szCs w:val="22"/>
        </w:rPr>
        <w:t xml:space="preserve"> remains a priori</w:t>
      </w:r>
      <w:r w:rsidR="00056F25">
        <w:rPr>
          <w:rFonts w:cstheme="minorBidi"/>
          <w:color w:val="1A2A38"/>
          <w:sz w:val="22"/>
          <w:szCs w:val="22"/>
        </w:rPr>
        <w:t>ty for</w:t>
      </w:r>
      <w:r w:rsidR="00163DC0" w:rsidRPr="004A709D">
        <w:rPr>
          <w:rFonts w:cstheme="minorBidi"/>
          <w:color w:val="1A2A38"/>
          <w:sz w:val="22"/>
          <w:szCs w:val="22"/>
        </w:rPr>
        <w:t xml:space="preserve"> </w:t>
      </w:r>
      <w:r w:rsidR="000B54BC">
        <w:rPr>
          <w:rFonts w:cstheme="minorBidi"/>
          <w:color w:val="1A2A38"/>
          <w:sz w:val="22"/>
          <w:szCs w:val="22"/>
        </w:rPr>
        <w:t xml:space="preserve">the </w:t>
      </w:r>
      <w:r w:rsidR="00163DC0" w:rsidRPr="004A709D">
        <w:rPr>
          <w:rFonts w:cstheme="minorBidi"/>
          <w:color w:val="1A2A38"/>
          <w:sz w:val="22"/>
          <w:szCs w:val="22"/>
        </w:rPr>
        <w:t>NIAA</w:t>
      </w:r>
      <w:r w:rsidRPr="004A709D">
        <w:rPr>
          <w:rFonts w:cstheme="minorBidi"/>
          <w:color w:val="1A2A38"/>
          <w:sz w:val="22"/>
          <w:szCs w:val="22"/>
        </w:rPr>
        <w:t xml:space="preserve">. </w:t>
      </w:r>
      <w:r w:rsidR="009C69F0">
        <w:rPr>
          <w:rFonts w:cstheme="minorBidi"/>
          <w:color w:val="1A2A38"/>
          <w:sz w:val="22"/>
          <w:szCs w:val="22"/>
        </w:rPr>
        <w:t xml:space="preserve">This will be particularly </w:t>
      </w:r>
      <w:r w:rsidR="00CA014D">
        <w:rPr>
          <w:rFonts w:cstheme="minorBidi"/>
          <w:color w:val="1A2A38"/>
          <w:sz w:val="22"/>
          <w:szCs w:val="22"/>
        </w:rPr>
        <w:t>import</w:t>
      </w:r>
      <w:r w:rsidR="007C1380">
        <w:rPr>
          <w:rFonts w:cstheme="minorBidi"/>
          <w:color w:val="1A2A38"/>
          <w:sz w:val="22"/>
          <w:szCs w:val="22"/>
        </w:rPr>
        <w:t>ant</w:t>
      </w:r>
      <w:r w:rsidR="009C69F0">
        <w:rPr>
          <w:rFonts w:cstheme="minorBidi"/>
          <w:color w:val="1A2A38"/>
          <w:sz w:val="22"/>
          <w:szCs w:val="22"/>
        </w:rPr>
        <w:t xml:space="preserve"> in coming years as Australia </w:t>
      </w:r>
      <w:r w:rsidR="00B64012">
        <w:rPr>
          <w:rFonts w:cstheme="minorBidi"/>
          <w:color w:val="1A2A38"/>
          <w:sz w:val="22"/>
          <w:szCs w:val="22"/>
        </w:rPr>
        <w:t>recover</w:t>
      </w:r>
      <w:r w:rsidR="002967DB">
        <w:rPr>
          <w:rFonts w:cstheme="minorBidi"/>
          <w:color w:val="1A2A38"/>
          <w:sz w:val="22"/>
          <w:szCs w:val="22"/>
        </w:rPr>
        <w:t>s</w:t>
      </w:r>
      <w:r w:rsidR="00B64012">
        <w:rPr>
          <w:rFonts w:cstheme="minorBidi"/>
          <w:color w:val="1A2A38"/>
          <w:sz w:val="22"/>
          <w:szCs w:val="22"/>
        </w:rPr>
        <w:t xml:space="preserve"> from COVID-19</w:t>
      </w:r>
      <w:r w:rsidR="00CA014D">
        <w:rPr>
          <w:rFonts w:cstheme="minorBidi"/>
          <w:color w:val="1A2A38"/>
          <w:sz w:val="22"/>
          <w:szCs w:val="22"/>
        </w:rPr>
        <w:t xml:space="preserve">. </w:t>
      </w:r>
    </w:p>
    <w:p w14:paraId="3C9B0BA4" w14:textId="591780AC" w:rsidR="004D0BA0" w:rsidRPr="008C5873" w:rsidRDefault="007755A7" w:rsidP="006F4F7A">
      <w:pPr>
        <w:pStyle w:val="Default"/>
        <w:numPr>
          <w:ilvl w:val="0"/>
          <w:numId w:val="42"/>
        </w:numPr>
        <w:spacing w:after="300" w:line="361" w:lineRule="atLeast"/>
        <w:rPr>
          <w:rFonts w:cstheme="minorBidi"/>
          <w:color w:val="1A2A38"/>
          <w:sz w:val="22"/>
          <w:szCs w:val="22"/>
        </w:rPr>
      </w:pPr>
      <w:r>
        <w:rPr>
          <w:rFonts w:cstheme="minorBidi"/>
          <w:color w:val="1A2A38"/>
          <w:sz w:val="22"/>
          <w:szCs w:val="22"/>
        </w:rPr>
        <w:t>S</w:t>
      </w:r>
      <w:r w:rsidR="00CA014D" w:rsidRPr="004A709D">
        <w:rPr>
          <w:rFonts w:cstheme="minorBidi"/>
          <w:color w:val="1A2A38"/>
          <w:sz w:val="22"/>
          <w:szCs w:val="22"/>
        </w:rPr>
        <w:t>upporting</w:t>
      </w:r>
      <w:r w:rsidR="004D0BA0" w:rsidRPr="004A709D">
        <w:rPr>
          <w:rFonts w:cstheme="minorBidi"/>
          <w:color w:val="1A2A38"/>
          <w:sz w:val="22"/>
          <w:szCs w:val="22"/>
        </w:rPr>
        <w:t xml:space="preserve"> the broader government objective of rebuilding </w:t>
      </w:r>
      <w:r w:rsidR="004D0BA0" w:rsidRPr="008C5873">
        <w:rPr>
          <w:rFonts w:cstheme="minorBidi"/>
          <w:color w:val="1A2A38"/>
          <w:sz w:val="22"/>
          <w:szCs w:val="22"/>
        </w:rPr>
        <w:t xml:space="preserve">the economy. </w:t>
      </w:r>
      <w:r w:rsidR="00392C44" w:rsidRPr="008C5873">
        <w:rPr>
          <w:rFonts w:cstheme="minorBidi"/>
          <w:color w:val="1A2A38"/>
          <w:sz w:val="22"/>
          <w:szCs w:val="22"/>
        </w:rPr>
        <w:t xml:space="preserve">The Indigenous Procurement Policy (IPP), in particular, has been a cornerstone over recent years in growing enduring Indigenous </w:t>
      </w:r>
      <w:r w:rsidR="00056F25" w:rsidRPr="008C5873">
        <w:rPr>
          <w:rFonts w:cstheme="minorBidi"/>
          <w:color w:val="1A2A38"/>
          <w:sz w:val="22"/>
          <w:szCs w:val="22"/>
        </w:rPr>
        <w:t xml:space="preserve">businesses. </w:t>
      </w:r>
      <w:r w:rsidR="00CB5BA4">
        <w:rPr>
          <w:rFonts w:cstheme="minorBidi"/>
          <w:color w:val="1A2A38"/>
          <w:sz w:val="22"/>
          <w:szCs w:val="22"/>
        </w:rPr>
        <w:t xml:space="preserve">The </w:t>
      </w:r>
      <w:r w:rsidR="00392C44" w:rsidRPr="008C5873">
        <w:rPr>
          <w:rFonts w:cstheme="minorBidi"/>
          <w:color w:val="1A2A38"/>
          <w:sz w:val="22"/>
          <w:szCs w:val="22"/>
        </w:rPr>
        <w:t xml:space="preserve">NIAA will continue to support the progression of </w:t>
      </w:r>
      <w:r w:rsidR="00820022" w:rsidRPr="008C5873">
        <w:rPr>
          <w:rFonts w:cstheme="minorBidi"/>
          <w:color w:val="1A2A38"/>
          <w:sz w:val="22"/>
          <w:szCs w:val="22"/>
        </w:rPr>
        <w:t xml:space="preserve">the </w:t>
      </w:r>
      <w:r w:rsidR="00392C44" w:rsidRPr="008C5873">
        <w:rPr>
          <w:rFonts w:cstheme="minorBidi"/>
          <w:color w:val="1A2A38"/>
          <w:sz w:val="22"/>
          <w:szCs w:val="22"/>
        </w:rPr>
        <w:t xml:space="preserve">IPP and </w:t>
      </w:r>
      <w:r w:rsidR="0021705D">
        <w:rPr>
          <w:rFonts w:cstheme="minorBidi"/>
          <w:color w:val="1A2A38"/>
          <w:sz w:val="22"/>
          <w:szCs w:val="22"/>
        </w:rPr>
        <w:t>advocate for effective Indigenous procurement and employment targets to be implemented</w:t>
      </w:r>
      <w:r w:rsidR="00392C44" w:rsidRPr="008C5873">
        <w:rPr>
          <w:rFonts w:cstheme="minorBidi"/>
          <w:color w:val="1A2A38"/>
          <w:sz w:val="22"/>
          <w:szCs w:val="22"/>
        </w:rPr>
        <w:t xml:space="preserve"> across the </w:t>
      </w:r>
      <w:r w:rsidR="00820022" w:rsidRPr="008C5873">
        <w:rPr>
          <w:rFonts w:cstheme="minorBidi"/>
          <w:color w:val="1A2A38"/>
          <w:sz w:val="22"/>
          <w:szCs w:val="22"/>
        </w:rPr>
        <w:t>Australian Government</w:t>
      </w:r>
      <w:r w:rsidR="00392C44" w:rsidRPr="008C5873">
        <w:rPr>
          <w:rFonts w:cstheme="minorBidi"/>
          <w:color w:val="1A2A38"/>
          <w:sz w:val="22"/>
          <w:szCs w:val="22"/>
        </w:rPr>
        <w:t>.</w:t>
      </w:r>
    </w:p>
    <w:p w14:paraId="7CDB2B7B" w14:textId="5C8E24C2" w:rsidR="0046580A" w:rsidRPr="006F4F7A" w:rsidRDefault="0021705D" w:rsidP="006F4F7A">
      <w:pPr>
        <w:pStyle w:val="Default"/>
        <w:numPr>
          <w:ilvl w:val="0"/>
          <w:numId w:val="42"/>
        </w:numPr>
        <w:spacing w:after="300" w:line="361" w:lineRule="atLeast"/>
        <w:rPr>
          <w:color w:val="1A2A38"/>
          <w:sz w:val="22"/>
        </w:rPr>
      </w:pPr>
      <w:r>
        <w:rPr>
          <w:rFonts w:cstheme="minorBidi"/>
          <w:color w:val="1A2A38"/>
          <w:sz w:val="22"/>
          <w:szCs w:val="22"/>
        </w:rPr>
        <w:t>Coordinating the i</w:t>
      </w:r>
      <w:r w:rsidR="00B64012">
        <w:rPr>
          <w:rFonts w:cstheme="minorBidi"/>
          <w:color w:val="1A2A38"/>
          <w:sz w:val="22"/>
          <w:szCs w:val="22"/>
        </w:rPr>
        <w:t>mplement</w:t>
      </w:r>
      <w:r>
        <w:rPr>
          <w:rFonts w:cstheme="minorBidi"/>
          <w:color w:val="1A2A38"/>
          <w:sz w:val="22"/>
          <w:szCs w:val="22"/>
        </w:rPr>
        <w:t>ation of</w:t>
      </w:r>
      <w:r w:rsidR="007C5EC3" w:rsidRPr="004A709D">
        <w:rPr>
          <w:rFonts w:cstheme="minorBidi"/>
          <w:color w:val="1A2A38"/>
          <w:sz w:val="22"/>
          <w:szCs w:val="22"/>
        </w:rPr>
        <w:t xml:space="preserve"> the National Agreement on Closing the Gap</w:t>
      </w:r>
      <w:r w:rsidR="00CE094C">
        <w:rPr>
          <w:rFonts w:cstheme="minorBidi"/>
          <w:color w:val="1A2A38"/>
          <w:sz w:val="22"/>
          <w:szCs w:val="22"/>
        </w:rPr>
        <w:t xml:space="preserve">. </w:t>
      </w:r>
      <w:r w:rsidR="007C5EC3" w:rsidRPr="004A709D">
        <w:rPr>
          <w:rFonts w:cstheme="minorBidi"/>
          <w:color w:val="1A2A38"/>
          <w:sz w:val="22"/>
          <w:szCs w:val="22"/>
        </w:rPr>
        <w:t xml:space="preserve">This agreement sets ambitious targets and new Priority Reforms that will change the way governments work </w:t>
      </w:r>
      <w:r w:rsidR="00A3259E" w:rsidRPr="00380CEA">
        <w:rPr>
          <w:rFonts w:cstheme="minorBidi"/>
          <w:color w:val="1A2A38"/>
          <w:sz w:val="22"/>
          <w:szCs w:val="22"/>
        </w:rPr>
        <w:t>with Aboriginal and Torres Strait Islander</w:t>
      </w:r>
      <w:r w:rsidR="00A3259E">
        <w:rPr>
          <w:rFonts w:cstheme="minorBidi"/>
          <w:color w:val="1A2A38"/>
          <w:sz w:val="22"/>
          <w:szCs w:val="22"/>
        </w:rPr>
        <w:t xml:space="preserve"> people</w:t>
      </w:r>
      <w:r w:rsidR="00CC4789">
        <w:rPr>
          <w:rFonts w:cstheme="minorBidi"/>
          <w:color w:val="1A2A38"/>
          <w:sz w:val="22"/>
          <w:szCs w:val="22"/>
        </w:rPr>
        <w:t>s</w:t>
      </w:r>
      <w:r w:rsidR="00A3259E">
        <w:rPr>
          <w:rFonts w:cstheme="minorBidi"/>
          <w:color w:val="1A2A38"/>
          <w:sz w:val="22"/>
          <w:szCs w:val="22"/>
        </w:rPr>
        <w:t xml:space="preserve">, supported by </w:t>
      </w:r>
      <w:r w:rsidR="00380CEA" w:rsidRPr="00380CEA">
        <w:rPr>
          <w:rFonts w:cstheme="minorBidi"/>
          <w:color w:val="1A2A38"/>
          <w:sz w:val="22"/>
          <w:szCs w:val="22"/>
        </w:rPr>
        <w:t xml:space="preserve">regular reporting and </w:t>
      </w:r>
      <w:r>
        <w:rPr>
          <w:rFonts w:cstheme="minorBidi"/>
          <w:color w:val="1A2A38"/>
          <w:sz w:val="22"/>
          <w:szCs w:val="22"/>
        </w:rPr>
        <w:t>g</w:t>
      </w:r>
      <w:r w:rsidR="00380CEA" w:rsidRPr="00380CEA">
        <w:rPr>
          <w:rFonts w:cstheme="minorBidi"/>
          <w:color w:val="1A2A38"/>
          <w:sz w:val="22"/>
          <w:szCs w:val="22"/>
        </w:rPr>
        <w:t>r</w:t>
      </w:r>
      <w:r>
        <w:rPr>
          <w:rFonts w:cstheme="minorBidi"/>
          <w:color w:val="1A2A38"/>
          <w:sz w:val="22"/>
          <w:szCs w:val="22"/>
        </w:rPr>
        <w:t>eater</w:t>
      </w:r>
      <w:r w:rsidR="00380CEA" w:rsidRPr="00380CEA">
        <w:rPr>
          <w:rFonts w:cstheme="minorBidi"/>
          <w:color w:val="1A2A38"/>
          <w:sz w:val="22"/>
          <w:szCs w:val="22"/>
        </w:rPr>
        <w:t xml:space="preserve"> accountability</w:t>
      </w:r>
      <w:r w:rsidR="00A3259E">
        <w:rPr>
          <w:rFonts w:cstheme="minorBidi"/>
          <w:color w:val="1A2A38"/>
          <w:sz w:val="22"/>
          <w:szCs w:val="22"/>
        </w:rPr>
        <w:t xml:space="preserve">. </w:t>
      </w:r>
    </w:p>
    <w:p w14:paraId="39D7EFAC" w14:textId="316C5B4E" w:rsidR="00820022" w:rsidRPr="004A709D" w:rsidRDefault="005141B9" w:rsidP="006F4F7A">
      <w:pPr>
        <w:pStyle w:val="Default"/>
        <w:numPr>
          <w:ilvl w:val="0"/>
          <w:numId w:val="42"/>
        </w:numPr>
        <w:spacing w:after="300" w:line="361" w:lineRule="atLeast"/>
        <w:rPr>
          <w:rFonts w:cstheme="minorBidi"/>
          <w:color w:val="1A2A38"/>
          <w:sz w:val="22"/>
          <w:szCs w:val="22"/>
        </w:rPr>
      </w:pPr>
      <w:r w:rsidRPr="006F4F7A">
        <w:rPr>
          <w:color w:val="1A2A38"/>
          <w:sz w:val="22"/>
        </w:rPr>
        <w:t xml:space="preserve">Working with </w:t>
      </w:r>
      <w:r w:rsidR="00106351" w:rsidRPr="006F4F7A">
        <w:rPr>
          <w:color w:val="1A2A38"/>
          <w:sz w:val="22"/>
        </w:rPr>
        <w:t xml:space="preserve">our </w:t>
      </w:r>
      <w:r w:rsidR="007C1380">
        <w:rPr>
          <w:rFonts w:cstheme="minorBidi"/>
          <w:color w:val="1A2A38"/>
          <w:sz w:val="22"/>
          <w:szCs w:val="22"/>
        </w:rPr>
        <w:t>counterparts</w:t>
      </w:r>
      <w:r w:rsidR="00CF03BE">
        <w:rPr>
          <w:rFonts w:cstheme="minorBidi"/>
          <w:color w:val="1A2A38"/>
          <w:sz w:val="22"/>
          <w:szCs w:val="22"/>
        </w:rPr>
        <w:t xml:space="preserve"> across government</w:t>
      </w:r>
      <w:r w:rsidR="00CC652D" w:rsidRPr="008C5873">
        <w:rPr>
          <w:rFonts w:cstheme="minorBidi"/>
          <w:color w:val="1A2A38"/>
          <w:sz w:val="22"/>
          <w:szCs w:val="22"/>
        </w:rPr>
        <w:t xml:space="preserve"> to improve </w:t>
      </w:r>
      <w:r w:rsidR="0021705D">
        <w:rPr>
          <w:rFonts w:cstheme="minorBidi"/>
          <w:color w:val="1A2A38"/>
          <w:sz w:val="22"/>
          <w:szCs w:val="22"/>
        </w:rPr>
        <w:t xml:space="preserve">the </w:t>
      </w:r>
      <w:r w:rsidR="00CC652D" w:rsidRPr="008C5873">
        <w:rPr>
          <w:rFonts w:cstheme="minorBidi"/>
          <w:color w:val="1A2A38"/>
          <w:sz w:val="22"/>
          <w:szCs w:val="22"/>
        </w:rPr>
        <w:t xml:space="preserve">mental health </w:t>
      </w:r>
      <w:r w:rsidR="0021705D">
        <w:rPr>
          <w:rFonts w:cstheme="minorBidi"/>
          <w:color w:val="1A2A38"/>
          <w:sz w:val="22"/>
          <w:szCs w:val="22"/>
        </w:rPr>
        <w:t>of Indigenous Australians</w:t>
      </w:r>
      <w:r w:rsidR="00CC652D" w:rsidRPr="008C5873">
        <w:rPr>
          <w:rFonts w:cstheme="minorBidi"/>
          <w:color w:val="1A2A38"/>
          <w:sz w:val="22"/>
          <w:szCs w:val="22"/>
        </w:rPr>
        <w:t xml:space="preserve"> and </w:t>
      </w:r>
      <w:r w:rsidR="00392C44" w:rsidRPr="008C5873">
        <w:rPr>
          <w:rFonts w:cstheme="minorBidi"/>
          <w:color w:val="1A2A38"/>
          <w:sz w:val="22"/>
          <w:szCs w:val="22"/>
        </w:rPr>
        <w:t xml:space="preserve">reduce the prevalence of </w:t>
      </w:r>
      <w:r w:rsidR="00CC652D" w:rsidRPr="008C5873">
        <w:rPr>
          <w:rFonts w:cstheme="minorBidi"/>
          <w:color w:val="1A2A38"/>
          <w:sz w:val="22"/>
          <w:szCs w:val="22"/>
        </w:rPr>
        <w:t xml:space="preserve">youth suicide, </w:t>
      </w:r>
      <w:r w:rsidR="00820022" w:rsidRPr="008C5873">
        <w:rPr>
          <w:rFonts w:cstheme="minorBidi"/>
          <w:color w:val="1A2A38"/>
          <w:sz w:val="22"/>
          <w:szCs w:val="22"/>
        </w:rPr>
        <w:t>and support</w:t>
      </w:r>
      <w:r w:rsidR="00CC652D" w:rsidRPr="008C5873">
        <w:rPr>
          <w:rFonts w:cstheme="minorBidi"/>
          <w:color w:val="1A2A38"/>
          <w:sz w:val="22"/>
          <w:szCs w:val="22"/>
        </w:rPr>
        <w:t xml:space="preserve"> </w:t>
      </w:r>
      <w:r w:rsidR="00392C44" w:rsidRPr="008C5873">
        <w:rPr>
          <w:rFonts w:cstheme="minorBidi"/>
          <w:color w:val="1A2A38"/>
          <w:sz w:val="22"/>
          <w:szCs w:val="22"/>
        </w:rPr>
        <w:t xml:space="preserve">stronger </w:t>
      </w:r>
      <w:r w:rsidR="00CC652D" w:rsidRPr="008C5873">
        <w:rPr>
          <w:rFonts w:cstheme="minorBidi"/>
          <w:color w:val="1A2A38"/>
          <w:sz w:val="22"/>
          <w:szCs w:val="22"/>
        </w:rPr>
        <w:t xml:space="preserve">education, particularly in remote areas. </w:t>
      </w:r>
      <w:r w:rsidR="00820022" w:rsidRPr="008C5873">
        <w:rPr>
          <w:rFonts w:cstheme="minorBidi"/>
          <w:color w:val="1A2A38"/>
          <w:sz w:val="22"/>
          <w:szCs w:val="22"/>
        </w:rPr>
        <w:t>We will continue to work t</w:t>
      </w:r>
      <w:r w:rsidR="00392C44" w:rsidRPr="008C5873">
        <w:rPr>
          <w:rFonts w:cstheme="minorBidi"/>
          <w:color w:val="1A2A38"/>
          <w:sz w:val="22"/>
          <w:szCs w:val="22"/>
        </w:rPr>
        <w:t>o ensure our</w:t>
      </w:r>
      <w:r w:rsidR="004D0BA0" w:rsidRPr="004A709D">
        <w:rPr>
          <w:rFonts w:cstheme="minorBidi"/>
          <w:color w:val="1A2A38"/>
          <w:sz w:val="22"/>
          <w:szCs w:val="22"/>
        </w:rPr>
        <w:t xml:space="preserve"> policies and programs are effective, progressive and aligned with the needs </w:t>
      </w:r>
      <w:r w:rsidR="00392C44" w:rsidRPr="004A709D">
        <w:rPr>
          <w:rFonts w:cstheme="minorBidi"/>
          <w:color w:val="1A2A38"/>
          <w:sz w:val="22"/>
          <w:szCs w:val="22"/>
        </w:rPr>
        <w:t xml:space="preserve">and desires </w:t>
      </w:r>
      <w:r w:rsidR="004D0BA0" w:rsidRPr="004A709D">
        <w:rPr>
          <w:rFonts w:cstheme="minorBidi"/>
          <w:color w:val="1A2A38"/>
          <w:sz w:val="22"/>
          <w:szCs w:val="22"/>
        </w:rPr>
        <w:t>of Indigenous communities</w:t>
      </w:r>
      <w:r w:rsidR="005415C3" w:rsidRPr="004A709D">
        <w:rPr>
          <w:rFonts w:cstheme="minorBidi"/>
          <w:color w:val="1A2A38"/>
          <w:sz w:val="22"/>
          <w:szCs w:val="22"/>
        </w:rPr>
        <w:t>.</w:t>
      </w:r>
      <w:r w:rsidR="00820022" w:rsidRPr="004A709D">
        <w:rPr>
          <w:rFonts w:cstheme="minorBidi"/>
          <w:color w:val="1A2A38"/>
          <w:sz w:val="22"/>
          <w:szCs w:val="22"/>
        </w:rPr>
        <w:t xml:space="preserve"> </w:t>
      </w:r>
    </w:p>
    <w:p w14:paraId="0D9CCD40" w14:textId="03C043A1" w:rsidR="00820022" w:rsidRPr="004A709D" w:rsidRDefault="007A762E" w:rsidP="006F4F7A">
      <w:pPr>
        <w:pStyle w:val="Default"/>
        <w:numPr>
          <w:ilvl w:val="0"/>
          <w:numId w:val="42"/>
        </w:numPr>
        <w:spacing w:after="300" w:line="361" w:lineRule="atLeast"/>
        <w:rPr>
          <w:rFonts w:cstheme="minorBidi"/>
          <w:color w:val="1A2A38"/>
          <w:sz w:val="22"/>
          <w:szCs w:val="22"/>
        </w:rPr>
      </w:pPr>
      <w:r>
        <w:rPr>
          <w:rFonts w:cstheme="minorBidi"/>
          <w:color w:val="1A2A38"/>
          <w:sz w:val="22"/>
          <w:szCs w:val="22"/>
        </w:rPr>
        <w:t>S</w:t>
      </w:r>
      <w:r w:rsidR="00820022" w:rsidRPr="004A709D" w:rsidDel="001E6EEC">
        <w:rPr>
          <w:rFonts w:cstheme="minorBidi"/>
          <w:color w:val="1A2A38"/>
          <w:sz w:val="22"/>
          <w:szCs w:val="22"/>
        </w:rPr>
        <w:t>upporting</w:t>
      </w:r>
      <w:r w:rsidR="00820022" w:rsidRPr="004A709D">
        <w:rPr>
          <w:rFonts w:cstheme="minorBidi"/>
          <w:color w:val="1A2A38"/>
          <w:sz w:val="22"/>
          <w:szCs w:val="22"/>
        </w:rPr>
        <w:t xml:space="preserve"> the co-design of an Indigenous voice</w:t>
      </w:r>
      <w:r w:rsidR="002566A4">
        <w:rPr>
          <w:rFonts w:cstheme="minorBidi"/>
          <w:color w:val="1A2A38"/>
          <w:sz w:val="22"/>
          <w:szCs w:val="22"/>
        </w:rPr>
        <w:t>.</w:t>
      </w:r>
      <w:r w:rsidR="00FB2117" w:rsidRPr="004A709D" w:rsidDel="001E6EEC">
        <w:rPr>
          <w:rFonts w:cstheme="minorBidi"/>
          <w:color w:val="1A2A38"/>
          <w:sz w:val="22"/>
          <w:szCs w:val="22"/>
        </w:rPr>
        <w:t xml:space="preserve"> </w:t>
      </w:r>
      <w:r w:rsidR="004F3E09">
        <w:rPr>
          <w:rFonts w:cstheme="minorBidi"/>
          <w:color w:val="1A2A38"/>
          <w:sz w:val="22"/>
          <w:szCs w:val="22"/>
        </w:rPr>
        <w:t>This</w:t>
      </w:r>
      <w:r w:rsidR="00FB2117" w:rsidRPr="004A709D">
        <w:rPr>
          <w:rFonts w:cstheme="minorBidi"/>
          <w:color w:val="1A2A38"/>
          <w:sz w:val="22"/>
          <w:szCs w:val="22"/>
        </w:rPr>
        <w:t xml:space="preserve"> is a</w:t>
      </w:r>
      <w:r w:rsidR="00820022" w:rsidRPr="004A709D">
        <w:rPr>
          <w:rFonts w:cstheme="minorBidi"/>
          <w:color w:val="1A2A38"/>
          <w:sz w:val="22"/>
          <w:szCs w:val="22"/>
        </w:rPr>
        <w:t xml:space="preserve"> significant policy reform</w:t>
      </w:r>
      <w:r w:rsidR="00795C11">
        <w:rPr>
          <w:rFonts w:cstheme="minorBidi"/>
          <w:color w:val="1A2A38"/>
          <w:sz w:val="22"/>
          <w:szCs w:val="22"/>
        </w:rPr>
        <w:t xml:space="preserve">, </w:t>
      </w:r>
      <w:r w:rsidR="0021705D">
        <w:rPr>
          <w:rFonts w:cstheme="minorBidi"/>
          <w:color w:val="1A2A38"/>
          <w:sz w:val="22"/>
          <w:szCs w:val="22"/>
        </w:rPr>
        <w:t>to ensure</w:t>
      </w:r>
      <w:r w:rsidR="00795C11">
        <w:rPr>
          <w:rFonts w:cstheme="minorBidi"/>
          <w:color w:val="1A2A38"/>
          <w:sz w:val="22"/>
          <w:szCs w:val="22"/>
        </w:rPr>
        <w:t xml:space="preserve"> </w:t>
      </w:r>
      <w:r w:rsidR="000B09EF">
        <w:rPr>
          <w:rFonts w:cstheme="minorBidi"/>
          <w:color w:val="1A2A38"/>
          <w:sz w:val="22"/>
          <w:szCs w:val="22"/>
        </w:rPr>
        <w:t>Aboriginal and Torres Strait Islander peoples</w:t>
      </w:r>
      <w:r w:rsidR="00795C11">
        <w:rPr>
          <w:rFonts w:cstheme="minorBidi"/>
          <w:color w:val="1A2A38"/>
          <w:sz w:val="22"/>
          <w:szCs w:val="22"/>
        </w:rPr>
        <w:t xml:space="preserve"> are empowered to have a say in the decisions</w:t>
      </w:r>
      <w:r w:rsidR="00820022" w:rsidRPr="004A709D">
        <w:rPr>
          <w:rFonts w:cstheme="minorBidi"/>
          <w:color w:val="1A2A38"/>
          <w:sz w:val="22"/>
          <w:szCs w:val="22"/>
        </w:rPr>
        <w:t xml:space="preserve"> that </w:t>
      </w:r>
      <w:r w:rsidR="00795C11">
        <w:rPr>
          <w:rFonts w:cstheme="minorBidi"/>
          <w:color w:val="1A2A38"/>
          <w:sz w:val="22"/>
          <w:szCs w:val="22"/>
        </w:rPr>
        <w:t>affect them</w:t>
      </w:r>
      <w:r w:rsidR="009C69F0">
        <w:rPr>
          <w:rFonts w:cstheme="minorBidi"/>
          <w:color w:val="1A2A38"/>
          <w:sz w:val="22"/>
          <w:szCs w:val="22"/>
        </w:rPr>
        <w:t xml:space="preserve">. </w:t>
      </w:r>
    </w:p>
    <w:p w14:paraId="4975E2C1" w14:textId="4C6798E6" w:rsidR="00CC652D" w:rsidRPr="004A709D" w:rsidRDefault="00BA014F" w:rsidP="004A709D">
      <w:pPr>
        <w:pStyle w:val="Default"/>
        <w:spacing w:after="300" w:line="361" w:lineRule="atLeast"/>
        <w:rPr>
          <w:rFonts w:cstheme="minorBidi"/>
          <w:color w:val="1A2A38"/>
          <w:sz w:val="22"/>
          <w:szCs w:val="22"/>
        </w:rPr>
      </w:pPr>
      <w:r w:rsidRPr="004A709D">
        <w:rPr>
          <w:rFonts w:cstheme="minorBidi"/>
          <w:color w:val="1A2A38"/>
          <w:sz w:val="22"/>
          <w:szCs w:val="22"/>
        </w:rPr>
        <w:lastRenderedPageBreak/>
        <w:t xml:space="preserve">We are </w:t>
      </w:r>
      <w:r w:rsidR="00CC652D" w:rsidRPr="004A709D">
        <w:rPr>
          <w:rFonts w:cstheme="minorBidi"/>
          <w:color w:val="1A2A38"/>
          <w:sz w:val="22"/>
          <w:szCs w:val="22"/>
        </w:rPr>
        <w:t>committed to genuine</w:t>
      </w:r>
      <w:r w:rsidR="00FB2117" w:rsidRPr="004A709D">
        <w:rPr>
          <w:rFonts w:cstheme="minorBidi"/>
          <w:color w:val="1A2A38"/>
          <w:sz w:val="22"/>
          <w:szCs w:val="22"/>
        </w:rPr>
        <w:t>ly</w:t>
      </w:r>
      <w:r w:rsidR="00CC652D" w:rsidRPr="004A709D">
        <w:rPr>
          <w:rFonts w:cstheme="minorBidi"/>
          <w:color w:val="1A2A38"/>
          <w:sz w:val="22"/>
          <w:szCs w:val="22"/>
        </w:rPr>
        <w:t xml:space="preserve"> </w:t>
      </w:r>
      <w:r w:rsidR="00FB2117" w:rsidRPr="004A709D">
        <w:rPr>
          <w:rFonts w:cstheme="minorBidi"/>
          <w:color w:val="1A2A38"/>
          <w:sz w:val="22"/>
          <w:szCs w:val="22"/>
        </w:rPr>
        <w:t xml:space="preserve">engaging </w:t>
      </w:r>
      <w:r w:rsidR="00CC652D" w:rsidRPr="004A709D">
        <w:rPr>
          <w:rFonts w:cstheme="minorBidi"/>
          <w:color w:val="1A2A38"/>
          <w:sz w:val="22"/>
          <w:szCs w:val="22"/>
        </w:rPr>
        <w:t xml:space="preserve">and partnering as we work with and in communities. We have invested in a </w:t>
      </w:r>
      <w:r w:rsidR="00C2181A" w:rsidRPr="004A709D">
        <w:rPr>
          <w:rFonts w:cstheme="minorBidi"/>
          <w:color w:val="1A2A38"/>
          <w:sz w:val="22"/>
          <w:szCs w:val="22"/>
        </w:rPr>
        <w:t xml:space="preserve">comprehensive </w:t>
      </w:r>
      <w:r w:rsidR="00CC652D" w:rsidRPr="004A709D">
        <w:rPr>
          <w:rFonts w:cstheme="minorBidi"/>
          <w:color w:val="1A2A38"/>
          <w:sz w:val="22"/>
          <w:szCs w:val="22"/>
        </w:rPr>
        <w:t xml:space="preserve">regional footprint to strengthen local partnerships </w:t>
      </w:r>
      <w:r w:rsidR="007B7915">
        <w:rPr>
          <w:rFonts w:cstheme="minorBidi"/>
          <w:color w:val="1A2A38"/>
          <w:sz w:val="22"/>
          <w:szCs w:val="22"/>
        </w:rPr>
        <w:t>and co-design</w:t>
      </w:r>
      <w:r w:rsidR="00CC652D" w:rsidRPr="004A709D">
        <w:rPr>
          <w:rFonts w:cstheme="minorBidi"/>
          <w:color w:val="1A2A38"/>
          <w:sz w:val="22"/>
          <w:szCs w:val="22"/>
        </w:rPr>
        <w:t xml:space="preserve"> our programs </w:t>
      </w:r>
      <w:r w:rsidR="007B7915">
        <w:rPr>
          <w:rFonts w:cstheme="minorBidi"/>
          <w:color w:val="1A2A38"/>
          <w:sz w:val="22"/>
          <w:szCs w:val="22"/>
        </w:rPr>
        <w:t>to ensure they</w:t>
      </w:r>
      <w:r w:rsidR="00220A7E">
        <w:rPr>
          <w:rFonts w:cstheme="minorBidi"/>
          <w:color w:val="1A2A38"/>
          <w:sz w:val="22"/>
          <w:szCs w:val="22"/>
        </w:rPr>
        <w:t xml:space="preserve"> </w:t>
      </w:r>
      <w:r w:rsidR="00CC652D" w:rsidRPr="004A709D">
        <w:rPr>
          <w:rFonts w:cstheme="minorBidi"/>
          <w:color w:val="1A2A38"/>
          <w:sz w:val="22"/>
          <w:szCs w:val="22"/>
        </w:rPr>
        <w:t xml:space="preserve">are </w:t>
      </w:r>
      <w:r w:rsidR="00220A7E">
        <w:rPr>
          <w:rFonts w:cstheme="minorBidi"/>
          <w:color w:val="1A2A38"/>
          <w:sz w:val="22"/>
          <w:szCs w:val="22"/>
        </w:rPr>
        <w:t>focused</w:t>
      </w:r>
      <w:r w:rsidR="00CC652D" w:rsidRPr="004A709D">
        <w:rPr>
          <w:rFonts w:cstheme="minorBidi"/>
          <w:color w:val="1A2A38"/>
          <w:sz w:val="22"/>
          <w:szCs w:val="22"/>
        </w:rPr>
        <w:t xml:space="preserve"> and aligned with the aspirations of communities. </w:t>
      </w:r>
    </w:p>
    <w:p w14:paraId="21DD1275" w14:textId="77777777" w:rsidR="00972B61" w:rsidRDefault="00972B61" w:rsidP="004A709D">
      <w:pPr>
        <w:pStyle w:val="Default"/>
        <w:spacing w:after="300" w:line="361" w:lineRule="atLeast"/>
        <w:rPr>
          <w:rFonts w:cstheme="minorBidi"/>
          <w:color w:val="1A2A38"/>
          <w:sz w:val="22"/>
          <w:szCs w:val="22"/>
        </w:rPr>
      </w:pPr>
      <w:r>
        <w:rPr>
          <w:rFonts w:cstheme="minorBidi"/>
          <w:color w:val="1A2A38"/>
          <w:sz w:val="22"/>
          <w:szCs w:val="22"/>
        </w:rPr>
        <w:t xml:space="preserve">As an organisation we continue to focus on developing our capabilities, </w:t>
      </w:r>
      <w:r w:rsidR="00187B60">
        <w:rPr>
          <w:rFonts w:cstheme="minorBidi"/>
          <w:color w:val="1A2A38"/>
          <w:sz w:val="22"/>
          <w:szCs w:val="22"/>
        </w:rPr>
        <w:t xml:space="preserve">investing in our people and </w:t>
      </w:r>
      <w:r>
        <w:rPr>
          <w:rFonts w:cstheme="minorBidi"/>
          <w:color w:val="1A2A38"/>
          <w:sz w:val="22"/>
          <w:szCs w:val="22"/>
        </w:rPr>
        <w:t xml:space="preserve">improving the way we work to ensure we maximise our effectiveness. </w:t>
      </w:r>
    </w:p>
    <w:p w14:paraId="6548E4C0" w14:textId="747C6A59" w:rsidR="00CC652D" w:rsidRPr="006F4F7A" w:rsidRDefault="00C23ED6" w:rsidP="004A709D">
      <w:pPr>
        <w:pStyle w:val="Default"/>
        <w:spacing w:after="300" w:line="361" w:lineRule="atLeast"/>
        <w:rPr>
          <w:color w:val="1A2A38"/>
          <w:sz w:val="22"/>
        </w:rPr>
      </w:pPr>
      <w:r w:rsidRPr="004A709D">
        <w:rPr>
          <w:rFonts w:cstheme="minorBidi"/>
          <w:color w:val="1A2A38"/>
          <w:sz w:val="22"/>
          <w:szCs w:val="22"/>
        </w:rPr>
        <w:t xml:space="preserve">I look forward to </w:t>
      </w:r>
      <w:r w:rsidR="00D35095" w:rsidRPr="004A709D">
        <w:rPr>
          <w:rFonts w:cstheme="minorBidi"/>
          <w:color w:val="1A2A38"/>
          <w:sz w:val="22"/>
          <w:szCs w:val="22"/>
        </w:rPr>
        <w:t xml:space="preserve">demonstrating the value of our work to </w:t>
      </w:r>
      <w:r>
        <w:rPr>
          <w:rFonts w:cstheme="minorBidi"/>
          <w:color w:val="1A2A38"/>
          <w:sz w:val="22"/>
          <w:szCs w:val="22"/>
        </w:rPr>
        <w:t xml:space="preserve">all Australians through </w:t>
      </w:r>
      <w:r w:rsidR="00D35095" w:rsidRPr="004A709D">
        <w:rPr>
          <w:rFonts w:cstheme="minorBidi"/>
          <w:color w:val="1A2A38"/>
          <w:sz w:val="22"/>
          <w:szCs w:val="22"/>
        </w:rPr>
        <w:t xml:space="preserve">reporting our results against this </w:t>
      </w:r>
      <w:r w:rsidR="00FB2117" w:rsidRPr="004A709D">
        <w:rPr>
          <w:rFonts w:cstheme="minorBidi"/>
          <w:color w:val="1A2A38"/>
          <w:sz w:val="22"/>
          <w:szCs w:val="22"/>
        </w:rPr>
        <w:t>C</w:t>
      </w:r>
      <w:r w:rsidR="00D35095" w:rsidRPr="004A709D">
        <w:rPr>
          <w:rFonts w:cstheme="minorBidi"/>
          <w:color w:val="1A2A38"/>
          <w:sz w:val="22"/>
          <w:szCs w:val="22"/>
        </w:rPr>
        <w:t xml:space="preserve">orporate </w:t>
      </w:r>
      <w:r w:rsidR="00FB2117" w:rsidRPr="004A709D">
        <w:rPr>
          <w:rFonts w:cstheme="minorBidi"/>
          <w:color w:val="1A2A38"/>
          <w:sz w:val="22"/>
          <w:szCs w:val="22"/>
        </w:rPr>
        <w:t>P</w:t>
      </w:r>
      <w:r w:rsidR="00D35095" w:rsidRPr="004A709D">
        <w:rPr>
          <w:rFonts w:cstheme="minorBidi"/>
          <w:color w:val="1A2A38"/>
          <w:sz w:val="22"/>
          <w:szCs w:val="22"/>
        </w:rPr>
        <w:t xml:space="preserve">lan in our 2020–21 </w:t>
      </w:r>
      <w:r w:rsidR="00FB2117" w:rsidRPr="004A709D">
        <w:rPr>
          <w:rFonts w:cstheme="minorBidi"/>
          <w:color w:val="1A2A38"/>
          <w:sz w:val="22"/>
          <w:szCs w:val="22"/>
        </w:rPr>
        <w:t>A</w:t>
      </w:r>
      <w:r w:rsidR="00D35095" w:rsidRPr="004A709D">
        <w:rPr>
          <w:rFonts w:cstheme="minorBidi"/>
          <w:color w:val="1A2A38"/>
          <w:sz w:val="22"/>
          <w:szCs w:val="22"/>
        </w:rPr>
        <w:t xml:space="preserve">nnual </w:t>
      </w:r>
      <w:r w:rsidR="00FB2117" w:rsidRPr="004A709D">
        <w:rPr>
          <w:rFonts w:cstheme="minorBidi"/>
          <w:color w:val="1A2A38"/>
          <w:sz w:val="22"/>
          <w:szCs w:val="22"/>
        </w:rPr>
        <w:t>R</w:t>
      </w:r>
      <w:r w:rsidR="00D35095" w:rsidRPr="004A709D">
        <w:rPr>
          <w:rFonts w:cstheme="minorBidi"/>
          <w:color w:val="1A2A38"/>
          <w:sz w:val="22"/>
          <w:szCs w:val="22"/>
        </w:rPr>
        <w:t>eport.</w:t>
      </w:r>
    </w:p>
    <w:p w14:paraId="387C7D55" w14:textId="77777777" w:rsidR="00CC652D" w:rsidRPr="004A709D" w:rsidRDefault="00CC652D" w:rsidP="004A709D">
      <w:pPr>
        <w:pStyle w:val="Pa4"/>
        <w:spacing w:after="300"/>
        <w:rPr>
          <w:rFonts w:cs="Century Gothic"/>
          <w:color w:val="1A2A38"/>
          <w:sz w:val="22"/>
          <w:szCs w:val="22"/>
        </w:rPr>
      </w:pPr>
      <w:r w:rsidRPr="004A709D">
        <w:rPr>
          <w:rFonts w:cs="Century Gothic"/>
          <w:b/>
          <w:bCs/>
          <w:color w:val="1A2A38"/>
          <w:sz w:val="22"/>
          <w:szCs w:val="22"/>
        </w:rPr>
        <w:t xml:space="preserve">Ray Griggs AO CSC </w:t>
      </w:r>
    </w:p>
    <w:p w14:paraId="1AE0E8B8" w14:textId="77777777" w:rsidR="00CC652D" w:rsidRPr="004A709D" w:rsidRDefault="00CC652D" w:rsidP="004A709D">
      <w:pPr>
        <w:pStyle w:val="Pa4"/>
        <w:spacing w:after="300"/>
        <w:rPr>
          <w:rFonts w:cs="Century Gothic"/>
          <w:color w:val="1A2A38"/>
          <w:sz w:val="22"/>
          <w:szCs w:val="22"/>
        </w:rPr>
      </w:pPr>
      <w:r w:rsidRPr="004A709D">
        <w:rPr>
          <w:rFonts w:cs="Century Gothic"/>
          <w:color w:val="1A2A38"/>
          <w:sz w:val="22"/>
          <w:szCs w:val="22"/>
        </w:rPr>
        <w:t xml:space="preserve">Chief Executive Officer </w:t>
      </w:r>
    </w:p>
    <w:p w14:paraId="414C8F38" w14:textId="77777777" w:rsidR="00CC652D" w:rsidRPr="004A709D" w:rsidRDefault="00CC652D" w:rsidP="004A709D">
      <w:pPr>
        <w:pStyle w:val="Pa4"/>
        <w:spacing w:after="300"/>
        <w:rPr>
          <w:rFonts w:cs="Century Gothic"/>
          <w:color w:val="1A2A38"/>
          <w:sz w:val="22"/>
          <w:szCs w:val="22"/>
        </w:rPr>
      </w:pPr>
      <w:r w:rsidRPr="004A709D">
        <w:rPr>
          <w:rFonts w:cs="Century Gothic"/>
          <w:color w:val="1A2A38"/>
          <w:sz w:val="22"/>
          <w:szCs w:val="22"/>
        </w:rPr>
        <w:t xml:space="preserve">National Indigenous Australians Agency </w:t>
      </w:r>
    </w:p>
    <w:p w14:paraId="70026F6C" w14:textId="6C31587D" w:rsidR="008C5873" w:rsidRPr="008805C8" w:rsidRDefault="00734FDE" w:rsidP="0066505F">
      <w:pPr>
        <w:pStyle w:val="Pa4"/>
        <w:spacing w:after="300"/>
        <w:rPr>
          <w:rFonts w:cs="Century Gothic"/>
          <w:color w:val="1A2A38"/>
          <w:sz w:val="22"/>
          <w:szCs w:val="22"/>
        </w:rPr>
      </w:pPr>
      <w:r>
        <w:rPr>
          <w:rFonts w:cs="Century Gothic"/>
          <w:color w:val="1A2A38"/>
          <w:sz w:val="22"/>
          <w:szCs w:val="22"/>
        </w:rPr>
        <w:t>December</w:t>
      </w:r>
      <w:r w:rsidR="00CC652D" w:rsidRPr="004A709D">
        <w:rPr>
          <w:rFonts w:cs="Century Gothic"/>
          <w:color w:val="1A2A38"/>
          <w:sz w:val="22"/>
          <w:szCs w:val="22"/>
        </w:rPr>
        <w:t xml:space="preserve"> 202</w:t>
      </w:r>
      <w:r w:rsidR="002C5D31" w:rsidRPr="004A709D">
        <w:rPr>
          <w:rFonts w:cs="Century Gothic"/>
          <w:color w:val="1A2A38"/>
          <w:sz w:val="22"/>
          <w:szCs w:val="22"/>
        </w:rPr>
        <w:t>0</w:t>
      </w:r>
      <w:bookmarkStart w:id="10" w:name="_Toc52967394"/>
      <w:r w:rsidR="008C5873">
        <w:br w:type="page"/>
      </w:r>
    </w:p>
    <w:p w14:paraId="3D78F37B" w14:textId="0B14AB8F" w:rsidR="00685ADB" w:rsidRDefault="00685ADB">
      <w:pPr>
        <w:rPr>
          <w:rFonts w:ascii="Century Gothic" w:hAnsi="Century Gothic"/>
          <w:b/>
          <w:color w:val="58A28B"/>
          <w:sz w:val="32"/>
        </w:rPr>
      </w:pPr>
      <w:bookmarkStart w:id="11" w:name="_Toc52967395"/>
      <w:bookmarkStart w:id="12" w:name="_Toc52982146"/>
      <w:bookmarkStart w:id="13" w:name="_Toc55483149"/>
      <w:bookmarkEnd w:id="10"/>
      <w:r>
        <w:rPr>
          <w:noProof/>
          <w:lang w:eastAsia="en-AU"/>
        </w:rPr>
        <w:lastRenderedPageBreak/>
        <w:drawing>
          <wp:inline distT="0" distB="0" distL="0" distR="0" wp14:anchorId="33064346" wp14:editId="511335A1">
            <wp:extent cx="12813413" cy="9060873"/>
            <wp:effectExtent l="0" t="0" r="7620" b="6985"/>
            <wp:docPr id="1" name="Picture 1" descr="Our Vision&#10;NIAA is a reliable and trusted partner contributing to improving the lives of Indigenous Australians.&#10;&#10;Our Purpose&#10;The purpose of NIAA is to assist  the Australian Government  achieve its objectives in improving the lives of Indigenous Australians by leading the development of the Commonwealth’s approach, focusing on place, working in partnership, and effectively delivering programs through the Indigenous Advancement Strategy.&#10;&#10;We achieve this by …&#10;&#10;Building our Influence&#10;Identifying economic  and human capital  development opportunities&#10;Building genuine partnerships&#10;Investing to deliver the greatest benefit&#10;Using data and evidence to inform our approach&#10;Being capable, engaged and unified workforce&#10;&#10;Which is underpinned by Our Values&#10;&#10;We respect multiple perspectives&#10;We are authentic &#10;We deliver with purpose&#10;We are professional and act with integrity We invest on each other's success&#10;&#10;Our People &#10;We are committed to investing in our people to build capability and provide opportunities.&#10;&#10;Our Culture &#10;We are committed to building a unified, supportive and creative culture.&#10;&#10;Our Environment&#10;We are committed to providing a safe, modern and connected environment for all our staff.&#10;&#10;" title="Our Vision, Our Purpose - Graphic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r Vision - NIAA 2020-21 Corporate Plan.jpg"/>
                    <pic:cNvPicPr/>
                  </pic:nvPicPr>
                  <pic:blipFill>
                    <a:blip r:embed="rId15">
                      <a:extLst>
                        <a:ext uri="{28A0092B-C50C-407E-A947-70E740481C1C}">
                          <a14:useLocalDpi xmlns:a14="http://schemas.microsoft.com/office/drawing/2010/main" val="0"/>
                        </a:ext>
                      </a:extLst>
                    </a:blip>
                    <a:stretch>
                      <a:fillRect/>
                    </a:stretch>
                  </pic:blipFill>
                  <pic:spPr>
                    <a:xfrm>
                      <a:off x="0" y="0"/>
                      <a:ext cx="12830462" cy="9072929"/>
                    </a:xfrm>
                    <a:prstGeom prst="rect">
                      <a:avLst/>
                    </a:prstGeom>
                  </pic:spPr>
                </pic:pic>
              </a:graphicData>
            </a:graphic>
          </wp:inline>
        </w:drawing>
      </w:r>
      <w:r>
        <w:br w:type="page"/>
      </w:r>
    </w:p>
    <w:p w14:paraId="2073B4C4" w14:textId="205379EB" w:rsidR="003A441C" w:rsidRPr="00147B76" w:rsidRDefault="00C60B26" w:rsidP="00BD3505">
      <w:pPr>
        <w:pStyle w:val="Heading1"/>
      </w:pPr>
      <w:bookmarkStart w:id="14" w:name="_Toc59456217"/>
      <w:r>
        <w:lastRenderedPageBreak/>
        <w:t xml:space="preserve">OUR </w:t>
      </w:r>
      <w:r w:rsidR="00621D61" w:rsidRPr="00147B76">
        <w:t xml:space="preserve">OPERATING </w:t>
      </w:r>
      <w:r w:rsidR="003A441C" w:rsidRPr="00147B76">
        <w:t>ENVIRONMENT</w:t>
      </w:r>
      <w:bookmarkEnd w:id="11"/>
      <w:bookmarkEnd w:id="12"/>
      <w:bookmarkEnd w:id="13"/>
      <w:bookmarkEnd w:id="14"/>
    </w:p>
    <w:p w14:paraId="4820A8C8" w14:textId="1E793556" w:rsidR="00BB61DF" w:rsidRPr="00ED2906" w:rsidRDefault="004C61E5" w:rsidP="00BB61DF">
      <w:pPr>
        <w:pStyle w:val="Default"/>
        <w:spacing w:after="300" w:line="361" w:lineRule="atLeast"/>
        <w:rPr>
          <w:b/>
          <w:sz w:val="22"/>
          <w:szCs w:val="22"/>
        </w:rPr>
      </w:pPr>
      <w:r>
        <w:rPr>
          <w:b/>
          <w:sz w:val="22"/>
          <w:szCs w:val="22"/>
        </w:rPr>
        <w:t xml:space="preserve">The </w:t>
      </w:r>
      <w:r w:rsidR="00056F25" w:rsidRPr="00ED2906">
        <w:rPr>
          <w:b/>
          <w:sz w:val="22"/>
          <w:szCs w:val="22"/>
        </w:rPr>
        <w:t>NIAA</w:t>
      </w:r>
      <w:r w:rsidR="00621D61" w:rsidRPr="00ED2906">
        <w:rPr>
          <w:b/>
          <w:sz w:val="22"/>
          <w:szCs w:val="22"/>
        </w:rPr>
        <w:t xml:space="preserve"> </w:t>
      </w:r>
      <w:r w:rsidR="008914F7" w:rsidRPr="00ED2906">
        <w:rPr>
          <w:b/>
          <w:sz w:val="22"/>
          <w:szCs w:val="22"/>
        </w:rPr>
        <w:t>operates i</w:t>
      </w:r>
      <w:r w:rsidR="00621D61" w:rsidRPr="00ED2906">
        <w:rPr>
          <w:b/>
          <w:sz w:val="22"/>
          <w:szCs w:val="22"/>
        </w:rPr>
        <w:t xml:space="preserve">n a </w:t>
      </w:r>
      <w:r w:rsidR="008914F7" w:rsidRPr="00ED2906">
        <w:rPr>
          <w:b/>
          <w:sz w:val="22"/>
          <w:szCs w:val="22"/>
        </w:rPr>
        <w:t xml:space="preserve">complex, </w:t>
      </w:r>
      <w:r w:rsidR="00621D61" w:rsidRPr="00ED2906">
        <w:rPr>
          <w:b/>
          <w:sz w:val="22"/>
          <w:szCs w:val="22"/>
        </w:rPr>
        <w:t>dy</w:t>
      </w:r>
      <w:r w:rsidR="008914F7" w:rsidRPr="00ED2906">
        <w:rPr>
          <w:b/>
          <w:sz w:val="22"/>
          <w:szCs w:val="22"/>
        </w:rPr>
        <w:t>n</w:t>
      </w:r>
      <w:r w:rsidR="00621D61" w:rsidRPr="00ED2906">
        <w:rPr>
          <w:b/>
          <w:sz w:val="22"/>
          <w:szCs w:val="22"/>
        </w:rPr>
        <w:t>a</w:t>
      </w:r>
      <w:r w:rsidR="008914F7" w:rsidRPr="00ED2906">
        <w:rPr>
          <w:b/>
          <w:sz w:val="22"/>
          <w:szCs w:val="22"/>
        </w:rPr>
        <w:t>mic environmen</w:t>
      </w:r>
      <w:r w:rsidR="00BB61DF" w:rsidRPr="00ED2906">
        <w:rPr>
          <w:b/>
          <w:sz w:val="22"/>
          <w:szCs w:val="22"/>
        </w:rPr>
        <w:t xml:space="preserve">t, contributing </w:t>
      </w:r>
      <w:r w:rsidR="00696940" w:rsidRPr="00ED2906">
        <w:rPr>
          <w:b/>
          <w:sz w:val="22"/>
          <w:szCs w:val="22"/>
        </w:rPr>
        <w:t>to outcomes</w:t>
      </w:r>
      <w:r w:rsidR="00BB61DF" w:rsidRPr="00ED2906">
        <w:rPr>
          <w:b/>
          <w:sz w:val="22"/>
          <w:szCs w:val="22"/>
        </w:rPr>
        <w:t xml:space="preserve"> aligned with the aspirations of </w:t>
      </w:r>
      <w:r w:rsidR="001E2B76">
        <w:rPr>
          <w:b/>
          <w:sz w:val="22"/>
          <w:szCs w:val="22"/>
        </w:rPr>
        <w:t xml:space="preserve">the Australian </w:t>
      </w:r>
      <w:r w:rsidR="00F527E8">
        <w:rPr>
          <w:b/>
          <w:sz w:val="22"/>
          <w:szCs w:val="22"/>
        </w:rPr>
        <w:t>G</w:t>
      </w:r>
      <w:r w:rsidR="00BB61DF" w:rsidRPr="00ED2906">
        <w:rPr>
          <w:b/>
          <w:sz w:val="22"/>
          <w:szCs w:val="22"/>
        </w:rPr>
        <w:t>overnment and Aboriginal and Torres Strait Islander peoples</w:t>
      </w:r>
      <w:r w:rsidR="00696940" w:rsidRPr="00ED2906">
        <w:rPr>
          <w:b/>
          <w:sz w:val="22"/>
          <w:szCs w:val="22"/>
        </w:rPr>
        <w:t>. A</w:t>
      </w:r>
      <w:r w:rsidR="00BB61DF" w:rsidRPr="00ED2906">
        <w:rPr>
          <w:b/>
          <w:sz w:val="22"/>
          <w:szCs w:val="22"/>
        </w:rPr>
        <w:t>t a regional and sector</w:t>
      </w:r>
      <w:r w:rsidR="00AA47FE">
        <w:rPr>
          <w:b/>
          <w:sz w:val="22"/>
          <w:szCs w:val="22"/>
        </w:rPr>
        <w:t>al</w:t>
      </w:r>
      <w:r w:rsidR="00BB61DF" w:rsidRPr="00ED2906">
        <w:rPr>
          <w:b/>
          <w:sz w:val="22"/>
          <w:szCs w:val="22"/>
        </w:rPr>
        <w:t xml:space="preserve"> level</w:t>
      </w:r>
      <w:r w:rsidR="00696940" w:rsidRPr="00ED2906">
        <w:rPr>
          <w:b/>
          <w:sz w:val="22"/>
          <w:szCs w:val="22"/>
        </w:rPr>
        <w:t>, we do this</w:t>
      </w:r>
      <w:r w:rsidR="00BB61DF" w:rsidRPr="00ED2906">
        <w:rPr>
          <w:b/>
          <w:sz w:val="22"/>
          <w:szCs w:val="22"/>
        </w:rPr>
        <w:t xml:space="preserve"> through leveraging resources and partnerships, supplemented by targeted funding, working with community leadership and service providers to deliver outcomes. At the Commonwealth level, we use our networks and expertise to influence mainstream policy and programs, legislative and structural reform, and funding of priority programs.</w:t>
      </w:r>
    </w:p>
    <w:p w14:paraId="28070269" w14:textId="2454FAC1" w:rsidR="00BB61DF" w:rsidRPr="005141B9" w:rsidRDefault="00BB61DF" w:rsidP="001625D7">
      <w:pPr>
        <w:pStyle w:val="Default"/>
        <w:spacing w:after="300" w:line="361" w:lineRule="atLeast"/>
        <w:outlineLvl w:val="1"/>
        <w:rPr>
          <w:rFonts w:cstheme="minorBidi"/>
          <w:b/>
          <w:color w:val="auto"/>
          <w:u w:val="single"/>
        </w:rPr>
      </w:pPr>
      <w:r w:rsidRPr="005141B9">
        <w:rPr>
          <w:rFonts w:cstheme="minorBidi"/>
          <w:b/>
          <w:color w:val="auto"/>
          <w:u w:val="single"/>
        </w:rPr>
        <w:t xml:space="preserve">Supporting economic recovery post </w:t>
      </w:r>
      <w:r w:rsidR="005E0B4B">
        <w:rPr>
          <w:rFonts w:cstheme="minorBidi"/>
          <w:b/>
          <w:color w:val="auto"/>
          <w:u w:val="single"/>
        </w:rPr>
        <w:t>COVID</w:t>
      </w:r>
      <w:r w:rsidRPr="005141B9">
        <w:rPr>
          <w:rFonts w:cstheme="minorBidi"/>
          <w:b/>
          <w:color w:val="auto"/>
          <w:u w:val="single"/>
        </w:rPr>
        <w:t>-19</w:t>
      </w:r>
    </w:p>
    <w:p w14:paraId="67AEA7B9" w14:textId="4C9033FE" w:rsidR="000878E7" w:rsidRPr="0066505F" w:rsidRDefault="00D15E34">
      <w:pPr>
        <w:pStyle w:val="Default"/>
        <w:spacing w:after="300" w:line="361" w:lineRule="atLeast"/>
        <w:rPr>
          <w:color w:val="auto"/>
          <w:sz w:val="22"/>
          <w:szCs w:val="22"/>
        </w:rPr>
      </w:pPr>
      <w:r w:rsidRPr="0066505F">
        <w:rPr>
          <w:color w:val="auto"/>
          <w:sz w:val="22"/>
          <w:szCs w:val="22"/>
        </w:rPr>
        <w:t>The impact of the pandemic has, and will continue to, shape g</w:t>
      </w:r>
      <w:r w:rsidR="00056F25" w:rsidRPr="0066505F">
        <w:rPr>
          <w:color w:val="auto"/>
          <w:sz w:val="22"/>
          <w:szCs w:val="22"/>
        </w:rPr>
        <w:t xml:space="preserve">overnment priorities. </w:t>
      </w:r>
      <w:r w:rsidR="00DE677D" w:rsidRPr="0066505F">
        <w:rPr>
          <w:color w:val="auto"/>
          <w:sz w:val="22"/>
          <w:szCs w:val="22"/>
        </w:rPr>
        <w:t>T</w:t>
      </w:r>
      <w:r w:rsidR="009939D4" w:rsidRPr="0066505F">
        <w:rPr>
          <w:color w:val="auto"/>
          <w:sz w:val="22"/>
          <w:szCs w:val="22"/>
        </w:rPr>
        <w:t xml:space="preserve">he </w:t>
      </w:r>
      <w:r w:rsidR="00F527E8">
        <w:rPr>
          <w:color w:val="auto"/>
          <w:sz w:val="22"/>
          <w:szCs w:val="22"/>
        </w:rPr>
        <w:t>g</w:t>
      </w:r>
      <w:r w:rsidR="009939D4" w:rsidRPr="0066505F">
        <w:rPr>
          <w:color w:val="auto"/>
          <w:sz w:val="22"/>
          <w:szCs w:val="22"/>
        </w:rPr>
        <w:t xml:space="preserve">overnment </w:t>
      </w:r>
      <w:r w:rsidR="000878E7" w:rsidRPr="0066505F">
        <w:rPr>
          <w:color w:val="auto"/>
          <w:sz w:val="22"/>
          <w:szCs w:val="22"/>
        </w:rPr>
        <w:t xml:space="preserve">is investing in services and </w:t>
      </w:r>
      <w:r w:rsidR="00617226" w:rsidRPr="0066505F">
        <w:rPr>
          <w:color w:val="auto"/>
          <w:sz w:val="22"/>
          <w:szCs w:val="22"/>
        </w:rPr>
        <w:t xml:space="preserve">new </w:t>
      </w:r>
      <w:r w:rsidR="000878E7" w:rsidRPr="0066505F">
        <w:rPr>
          <w:color w:val="auto"/>
          <w:sz w:val="22"/>
          <w:szCs w:val="22"/>
        </w:rPr>
        <w:t>initiatives to ensure that Aboriginal and Torres Strait Islander people</w:t>
      </w:r>
      <w:r w:rsidR="00CC4789">
        <w:rPr>
          <w:color w:val="auto"/>
          <w:sz w:val="22"/>
          <w:szCs w:val="22"/>
        </w:rPr>
        <w:t>s</w:t>
      </w:r>
      <w:r w:rsidR="000878E7" w:rsidRPr="0066505F">
        <w:rPr>
          <w:color w:val="auto"/>
          <w:sz w:val="22"/>
          <w:szCs w:val="22"/>
        </w:rPr>
        <w:t xml:space="preserve"> have sustained economic and social opportunities as part of our economic recovery plan for Australia. </w:t>
      </w:r>
      <w:r w:rsidR="00617226" w:rsidRPr="0066505F">
        <w:rPr>
          <w:color w:val="auto"/>
          <w:sz w:val="22"/>
          <w:szCs w:val="22"/>
        </w:rPr>
        <w:t xml:space="preserve">The </w:t>
      </w:r>
      <w:r w:rsidR="00056F25" w:rsidRPr="0066505F">
        <w:rPr>
          <w:color w:val="auto"/>
          <w:sz w:val="22"/>
          <w:szCs w:val="22"/>
        </w:rPr>
        <w:t>NIAA</w:t>
      </w:r>
      <w:r w:rsidR="000878E7" w:rsidRPr="0066505F">
        <w:rPr>
          <w:color w:val="auto"/>
          <w:sz w:val="22"/>
          <w:szCs w:val="22"/>
        </w:rPr>
        <w:t xml:space="preserve"> will </w:t>
      </w:r>
      <w:r w:rsidR="00E96DFE">
        <w:rPr>
          <w:color w:val="auto"/>
          <w:sz w:val="22"/>
          <w:szCs w:val="22"/>
        </w:rPr>
        <w:t>continue</w:t>
      </w:r>
      <w:r w:rsidR="000878E7" w:rsidRPr="0066505F">
        <w:rPr>
          <w:color w:val="auto"/>
          <w:sz w:val="22"/>
          <w:szCs w:val="22"/>
        </w:rPr>
        <w:t xml:space="preserve"> to play a key role in </w:t>
      </w:r>
      <w:r w:rsidR="00335BB9" w:rsidRPr="0066505F">
        <w:rPr>
          <w:color w:val="auto"/>
          <w:sz w:val="22"/>
          <w:szCs w:val="22"/>
        </w:rPr>
        <w:t xml:space="preserve">shaping and supporting </w:t>
      </w:r>
      <w:r w:rsidR="000878E7" w:rsidRPr="0066505F">
        <w:rPr>
          <w:color w:val="auto"/>
          <w:sz w:val="22"/>
          <w:szCs w:val="22"/>
        </w:rPr>
        <w:t xml:space="preserve">these policies </w:t>
      </w:r>
      <w:r w:rsidR="00DE677D" w:rsidRPr="0066505F">
        <w:rPr>
          <w:color w:val="auto"/>
          <w:sz w:val="22"/>
          <w:szCs w:val="22"/>
        </w:rPr>
        <w:t>which</w:t>
      </w:r>
      <w:r w:rsidR="000878E7" w:rsidRPr="0066505F">
        <w:rPr>
          <w:color w:val="auto"/>
          <w:sz w:val="22"/>
          <w:szCs w:val="22"/>
        </w:rPr>
        <w:t xml:space="preserve"> build resilience through generating economic opportunities for Indigenous Australians and </w:t>
      </w:r>
      <w:r w:rsidR="00DE677D" w:rsidRPr="0066505F">
        <w:rPr>
          <w:color w:val="auto"/>
          <w:sz w:val="22"/>
          <w:szCs w:val="22"/>
        </w:rPr>
        <w:t>stimulat</w:t>
      </w:r>
      <w:r w:rsidR="00C84A64" w:rsidRPr="0066505F">
        <w:rPr>
          <w:color w:val="auto"/>
          <w:sz w:val="22"/>
          <w:szCs w:val="22"/>
        </w:rPr>
        <w:t>ing</w:t>
      </w:r>
      <w:r w:rsidR="00DE677D" w:rsidRPr="0066505F">
        <w:rPr>
          <w:color w:val="auto"/>
          <w:sz w:val="22"/>
          <w:szCs w:val="22"/>
        </w:rPr>
        <w:t xml:space="preserve"> regional economic activity. </w:t>
      </w:r>
    </w:p>
    <w:p w14:paraId="0986BE5D" w14:textId="361C1000" w:rsidR="003F4513" w:rsidRPr="0066505F" w:rsidRDefault="00DE677D" w:rsidP="003F4513">
      <w:pPr>
        <w:pStyle w:val="Default"/>
        <w:spacing w:after="300" w:line="361" w:lineRule="atLeast"/>
        <w:rPr>
          <w:color w:val="auto"/>
          <w:sz w:val="22"/>
          <w:szCs w:val="22"/>
        </w:rPr>
      </w:pPr>
      <w:r w:rsidRPr="0066505F">
        <w:rPr>
          <w:color w:val="auto"/>
          <w:sz w:val="22"/>
          <w:szCs w:val="22"/>
        </w:rPr>
        <w:t xml:space="preserve">In </w:t>
      </w:r>
      <w:r w:rsidR="00273481">
        <w:rPr>
          <w:color w:val="auto"/>
          <w:sz w:val="22"/>
          <w:szCs w:val="22"/>
        </w:rPr>
        <w:t xml:space="preserve">the </w:t>
      </w:r>
      <w:r w:rsidRPr="0066505F">
        <w:rPr>
          <w:color w:val="auto"/>
          <w:sz w:val="22"/>
          <w:szCs w:val="22"/>
        </w:rPr>
        <w:t xml:space="preserve">2020-21 </w:t>
      </w:r>
      <w:r w:rsidR="00273481">
        <w:rPr>
          <w:color w:val="auto"/>
          <w:sz w:val="22"/>
          <w:szCs w:val="22"/>
        </w:rPr>
        <w:t xml:space="preserve">financial year </w:t>
      </w:r>
      <w:r w:rsidRPr="0066505F">
        <w:rPr>
          <w:color w:val="auto"/>
          <w:sz w:val="22"/>
          <w:szCs w:val="22"/>
        </w:rPr>
        <w:t>and beyond</w:t>
      </w:r>
      <w:r w:rsidR="00A452EA" w:rsidRPr="0066505F">
        <w:rPr>
          <w:color w:val="auto"/>
          <w:sz w:val="22"/>
          <w:szCs w:val="22"/>
        </w:rPr>
        <w:t>,</w:t>
      </w:r>
      <w:r w:rsidRPr="0066505F">
        <w:rPr>
          <w:color w:val="auto"/>
          <w:sz w:val="22"/>
          <w:szCs w:val="22"/>
        </w:rPr>
        <w:t xml:space="preserve"> </w:t>
      </w:r>
      <w:r w:rsidR="003F4513">
        <w:rPr>
          <w:color w:val="auto"/>
          <w:sz w:val="22"/>
          <w:szCs w:val="22"/>
        </w:rPr>
        <w:t>t</w:t>
      </w:r>
      <w:r w:rsidR="003F4513" w:rsidRPr="00CF13D8">
        <w:rPr>
          <w:color w:val="auto"/>
          <w:sz w:val="22"/>
          <w:szCs w:val="22"/>
        </w:rPr>
        <w:t xml:space="preserve">he NIAA will </w:t>
      </w:r>
      <w:r w:rsidR="00AA47FE">
        <w:rPr>
          <w:color w:val="auto"/>
          <w:sz w:val="22"/>
          <w:szCs w:val="22"/>
        </w:rPr>
        <w:t xml:space="preserve">focus </w:t>
      </w:r>
      <w:r w:rsidR="001360BF">
        <w:rPr>
          <w:color w:val="auto"/>
          <w:sz w:val="22"/>
          <w:szCs w:val="22"/>
        </w:rPr>
        <w:t xml:space="preserve">on </w:t>
      </w:r>
      <w:r w:rsidR="006315AE">
        <w:rPr>
          <w:color w:val="auto"/>
          <w:sz w:val="22"/>
          <w:szCs w:val="22"/>
        </w:rPr>
        <w:t>supporting</w:t>
      </w:r>
      <w:r w:rsidR="003F4513" w:rsidRPr="00CF13D8">
        <w:rPr>
          <w:color w:val="auto"/>
          <w:sz w:val="22"/>
          <w:szCs w:val="22"/>
        </w:rPr>
        <w:t xml:space="preserve"> Indigenous jobs</w:t>
      </w:r>
      <w:r w:rsidR="009939D4" w:rsidRPr="0066505F">
        <w:rPr>
          <w:color w:val="auto"/>
          <w:sz w:val="22"/>
          <w:szCs w:val="22"/>
        </w:rPr>
        <w:t xml:space="preserve"> and </w:t>
      </w:r>
      <w:r w:rsidR="003F4513" w:rsidRPr="00CF13D8">
        <w:rPr>
          <w:color w:val="auto"/>
          <w:sz w:val="22"/>
          <w:szCs w:val="22"/>
        </w:rPr>
        <w:t>business</w:t>
      </w:r>
      <w:r w:rsidR="001360BF">
        <w:rPr>
          <w:color w:val="auto"/>
          <w:sz w:val="22"/>
          <w:szCs w:val="22"/>
        </w:rPr>
        <w:t>es</w:t>
      </w:r>
      <w:r w:rsidR="003F4513" w:rsidRPr="00CF13D8">
        <w:rPr>
          <w:color w:val="auto"/>
          <w:sz w:val="22"/>
          <w:szCs w:val="22"/>
        </w:rPr>
        <w:t xml:space="preserve"> in line with the </w:t>
      </w:r>
      <w:r w:rsidR="00F527E8">
        <w:rPr>
          <w:color w:val="auto"/>
          <w:sz w:val="22"/>
          <w:szCs w:val="22"/>
        </w:rPr>
        <w:t>g</w:t>
      </w:r>
      <w:r w:rsidR="003F4513" w:rsidRPr="00CF13D8">
        <w:rPr>
          <w:color w:val="auto"/>
          <w:sz w:val="22"/>
          <w:szCs w:val="22"/>
        </w:rPr>
        <w:t xml:space="preserve">overnment’s </w:t>
      </w:r>
      <w:r w:rsidR="00AA47FE">
        <w:rPr>
          <w:color w:val="auto"/>
          <w:sz w:val="22"/>
          <w:szCs w:val="22"/>
        </w:rPr>
        <w:t>p</w:t>
      </w:r>
      <w:r w:rsidR="00DA52FD">
        <w:rPr>
          <w:color w:val="auto"/>
          <w:sz w:val="22"/>
          <w:szCs w:val="22"/>
        </w:rPr>
        <w:t>o</w:t>
      </w:r>
      <w:r w:rsidR="00AA47FE">
        <w:rPr>
          <w:color w:val="auto"/>
          <w:sz w:val="22"/>
          <w:szCs w:val="22"/>
        </w:rPr>
        <w:t>licy agenda for</w:t>
      </w:r>
      <w:r w:rsidR="003F4513" w:rsidRPr="00CF13D8">
        <w:rPr>
          <w:color w:val="auto"/>
          <w:sz w:val="22"/>
          <w:szCs w:val="22"/>
        </w:rPr>
        <w:t xml:space="preserve"> economic recovery from COVID</w:t>
      </w:r>
      <w:r w:rsidR="00AA47FE">
        <w:rPr>
          <w:color w:val="auto"/>
          <w:sz w:val="22"/>
          <w:szCs w:val="22"/>
        </w:rPr>
        <w:t>-</w:t>
      </w:r>
      <w:r w:rsidR="003F4513" w:rsidRPr="00CF13D8">
        <w:rPr>
          <w:color w:val="auto"/>
          <w:sz w:val="22"/>
          <w:szCs w:val="22"/>
        </w:rPr>
        <w:t>19. This</w:t>
      </w:r>
      <w:r w:rsidR="003F15A4">
        <w:rPr>
          <w:color w:val="auto"/>
          <w:sz w:val="22"/>
          <w:szCs w:val="22"/>
        </w:rPr>
        <w:t xml:space="preserve"> will</w:t>
      </w:r>
      <w:r w:rsidR="003F4513" w:rsidRPr="00CF13D8">
        <w:rPr>
          <w:color w:val="auto"/>
          <w:sz w:val="22"/>
          <w:szCs w:val="22"/>
        </w:rPr>
        <w:t xml:space="preserve"> help ensure that</w:t>
      </w:r>
      <w:r w:rsidR="009939D4" w:rsidRPr="0066505F">
        <w:rPr>
          <w:color w:val="auto"/>
          <w:sz w:val="22"/>
          <w:szCs w:val="22"/>
        </w:rPr>
        <w:t xml:space="preserve"> Indigenous Australians </w:t>
      </w:r>
      <w:r w:rsidR="003F4513" w:rsidRPr="00CF13D8">
        <w:rPr>
          <w:color w:val="auto"/>
          <w:sz w:val="22"/>
          <w:szCs w:val="22"/>
        </w:rPr>
        <w:t>can find jobs, grow their businesses</w:t>
      </w:r>
      <w:r w:rsidR="009939D4" w:rsidRPr="0066505F">
        <w:rPr>
          <w:color w:val="auto"/>
          <w:sz w:val="22"/>
          <w:szCs w:val="22"/>
        </w:rPr>
        <w:t xml:space="preserve"> and </w:t>
      </w:r>
      <w:r w:rsidR="003F4513" w:rsidRPr="00CF13D8">
        <w:rPr>
          <w:color w:val="auto"/>
          <w:sz w:val="22"/>
          <w:szCs w:val="22"/>
        </w:rPr>
        <w:t xml:space="preserve">partner with the industries and sectors that will help Australia recover </w:t>
      </w:r>
      <w:r w:rsidR="00AA47FE">
        <w:rPr>
          <w:color w:val="auto"/>
          <w:sz w:val="22"/>
          <w:szCs w:val="22"/>
        </w:rPr>
        <w:t>and grow</w:t>
      </w:r>
      <w:r w:rsidR="003F4513" w:rsidRPr="00CF13D8">
        <w:rPr>
          <w:color w:val="auto"/>
          <w:sz w:val="22"/>
          <w:szCs w:val="22"/>
        </w:rPr>
        <w:t xml:space="preserve"> </w:t>
      </w:r>
      <w:r w:rsidR="00AA47FE">
        <w:rPr>
          <w:color w:val="auto"/>
          <w:sz w:val="22"/>
          <w:szCs w:val="22"/>
        </w:rPr>
        <w:t>–</w:t>
      </w:r>
      <w:r w:rsidR="003F4513" w:rsidRPr="00CF13D8">
        <w:rPr>
          <w:color w:val="auto"/>
          <w:sz w:val="22"/>
          <w:szCs w:val="22"/>
        </w:rPr>
        <w:t xml:space="preserve"> improving the lives and livelihoods</w:t>
      </w:r>
      <w:r w:rsidR="009939D4" w:rsidRPr="0066505F">
        <w:rPr>
          <w:color w:val="auto"/>
          <w:sz w:val="22"/>
          <w:szCs w:val="22"/>
        </w:rPr>
        <w:t xml:space="preserve"> of Indigenous </w:t>
      </w:r>
      <w:r w:rsidR="003F4513" w:rsidRPr="00CF13D8">
        <w:rPr>
          <w:color w:val="auto"/>
          <w:sz w:val="22"/>
          <w:szCs w:val="22"/>
        </w:rPr>
        <w:t xml:space="preserve">and </w:t>
      </w:r>
      <w:r w:rsidR="008559B7">
        <w:rPr>
          <w:color w:val="auto"/>
          <w:sz w:val="22"/>
          <w:szCs w:val="22"/>
        </w:rPr>
        <w:t>non</w:t>
      </w:r>
      <w:r w:rsidR="008559B7">
        <w:rPr>
          <w:color w:val="auto"/>
          <w:sz w:val="22"/>
          <w:szCs w:val="22"/>
        </w:rPr>
        <w:noBreakHyphen/>
      </w:r>
      <w:r w:rsidR="007C1380" w:rsidRPr="00CF13D8">
        <w:rPr>
          <w:color w:val="auto"/>
          <w:sz w:val="22"/>
          <w:szCs w:val="22"/>
        </w:rPr>
        <w:t>Indigenous</w:t>
      </w:r>
      <w:r w:rsidR="003F4513" w:rsidRPr="00CF13D8">
        <w:rPr>
          <w:color w:val="auto"/>
          <w:sz w:val="22"/>
          <w:szCs w:val="22"/>
        </w:rPr>
        <w:t xml:space="preserve"> Australians.</w:t>
      </w:r>
    </w:p>
    <w:p w14:paraId="114199D4" w14:textId="77777777" w:rsidR="000C7033" w:rsidRPr="005141B9" w:rsidRDefault="00D31579" w:rsidP="001625D7">
      <w:pPr>
        <w:pStyle w:val="Default"/>
        <w:spacing w:after="300" w:line="361" w:lineRule="atLeast"/>
        <w:outlineLvl w:val="1"/>
        <w:rPr>
          <w:rFonts w:cstheme="minorBidi"/>
          <w:b/>
          <w:color w:val="auto"/>
          <w:u w:val="single"/>
        </w:rPr>
      </w:pPr>
      <w:r>
        <w:rPr>
          <w:rFonts w:cstheme="minorBidi"/>
          <w:b/>
          <w:color w:val="auto"/>
          <w:u w:val="single"/>
        </w:rPr>
        <w:t>National Agreement on Closing the Gap</w:t>
      </w:r>
    </w:p>
    <w:p w14:paraId="1CB71BA8" w14:textId="77777777" w:rsidR="00BC2877" w:rsidRPr="00DE7D85" w:rsidRDefault="00BC2877" w:rsidP="00D02ED0">
      <w:pPr>
        <w:pStyle w:val="Default"/>
        <w:spacing w:after="300" w:line="361" w:lineRule="atLeast"/>
        <w:rPr>
          <w:sz w:val="22"/>
          <w:szCs w:val="22"/>
        </w:rPr>
      </w:pPr>
      <w:r w:rsidRPr="00E8762F">
        <w:rPr>
          <w:sz w:val="22"/>
          <w:szCs w:val="22"/>
        </w:rPr>
        <w:t>In July 2020, the new</w:t>
      </w:r>
      <w:r w:rsidR="00D02ED0" w:rsidRPr="00E8762F">
        <w:rPr>
          <w:sz w:val="22"/>
          <w:szCs w:val="22"/>
        </w:rPr>
        <w:t xml:space="preserve"> </w:t>
      </w:r>
      <w:r w:rsidR="00D31579" w:rsidRPr="00E8762F">
        <w:rPr>
          <w:sz w:val="22"/>
          <w:szCs w:val="22"/>
        </w:rPr>
        <w:t xml:space="preserve">National </w:t>
      </w:r>
      <w:r w:rsidR="00D02ED0" w:rsidRPr="00E8762F">
        <w:rPr>
          <w:sz w:val="22"/>
          <w:szCs w:val="22"/>
        </w:rPr>
        <w:t>Agreement on Closing the Gap</w:t>
      </w:r>
      <w:r w:rsidR="00FD78CD" w:rsidRPr="00E8762F">
        <w:rPr>
          <w:sz w:val="22"/>
          <w:szCs w:val="22"/>
        </w:rPr>
        <w:t xml:space="preserve"> </w:t>
      </w:r>
      <w:r w:rsidR="00D02ED0" w:rsidRPr="00E8762F">
        <w:rPr>
          <w:sz w:val="22"/>
          <w:szCs w:val="22"/>
        </w:rPr>
        <w:t xml:space="preserve">was </w:t>
      </w:r>
      <w:r w:rsidRPr="00E8762F">
        <w:rPr>
          <w:sz w:val="22"/>
          <w:szCs w:val="22"/>
        </w:rPr>
        <w:t xml:space="preserve">finalised </w:t>
      </w:r>
      <w:r w:rsidR="00D02ED0" w:rsidRPr="00E8762F">
        <w:rPr>
          <w:sz w:val="22"/>
          <w:szCs w:val="22"/>
        </w:rPr>
        <w:t xml:space="preserve">between </w:t>
      </w:r>
      <w:r w:rsidRPr="00E8762F">
        <w:rPr>
          <w:sz w:val="22"/>
          <w:szCs w:val="22"/>
        </w:rPr>
        <w:t xml:space="preserve">over 50 members of </w:t>
      </w:r>
      <w:r w:rsidR="00D02ED0" w:rsidRPr="00E8762F">
        <w:rPr>
          <w:sz w:val="22"/>
          <w:szCs w:val="22"/>
        </w:rPr>
        <w:t xml:space="preserve">the Coalition of Aboriginal and Torres Strait Islander Peak Organisations (the Coalition of Peaks), the </w:t>
      </w:r>
      <w:r w:rsidR="00270E32">
        <w:rPr>
          <w:sz w:val="22"/>
          <w:szCs w:val="22"/>
        </w:rPr>
        <w:t>Australian</w:t>
      </w:r>
      <w:r w:rsidR="001E2B76">
        <w:rPr>
          <w:sz w:val="22"/>
          <w:szCs w:val="22"/>
        </w:rPr>
        <w:t xml:space="preserve"> </w:t>
      </w:r>
      <w:r w:rsidR="00C45492" w:rsidRPr="00E8762F">
        <w:rPr>
          <w:sz w:val="22"/>
          <w:szCs w:val="22"/>
        </w:rPr>
        <w:t>G</w:t>
      </w:r>
      <w:r w:rsidR="00D02ED0" w:rsidRPr="00E8762F">
        <w:rPr>
          <w:sz w:val="22"/>
          <w:szCs w:val="22"/>
        </w:rPr>
        <w:t xml:space="preserve">overnment, state and territory governments and the Australian Local Government Association (ALGA). </w:t>
      </w:r>
      <w:r w:rsidR="00A452EA" w:rsidRPr="00E8762F">
        <w:rPr>
          <w:sz w:val="22"/>
          <w:szCs w:val="22"/>
        </w:rPr>
        <w:t xml:space="preserve">Priority reforms within the </w:t>
      </w:r>
      <w:r w:rsidR="005D214A" w:rsidRPr="00E8762F">
        <w:rPr>
          <w:sz w:val="22"/>
          <w:szCs w:val="22"/>
        </w:rPr>
        <w:t xml:space="preserve">Closing the Gap </w:t>
      </w:r>
      <w:r w:rsidR="00FD78CD" w:rsidRPr="00E8762F">
        <w:rPr>
          <w:sz w:val="22"/>
          <w:szCs w:val="22"/>
        </w:rPr>
        <w:t>National Agreement</w:t>
      </w:r>
      <w:r w:rsidR="00A452EA" w:rsidRPr="00E8762F">
        <w:rPr>
          <w:sz w:val="22"/>
          <w:szCs w:val="22"/>
        </w:rPr>
        <w:t xml:space="preserve"> require a shift in the way </w:t>
      </w:r>
      <w:r w:rsidR="00C45492" w:rsidRPr="00E8762F">
        <w:rPr>
          <w:sz w:val="22"/>
          <w:szCs w:val="22"/>
        </w:rPr>
        <w:t xml:space="preserve">that </w:t>
      </w:r>
      <w:r w:rsidR="00A452EA" w:rsidRPr="00E8762F">
        <w:rPr>
          <w:sz w:val="22"/>
          <w:szCs w:val="22"/>
        </w:rPr>
        <w:t xml:space="preserve">governments </w:t>
      </w:r>
      <w:r w:rsidR="00AA47FE" w:rsidRPr="00E8762F">
        <w:rPr>
          <w:sz w:val="22"/>
          <w:szCs w:val="22"/>
        </w:rPr>
        <w:t xml:space="preserve">and </w:t>
      </w:r>
      <w:r w:rsidR="00A452EA" w:rsidRPr="00E8762F">
        <w:rPr>
          <w:sz w:val="22"/>
          <w:szCs w:val="22"/>
        </w:rPr>
        <w:t>Aboriginal and Torres Strait Islander people</w:t>
      </w:r>
      <w:r w:rsidR="00CC4789">
        <w:rPr>
          <w:sz w:val="22"/>
          <w:szCs w:val="22"/>
        </w:rPr>
        <w:t>s</w:t>
      </w:r>
      <w:r w:rsidR="00A452EA" w:rsidRPr="00E8762F">
        <w:rPr>
          <w:sz w:val="22"/>
          <w:szCs w:val="22"/>
        </w:rPr>
        <w:t xml:space="preserve"> and communities</w:t>
      </w:r>
      <w:r w:rsidR="00AA47FE" w:rsidRPr="00DE7D85">
        <w:rPr>
          <w:sz w:val="22"/>
          <w:szCs w:val="22"/>
        </w:rPr>
        <w:t xml:space="preserve"> work with each other.</w:t>
      </w:r>
    </w:p>
    <w:p w14:paraId="37ACB401" w14:textId="7EE54BDC" w:rsidR="00D02ED0" w:rsidRDefault="002967DB" w:rsidP="00D02ED0">
      <w:pPr>
        <w:pStyle w:val="Default"/>
        <w:spacing w:after="300" w:line="361" w:lineRule="atLeast"/>
        <w:rPr>
          <w:sz w:val="22"/>
          <w:szCs w:val="22"/>
        </w:rPr>
      </w:pPr>
      <w:r>
        <w:rPr>
          <w:sz w:val="22"/>
          <w:szCs w:val="22"/>
        </w:rPr>
        <w:t>T</w:t>
      </w:r>
      <w:r w:rsidR="000659B9">
        <w:rPr>
          <w:sz w:val="22"/>
          <w:szCs w:val="22"/>
        </w:rPr>
        <w:t>hroughout 2020-21</w:t>
      </w:r>
      <w:r w:rsidR="00D02ED0" w:rsidRPr="00D02ED0">
        <w:rPr>
          <w:sz w:val="22"/>
          <w:szCs w:val="22"/>
        </w:rPr>
        <w:t xml:space="preserve"> </w:t>
      </w:r>
      <w:r w:rsidR="00C45492">
        <w:rPr>
          <w:sz w:val="22"/>
          <w:szCs w:val="22"/>
        </w:rPr>
        <w:t xml:space="preserve">the </w:t>
      </w:r>
      <w:r w:rsidR="00D02ED0">
        <w:rPr>
          <w:sz w:val="22"/>
          <w:szCs w:val="22"/>
        </w:rPr>
        <w:t>NIAA</w:t>
      </w:r>
      <w:r w:rsidR="00D02ED0" w:rsidRPr="00D02ED0">
        <w:rPr>
          <w:sz w:val="22"/>
          <w:szCs w:val="22"/>
        </w:rPr>
        <w:t xml:space="preserve"> will lead the development of the Commonwealth's </w:t>
      </w:r>
      <w:r w:rsidR="00AA47FE">
        <w:rPr>
          <w:sz w:val="22"/>
          <w:szCs w:val="22"/>
        </w:rPr>
        <w:t xml:space="preserve">Closing the Gap </w:t>
      </w:r>
      <w:r w:rsidR="00D02ED0" w:rsidRPr="00D02ED0">
        <w:rPr>
          <w:sz w:val="22"/>
          <w:szCs w:val="22"/>
        </w:rPr>
        <w:t>Implementation Plan</w:t>
      </w:r>
      <w:r w:rsidR="00D02ED0">
        <w:rPr>
          <w:sz w:val="22"/>
          <w:szCs w:val="22"/>
        </w:rPr>
        <w:t>, working with other Commonwealth Agencies</w:t>
      </w:r>
      <w:r w:rsidR="00D02ED0" w:rsidRPr="00D02ED0">
        <w:rPr>
          <w:sz w:val="22"/>
          <w:szCs w:val="22"/>
        </w:rPr>
        <w:t xml:space="preserve"> to address each of the Priority Reforms and targets</w:t>
      </w:r>
      <w:r w:rsidR="006315AE">
        <w:rPr>
          <w:sz w:val="22"/>
          <w:szCs w:val="22"/>
        </w:rPr>
        <w:t>,</w:t>
      </w:r>
      <w:r w:rsidR="00D02ED0" w:rsidRPr="00D02ED0">
        <w:rPr>
          <w:sz w:val="22"/>
          <w:szCs w:val="22"/>
        </w:rPr>
        <w:t xml:space="preserve"> </w:t>
      </w:r>
      <w:r w:rsidR="00FD78CD">
        <w:rPr>
          <w:sz w:val="22"/>
          <w:szCs w:val="22"/>
        </w:rPr>
        <w:t xml:space="preserve">which drive partnership with </w:t>
      </w:r>
      <w:r w:rsidR="000B09EF" w:rsidRPr="00E8762F">
        <w:rPr>
          <w:sz w:val="22"/>
          <w:szCs w:val="22"/>
        </w:rPr>
        <w:t>Aboriginal and Torres Strait Islander people</w:t>
      </w:r>
      <w:r w:rsidR="000B09EF">
        <w:rPr>
          <w:sz w:val="22"/>
          <w:szCs w:val="22"/>
        </w:rPr>
        <w:t>s</w:t>
      </w:r>
      <w:r w:rsidR="000B09EF" w:rsidRPr="00E8762F">
        <w:rPr>
          <w:sz w:val="22"/>
          <w:szCs w:val="22"/>
        </w:rPr>
        <w:t xml:space="preserve"> </w:t>
      </w:r>
      <w:r w:rsidR="00FD78CD">
        <w:rPr>
          <w:sz w:val="22"/>
          <w:szCs w:val="22"/>
        </w:rPr>
        <w:t>across the Commonwealth.</w:t>
      </w:r>
      <w:r w:rsidR="00D02ED0" w:rsidRPr="00D02ED0">
        <w:rPr>
          <w:sz w:val="22"/>
          <w:szCs w:val="22"/>
        </w:rPr>
        <w:t xml:space="preserve"> </w:t>
      </w:r>
    </w:p>
    <w:p w14:paraId="77825823" w14:textId="77777777" w:rsidR="005141B9" w:rsidRPr="00ED2906" w:rsidRDefault="005141B9" w:rsidP="001625D7">
      <w:pPr>
        <w:pStyle w:val="Default"/>
        <w:spacing w:after="300" w:line="361" w:lineRule="atLeast"/>
        <w:outlineLvl w:val="1"/>
        <w:rPr>
          <w:rFonts w:cstheme="minorBidi"/>
          <w:b/>
          <w:color w:val="auto"/>
          <w:u w:val="single"/>
        </w:rPr>
      </w:pPr>
      <w:r w:rsidRPr="00ED2906">
        <w:rPr>
          <w:rFonts w:cstheme="minorBidi"/>
          <w:b/>
          <w:color w:val="auto"/>
          <w:u w:val="single"/>
        </w:rPr>
        <w:t xml:space="preserve">Working </w:t>
      </w:r>
      <w:r w:rsidR="00580271">
        <w:rPr>
          <w:rFonts w:cstheme="minorBidi"/>
          <w:b/>
          <w:color w:val="auto"/>
          <w:u w:val="single"/>
        </w:rPr>
        <w:t>in partnership</w:t>
      </w:r>
    </w:p>
    <w:p w14:paraId="5E7C2562" w14:textId="77777777" w:rsidR="00580271" w:rsidRDefault="00580271" w:rsidP="00580271">
      <w:pPr>
        <w:pStyle w:val="Default"/>
        <w:spacing w:after="300" w:line="361" w:lineRule="atLeast"/>
        <w:rPr>
          <w:sz w:val="22"/>
          <w:szCs w:val="22"/>
        </w:rPr>
      </w:pPr>
      <w:r w:rsidRPr="00580271">
        <w:rPr>
          <w:sz w:val="22"/>
          <w:szCs w:val="22"/>
        </w:rPr>
        <w:t>Working in partnership with Aboriginal and Torres Strait Islander people</w:t>
      </w:r>
      <w:r w:rsidR="00354897">
        <w:rPr>
          <w:sz w:val="22"/>
          <w:szCs w:val="22"/>
        </w:rPr>
        <w:t>s</w:t>
      </w:r>
      <w:r w:rsidRPr="00580271">
        <w:rPr>
          <w:sz w:val="22"/>
          <w:szCs w:val="22"/>
        </w:rPr>
        <w:t xml:space="preserve"> is central to </w:t>
      </w:r>
      <w:r w:rsidR="00820DCB">
        <w:rPr>
          <w:sz w:val="22"/>
          <w:szCs w:val="22"/>
        </w:rPr>
        <w:t xml:space="preserve">the </w:t>
      </w:r>
      <w:r w:rsidRPr="00580271">
        <w:rPr>
          <w:sz w:val="22"/>
          <w:szCs w:val="22"/>
        </w:rPr>
        <w:t>NIAA's work. It enriches our advice to government, informs decision making, and contributes to better outcomes for Aboriginal and Torres Strait Islander people</w:t>
      </w:r>
      <w:r w:rsidR="00CC4789">
        <w:rPr>
          <w:sz w:val="22"/>
          <w:szCs w:val="22"/>
        </w:rPr>
        <w:t>s</w:t>
      </w:r>
      <w:r w:rsidRPr="00580271">
        <w:rPr>
          <w:sz w:val="22"/>
          <w:szCs w:val="22"/>
        </w:rPr>
        <w:t xml:space="preserve">. </w:t>
      </w:r>
    </w:p>
    <w:p w14:paraId="3E5E4273" w14:textId="066790AB" w:rsidR="00330C4F" w:rsidRPr="006F4F7A" w:rsidRDefault="00580271" w:rsidP="00330C4F">
      <w:pPr>
        <w:pStyle w:val="Default"/>
        <w:spacing w:after="300" w:line="361" w:lineRule="atLeast"/>
        <w:rPr>
          <w:sz w:val="22"/>
        </w:rPr>
      </w:pPr>
      <w:r w:rsidRPr="00031DC6">
        <w:rPr>
          <w:sz w:val="22"/>
          <w:szCs w:val="22"/>
        </w:rPr>
        <w:t xml:space="preserve">The NIAA recognises that each community is unique. </w:t>
      </w:r>
      <w:r w:rsidR="00273481">
        <w:rPr>
          <w:sz w:val="22"/>
          <w:szCs w:val="22"/>
        </w:rPr>
        <w:t>To this end</w:t>
      </w:r>
      <w:r w:rsidR="003B2C7F" w:rsidRPr="006F4F7A">
        <w:rPr>
          <w:sz w:val="22"/>
        </w:rPr>
        <w:t>, o</w:t>
      </w:r>
      <w:r w:rsidR="00330C4F" w:rsidRPr="006F4F7A">
        <w:rPr>
          <w:sz w:val="22"/>
        </w:rPr>
        <w:t xml:space="preserve">ur team </w:t>
      </w:r>
      <w:r w:rsidR="001360BF">
        <w:rPr>
          <w:sz w:val="22"/>
          <w:szCs w:val="22"/>
        </w:rPr>
        <w:t>is</w:t>
      </w:r>
      <w:r w:rsidR="00273481">
        <w:rPr>
          <w:sz w:val="22"/>
          <w:szCs w:val="22"/>
        </w:rPr>
        <w:t xml:space="preserve"> based</w:t>
      </w:r>
      <w:r w:rsidR="00330C4F" w:rsidRPr="006F4F7A">
        <w:rPr>
          <w:sz w:val="22"/>
        </w:rPr>
        <w:t xml:space="preserve"> across Australia </w:t>
      </w:r>
      <w:r w:rsidR="00273481">
        <w:rPr>
          <w:sz w:val="22"/>
          <w:szCs w:val="22"/>
        </w:rPr>
        <w:t xml:space="preserve">so as to </w:t>
      </w:r>
      <w:r w:rsidRPr="00031DC6">
        <w:rPr>
          <w:sz w:val="22"/>
          <w:szCs w:val="22"/>
        </w:rPr>
        <w:t>work closely</w:t>
      </w:r>
      <w:r w:rsidR="00330C4F" w:rsidRPr="006F4F7A">
        <w:rPr>
          <w:sz w:val="22"/>
        </w:rPr>
        <w:t xml:space="preserve"> with communities, leaders, organisations and other partners to make sure policies, programs and services address these unique needs and aspirations. </w:t>
      </w:r>
    </w:p>
    <w:p w14:paraId="363B33E8" w14:textId="77777777" w:rsidR="007831E1" w:rsidRDefault="00C45492" w:rsidP="00106351">
      <w:pPr>
        <w:pStyle w:val="Default"/>
        <w:spacing w:after="300" w:line="361" w:lineRule="atLeast"/>
        <w:rPr>
          <w:sz w:val="22"/>
          <w:szCs w:val="22"/>
          <w:u w:val="single"/>
        </w:rPr>
      </w:pPr>
      <w:r>
        <w:rPr>
          <w:sz w:val="22"/>
          <w:szCs w:val="22"/>
        </w:rPr>
        <w:t xml:space="preserve">The </w:t>
      </w:r>
      <w:r w:rsidR="00106351">
        <w:rPr>
          <w:sz w:val="22"/>
          <w:szCs w:val="22"/>
        </w:rPr>
        <w:t>N</w:t>
      </w:r>
      <w:r w:rsidR="00106351" w:rsidRPr="00106351">
        <w:rPr>
          <w:sz w:val="22"/>
          <w:szCs w:val="22"/>
        </w:rPr>
        <w:t xml:space="preserve">IAA is dedicated to ensuring that our broader stakeholders also have an opportunity to contribute to the policy making process through formal consultation programs and other relationship building initiatives. </w:t>
      </w:r>
      <w:r w:rsidR="00820DCB" w:rsidRPr="00031DC6">
        <w:rPr>
          <w:sz w:val="22"/>
          <w:szCs w:val="22"/>
        </w:rPr>
        <w:t>This includes through governance and joint decision-making structures that we have established</w:t>
      </w:r>
      <w:r w:rsidR="00AA47FE">
        <w:rPr>
          <w:sz w:val="22"/>
          <w:szCs w:val="22"/>
        </w:rPr>
        <w:t xml:space="preserve">, or participate in, at the </w:t>
      </w:r>
      <w:r w:rsidR="00820DCB" w:rsidRPr="00031DC6">
        <w:rPr>
          <w:sz w:val="22"/>
          <w:szCs w:val="22"/>
        </w:rPr>
        <w:t>local</w:t>
      </w:r>
      <w:r w:rsidR="00AA47FE">
        <w:rPr>
          <w:sz w:val="22"/>
          <w:szCs w:val="22"/>
        </w:rPr>
        <w:t>, r</w:t>
      </w:r>
      <w:r w:rsidR="00820DCB">
        <w:rPr>
          <w:sz w:val="22"/>
          <w:szCs w:val="22"/>
        </w:rPr>
        <w:t>egional</w:t>
      </w:r>
      <w:r w:rsidR="00AA47FE">
        <w:rPr>
          <w:sz w:val="22"/>
          <w:szCs w:val="22"/>
        </w:rPr>
        <w:t xml:space="preserve"> and national</w:t>
      </w:r>
      <w:r w:rsidR="00820DCB">
        <w:rPr>
          <w:sz w:val="22"/>
          <w:szCs w:val="22"/>
        </w:rPr>
        <w:t xml:space="preserve"> levels</w:t>
      </w:r>
      <w:r w:rsidR="00AA47FE">
        <w:rPr>
          <w:sz w:val="22"/>
          <w:szCs w:val="22"/>
        </w:rPr>
        <w:t xml:space="preserve">. </w:t>
      </w:r>
      <w:r w:rsidR="00580271" w:rsidRPr="00106351">
        <w:rPr>
          <w:sz w:val="22"/>
          <w:szCs w:val="22"/>
        </w:rPr>
        <w:t xml:space="preserve">Building and maintaining these cooperative relationships is key to enabling </w:t>
      </w:r>
      <w:r w:rsidR="00580271">
        <w:rPr>
          <w:sz w:val="22"/>
          <w:szCs w:val="22"/>
        </w:rPr>
        <w:t xml:space="preserve">the </w:t>
      </w:r>
      <w:r w:rsidR="00580271" w:rsidRPr="00106351">
        <w:rPr>
          <w:sz w:val="22"/>
          <w:szCs w:val="22"/>
        </w:rPr>
        <w:t xml:space="preserve">NIAA </w:t>
      </w:r>
      <w:r w:rsidR="00106351" w:rsidRPr="00106351">
        <w:rPr>
          <w:sz w:val="22"/>
          <w:szCs w:val="22"/>
        </w:rPr>
        <w:t>to deliver robust and considered advice.</w:t>
      </w:r>
    </w:p>
    <w:p w14:paraId="45455E05" w14:textId="2D3E88FB" w:rsidR="00820DCB" w:rsidRDefault="00820DCB" w:rsidP="00820DCB">
      <w:pPr>
        <w:pStyle w:val="Default"/>
        <w:spacing w:after="300" w:line="361" w:lineRule="atLeast"/>
        <w:rPr>
          <w:sz w:val="22"/>
          <w:szCs w:val="22"/>
        </w:rPr>
      </w:pPr>
      <w:r w:rsidRPr="00031DC6">
        <w:rPr>
          <w:sz w:val="22"/>
          <w:szCs w:val="22"/>
        </w:rPr>
        <w:t>In 2020-21 and beyond we will continue to support local outcomes across Australia, underpinned by our regional presence, by funding services across the country, and through the local partnerships that we continue to build.</w:t>
      </w:r>
      <w:r>
        <w:rPr>
          <w:sz w:val="22"/>
          <w:szCs w:val="22"/>
        </w:rPr>
        <w:t xml:space="preserve"> </w:t>
      </w:r>
    </w:p>
    <w:p w14:paraId="1134C641" w14:textId="68EB0BF2" w:rsidR="00ED2906" w:rsidRDefault="00580271" w:rsidP="00106351">
      <w:pPr>
        <w:pStyle w:val="Default"/>
        <w:spacing w:after="300" w:line="361" w:lineRule="atLeast"/>
        <w:rPr>
          <w:sz w:val="22"/>
          <w:szCs w:val="22"/>
        </w:rPr>
      </w:pPr>
      <w:r>
        <w:rPr>
          <w:sz w:val="22"/>
          <w:szCs w:val="22"/>
        </w:rPr>
        <w:lastRenderedPageBreak/>
        <w:t xml:space="preserve">Our success is </w:t>
      </w:r>
      <w:r w:rsidR="00820DCB">
        <w:rPr>
          <w:sz w:val="22"/>
          <w:szCs w:val="22"/>
        </w:rPr>
        <w:t xml:space="preserve">also </w:t>
      </w:r>
      <w:r>
        <w:rPr>
          <w:sz w:val="22"/>
          <w:szCs w:val="22"/>
        </w:rPr>
        <w:t xml:space="preserve">dependent on the leadership we demonstrate when working with organisations </w:t>
      </w:r>
      <w:r w:rsidR="000659B9">
        <w:rPr>
          <w:sz w:val="22"/>
          <w:szCs w:val="22"/>
        </w:rPr>
        <w:t xml:space="preserve">across </w:t>
      </w:r>
      <w:r>
        <w:rPr>
          <w:sz w:val="22"/>
          <w:szCs w:val="22"/>
        </w:rPr>
        <w:t>the Australian Government</w:t>
      </w:r>
      <w:r w:rsidR="006315AE">
        <w:rPr>
          <w:sz w:val="22"/>
          <w:szCs w:val="22"/>
        </w:rPr>
        <w:t xml:space="preserve">, </w:t>
      </w:r>
      <w:r>
        <w:rPr>
          <w:sz w:val="22"/>
          <w:szCs w:val="22"/>
        </w:rPr>
        <w:t xml:space="preserve">as well as on the contribution made by these agencies. </w:t>
      </w:r>
      <w:r w:rsidR="00D12731">
        <w:rPr>
          <w:sz w:val="22"/>
          <w:szCs w:val="22"/>
        </w:rPr>
        <w:t>While t</w:t>
      </w:r>
      <w:r w:rsidR="00ED2906">
        <w:rPr>
          <w:sz w:val="22"/>
          <w:szCs w:val="22"/>
        </w:rPr>
        <w:t>here are linkages between our work and many agencies</w:t>
      </w:r>
      <w:r w:rsidR="003F15A4">
        <w:rPr>
          <w:sz w:val="22"/>
          <w:szCs w:val="22"/>
        </w:rPr>
        <w:t>,</w:t>
      </w:r>
      <w:r w:rsidR="00ED2906">
        <w:rPr>
          <w:sz w:val="22"/>
          <w:szCs w:val="22"/>
        </w:rPr>
        <w:t xml:space="preserve"> </w:t>
      </w:r>
      <w:r w:rsidR="00D12731">
        <w:rPr>
          <w:sz w:val="22"/>
          <w:szCs w:val="22"/>
        </w:rPr>
        <w:t xml:space="preserve">our key partners include our portfolio agencies and </w:t>
      </w:r>
      <w:r w:rsidR="000E2294">
        <w:rPr>
          <w:sz w:val="22"/>
          <w:szCs w:val="22"/>
        </w:rPr>
        <w:t xml:space="preserve">those agencies where we have linked programs which include </w:t>
      </w:r>
      <w:r w:rsidR="00D12731">
        <w:rPr>
          <w:sz w:val="22"/>
          <w:szCs w:val="22"/>
        </w:rPr>
        <w:t xml:space="preserve">the </w:t>
      </w:r>
      <w:r w:rsidR="00713011">
        <w:rPr>
          <w:sz w:val="22"/>
          <w:szCs w:val="22"/>
        </w:rPr>
        <w:t xml:space="preserve">Departments of </w:t>
      </w:r>
      <w:r w:rsidR="000659B9">
        <w:rPr>
          <w:sz w:val="22"/>
          <w:szCs w:val="22"/>
        </w:rPr>
        <w:t>Agriculture</w:t>
      </w:r>
      <w:r w:rsidR="00005DF2">
        <w:rPr>
          <w:sz w:val="22"/>
          <w:szCs w:val="22"/>
        </w:rPr>
        <w:t>,</w:t>
      </w:r>
      <w:r w:rsidR="000659B9">
        <w:rPr>
          <w:sz w:val="22"/>
          <w:szCs w:val="22"/>
        </w:rPr>
        <w:t xml:space="preserve"> Water and the Environment; </w:t>
      </w:r>
      <w:r w:rsidR="00D12731">
        <w:rPr>
          <w:sz w:val="22"/>
          <w:szCs w:val="22"/>
        </w:rPr>
        <w:t>Attorney</w:t>
      </w:r>
      <w:r w:rsidR="00713011">
        <w:rPr>
          <w:sz w:val="22"/>
          <w:szCs w:val="22"/>
        </w:rPr>
        <w:t>-</w:t>
      </w:r>
      <w:r w:rsidR="00D12731">
        <w:rPr>
          <w:sz w:val="22"/>
          <w:szCs w:val="22"/>
        </w:rPr>
        <w:t>General’s</w:t>
      </w:r>
      <w:r w:rsidR="00713011">
        <w:rPr>
          <w:sz w:val="22"/>
          <w:szCs w:val="22"/>
        </w:rPr>
        <w:t xml:space="preserve">; </w:t>
      </w:r>
      <w:r w:rsidR="000E2E7C">
        <w:rPr>
          <w:sz w:val="22"/>
          <w:szCs w:val="22"/>
        </w:rPr>
        <w:t>Health;</w:t>
      </w:r>
      <w:r w:rsidR="00D12731">
        <w:rPr>
          <w:sz w:val="22"/>
          <w:szCs w:val="22"/>
        </w:rPr>
        <w:t xml:space="preserve"> Industry, Science, Energy and Resources</w:t>
      </w:r>
      <w:r w:rsidR="00713011">
        <w:rPr>
          <w:sz w:val="22"/>
          <w:szCs w:val="22"/>
        </w:rPr>
        <w:t>;</w:t>
      </w:r>
      <w:r w:rsidR="00D12731">
        <w:rPr>
          <w:sz w:val="22"/>
          <w:szCs w:val="22"/>
        </w:rPr>
        <w:t xml:space="preserve"> Education, Skills and Employment</w:t>
      </w:r>
      <w:r w:rsidR="00713011">
        <w:rPr>
          <w:sz w:val="22"/>
          <w:szCs w:val="22"/>
        </w:rPr>
        <w:t xml:space="preserve">; </w:t>
      </w:r>
      <w:r w:rsidR="00D12731">
        <w:rPr>
          <w:sz w:val="22"/>
          <w:szCs w:val="22"/>
        </w:rPr>
        <w:t xml:space="preserve">Social Services </w:t>
      </w:r>
      <w:r w:rsidR="00713011">
        <w:rPr>
          <w:sz w:val="22"/>
          <w:szCs w:val="22"/>
        </w:rPr>
        <w:t>and Services Australia.</w:t>
      </w:r>
    </w:p>
    <w:p w14:paraId="7008DC85" w14:textId="54623DB8" w:rsidR="004F6676" w:rsidRPr="005141B9" w:rsidRDefault="00F3553F" w:rsidP="001625D7">
      <w:pPr>
        <w:pStyle w:val="Default"/>
        <w:spacing w:after="300" w:line="361" w:lineRule="atLeast"/>
        <w:outlineLvl w:val="1"/>
        <w:rPr>
          <w:rFonts w:cstheme="minorBidi"/>
          <w:b/>
          <w:color w:val="auto"/>
          <w:u w:val="single"/>
        </w:rPr>
      </w:pPr>
      <w:r w:rsidRPr="005141B9">
        <w:rPr>
          <w:rFonts w:cstheme="minorBidi"/>
          <w:b/>
          <w:color w:val="auto"/>
          <w:u w:val="single"/>
        </w:rPr>
        <w:t>Enhancing</w:t>
      </w:r>
      <w:r w:rsidR="00D71FAB" w:rsidRPr="005141B9">
        <w:rPr>
          <w:rFonts w:cstheme="minorBidi"/>
          <w:b/>
          <w:color w:val="auto"/>
          <w:u w:val="single"/>
        </w:rPr>
        <w:t xml:space="preserve"> </w:t>
      </w:r>
      <w:r w:rsidR="0008613C" w:rsidRPr="005141B9">
        <w:rPr>
          <w:rFonts w:cstheme="minorBidi"/>
          <w:b/>
          <w:color w:val="auto"/>
          <w:u w:val="single"/>
        </w:rPr>
        <w:t>the</w:t>
      </w:r>
      <w:r w:rsidR="008A2968" w:rsidRPr="005141B9">
        <w:rPr>
          <w:rFonts w:cstheme="minorBidi"/>
          <w:b/>
          <w:color w:val="auto"/>
          <w:u w:val="single"/>
        </w:rPr>
        <w:t xml:space="preserve"> </w:t>
      </w:r>
      <w:r w:rsidR="000C7033" w:rsidRPr="005141B9">
        <w:rPr>
          <w:rFonts w:cstheme="minorBidi"/>
          <w:b/>
          <w:color w:val="auto"/>
          <w:u w:val="single"/>
        </w:rPr>
        <w:t>way</w:t>
      </w:r>
      <w:r w:rsidR="008A2968" w:rsidRPr="005141B9">
        <w:rPr>
          <w:rFonts w:cstheme="minorBidi"/>
          <w:b/>
          <w:color w:val="auto"/>
          <w:u w:val="single"/>
        </w:rPr>
        <w:t xml:space="preserve"> we operate</w:t>
      </w:r>
    </w:p>
    <w:p w14:paraId="064EA887" w14:textId="3A33C841" w:rsidR="00330C4F" w:rsidRDefault="00ED2906" w:rsidP="00335BB9">
      <w:pPr>
        <w:pStyle w:val="Default"/>
        <w:spacing w:after="300" w:line="361" w:lineRule="atLeast"/>
        <w:rPr>
          <w:sz w:val="22"/>
          <w:szCs w:val="22"/>
        </w:rPr>
      </w:pPr>
      <w:r>
        <w:rPr>
          <w:sz w:val="22"/>
          <w:szCs w:val="22"/>
        </w:rPr>
        <w:t xml:space="preserve">We will continue to be </w:t>
      </w:r>
      <w:r w:rsidR="00C45492">
        <w:rPr>
          <w:sz w:val="22"/>
          <w:szCs w:val="22"/>
        </w:rPr>
        <w:t>forward thinking</w:t>
      </w:r>
      <w:r>
        <w:rPr>
          <w:sz w:val="22"/>
          <w:szCs w:val="22"/>
        </w:rPr>
        <w:t xml:space="preserve"> </w:t>
      </w:r>
      <w:r w:rsidR="00C45492">
        <w:rPr>
          <w:sz w:val="22"/>
          <w:szCs w:val="22"/>
        </w:rPr>
        <w:t xml:space="preserve">and responsive to </w:t>
      </w:r>
      <w:r>
        <w:rPr>
          <w:sz w:val="22"/>
          <w:szCs w:val="22"/>
        </w:rPr>
        <w:t xml:space="preserve">managing a range of external factors. </w:t>
      </w:r>
      <w:r w:rsidR="007D0060">
        <w:rPr>
          <w:sz w:val="22"/>
          <w:szCs w:val="22"/>
        </w:rPr>
        <w:t>The</w:t>
      </w:r>
      <w:r w:rsidR="004F6676" w:rsidRPr="008A2968">
        <w:rPr>
          <w:sz w:val="22"/>
          <w:szCs w:val="22"/>
        </w:rPr>
        <w:t xml:space="preserve"> current economic climate</w:t>
      </w:r>
      <w:r w:rsidR="00335BB9" w:rsidRPr="008A2968">
        <w:rPr>
          <w:sz w:val="22"/>
          <w:szCs w:val="22"/>
        </w:rPr>
        <w:t xml:space="preserve"> </w:t>
      </w:r>
      <w:r w:rsidR="007D0060">
        <w:rPr>
          <w:sz w:val="22"/>
          <w:szCs w:val="22"/>
        </w:rPr>
        <w:t>req</w:t>
      </w:r>
      <w:r w:rsidR="00696940">
        <w:rPr>
          <w:sz w:val="22"/>
          <w:szCs w:val="22"/>
        </w:rPr>
        <w:t xml:space="preserve">uires that </w:t>
      </w:r>
      <w:r w:rsidR="00C45492">
        <w:rPr>
          <w:sz w:val="22"/>
          <w:szCs w:val="22"/>
        </w:rPr>
        <w:t xml:space="preserve">the </w:t>
      </w:r>
      <w:r w:rsidR="00056F25">
        <w:rPr>
          <w:sz w:val="22"/>
          <w:szCs w:val="22"/>
        </w:rPr>
        <w:t>NIAA</w:t>
      </w:r>
      <w:r w:rsidR="00335BB9" w:rsidRPr="008A2968">
        <w:rPr>
          <w:sz w:val="22"/>
          <w:szCs w:val="22"/>
        </w:rPr>
        <w:t xml:space="preserve"> do our part to find innovative and efficient ways to deliver our programs and continue to remain </w:t>
      </w:r>
      <w:r w:rsidR="00C45492">
        <w:rPr>
          <w:sz w:val="22"/>
          <w:szCs w:val="22"/>
        </w:rPr>
        <w:t>focused</w:t>
      </w:r>
      <w:r w:rsidR="00C45492" w:rsidRPr="008A2968">
        <w:rPr>
          <w:sz w:val="22"/>
          <w:szCs w:val="22"/>
        </w:rPr>
        <w:t xml:space="preserve"> </w:t>
      </w:r>
      <w:r w:rsidR="006315AE">
        <w:rPr>
          <w:sz w:val="22"/>
          <w:szCs w:val="22"/>
        </w:rPr>
        <w:t>o</w:t>
      </w:r>
      <w:r w:rsidR="003F15A4" w:rsidRPr="008A2968">
        <w:rPr>
          <w:sz w:val="22"/>
          <w:szCs w:val="22"/>
        </w:rPr>
        <w:t>n</w:t>
      </w:r>
      <w:r w:rsidR="00335BB9" w:rsidRPr="008A2968">
        <w:rPr>
          <w:sz w:val="22"/>
          <w:szCs w:val="22"/>
        </w:rPr>
        <w:t xml:space="preserve"> </w:t>
      </w:r>
      <w:r w:rsidR="00C45492">
        <w:rPr>
          <w:sz w:val="22"/>
          <w:szCs w:val="22"/>
        </w:rPr>
        <w:t xml:space="preserve">how funding is </w:t>
      </w:r>
      <w:r w:rsidR="006315AE">
        <w:rPr>
          <w:sz w:val="22"/>
          <w:szCs w:val="22"/>
        </w:rPr>
        <w:t>utilised</w:t>
      </w:r>
      <w:r w:rsidR="00C45492">
        <w:rPr>
          <w:sz w:val="22"/>
          <w:szCs w:val="22"/>
        </w:rPr>
        <w:t xml:space="preserve"> </w:t>
      </w:r>
      <w:r w:rsidR="007D0060">
        <w:rPr>
          <w:sz w:val="22"/>
          <w:szCs w:val="22"/>
        </w:rPr>
        <w:t>to</w:t>
      </w:r>
      <w:r w:rsidR="00335BB9" w:rsidRPr="008A2968">
        <w:rPr>
          <w:sz w:val="22"/>
          <w:szCs w:val="22"/>
        </w:rPr>
        <w:t xml:space="preserve"> ensure that we extract maximum value for money</w:t>
      </w:r>
      <w:r w:rsidR="006315AE">
        <w:rPr>
          <w:sz w:val="22"/>
          <w:szCs w:val="22"/>
        </w:rPr>
        <w:t>,</w:t>
      </w:r>
      <w:r w:rsidR="00335BB9" w:rsidRPr="008A2968">
        <w:rPr>
          <w:sz w:val="22"/>
          <w:szCs w:val="22"/>
        </w:rPr>
        <w:t xml:space="preserve"> </w:t>
      </w:r>
      <w:r w:rsidR="00C45492">
        <w:rPr>
          <w:sz w:val="22"/>
          <w:szCs w:val="22"/>
        </w:rPr>
        <w:t>which in turn drives</w:t>
      </w:r>
      <w:r w:rsidR="003F15A4">
        <w:rPr>
          <w:sz w:val="22"/>
          <w:szCs w:val="22"/>
        </w:rPr>
        <w:t xml:space="preserve"> </w:t>
      </w:r>
      <w:r w:rsidR="00AA47FE">
        <w:rPr>
          <w:sz w:val="22"/>
          <w:szCs w:val="22"/>
        </w:rPr>
        <w:t>real</w:t>
      </w:r>
      <w:r w:rsidR="00C45492">
        <w:rPr>
          <w:sz w:val="22"/>
          <w:szCs w:val="22"/>
        </w:rPr>
        <w:t xml:space="preserve"> </w:t>
      </w:r>
      <w:r w:rsidR="00335BB9" w:rsidRPr="008A2968">
        <w:rPr>
          <w:sz w:val="22"/>
          <w:szCs w:val="22"/>
        </w:rPr>
        <w:t xml:space="preserve">outcomes for every dollar spent. </w:t>
      </w:r>
      <w:r w:rsidR="00681FA8">
        <w:rPr>
          <w:sz w:val="22"/>
          <w:szCs w:val="22"/>
        </w:rPr>
        <w:t xml:space="preserve">Implementing our </w:t>
      </w:r>
      <w:r w:rsidR="00330C4F" w:rsidRPr="008A2968">
        <w:rPr>
          <w:sz w:val="22"/>
          <w:szCs w:val="22"/>
        </w:rPr>
        <w:t xml:space="preserve">Integrated Business Planning Framework </w:t>
      </w:r>
      <w:r w:rsidR="00C45492">
        <w:rPr>
          <w:sz w:val="22"/>
          <w:szCs w:val="22"/>
        </w:rPr>
        <w:t xml:space="preserve">internally </w:t>
      </w:r>
      <w:r w:rsidR="007D0060">
        <w:rPr>
          <w:sz w:val="22"/>
          <w:szCs w:val="22"/>
        </w:rPr>
        <w:t>will</w:t>
      </w:r>
      <w:r w:rsidR="00330C4F" w:rsidRPr="008A2968">
        <w:rPr>
          <w:sz w:val="22"/>
          <w:szCs w:val="22"/>
        </w:rPr>
        <w:t xml:space="preserve"> ensure the most effective and efficient allocation of our people, effort and resources. </w:t>
      </w:r>
    </w:p>
    <w:p w14:paraId="1B440B4B" w14:textId="570D39B9" w:rsidR="003F15A4" w:rsidRDefault="003F15A4" w:rsidP="003F15A4">
      <w:pPr>
        <w:pStyle w:val="Default"/>
        <w:spacing w:after="300" w:line="361" w:lineRule="atLeast"/>
        <w:rPr>
          <w:sz w:val="22"/>
          <w:szCs w:val="22"/>
        </w:rPr>
      </w:pPr>
      <w:r w:rsidRPr="00CF13D8">
        <w:rPr>
          <w:sz w:val="22"/>
          <w:szCs w:val="22"/>
        </w:rPr>
        <w:t xml:space="preserve">Concurrently we will </w:t>
      </w:r>
      <w:r w:rsidR="00AA47FE">
        <w:rPr>
          <w:sz w:val="22"/>
          <w:szCs w:val="22"/>
        </w:rPr>
        <w:t xml:space="preserve">finalise the development of </w:t>
      </w:r>
      <w:r w:rsidRPr="00CF13D8">
        <w:rPr>
          <w:sz w:val="22"/>
          <w:szCs w:val="22"/>
        </w:rPr>
        <w:t>a Policy and Investment Framework</w:t>
      </w:r>
      <w:r w:rsidR="006315AE">
        <w:rPr>
          <w:sz w:val="22"/>
          <w:szCs w:val="22"/>
        </w:rPr>
        <w:t>. The framework will</w:t>
      </w:r>
      <w:r w:rsidRPr="00CF13D8">
        <w:rPr>
          <w:sz w:val="22"/>
          <w:szCs w:val="22"/>
        </w:rPr>
        <w:t xml:space="preserve"> embed within the NIAA a strategic evidence based and outcomes focused approach to guide our leadership and coordination across government of policy and program development </w:t>
      </w:r>
      <w:r>
        <w:rPr>
          <w:sz w:val="22"/>
          <w:szCs w:val="22"/>
        </w:rPr>
        <w:t>in support of</w:t>
      </w:r>
      <w:r w:rsidRPr="00CF13D8">
        <w:rPr>
          <w:sz w:val="22"/>
          <w:szCs w:val="22"/>
        </w:rPr>
        <w:t xml:space="preserve"> Aboriginal and Torres Strait Islander peoples, and the design and deliver</w:t>
      </w:r>
      <w:r>
        <w:rPr>
          <w:sz w:val="22"/>
          <w:szCs w:val="22"/>
        </w:rPr>
        <w:t>y</w:t>
      </w:r>
      <w:r w:rsidRPr="00CF13D8">
        <w:rPr>
          <w:sz w:val="22"/>
          <w:szCs w:val="22"/>
        </w:rPr>
        <w:t xml:space="preserve"> of programs and services through the Indigenous Advancement Strategy.</w:t>
      </w:r>
    </w:p>
    <w:p w14:paraId="1C71F38C" w14:textId="77777777" w:rsidR="00580271" w:rsidRDefault="00580271" w:rsidP="00106351">
      <w:pPr>
        <w:pStyle w:val="Default"/>
        <w:spacing w:after="300" w:line="361" w:lineRule="atLeast"/>
        <w:rPr>
          <w:sz w:val="22"/>
          <w:szCs w:val="22"/>
        </w:rPr>
      </w:pPr>
    </w:p>
    <w:p w14:paraId="5A98F748" w14:textId="77777777" w:rsidR="00621D61" w:rsidRDefault="007C0BF9" w:rsidP="00C0526E">
      <w:pPr>
        <w:pStyle w:val="Default"/>
        <w:spacing w:after="300" w:line="361" w:lineRule="atLeast"/>
      </w:pPr>
      <w:r>
        <w:br w:type="page"/>
      </w:r>
    </w:p>
    <w:p w14:paraId="0459318F" w14:textId="558E6DAB" w:rsidR="00031DC6" w:rsidRDefault="00C60B26" w:rsidP="00BD3505">
      <w:pPr>
        <w:pStyle w:val="Heading1"/>
      </w:pPr>
      <w:bookmarkStart w:id="15" w:name="_Toc52967397"/>
      <w:bookmarkStart w:id="16" w:name="_Toc52982147"/>
      <w:bookmarkStart w:id="17" w:name="_Toc55483150"/>
      <w:bookmarkStart w:id="18" w:name="_Toc59456218"/>
      <w:r>
        <w:lastRenderedPageBreak/>
        <w:t xml:space="preserve">OUR </w:t>
      </w:r>
      <w:r w:rsidR="00031DC6" w:rsidRPr="00C60B26">
        <w:t>CAPABILITIES</w:t>
      </w:r>
      <w:bookmarkEnd w:id="15"/>
      <w:bookmarkEnd w:id="16"/>
      <w:bookmarkEnd w:id="17"/>
      <w:bookmarkEnd w:id="18"/>
    </w:p>
    <w:p w14:paraId="570B5AE2" w14:textId="07BACB56" w:rsidR="00031DC6" w:rsidRPr="00031DC6" w:rsidRDefault="00056F25" w:rsidP="00305F99">
      <w:pPr>
        <w:spacing w:after="120" w:line="360" w:lineRule="atLeast"/>
        <w:rPr>
          <w:rFonts w:ascii="Century Gothic" w:hAnsi="Century Gothic"/>
          <w:b/>
        </w:rPr>
      </w:pPr>
      <w:r>
        <w:rPr>
          <w:rFonts w:ascii="Century Gothic" w:hAnsi="Century Gothic"/>
          <w:b/>
        </w:rPr>
        <w:t xml:space="preserve">To </w:t>
      </w:r>
      <w:r w:rsidR="00565C2F" w:rsidRPr="00C41B67">
        <w:rPr>
          <w:rFonts w:ascii="Century Gothic" w:hAnsi="Century Gothic"/>
          <w:b/>
        </w:rPr>
        <w:t>achieve our vis</w:t>
      </w:r>
      <w:r>
        <w:rPr>
          <w:rFonts w:ascii="Century Gothic" w:hAnsi="Century Gothic"/>
          <w:b/>
        </w:rPr>
        <w:t xml:space="preserve">ion and purpose we are guided by six strategic pillars and supported by </w:t>
      </w:r>
      <w:r w:rsidR="007046DA" w:rsidRPr="00C41B67">
        <w:rPr>
          <w:rFonts w:ascii="Century Gothic" w:hAnsi="Century Gothic"/>
          <w:b/>
        </w:rPr>
        <w:t xml:space="preserve">our people, our technology and our infrastructure. </w:t>
      </w:r>
      <w:r w:rsidR="00AC11DA">
        <w:rPr>
          <w:rFonts w:ascii="Century Gothic" w:hAnsi="Century Gothic"/>
          <w:b/>
        </w:rPr>
        <w:t xml:space="preserve">We recognise the value </w:t>
      </w:r>
      <w:r>
        <w:rPr>
          <w:rFonts w:ascii="Century Gothic" w:hAnsi="Century Gothic"/>
          <w:b/>
        </w:rPr>
        <w:t xml:space="preserve">from </w:t>
      </w:r>
      <w:r w:rsidR="007046DA">
        <w:rPr>
          <w:rFonts w:ascii="Century Gothic" w:hAnsi="Century Gothic"/>
          <w:b/>
        </w:rPr>
        <w:t>building our capabilities to enhance</w:t>
      </w:r>
      <w:r w:rsidR="00031DC6" w:rsidRPr="00031DC6">
        <w:rPr>
          <w:rFonts w:ascii="Century Gothic" w:hAnsi="Century Gothic"/>
          <w:b/>
        </w:rPr>
        <w:t xml:space="preserve"> the way we work. This includes </w:t>
      </w:r>
      <w:r w:rsidR="007046DA">
        <w:rPr>
          <w:rFonts w:ascii="Century Gothic" w:hAnsi="Century Gothic"/>
          <w:b/>
        </w:rPr>
        <w:t>through</w:t>
      </w:r>
      <w:r w:rsidR="00031DC6" w:rsidRPr="00031DC6">
        <w:rPr>
          <w:rFonts w:ascii="Century Gothic" w:hAnsi="Century Gothic"/>
          <w:b/>
        </w:rPr>
        <w:t xml:space="preserve"> strengthening our organisational culture</w:t>
      </w:r>
      <w:r w:rsidR="0035316D">
        <w:rPr>
          <w:rFonts w:ascii="Century Gothic" w:hAnsi="Century Gothic"/>
          <w:b/>
        </w:rPr>
        <w:t xml:space="preserve"> and</w:t>
      </w:r>
      <w:r w:rsidR="00031DC6" w:rsidRPr="00031DC6">
        <w:rPr>
          <w:rFonts w:ascii="Century Gothic" w:hAnsi="Century Gothic"/>
          <w:b/>
        </w:rPr>
        <w:t xml:space="preserve"> investing in the leadership capability of o</w:t>
      </w:r>
      <w:r w:rsidR="00431043">
        <w:rPr>
          <w:rFonts w:ascii="Century Gothic" w:hAnsi="Century Gothic"/>
          <w:b/>
        </w:rPr>
        <w:t xml:space="preserve">ur </w:t>
      </w:r>
      <w:r w:rsidR="000B0FC5">
        <w:rPr>
          <w:rFonts w:ascii="Century Gothic" w:hAnsi="Century Gothic"/>
          <w:b/>
        </w:rPr>
        <w:t>people</w:t>
      </w:r>
      <w:r w:rsidR="004C2F29">
        <w:rPr>
          <w:rFonts w:ascii="Century Gothic" w:hAnsi="Century Gothic"/>
          <w:b/>
        </w:rPr>
        <w:t xml:space="preserve"> </w:t>
      </w:r>
      <w:r w:rsidR="00431043">
        <w:rPr>
          <w:rFonts w:ascii="Century Gothic" w:hAnsi="Century Gothic"/>
          <w:b/>
        </w:rPr>
        <w:t xml:space="preserve">across the </w:t>
      </w:r>
      <w:r w:rsidR="006D375E">
        <w:rPr>
          <w:rFonts w:ascii="Century Gothic" w:hAnsi="Century Gothic"/>
          <w:b/>
        </w:rPr>
        <w:t>NIAA</w:t>
      </w:r>
      <w:r w:rsidR="00031DC6" w:rsidRPr="00031DC6">
        <w:rPr>
          <w:rFonts w:ascii="Century Gothic" w:hAnsi="Century Gothic"/>
          <w:b/>
        </w:rPr>
        <w:t xml:space="preserve">, providing dynamic technology services and </w:t>
      </w:r>
      <w:r w:rsidR="006544CB">
        <w:rPr>
          <w:rFonts w:ascii="Century Gothic" w:hAnsi="Century Gothic"/>
          <w:b/>
        </w:rPr>
        <w:t>targeting our investment in</w:t>
      </w:r>
      <w:r w:rsidR="00031DC6" w:rsidRPr="00C41B67">
        <w:rPr>
          <w:rFonts w:ascii="Century Gothic" w:hAnsi="Century Gothic"/>
          <w:b/>
        </w:rPr>
        <w:t xml:space="preserve"> infrastructure.</w:t>
      </w:r>
    </w:p>
    <w:p w14:paraId="4AE485D8" w14:textId="77777777" w:rsidR="00895B6C" w:rsidRDefault="00895B6C" w:rsidP="00895B6C">
      <w:pPr>
        <w:pStyle w:val="Default"/>
        <w:spacing w:line="361" w:lineRule="atLeast"/>
        <w:rPr>
          <w:rFonts w:cstheme="minorBidi"/>
          <w:b/>
          <w:color w:val="auto"/>
          <w:u w:val="single"/>
        </w:rPr>
      </w:pPr>
    </w:p>
    <w:p w14:paraId="69AA8091" w14:textId="6F177013" w:rsidR="00031DC6" w:rsidRPr="00C41B67" w:rsidRDefault="00C41B67" w:rsidP="001625D7">
      <w:pPr>
        <w:pStyle w:val="Default"/>
        <w:spacing w:after="300" w:line="361" w:lineRule="atLeast"/>
        <w:outlineLvl w:val="1"/>
        <w:rPr>
          <w:b/>
        </w:rPr>
      </w:pPr>
      <w:r w:rsidRPr="00305F99">
        <w:rPr>
          <w:rFonts w:cstheme="minorBidi"/>
          <w:b/>
          <w:color w:val="auto"/>
          <w:u w:val="single"/>
        </w:rPr>
        <w:t>S</w:t>
      </w:r>
      <w:r w:rsidR="00565C2F" w:rsidRPr="00305F99">
        <w:rPr>
          <w:rFonts w:cstheme="minorBidi"/>
          <w:b/>
          <w:color w:val="auto"/>
          <w:u w:val="single"/>
        </w:rPr>
        <w:t>ix</w:t>
      </w:r>
      <w:r w:rsidRPr="00305F99">
        <w:rPr>
          <w:rFonts w:cstheme="minorBidi"/>
          <w:b/>
          <w:color w:val="auto"/>
          <w:u w:val="single"/>
        </w:rPr>
        <w:t xml:space="preserve"> </w:t>
      </w:r>
      <w:r w:rsidR="00565C2F" w:rsidRPr="00305F99">
        <w:rPr>
          <w:rFonts w:cstheme="minorBidi"/>
          <w:b/>
          <w:color w:val="auto"/>
          <w:u w:val="single"/>
        </w:rPr>
        <w:t>pillars</w:t>
      </w:r>
      <w:r w:rsidRPr="00305F99">
        <w:rPr>
          <w:rFonts w:cstheme="minorBidi"/>
          <w:b/>
          <w:color w:val="auto"/>
          <w:u w:val="single"/>
        </w:rPr>
        <w:t xml:space="preserve"> </w:t>
      </w:r>
      <w:r w:rsidR="008B4553">
        <w:rPr>
          <w:rFonts w:cstheme="minorBidi"/>
          <w:b/>
          <w:color w:val="auto"/>
          <w:u w:val="single"/>
        </w:rPr>
        <w:t>guiding</w:t>
      </w:r>
      <w:r w:rsidRPr="00305F99">
        <w:rPr>
          <w:rFonts w:cstheme="minorBidi"/>
          <w:b/>
          <w:color w:val="auto"/>
          <w:u w:val="single"/>
        </w:rPr>
        <w:t xml:space="preserve"> our approach</w:t>
      </w:r>
    </w:p>
    <w:p w14:paraId="41CAA8AD" w14:textId="13C89057" w:rsidR="00565C2F" w:rsidRPr="006F4F7A" w:rsidRDefault="00565C2F" w:rsidP="006F4F7A">
      <w:pPr>
        <w:pStyle w:val="Default"/>
        <w:numPr>
          <w:ilvl w:val="0"/>
          <w:numId w:val="42"/>
        </w:numPr>
        <w:spacing w:after="300" w:line="361" w:lineRule="atLeast"/>
        <w:rPr>
          <w:color w:val="1A2A38"/>
        </w:rPr>
      </w:pPr>
      <w:r w:rsidRPr="006F4F7A">
        <w:rPr>
          <w:color w:val="1A2A38"/>
          <w:sz w:val="22"/>
        </w:rPr>
        <w:t xml:space="preserve">Building our influence across </w:t>
      </w:r>
      <w:r w:rsidR="00431043" w:rsidRPr="006F4F7A">
        <w:rPr>
          <w:color w:val="1A2A38"/>
          <w:sz w:val="22"/>
        </w:rPr>
        <w:t>g</w:t>
      </w:r>
      <w:r w:rsidRPr="006F4F7A">
        <w:rPr>
          <w:color w:val="1A2A38"/>
          <w:sz w:val="22"/>
        </w:rPr>
        <w:t>overnment in order to strengthen mainstream service delivery’s utility for Indigenous Australians with a particular focus on health, wellbeing and education;</w:t>
      </w:r>
    </w:p>
    <w:p w14:paraId="16B5BC2F" w14:textId="24175A97" w:rsidR="00565C2F" w:rsidRPr="006F4F7A" w:rsidRDefault="00565C2F" w:rsidP="006F4F7A">
      <w:pPr>
        <w:pStyle w:val="Default"/>
        <w:numPr>
          <w:ilvl w:val="0"/>
          <w:numId w:val="42"/>
        </w:numPr>
        <w:spacing w:after="300" w:line="361" w:lineRule="atLeast"/>
        <w:rPr>
          <w:color w:val="1A2A38"/>
        </w:rPr>
      </w:pPr>
      <w:r w:rsidRPr="006F4F7A">
        <w:rPr>
          <w:color w:val="1A2A38"/>
          <w:sz w:val="22"/>
        </w:rPr>
        <w:t xml:space="preserve">Identifying economic and human capital development opportunities for Indigenous </w:t>
      </w:r>
      <w:r w:rsidR="000B0FC5" w:rsidRPr="006B0F8D">
        <w:rPr>
          <w:rFonts w:cstheme="minorBidi"/>
          <w:color w:val="1A2A38"/>
          <w:sz w:val="22"/>
          <w:szCs w:val="22"/>
        </w:rPr>
        <w:t>Australians</w:t>
      </w:r>
      <w:r w:rsidRPr="006F4F7A">
        <w:rPr>
          <w:color w:val="1A2A38"/>
          <w:sz w:val="22"/>
        </w:rPr>
        <w:t xml:space="preserve"> and communities;</w:t>
      </w:r>
    </w:p>
    <w:p w14:paraId="5501078D" w14:textId="77777777" w:rsidR="00565C2F" w:rsidRPr="006F4F7A" w:rsidRDefault="00565C2F" w:rsidP="006F4F7A">
      <w:pPr>
        <w:pStyle w:val="Default"/>
        <w:numPr>
          <w:ilvl w:val="0"/>
          <w:numId w:val="42"/>
        </w:numPr>
        <w:spacing w:after="300" w:line="361" w:lineRule="atLeast"/>
        <w:rPr>
          <w:color w:val="1A2A38"/>
        </w:rPr>
      </w:pPr>
      <w:r w:rsidRPr="006F4F7A">
        <w:rPr>
          <w:color w:val="1A2A38"/>
          <w:sz w:val="22"/>
        </w:rPr>
        <w:t>Working with Indigenous Australians, their communities and leadership in genuine partnership to design and deliver policies and programs that are responsive to local or regional context and needs;</w:t>
      </w:r>
    </w:p>
    <w:p w14:paraId="238B9A12" w14:textId="77777777" w:rsidR="00565C2F" w:rsidRPr="006F4F7A" w:rsidRDefault="00565C2F" w:rsidP="006F4F7A">
      <w:pPr>
        <w:pStyle w:val="Default"/>
        <w:numPr>
          <w:ilvl w:val="0"/>
          <w:numId w:val="42"/>
        </w:numPr>
        <w:spacing w:after="300" w:line="361" w:lineRule="atLeast"/>
        <w:rPr>
          <w:color w:val="1A2A38"/>
        </w:rPr>
      </w:pPr>
      <w:r w:rsidRPr="006F4F7A">
        <w:rPr>
          <w:color w:val="1A2A38"/>
          <w:sz w:val="22"/>
        </w:rPr>
        <w:t>Developing an investment approach that focuses on those areas of the life-course which deliver the greatest benefits for Indigenous Australians;</w:t>
      </w:r>
    </w:p>
    <w:p w14:paraId="3DA262F4" w14:textId="77777777" w:rsidR="00565C2F" w:rsidRPr="006F4F7A" w:rsidRDefault="00565C2F" w:rsidP="006F4F7A">
      <w:pPr>
        <w:pStyle w:val="Default"/>
        <w:numPr>
          <w:ilvl w:val="0"/>
          <w:numId w:val="42"/>
        </w:numPr>
        <w:spacing w:after="300" w:line="361" w:lineRule="atLeast"/>
        <w:rPr>
          <w:color w:val="1A2A38"/>
        </w:rPr>
      </w:pPr>
      <w:r w:rsidRPr="006F4F7A">
        <w:rPr>
          <w:color w:val="1A2A38"/>
          <w:sz w:val="22"/>
        </w:rPr>
        <w:t>Developing the human capital of our team through a clear workforce strategy to remain relevant to our circumstances; and</w:t>
      </w:r>
    </w:p>
    <w:p w14:paraId="19BB103F" w14:textId="49E261A9" w:rsidR="00565C2F" w:rsidRPr="006F4F7A" w:rsidRDefault="00565C2F" w:rsidP="006F4F7A">
      <w:pPr>
        <w:pStyle w:val="Default"/>
        <w:numPr>
          <w:ilvl w:val="0"/>
          <w:numId w:val="42"/>
        </w:numPr>
        <w:spacing w:after="300" w:line="361" w:lineRule="atLeast"/>
        <w:rPr>
          <w:color w:val="1A2A38"/>
        </w:rPr>
      </w:pPr>
      <w:r w:rsidRPr="006F4F7A">
        <w:rPr>
          <w:color w:val="1A2A38"/>
          <w:sz w:val="22"/>
        </w:rPr>
        <w:t>Underpinning our work with effective data and evidence</w:t>
      </w:r>
      <w:r w:rsidR="00E02BC9">
        <w:rPr>
          <w:rFonts w:cstheme="minorBidi"/>
          <w:color w:val="1A2A38"/>
          <w:sz w:val="22"/>
          <w:szCs w:val="22"/>
        </w:rPr>
        <w:t>.</w:t>
      </w:r>
    </w:p>
    <w:p w14:paraId="0C7EDA2A" w14:textId="77777777" w:rsidR="00895B6C" w:rsidRDefault="00895B6C" w:rsidP="00895B6C">
      <w:pPr>
        <w:pStyle w:val="Default"/>
        <w:spacing w:line="361" w:lineRule="atLeast"/>
        <w:rPr>
          <w:rFonts w:cstheme="minorBidi"/>
          <w:b/>
          <w:color w:val="auto"/>
          <w:u w:val="single"/>
        </w:rPr>
      </w:pPr>
    </w:p>
    <w:p w14:paraId="065423A2" w14:textId="2EFB1D1C" w:rsidR="00895B6C" w:rsidRDefault="00895B6C" w:rsidP="001625D7">
      <w:pPr>
        <w:pStyle w:val="Default"/>
        <w:spacing w:after="300" w:line="361" w:lineRule="atLeast"/>
        <w:outlineLvl w:val="1"/>
        <w:rPr>
          <w:rFonts w:cstheme="minorBidi"/>
          <w:b/>
          <w:color w:val="auto"/>
          <w:u w:val="single"/>
        </w:rPr>
      </w:pPr>
      <w:r w:rsidRPr="00895B6C">
        <w:rPr>
          <w:rFonts w:cstheme="minorBidi"/>
          <w:b/>
          <w:color w:val="auto"/>
          <w:u w:val="single"/>
        </w:rPr>
        <w:t xml:space="preserve">Strengthening and supporting our </w:t>
      </w:r>
      <w:r w:rsidR="000B0FC5">
        <w:rPr>
          <w:rFonts w:cstheme="minorBidi"/>
          <w:b/>
          <w:color w:val="auto"/>
          <w:u w:val="single"/>
        </w:rPr>
        <w:t>people</w:t>
      </w:r>
      <w:r w:rsidRPr="00895B6C">
        <w:rPr>
          <w:rFonts w:cstheme="minorBidi"/>
          <w:b/>
          <w:color w:val="auto"/>
          <w:u w:val="single"/>
        </w:rPr>
        <w:t xml:space="preserve"> </w:t>
      </w:r>
    </w:p>
    <w:p w14:paraId="55301EDE" w14:textId="7CB500F9" w:rsidR="00056F25" w:rsidRDefault="00C0526E" w:rsidP="00031DC6">
      <w:pPr>
        <w:pStyle w:val="Default"/>
        <w:spacing w:after="300" w:line="361" w:lineRule="atLeast"/>
        <w:rPr>
          <w:rFonts w:cstheme="minorBidi"/>
          <w:color w:val="auto"/>
          <w:sz w:val="22"/>
          <w:szCs w:val="22"/>
        </w:rPr>
      </w:pPr>
      <w:r>
        <w:rPr>
          <w:rFonts w:cstheme="minorBidi"/>
          <w:color w:val="auto"/>
          <w:sz w:val="22"/>
          <w:szCs w:val="22"/>
        </w:rPr>
        <w:t xml:space="preserve">Our success is contingent </w:t>
      </w:r>
      <w:r w:rsidR="0046580A">
        <w:rPr>
          <w:rFonts w:cstheme="minorBidi"/>
          <w:color w:val="auto"/>
          <w:sz w:val="22"/>
          <w:szCs w:val="22"/>
        </w:rPr>
        <w:t>up</w:t>
      </w:r>
      <w:r>
        <w:rPr>
          <w:rFonts w:cstheme="minorBidi"/>
          <w:color w:val="auto"/>
          <w:sz w:val="22"/>
          <w:szCs w:val="22"/>
        </w:rPr>
        <w:t>on our people. We are</w:t>
      </w:r>
      <w:r w:rsidRPr="00075264">
        <w:rPr>
          <w:rFonts w:cstheme="minorBidi"/>
          <w:color w:val="auto"/>
          <w:sz w:val="22"/>
          <w:szCs w:val="22"/>
        </w:rPr>
        <w:t xml:space="preserve"> focused on enabling our people to realise their full potent</w:t>
      </w:r>
      <w:r>
        <w:rPr>
          <w:rFonts w:cstheme="minorBidi"/>
          <w:color w:val="auto"/>
          <w:sz w:val="22"/>
          <w:szCs w:val="22"/>
        </w:rPr>
        <w:t>ial and strengthen their skills through a range of workforce initiatives</w:t>
      </w:r>
      <w:r w:rsidR="006544CB">
        <w:rPr>
          <w:rFonts w:cstheme="minorBidi"/>
          <w:color w:val="auto"/>
          <w:sz w:val="22"/>
          <w:szCs w:val="22"/>
        </w:rPr>
        <w:t>, as outlined below.</w:t>
      </w:r>
    </w:p>
    <w:p w14:paraId="20ECFE5C" w14:textId="6CADC17D" w:rsidR="00B11657" w:rsidRDefault="0046580A" w:rsidP="00B11657">
      <w:pPr>
        <w:pStyle w:val="Default"/>
        <w:spacing w:after="300" w:line="361" w:lineRule="atLeast"/>
        <w:rPr>
          <w:rFonts w:cstheme="minorBidi"/>
          <w:color w:val="auto"/>
          <w:sz w:val="22"/>
          <w:szCs w:val="22"/>
        </w:rPr>
      </w:pPr>
      <w:r>
        <w:rPr>
          <w:rFonts w:cstheme="minorBidi"/>
          <w:color w:val="auto"/>
          <w:sz w:val="22"/>
          <w:szCs w:val="22"/>
        </w:rPr>
        <w:t>W</w:t>
      </w:r>
      <w:r w:rsidR="00562DA8">
        <w:rPr>
          <w:rFonts w:cstheme="minorBidi"/>
          <w:color w:val="auto"/>
          <w:sz w:val="22"/>
          <w:szCs w:val="22"/>
        </w:rPr>
        <w:t xml:space="preserve">e will continue to invest in </w:t>
      </w:r>
      <w:r w:rsidR="00561E0D">
        <w:rPr>
          <w:rFonts w:cstheme="minorBidi"/>
          <w:color w:val="auto"/>
          <w:sz w:val="22"/>
          <w:szCs w:val="22"/>
        </w:rPr>
        <w:t xml:space="preserve">developing our leaders. </w:t>
      </w:r>
      <w:r>
        <w:rPr>
          <w:rFonts w:cstheme="minorBidi"/>
          <w:color w:val="auto"/>
          <w:sz w:val="22"/>
          <w:szCs w:val="22"/>
        </w:rPr>
        <w:t xml:space="preserve">The </w:t>
      </w:r>
      <w:r w:rsidR="00562DA8" w:rsidRPr="004520F7">
        <w:rPr>
          <w:rFonts w:cstheme="minorBidi"/>
          <w:color w:val="auto"/>
          <w:sz w:val="22"/>
          <w:szCs w:val="22"/>
        </w:rPr>
        <w:t>NIAA’s new Leadership Continuum</w:t>
      </w:r>
      <w:r>
        <w:rPr>
          <w:rFonts w:cstheme="minorBidi"/>
          <w:color w:val="auto"/>
          <w:sz w:val="22"/>
          <w:szCs w:val="22"/>
        </w:rPr>
        <w:t>, launched in mid</w:t>
      </w:r>
      <w:r w:rsidR="00DE7D85">
        <w:rPr>
          <w:rFonts w:cstheme="minorBidi"/>
          <w:color w:val="auto"/>
          <w:sz w:val="22"/>
          <w:szCs w:val="22"/>
        </w:rPr>
        <w:t>-</w:t>
      </w:r>
      <w:r>
        <w:rPr>
          <w:rFonts w:cstheme="minorBidi"/>
          <w:color w:val="auto"/>
          <w:sz w:val="22"/>
          <w:szCs w:val="22"/>
        </w:rPr>
        <w:t xml:space="preserve">2020, </w:t>
      </w:r>
      <w:r w:rsidR="00562DA8" w:rsidRPr="004520F7">
        <w:rPr>
          <w:rFonts w:cstheme="minorBidi"/>
          <w:color w:val="auto"/>
          <w:sz w:val="22"/>
          <w:szCs w:val="22"/>
        </w:rPr>
        <w:t xml:space="preserve">sets out the expectations of NIAA leaders at all levels, helping all employees understand the important role they play in achieving our vision and purpose. </w:t>
      </w:r>
      <w:r w:rsidR="00561E0D">
        <w:rPr>
          <w:rFonts w:cstheme="minorBidi"/>
          <w:color w:val="auto"/>
          <w:sz w:val="22"/>
          <w:szCs w:val="22"/>
        </w:rPr>
        <w:t>In 2020-21</w:t>
      </w:r>
      <w:r w:rsidR="006544CB">
        <w:rPr>
          <w:rFonts w:cstheme="minorBidi"/>
          <w:color w:val="auto"/>
          <w:sz w:val="22"/>
          <w:szCs w:val="22"/>
        </w:rPr>
        <w:t>,</w:t>
      </w:r>
      <w:r w:rsidR="00561E0D">
        <w:rPr>
          <w:rFonts w:cstheme="minorBidi"/>
          <w:color w:val="auto"/>
          <w:sz w:val="22"/>
          <w:szCs w:val="22"/>
        </w:rPr>
        <w:t xml:space="preserve"> we will support </w:t>
      </w:r>
      <w:r w:rsidR="00562DA8" w:rsidRPr="004520F7">
        <w:rPr>
          <w:rFonts w:cstheme="minorBidi"/>
          <w:color w:val="auto"/>
          <w:sz w:val="22"/>
          <w:szCs w:val="22"/>
        </w:rPr>
        <w:t xml:space="preserve">additional cohorts through </w:t>
      </w:r>
      <w:r w:rsidR="00562DA8">
        <w:rPr>
          <w:rFonts w:cstheme="minorBidi"/>
          <w:color w:val="auto"/>
          <w:sz w:val="22"/>
          <w:szCs w:val="22"/>
        </w:rPr>
        <w:t xml:space="preserve">the Managers Essential </w:t>
      </w:r>
      <w:r w:rsidR="000B0FC5">
        <w:rPr>
          <w:rFonts w:cstheme="minorBidi"/>
          <w:color w:val="auto"/>
          <w:sz w:val="22"/>
          <w:szCs w:val="22"/>
        </w:rPr>
        <w:t>p</w:t>
      </w:r>
      <w:r w:rsidR="00562DA8" w:rsidRPr="00CF589F">
        <w:rPr>
          <w:rFonts w:cstheme="minorBidi"/>
          <w:color w:val="auto"/>
          <w:sz w:val="22"/>
          <w:szCs w:val="22"/>
        </w:rPr>
        <w:t>rogram</w:t>
      </w:r>
      <w:r w:rsidR="00562DA8">
        <w:rPr>
          <w:rFonts w:cstheme="minorBidi"/>
          <w:color w:val="auto"/>
          <w:sz w:val="22"/>
          <w:szCs w:val="22"/>
        </w:rPr>
        <w:t xml:space="preserve"> and </w:t>
      </w:r>
      <w:r w:rsidR="00CF589F" w:rsidRPr="00CF589F">
        <w:rPr>
          <w:rFonts w:cstheme="minorBidi"/>
          <w:color w:val="auto"/>
          <w:sz w:val="22"/>
          <w:szCs w:val="22"/>
        </w:rPr>
        <w:t>the</w:t>
      </w:r>
      <w:r w:rsidR="00D40234">
        <w:rPr>
          <w:rFonts w:cstheme="minorBidi"/>
          <w:color w:val="auto"/>
          <w:sz w:val="22"/>
          <w:szCs w:val="22"/>
        </w:rPr>
        <w:t xml:space="preserve"> Learning to Lead</w:t>
      </w:r>
      <w:r w:rsidR="00562DA8" w:rsidRPr="004520F7">
        <w:rPr>
          <w:rFonts w:cstheme="minorBidi"/>
          <w:color w:val="auto"/>
          <w:sz w:val="22"/>
          <w:szCs w:val="22"/>
        </w:rPr>
        <w:t xml:space="preserve"> leadership </w:t>
      </w:r>
      <w:r w:rsidR="00D40234">
        <w:rPr>
          <w:rFonts w:cstheme="minorBidi"/>
          <w:color w:val="auto"/>
          <w:sz w:val="22"/>
          <w:szCs w:val="22"/>
        </w:rPr>
        <w:t>program</w:t>
      </w:r>
      <w:r w:rsidR="00B11657">
        <w:rPr>
          <w:rFonts w:cstheme="minorBidi"/>
          <w:color w:val="auto"/>
          <w:sz w:val="22"/>
          <w:szCs w:val="22"/>
        </w:rPr>
        <w:t>.</w:t>
      </w:r>
    </w:p>
    <w:p w14:paraId="369D5881" w14:textId="328ADB52" w:rsidR="00B11657" w:rsidRDefault="00B11657" w:rsidP="00031DC6">
      <w:pPr>
        <w:pStyle w:val="Default"/>
        <w:spacing w:after="300" w:line="361" w:lineRule="atLeast"/>
        <w:rPr>
          <w:rFonts w:cstheme="minorBidi"/>
          <w:color w:val="auto"/>
          <w:sz w:val="22"/>
          <w:szCs w:val="22"/>
        </w:rPr>
      </w:pPr>
      <w:r w:rsidRPr="00B11657">
        <w:rPr>
          <w:rFonts w:cstheme="minorBidi"/>
          <w:color w:val="auto"/>
          <w:sz w:val="22"/>
          <w:szCs w:val="22"/>
        </w:rPr>
        <w:t>In recognising the challenges faced by our workforce and communities throughout 2020,</w:t>
      </w:r>
      <w:r w:rsidR="00C428BD">
        <w:rPr>
          <w:rFonts w:cstheme="minorBidi"/>
          <w:color w:val="auto"/>
          <w:sz w:val="22"/>
          <w:szCs w:val="22"/>
        </w:rPr>
        <w:t xml:space="preserve"> the</w:t>
      </w:r>
      <w:r w:rsidRPr="00B11657">
        <w:rPr>
          <w:rFonts w:cstheme="minorBidi"/>
          <w:color w:val="auto"/>
          <w:sz w:val="22"/>
          <w:szCs w:val="22"/>
        </w:rPr>
        <w:t xml:space="preserve"> NIAA continues to prioritise the safety and wellbeing of all of our people. In addition to updating our safety management system, the NIAA will participate in the pilot program for the new APS Framework for Mental Health Capability. The Framework is designed to support the identification, management and reduction of psychosocial risk across the </w:t>
      </w:r>
      <w:r w:rsidR="006D375E">
        <w:rPr>
          <w:rFonts w:cstheme="minorBidi"/>
          <w:color w:val="auto"/>
          <w:sz w:val="22"/>
          <w:szCs w:val="22"/>
        </w:rPr>
        <w:t>NIAA</w:t>
      </w:r>
      <w:r w:rsidR="000B0FC5">
        <w:rPr>
          <w:rFonts w:cstheme="minorBidi"/>
          <w:color w:val="auto"/>
          <w:sz w:val="22"/>
          <w:szCs w:val="22"/>
        </w:rPr>
        <w:t xml:space="preserve">. </w:t>
      </w:r>
    </w:p>
    <w:p w14:paraId="73B89313" w14:textId="111B9E2C" w:rsidR="00031DC6" w:rsidRPr="004520F7" w:rsidRDefault="00C428BD" w:rsidP="00031DC6">
      <w:pPr>
        <w:pStyle w:val="Default"/>
        <w:spacing w:after="300" w:line="361" w:lineRule="atLeast"/>
        <w:rPr>
          <w:rFonts w:cstheme="minorBidi"/>
          <w:color w:val="auto"/>
          <w:sz w:val="22"/>
          <w:szCs w:val="22"/>
        </w:rPr>
      </w:pPr>
      <w:r>
        <w:rPr>
          <w:rFonts w:cstheme="minorBidi"/>
          <w:color w:val="auto"/>
          <w:sz w:val="22"/>
          <w:szCs w:val="22"/>
        </w:rPr>
        <w:t xml:space="preserve">The </w:t>
      </w:r>
      <w:r w:rsidR="00031DC6" w:rsidRPr="004520F7">
        <w:rPr>
          <w:rFonts w:cstheme="minorBidi"/>
          <w:color w:val="auto"/>
          <w:sz w:val="22"/>
          <w:szCs w:val="22"/>
        </w:rPr>
        <w:t>NIAA continues to embed our Values and Behaviours into all aspects of our business</w:t>
      </w:r>
      <w:r w:rsidR="00031DC6" w:rsidRPr="00AA34E2">
        <w:rPr>
          <w:rFonts w:cstheme="minorBidi"/>
          <w:color w:val="auto"/>
          <w:sz w:val="22"/>
          <w:szCs w:val="22"/>
        </w:rPr>
        <w:t xml:space="preserve"> </w:t>
      </w:r>
      <w:r w:rsidR="00031DC6">
        <w:rPr>
          <w:rFonts w:cstheme="minorBidi"/>
          <w:color w:val="auto"/>
          <w:sz w:val="22"/>
          <w:szCs w:val="22"/>
        </w:rPr>
        <w:t>to enable a</w:t>
      </w:r>
      <w:r w:rsidR="00031DC6" w:rsidRPr="004520F7">
        <w:rPr>
          <w:rFonts w:cstheme="minorBidi"/>
          <w:color w:val="auto"/>
          <w:sz w:val="22"/>
          <w:szCs w:val="22"/>
        </w:rPr>
        <w:t xml:space="preserve"> cohesive culture across our workforce. </w:t>
      </w:r>
      <w:r w:rsidR="00677E58">
        <w:rPr>
          <w:rFonts w:cstheme="minorBidi"/>
          <w:color w:val="auto"/>
          <w:sz w:val="22"/>
          <w:szCs w:val="22"/>
        </w:rPr>
        <w:t xml:space="preserve">This represents an extension to the APS Values, as we look to create our culture. </w:t>
      </w:r>
      <w:r w:rsidR="00031DC6" w:rsidRPr="004520F7">
        <w:rPr>
          <w:rFonts w:cstheme="minorBidi"/>
          <w:color w:val="auto"/>
          <w:sz w:val="22"/>
          <w:szCs w:val="22"/>
        </w:rPr>
        <w:t xml:space="preserve">Our Values and Behaviours are supported by the continuing commitment to our Footprints program, our </w:t>
      </w:r>
      <w:r w:rsidR="00713011">
        <w:rPr>
          <w:rFonts w:cstheme="minorBidi"/>
          <w:color w:val="auto"/>
          <w:sz w:val="22"/>
          <w:szCs w:val="22"/>
        </w:rPr>
        <w:t>cross-</w:t>
      </w:r>
      <w:r w:rsidR="00031DC6" w:rsidRPr="004520F7">
        <w:rPr>
          <w:rFonts w:cstheme="minorBidi"/>
          <w:color w:val="auto"/>
          <w:sz w:val="22"/>
          <w:szCs w:val="22"/>
        </w:rPr>
        <w:t xml:space="preserve">cultural learning program designed to strengthen our organisational </w:t>
      </w:r>
      <w:r w:rsidR="00C804CC">
        <w:rPr>
          <w:rFonts w:cstheme="minorBidi"/>
          <w:color w:val="auto"/>
          <w:sz w:val="22"/>
          <w:szCs w:val="22"/>
        </w:rPr>
        <w:t>cross-</w:t>
      </w:r>
      <w:r w:rsidR="00031DC6" w:rsidRPr="004520F7">
        <w:rPr>
          <w:rFonts w:cstheme="minorBidi"/>
          <w:color w:val="auto"/>
          <w:sz w:val="22"/>
          <w:szCs w:val="22"/>
        </w:rPr>
        <w:t>cultural competency and appreciation for diversity in all aspects of our work.</w:t>
      </w:r>
    </w:p>
    <w:p w14:paraId="0732F3ED" w14:textId="318685BB" w:rsidR="00B11657" w:rsidRDefault="008311AB" w:rsidP="00B11657">
      <w:pPr>
        <w:pStyle w:val="Default"/>
        <w:spacing w:after="300" w:line="361" w:lineRule="atLeast"/>
        <w:rPr>
          <w:rFonts w:cstheme="minorBidi"/>
          <w:color w:val="auto"/>
          <w:sz w:val="22"/>
          <w:szCs w:val="22"/>
        </w:rPr>
      </w:pPr>
      <w:r>
        <w:rPr>
          <w:rFonts w:cstheme="minorBidi"/>
          <w:color w:val="auto"/>
          <w:sz w:val="22"/>
          <w:szCs w:val="22"/>
        </w:rPr>
        <w:t>The</w:t>
      </w:r>
      <w:r w:rsidR="00B11657" w:rsidRPr="004520F7">
        <w:rPr>
          <w:rFonts w:cstheme="minorBidi"/>
          <w:color w:val="auto"/>
          <w:sz w:val="22"/>
          <w:szCs w:val="22"/>
        </w:rPr>
        <w:t xml:space="preserve"> NIAA has </w:t>
      </w:r>
      <w:r w:rsidR="006544CB">
        <w:rPr>
          <w:rFonts w:cstheme="minorBidi"/>
          <w:color w:val="auto"/>
          <w:sz w:val="22"/>
          <w:szCs w:val="22"/>
        </w:rPr>
        <w:t xml:space="preserve">also </w:t>
      </w:r>
      <w:r w:rsidR="00B11657" w:rsidRPr="004520F7">
        <w:rPr>
          <w:rFonts w:cstheme="minorBidi"/>
          <w:color w:val="auto"/>
          <w:sz w:val="22"/>
          <w:szCs w:val="22"/>
        </w:rPr>
        <w:t xml:space="preserve">partnered with the Australian Public Service Commission to </w:t>
      </w:r>
      <w:r>
        <w:rPr>
          <w:rFonts w:cstheme="minorBidi"/>
          <w:color w:val="auto"/>
          <w:sz w:val="22"/>
          <w:szCs w:val="22"/>
        </w:rPr>
        <w:t>develop</w:t>
      </w:r>
      <w:r w:rsidR="00B11657" w:rsidRPr="004520F7">
        <w:rPr>
          <w:rFonts w:cstheme="minorBidi"/>
          <w:color w:val="auto"/>
          <w:sz w:val="22"/>
          <w:szCs w:val="22"/>
        </w:rPr>
        <w:t xml:space="preserve"> the Commonwealth Aboriginal and Torres Strait Islander Workforce Strategy 2020-24</w:t>
      </w:r>
      <w:r>
        <w:rPr>
          <w:rFonts w:cstheme="minorBidi"/>
          <w:color w:val="auto"/>
          <w:sz w:val="22"/>
          <w:szCs w:val="22"/>
        </w:rPr>
        <w:t>, which was launched by the Minister for Indigenous Australians, the Hon</w:t>
      </w:r>
      <w:r w:rsidR="000B0FC5">
        <w:rPr>
          <w:rFonts w:cstheme="minorBidi"/>
          <w:color w:val="auto"/>
          <w:sz w:val="22"/>
          <w:szCs w:val="22"/>
        </w:rPr>
        <w:t>.</w:t>
      </w:r>
      <w:r>
        <w:rPr>
          <w:rFonts w:cstheme="minorBidi"/>
          <w:color w:val="auto"/>
          <w:sz w:val="22"/>
          <w:szCs w:val="22"/>
        </w:rPr>
        <w:t xml:space="preserve"> Ken Wyatt</w:t>
      </w:r>
      <w:r w:rsidR="000B0FC5">
        <w:rPr>
          <w:rFonts w:cstheme="minorBidi"/>
          <w:color w:val="auto"/>
          <w:sz w:val="22"/>
          <w:szCs w:val="22"/>
        </w:rPr>
        <w:t>,</w:t>
      </w:r>
      <w:r>
        <w:rPr>
          <w:rFonts w:cstheme="minorBidi"/>
          <w:color w:val="auto"/>
          <w:sz w:val="22"/>
          <w:szCs w:val="22"/>
        </w:rPr>
        <w:t xml:space="preserve"> MP, in July 2020</w:t>
      </w:r>
      <w:r w:rsidR="00B11657" w:rsidRPr="004520F7">
        <w:rPr>
          <w:rFonts w:cstheme="minorBidi"/>
          <w:color w:val="auto"/>
          <w:sz w:val="22"/>
          <w:szCs w:val="22"/>
        </w:rPr>
        <w:t xml:space="preserve">. In co-sponsoring the implementation of this strategy, </w:t>
      </w:r>
      <w:r w:rsidR="007C1380">
        <w:rPr>
          <w:rFonts w:cstheme="minorBidi"/>
          <w:color w:val="auto"/>
          <w:sz w:val="22"/>
          <w:szCs w:val="22"/>
        </w:rPr>
        <w:t>the</w:t>
      </w:r>
      <w:r w:rsidR="00C428BD">
        <w:rPr>
          <w:rFonts w:cstheme="minorBidi"/>
          <w:color w:val="auto"/>
          <w:sz w:val="22"/>
          <w:szCs w:val="22"/>
        </w:rPr>
        <w:t xml:space="preserve"> </w:t>
      </w:r>
      <w:r w:rsidR="00B11657" w:rsidRPr="004520F7">
        <w:rPr>
          <w:rFonts w:cstheme="minorBidi"/>
          <w:color w:val="auto"/>
          <w:sz w:val="22"/>
          <w:szCs w:val="22"/>
        </w:rPr>
        <w:t xml:space="preserve">NIAA continues to promote opportunities to </w:t>
      </w:r>
      <w:r>
        <w:rPr>
          <w:rFonts w:cstheme="minorBidi"/>
          <w:color w:val="auto"/>
          <w:sz w:val="22"/>
          <w:szCs w:val="22"/>
        </w:rPr>
        <w:t>support</w:t>
      </w:r>
      <w:r w:rsidRPr="004520F7">
        <w:rPr>
          <w:rFonts w:cstheme="minorBidi"/>
          <w:color w:val="auto"/>
          <w:sz w:val="22"/>
          <w:szCs w:val="22"/>
        </w:rPr>
        <w:t xml:space="preserve"> </w:t>
      </w:r>
      <w:r>
        <w:rPr>
          <w:rFonts w:cstheme="minorBidi"/>
          <w:color w:val="auto"/>
          <w:sz w:val="22"/>
          <w:szCs w:val="22"/>
        </w:rPr>
        <w:t xml:space="preserve">career </w:t>
      </w:r>
      <w:r>
        <w:rPr>
          <w:rFonts w:cstheme="minorBidi"/>
          <w:color w:val="auto"/>
          <w:sz w:val="22"/>
          <w:szCs w:val="22"/>
        </w:rPr>
        <w:lastRenderedPageBreak/>
        <w:t>pathways for Aboriginal and Torres Strait Islander staff</w:t>
      </w:r>
      <w:r w:rsidR="00B11657">
        <w:rPr>
          <w:rFonts w:cstheme="minorBidi"/>
          <w:color w:val="auto"/>
          <w:sz w:val="22"/>
          <w:szCs w:val="22"/>
        </w:rPr>
        <w:t xml:space="preserve"> </w:t>
      </w:r>
      <w:r>
        <w:rPr>
          <w:rFonts w:cstheme="minorBidi"/>
          <w:color w:val="auto"/>
          <w:sz w:val="22"/>
          <w:szCs w:val="22"/>
        </w:rPr>
        <w:t xml:space="preserve">at all levels </w:t>
      </w:r>
      <w:r w:rsidR="00B11657">
        <w:rPr>
          <w:rFonts w:cstheme="minorBidi"/>
          <w:color w:val="auto"/>
          <w:sz w:val="22"/>
          <w:szCs w:val="22"/>
        </w:rPr>
        <w:t xml:space="preserve">within the </w:t>
      </w:r>
      <w:r w:rsidR="00270E32">
        <w:rPr>
          <w:rFonts w:cstheme="minorBidi"/>
          <w:color w:val="auto"/>
          <w:sz w:val="22"/>
          <w:szCs w:val="22"/>
        </w:rPr>
        <w:t>NIAA</w:t>
      </w:r>
      <w:r w:rsidR="00B11657" w:rsidRPr="004520F7">
        <w:rPr>
          <w:rFonts w:cstheme="minorBidi"/>
          <w:color w:val="auto"/>
          <w:sz w:val="22"/>
          <w:szCs w:val="22"/>
        </w:rPr>
        <w:t xml:space="preserve"> and across the Commonwealth public sector more broadly. </w:t>
      </w:r>
      <w:r>
        <w:rPr>
          <w:rFonts w:cstheme="minorBidi"/>
          <w:color w:val="auto"/>
          <w:sz w:val="22"/>
          <w:szCs w:val="22"/>
        </w:rPr>
        <w:t xml:space="preserve">The </w:t>
      </w:r>
      <w:r w:rsidR="00B11657" w:rsidRPr="004520F7">
        <w:rPr>
          <w:rFonts w:cstheme="minorBidi"/>
          <w:color w:val="auto"/>
          <w:sz w:val="22"/>
          <w:szCs w:val="22"/>
        </w:rPr>
        <w:t xml:space="preserve">NIAA </w:t>
      </w:r>
      <w:r>
        <w:rPr>
          <w:rFonts w:cstheme="minorBidi"/>
          <w:color w:val="auto"/>
          <w:sz w:val="22"/>
          <w:szCs w:val="22"/>
        </w:rPr>
        <w:t xml:space="preserve">has launched the Indigenous Development and Employment Program </w:t>
      </w:r>
      <w:r w:rsidR="00005DF2">
        <w:rPr>
          <w:rFonts w:cstheme="minorBidi"/>
          <w:color w:val="auto"/>
          <w:sz w:val="22"/>
          <w:szCs w:val="22"/>
        </w:rPr>
        <w:t xml:space="preserve">for our younger Indigenous staff </w:t>
      </w:r>
      <w:r>
        <w:rPr>
          <w:rFonts w:cstheme="minorBidi"/>
          <w:color w:val="auto"/>
          <w:sz w:val="22"/>
          <w:szCs w:val="22"/>
        </w:rPr>
        <w:t>and is partnering with</w:t>
      </w:r>
      <w:r w:rsidR="00C804CC">
        <w:rPr>
          <w:rFonts w:cstheme="minorBidi"/>
          <w:color w:val="auto"/>
          <w:sz w:val="22"/>
          <w:szCs w:val="22"/>
        </w:rPr>
        <w:t xml:space="preserve"> the Australian National University to pilot a </w:t>
      </w:r>
      <w:r>
        <w:rPr>
          <w:rFonts w:cstheme="minorBidi"/>
          <w:color w:val="auto"/>
          <w:sz w:val="22"/>
          <w:szCs w:val="22"/>
        </w:rPr>
        <w:t>management program which incorporates micro</w:t>
      </w:r>
      <w:r w:rsidR="00E02BC9">
        <w:rPr>
          <w:rFonts w:cstheme="minorBidi"/>
          <w:color w:val="auto"/>
          <w:sz w:val="22"/>
          <w:szCs w:val="22"/>
        </w:rPr>
        <w:t>-</w:t>
      </w:r>
      <w:r>
        <w:rPr>
          <w:rFonts w:cstheme="minorBidi"/>
          <w:color w:val="auto"/>
          <w:sz w:val="22"/>
          <w:szCs w:val="22"/>
        </w:rPr>
        <w:t>credentialling and targeted support</w:t>
      </w:r>
      <w:r w:rsidR="00B11657" w:rsidRPr="004520F7">
        <w:rPr>
          <w:rFonts w:cstheme="minorBidi"/>
          <w:color w:val="auto"/>
          <w:sz w:val="22"/>
          <w:szCs w:val="22"/>
        </w:rPr>
        <w:t xml:space="preserve"> to </w:t>
      </w:r>
      <w:r w:rsidR="00005DF2">
        <w:rPr>
          <w:rFonts w:cstheme="minorBidi"/>
          <w:color w:val="auto"/>
          <w:sz w:val="22"/>
          <w:szCs w:val="22"/>
        </w:rPr>
        <w:t xml:space="preserve">our </w:t>
      </w:r>
      <w:r>
        <w:rPr>
          <w:rFonts w:cstheme="minorBidi"/>
          <w:color w:val="auto"/>
          <w:sz w:val="22"/>
          <w:szCs w:val="22"/>
        </w:rPr>
        <w:t>Aboriginal and Torres Strait Islander st</w:t>
      </w:r>
      <w:r w:rsidR="00005DF2">
        <w:rPr>
          <w:rFonts w:cstheme="minorBidi"/>
          <w:color w:val="auto"/>
          <w:sz w:val="22"/>
          <w:szCs w:val="22"/>
        </w:rPr>
        <w:t>aff who are participat</w:t>
      </w:r>
      <w:r w:rsidR="00970975">
        <w:rPr>
          <w:rFonts w:cstheme="minorBidi"/>
          <w:color w:val="auto"/>
          <w:sz w:val="22"/>
          <w:szCs w:val="22"/>
        </w:rPr>
        <w:t>ing</w:t>
      </w:r>
      <w:r>
        <w:rPr>
          <w:rFonts w:cstheme="minorBidi"/>
          <w:color w:val="auto"/>
          <w:sz w:val="22"/>
          <w:szCs w:val="22"/>
        </w:rPr>
        <w:t xml:space="preserve">. </w:t>
      </w:r>
      <w:r w:rsidR="006544CB">
        <w:rPr>
          <w:rFonts w:cstheme="minorBidi"/>
          <w:color w:val="auto"/>
          <w:sz w:val="22"/>
          <w:szCs w:val="22"/>
        </w:rPr>
        <w:t xml:space="preserve">Participants will be supported through </w:t>
      </w:r>
      <w:r>
        <w:rPr>
          <w:rFonts w:cstheme="minorBidi"/>
          <w:color w:val="auto"/>
          <w:sz w:val="22"/>
          <w:szCs w:val="22"/>
        </w:rPr>
        <w:t>me</w:t>
      </w:r>
      <w:r w:rsidR="00E31065">
        <w:rPr>
          <w:rFonts w:cstheme="minorBidi"/>
          <w:color w:val="auto"/>
          <w:sz w:val="22"/>
          <w:szCs w:val="22"/>
        </w:rPr>
        <w:t>ntoring</w:t>
      </w:r>
      <w:r>
        <w:rPr>
          <w:rFonts w:cstheme="minorBidi"/>
          <w:color w:val="auto"/>
          <w:sz w:val="22"/>
          <w:szCs w:val="22"/>
        </w:rPr>
        <w:t xml:space="preserve"> from the NIAA Senior</w:t>
      </w:r>
      <w:r w:rsidR="00B11657" w:rsidRPr="004520F7">
        <w:rPr>
          <w:rFonts w:cstheme="minorBidi"/>
          <w:color w:val="auto"/>
          <w:sz w:val="22"/>
          <w:szCs w:val="22"/>
        </w:rPr>
        <w:t xml:space="preserve"> Indigenous </w:t>
      </w:r>
      <w:r>
        <w:rPr>
          <w:rFonts w:cstheme="minorBidi"/>
          <w:color w:val="auto"/>
          <w:sz w:val="22"/>
          <w:szCs w:val="22"/>
        </w:rPr>
        <w:t>Leadership Group</w:t>
      </w:r>
      <w:r w:rsidR="00B11657" w:rsidRPr="004520F7">
        <w:rPr>
          <w:rFonts w:cstheme="minorBidi"/>
          <w:color w:val="auto"/>
          <w:sz w:val="22"/>
          <w:szCs w:val="22"/>
        </w:rPr>
        <w:t>.</w:t>
      </w:r>
    </w:p>
    <w:p w14:paraId="015C8B67" w14:textId="331D011D" w:rsidR="0057627E" w:rsidRDefault="00031DC6" w:rsidP="006F4F7A">
      <w:pPr>
        <w:spacing w:after="300" w:line="361" w:lineRule="atLeast"/>
        <w:rPr>
          <w:rFonts w:ascii="Century Gothic" w:hAnsi="Century Gothic"/>
        </w:rPr>
      </w:pPr>
      <w:r>
        <w:rPr>
          <w:rFonts w:ascii="Century Gothic" w:hAnsi="Century Gothic"/>
        </w:rPr>
        <w:t>Additionally, i</w:t>
      </w:r>
      <w:r w:rsidRPr="004520F7">
        <w:rPr>
          <w:rFonts w:ascii="Century Gothic" w:hAnsi="Century Gothic"/>
        </w:rPr>
        <w:t xml:space="preserve">n 2021, </w:t>
      </w:r>
      <w:r w:rsidR="00C428BD">
        <w:rPr>
          <w:rFonts w:ascii="Century Gothic" w:hAnsi="Century Gothic"/>
        </w:rPr>
        <w:t xml:space="preserve">the </w:t>
      </w:r>
      <w:r w:rsidR="00056F25">
        <w:rPr>
          <w:rFonts w:ascii="Century Gothic" w:hAnsi="Century Gothic"/>
        </w:rPr>
        <w:t>NIAA</w:t>
      </w:r>
      <w:r w:rsidRPr="004520F7">
        <w:rPr>
          <w:rFonts w:ascii="Century Gothic" w:hAnsi="Century Gothic"/>
        </w:rPr>
        <w:t xml:space="preserve"> will also commence the development of the first NIAA Enterprise Agreement. </w:t>
      </w:r>
      <w:r w:rsidR="00056F25">
        <w:rPr>
          <w:rFonts w:ascii="Century Gothic" w:hAnsi="Century Gothic"/>
        </w:rPr>
        <w:t>NIAA</w:t>
      </w:r>
      <w:r w:rsidR="008311AB">
        <w:rPr>
          <w:rFonts w:ascii="Century Gothic" w:hAnsi="Century Gothic"/>
        </w:rPr>
        <w:t>’s</w:t>
      </w:r>
      <w:r w:rsidRPr="004520F7">
        <w:rPr>
          <w:rFonts w:ascii="Century Gothic" w:hAnsi="Century Gothic"/>
        </w:rPr>
        <w:t xml:space="preserve"> Enterprise Agreement, along with the updating of key HR policies and procedures, will </w:t>
      </w:r>
      <w:r w:rsidR="00C428BD">
        <w:rPr>
          <w:rFonts w:ascii="Century Gothic" w:hAnsi="Century Gothic"/>
        </w:rPr>
        <w:t>underpin our employee value proposition</w:t>
      </w:r>
      <w:r w:rsidR="0057627E">
        <w:rPr>
          <w:rFonts w:ascii="Century Gothic" w:hAnsi="Century Gothic"/>
        </w:rPr>
        <w:t>.</w:t>
      </w:r>
    </w:p>
    <w:p w14:paraId="4032DC6F" w14:textId="59FD1D17" w:rsidR="00031DC6" w:rsidRPr="006F4F7A" w:rsidRDefault="00031DC6" w:rsidP="001625D7">
      <w:pPr>
        <w:pStyle w:val="Default"/>
        <w:spacing w:after="300" w:line="361" w:lineRule="atLeast"/>
        <w:outlineLvl w:val="1"/>
        <w:rPr>
          <w:b/>
          <w:u w:val="single"/>
        </w:rPr>
      </w:pPr>
      <w:r w:rsidRPr="006F4F7A">
        <w:rPr>
          <w:b/>
          <w:u w:val="single"/>
        </w:rPr>
        <w:t>D</w:t>
      </w:r>
      <w:r w:rsidR="008B4553" w:rsidRPr="006F4F7A">
        <w:rPr>
          <w:b/>
          <w:u w:val="single"/>
        </w:rPr>
        <w:t xml:space="preserve">elivering </w:t>
      </w:r>
      <w:r w:rsidR="008B4553" w:rsidRPr="001625D7">
        <w:rPr>
          <w:rFonts w:cstheme="minorBidi"/>
          <w:b/>
          <w:color w:val="auto"/>
          <w:u w:val="single"/>
        </w:rPr>
        <w:t>d</w:t>
      </w:r>
      <w:r w:rsidRPr="001625D7">
        <w:rPr>
          <w:rFonts w:cstheme="minorBidi"/>
          <w:b/>
          <w:color w:val="auto"/>
          <w:u w:val="single"/>
        </w:rPr>
        <w:t>ynamic</w:t>
      </w:r>
      <w:r w:rsidRPr="006F4F7A">
        <w:rPr>
          <w:b/>
          <w:u w:val="single"/>
        </w:rPr>
        <w:t xml:space="preserve"> technology services</w:t>
      </w:r>
    </w:p>
    <w:p w14:paraId="6CB44EA0" w14:textId="464602DE" w:rsidR="00031DC6" w:rsidRPr="00CB34B2" w:rsidRDefault="009C03C5" w:rsidP="00031DC6">
      <w:pPr>
        <w:spacing w:after="300" w:line="361" w:lineRule="atLeast"/>
        <w:rPr>
          <w:rFonts w:ascii="Century Gothic" w:hAnsi="Century Gothic"/>
        </w:rPr>
      </w:pPr>
      <w:r>
        <w:rPr>
          <w:rFonts w:ascii="Century Gothic" w:hAnsi="Century Gothic"/>
        </w:rPr>
        <w:t xml:space="preserve">The Australian Government is transforming the use of digital technology </w:t>
      </w:r>
      <w:r w:rsidRPr="00BE0FD7">
        <w:rPr>
          <w:rFonts w:ascii="Century Gothic" w:hAnsi="Century Gothic"/>
        </w:rPr>
        <w:t xml:space="preserve">to deliver more responsive policy, </w:t>
      </w:r>
      <w:r w:rsidR="009A5DC1">
        <w:rPr>
          <w:rFonts w:ascii="Century Gothic" w:hAnsi="Century Gothic"/>
        </w:rPr>
        <w:t>reduce</w:t>
      </w:r>
      <w:r w:rsidR="006544CB">
        <w:rPr>
          <w:rFonts w:ascii="Century Gothic" w:hAnsi="Century Gothic"/>
        </w:rPr>
        <w:t xml:space="preserve"> </w:t>
      </w:r>
      <w:r w:rsidRPr="00BE0FD7">
        <w:rPr>
          <w:rFonts w:ascii="Century Gothic" w:hAnsi="Century Gothic"/>
        </w:rPr>
        <w:t>red tape</w:t>
      </w:r>
      <w:r w:rsidR="00031DC6" w:rsidRPr="00CB34B2">
        <w:rPr>
          <w:rFonts w:ascii="Century Gothic" w:hAnsi="Century Gothic"/>
        </w:rPr>
        <w:t xml:space="preserve"> and </w:t>
      </w:r>
      <w:r w:rsidR="00F3560F">
        <w:rPr>
          <w:rFonts w:ascii="Century Gothic" w:hAnsi="Century Gothic"/>
        </w:rPr>
        <w:t xml:space="preserve">improve </w:t>
      </w:r>
      <w:r w:rsidR="00031DC6" w:rsidRPr="00CB34B2">
        <w:rPr>
          <w:rFonts w:ascii="Century Gothic" w:hAnsi="Century Gothic"/>
        </w:rPr>
        <w:t>services</w:t>
      </w:r>
      <w:r>
        <w:rPr>
          <w:rFonts w:ascii="Century Gothic" w:hAnsi="Century Gothic"/>
        </w:rPr>
        <w:t>. Th</w:t>
      </w:r>
      <w:r w:rsidR="00AA2073">
        <w:rPr>
          <w:rFonts w:ascii="Century Gothic" w:hAnsi="Century Gothic"/>
        </w:rPr>
        <w:t xml:space="preserve">e NIAA </w:t>
      </w:r>
      <w:r w:rsidR="009A5DC1">
        <w:rPr>
          <w:rFonts w:ascii="Century Gothic" w:hAnsi="Century Gothic"/>
        </w:rPr>
        <w:t>contributes</w:t>
      </w:r>
      <w:r w:rsidR="0046580A" w:rsidRPr="00CB34B2">
        <w:rPr>
          <w:rFonts w:ascii="Century Gothic" w:hAnsi="Century Gothic"/>
        </w:rPr>
        <w:t xml:space="preserve"> </w:t>
      </w:r>
      <w:r w:rsidR="00031DC6" w:rsidRPr="00CB34B2">
        <w:rPr>
          <w:rFonts w:ascii="Century Gothic" w:hAnsi="Century Gothic"/>
        </w:rPr>
        <w:t xml:space="preserve">to </w:t>
      </w:r>
      <w:r w:rsidR="00302144">
        <w:rPr>
          <w:rFonts w:ascii="Century Gothic" w:hAnsi="Century Gothic"/>
        </w:rPr>
        <w:t>this policy agenda th</w:t>
      </w:r>
      <w:r>
        <w:rPr>
          <w:rFonts w:ascii="Century Gothic" w:hAnsi="Century Gothic"/>
        </w:rPr>
        <w:t xml:space="preserve">rough </w:t>
      </w:r>
      <w:r w:rsidR="00031DC6" w:rsidRPr="00CB34B2">
        <w:rPr>
          <w:rFonts w:ascii="Century Gothic" w:hAnsi="Century Gothic"/>
        </w:rPr>
        <w:t xml:space="preserve">our </w:t>
      </w:r>
      <w:r w:rsidR="00031DC6" w:rsidRPr="00943B76">
        <w:rPr>
          <w:rFonts w:ascii="Century Gothic" w:hAnsi="Century Gothic"/>
        </w:rPr>
        <w:t>new ICT</w:t>
      </w:r>
      <w:r w:rsidR="0057627E" w:rsidRPr="00943B76">
        <w:rPr>
          <w:rFonts w:ascii="Century Gothic" w:hAnsi="Century Gothic"/>
        </w:rPr>
        <w:t xml:space="preserve"> </w:t>
      </w:r>
      <w:r w:rsidR="005D6C9B">
        <w:rPr>
          <w:rFonts w:ascii="Century Gothic" w:hAnsi="Century Gothic"/>
        </w:rPr>
        <w:t>and Digital S</w:t>
      </w:r>
      <w:r w:rsidR="005D6C9B" w:rsidRPr="00943B76">
        <w:rPr>
          <w:rFonts w:ascii="Century Gothic" w:hAnsi="Century Gothic"/>
        </w:rPr>
        <w:t>trate</w:t>
      </w:r>
      <w:r w:rsidR="005D6C9B">
        <w:rPr>
          <w:rFonts w:ascii="Century Gothic" w:hAnsi="Century Gothic"/>
        </w:rPr>
        <w:t>gies which outline</w:t>
      </w:r>
      <w:r w:rsidR="0057627E" w:rsidRPr="00943B76">
        <w:rPr>
          <w:rFonts w:ascii="Century Gothic" w:hAnsi="Century Gothic"/>
        </w:rPr>
        <w:t xml:space="preserve"> our vision to harness </w:t>
      </w:r>
      <w:r w:rsidR="007E6C68">
        <w:rPr>
          <w:rFonts w:ascii="Century Gothic" w:hAnsi="Century Gothic"/>
        </w:rPr>
        <w:t>advancements in</w:t>
      </w:r>
      <w:r w:rsidR="0057627E" w:rsidRPr="00943B76">
        <w:rPr>
          <w:rFonts w:ascii="Century Gothic" w:hAnsi="Century Gothic"/>
        </w:rPr>
        <w:t xml:space="preserve"> digital technologies and improve how we manage data and information</w:t>
      </w:r>
      <w:r w:rsidR="00677E58" w:rsidRPr="00943B76">
        <w:rPr>
          <w:rFonts w:ascii="Century Gothic" w:hAnsi="Century Gothic"/>
        </w:rPr>
        <w:t xml:space="preserve">. </w:t>
      </w:r>
    </w:p>
    <w:p w14:paraId="5C395220" w14:textId="06E8E5E7" w:rsidR="00031DC6" w:rsidRPr="00CB34B2" w:rsidRDefault="00031DC6" w:rsidP="006F4F7A">
      <w:pPr>
        <w:spacing w:line="360" w:lineRule="atLeast"/>
        <w:rPr>
          <w:rFonts w:ascii="Century Gothic" w:hAnsi="Century Gothic"/>
        </w:rPr>
      </w:pPr>
      <w:r w:rsidRPr="00CB34B2">
        <w:rPr>
          <w:rFonts w:ascii="Century Gothic" w:hAnsi="Century Gothic"/>
        </w:rPr>
        <w:t xml:space="preserve">Our vision is to provide </w:t>
      </w:r>
      <w:r w:rsidR="0057627E">
        <w:rPr>
          <w:rFonts w:ascii="Century Gothic" w:hAnsi="Century Gothic"/>
        </w:rPr>
        <w:t xml:space="preserve">reliable, </w:t>
      </w:r>
      <w:r w:rsidRPr="00CB34B2">
        <w:rPr>
          <w:rFonts w:ascii="Century Gothic" w:hAnsi="Century Gothic"/>
        </w:rPr>
        <w:t xml:space="preserve">scalable, flexible, sustainable and secure ICT services that can adapt quickly to a diverse and rapidly evolving operating context. </w:t>
      </w:r>
      <w:r w:rsidR="00BE0FD7">
        <w:rPr>
          <w:rFonts w:ascii="Century Gothic" w:hAnsi="Century Gothic"/>
        </w:rPr>
        <w:t xml:space="preserve">We aim to </w:t>
      </w:r>
      <w:r w:rsidR="00BE0FD7" w:rsidRPr="00BE0FD7">
        <w:rPr>
          <w:rFonts w:ascii="Century Gothic" w:hAnsi="Century Gothic"/>
        </w:rPr>
        <w:t xml:space="preserve">deliver </w:t>
      </w:r>
      <w:r w:rsidR="009A5DC1">
        <w:rPr>
          <w:rFonts w:ascii="Century Gothic" w:hAnsi="Century Gothic"/>
        </w:rPr>
        <w:t xml:space="preserve">fit for purpose </w:t>
      </w:r>
      <w:r w:rsidR="00BE0FD7" w:rsidRPr="00BE0FD7">
        <w:rPr>
          <w:rFonts w:ascii="Century Gothic" w:hAnsi="Century Gothic"/>
        </w:rPr>
        <w:t>ICT solutions that not only meet business outcomes, but are</w:t>
      </w:r>
      <w:r w:rsidR="009A5DC1">
        <w:rPr>
          <w:rFonts w:ascii="Century Gothic" w:hAnsi="Century Gothic"/>
        </w:rPr>
        <w:t xml:space="preserve"> also</w:t>
      </w:r>
      <w:r w:rsidR="00BE0FD7" w:rsidRPr="00BE0FD7">
        <w:rPr>
          <w:rFonts w:ascii="Century Gothic" w:hAnsi="Century Gothic"/>
        </w:rPr>
        <w:t xml:space="preserve"> intuitive and user friendly</w:t>
      </w:r>
      <w:r w:rsidR="007E6C68">
        <w:rPr>
          <w:rFonts w:ascii="Century Gothic" w:hAnsi="Century Gothic"/>
        </w:rPr>
        <w:t xml:space="preserve"> so as to optimise utilisation and outcomes</w:t>
      </w:r>
      <w:r w:rsidR="00BE0FD7">
        <w:rPr>
          <w:rFonts w:ascii="Century Gothic" w:hAnsi="Century Gothic"/>
        </w:rPr>
        <w:t xml:space="preserve">. </w:t>
      </w:r>
      <w:r w:rsidR="004A1887">
        <w:rPr>
          <w:rFonts w:ascii="Century Gothic" w:hAnsi="Century Gothic"/>
        </w:rPr>
        <w:t xml:space="preserve">Importantly, </w:t>
      </w:r>
      <w:r w:rsidR="009A5DC1">
        <w:rPr>
          <w:rFonts w:ascii="Century Gothic" w:hAnsi="Century Gothic"/>
        </w:rPr>
        <w:t>the</w:t>
      </w:r>
      <w:r w:rsidR="004A1887">
        <w:rPr>
          <w:rFonts w:ascii="Century Gothic" w:hAnsi="Century Gothic"/>
        </w:rPr>
        <w:t xml:space="preserve"> design </w:t>
      </w:r>
      <w:r w:rsidR="009A5DC1">
        <w:rPr>
          <w:rFonts w:ascii="Century Gothic" w:hAnsi="Century Gothic"/>
        </w:rPr>
        <w:t xml:space="preserve">of </w:t>
      </w:r>
      <w:r w:rsidR="004A1887">
        <w:rPr>
          <w:rFonts w:ascii="Century Gothic" w:hAnsi="Century Gothic"/>
        </w:rPr>
        <w:t>new systems and processes</w:t>
      </w:r>
      <w:r w:rsidR="009A5DC1">
        <w:rPr>
          <w:rFonts w:ascii="Century Gothic" w:hAnsi="Century Gothic"/>
        </w:rPr>
        <w:t xml:space="preserve"> incorporate digital solutions </w:t>
      </w:r>
      <w:r w:rsidR="000B0FC5">
        <w:rPr>
          <w:rFonts w:ascii="Century Gothic" w:hAnsi="Century Gothic"/>
        </w:rPr>
        <w:t>where possible</w:t>
      </w:r>
      <w:r w:rsidR="004A1887">
        <w:rPr>
          <w:rFonts w:ascii="Century Gothic" w:hAnsi="Century Gothic"/>
        </w:rPr>
        <w:t xml:space="preserve">.  </w:t>
      </w:r>
    </w:p>
    <w:p w14:paraId="4D302868" w14:textId="77777777" w:rsidR="005D6C9B" w:rsidRDefault="0085088B" w:rsidP="00BE0FD7">
      <w:pPr>
        <w:spacing w:after="300" w:line="361" w:lineRule="atLeast"/>
        <w:rPr>
          <w:rFonts w:ascii="Century Gothic" w:hAnsi="Century Gothic"/>
        </w:rPr>
      </w:pPr>
      <w:r>
        <w:rPr>
          <w:rFonts w:ascii="Century Gothic" w:hAnsi="Century Gothic"/>
        </w:rPr>
        <w:t>Further, w</w:t>
      </w:r>
      <w:r w:rsidR="005D6C9B">
        <w:rPr>
          <w:rFonts w:ascii="Century Gothic" w:hAnsi="Century Gothic"/>
        </w:rPr>
        <w:t xml:space="preserve">e know that </w:t>
      </w:r>
      <w:r w:rsidR="00BE0FD7">
        <w:rPr>
          <w:rFonts w:ascii="Century Gothic" w:hAnsi="Century Gothic"/>
        </w:rPr>
        <w:t xml:space="preserve">quality data </w:t>
      </w:r>
      <w:r w:rsidR="009A5DC1">
        <w:rPr>
          <w:rFonts w:ascii="Century Gothic" w:hAnsi="Century Gothic"/>
        </w:rPr>
        <w:t>is critical</w:t>
      </w:r>
      <w:r w:rsidR="001B505E">
        <w:rPr>
          <w:rFonts w:ascii="Century Gothic" w:hAnsi="Century Gothic"/>
        </w:rPr>
        <w:t xml:space="preserve"> in </w:t>
      </w:r>
      <w:r w:rsidR="009A5DC1">
        <w:rPr>
          <w:rFonts w:ascii="Century Gothic" w:hAnsi="Century Gothic"/>
        </w:rPr>
        <w:t>ensuring that policy design is</w:t>
      </w:r>
      <w:r w:rsidR="00BE0FD7">
        <w:rPr>
          <w:rFonts w:ascii="Century Gothic" w:hAnsi="Century Gothic"/>
        </w:rPr>
        <w:t xml:space="preserve"> evidence based</w:t>
      </w:r>
      <w:r w:rsidR="009A5DC1">
        <w:rPr>
          <w:rFonts w:ascii="Century Gothic" w:hAnsi="Century Gothic"/>
        </w:rPr>
        <w:t xml:space="preserve"> </w:t>
      </w:r>
      <w:r w:rsidR="001B505E">
        <w:rPr>
          <w:rFonts w:ascii="Century Gothic" w:hAnsi="Century Gothic"/>
        </w:rPr>
        <w:t xml:space="preserve">and to </w:t>
      </w:r>
      <w:r w:rsidR="009A5DC1">
        <w:rPr>
          <w:rFonts w:ascii="Century Gothic" w:hAnsi="Century Gothic"/>
        </w:rPr>
        <w:t>enabl</w:t>
      </w:r>
      <w:r w:rsidR="001B505E">
        <w:rPr>
          <w:rFonts w:ascii="Century Gothic" w:hAnsi="Century Gothic"/>
        </w:rPr>
        <w:t>e</w:t>
      </w:r>
      <w:r w:rsidR="009A5DC1">
        <w:rPr>
          <w:rFonts w:ascii="Century Gothic" w:hAnsi="Century Gothic"/>
        </w:rPr>
        <w:t xml:space="preserve"> us to monitor the effectiveness of our programs. </w:t>
      </w:r>
      <w:r w:rsidR="00BE0FD7">
        <w:rPr>
          <w:rFonts w:ascii="Century Gothic" w:hAnsi="Century Gothic"/>
        </w:rPr>
        <w:t xml:space="preserve"> To support this, </w:t>
      </w:r>
      <w:r w:rsidR="005D6C9B">
        <w:rPr>
          <w:rFonts w:ascii="Century Gothic" w:hAnsi="Century Gothic"/>
        </w:rPr>
        <w:t>o</w:t>
      </w:r>
      <w:r w:rsidR="00BE0FD7">
        <w:rPr>
          <w:rFonts w:ascii="Century Gothic" w:hAnsi="Century Gothic"/>
        </w:rPr>
        <w:t>ver the next few years we will</w:t>
      </w:r>
      <w:r w:rsidR="005D6C9B">
        <w:rPr>
          <w:rFonts w:ascii="Century Gothic" w:hAnsi="Century Gothic"/>
        </w:rPr>
        <w:t>:</w:t>
      </w:r>
    </w:p>
    <w:p w14:paraId="4B8B0ABA" w14:textId="77777777" w:rsidR="008E4027" w:rsidRPr="000632C7" w:rsidRDefault="008E4027" w:rsidP="000632C7">
      <w:pPr>
        <w:pStyle w:val="Default"/>
        <w:numPr>
          <w:ilvl w:val="0"/>
          <w:numId w:val="42"/>
        </w:numPr>
        <w:spacing w:after="300" w:line="361" w:lineRule="atLeast"/>
        <w:rPr>
          <w:rFonts w:cstheme="minorBidi"/>
          <w:color w:val="1A2A38"/>
          <w:sz w:val="22"/>
          <w:szCs w:val="22"/>
        </w:rPr>
      </w:pPr>
      <w:r w:rsidRPr="000632C7">
        <w:rPr>
          <w:rFonts w:cstheme="minorBidi"/>
          <w:color w:val="1A2A38"/>
          <w:sz w:val="22"/>
          <w:szCs w:val="22"/>
        </w:rPr>
        <w:t>build the digital and data capability of our staff while improving ou</w:t>
      </w:r>
      <w:r w:rsidR="00BE0FD7" w:rsidRPr="000632C7">
        <w:rPr>
          <w:rFonts w:cstheme="minorBidi"/>
          <w:color w:val="1A2A38"/>
          <w:sz w:val="22"/>
          <w:szCs w:val="22"/>
        </w:rPr>
        <w:t xml:space="preserve">r digital experience for our staff and partners; </w:t>
      </w:r>
    </w:p>
    <w:p w14:paraId="7185D5D4" w14:textId="77777777" w:rsidR="008E4027" w:rsidRPr="000632C7" w:rsidRDefault="00031DC6" w:rsidP="000632C7">
      <w:pPr>
        <w:pStyle w:val="Default"/>
        <w:numPr>
          <w:ilvl w:val="0"/>
          <w:numId w:val="42"/>
        </w:numPr>
        <w:spacing w:after="300" w:line="361" w:lineRule="atLeast"/>
        <w:rPr>
          <w:rFonts w:cstheme="minorBidi"/>
          <w:color w:val="1A2A38"/>
          <w:sz w:val="22"/>
          <w:szCs w:val="22"/>
        </w:rPr>
      </w:pPr>
      <w:r w:rsidRPr="006F4F7A">
        <w:rPr>
          <w:color w:val="1A2A38"/>
          <w:sz w:val="22"/>
        </w:rPr>
        <w:t>improve our foundational data and analytics capabilities</w:t>
      </w:r>
      <w:r w:rsidR="008E4027" w:rsidRPr="000632C7">
        <w:rPr>
          <w:rFonts w:cstheme="minorBidi"/>
          <w:color w:val="1A2A38"/>
          <w:sz w:val="22"/>
          <w:szCs w:val="22"/>
        </w:rPr>
        <w:t>;</w:t>
      </w:r>
    </w:p>
    <w:p w14:paraId="2EE9E9EA" w14:textId="36692D69" w:rsidR="00031DC6" w:rsidRPr="006F4F7A" w:rsidRDefault="00031DC6" w:rsidP="006F4F7A">
      <w:pPr>
        <w:pStyle w:val="Default"/>
        <w:numPr>
          <w:ilvl w:val="0"/>
          <w:numId w:val="42"/>
        </w:numPr>
        <w:spacing w:after="300" w:line="361" w:lineRule="atLeast"/>
        <w:rPr>
          <w:color w:val="1A2A38"/>
        </w:rPr>
      </w:pPr>
      <w:r w:rsidRPr="006F4F7A">
        <w:rPr>
          <w:color w:val="1A2A38"/>
          <w:sz w:val="22"/>
        </w:rPr>
        <w:t>look for opportunities to improve connectivity and reliability of existing ICT assets, services and products, with a particular focus on regional and remote offices</w:t>
      </w:r>
      <w:r w:rsidR="008E4027" w:rsidRPr="000632C7">
        <w:rPr>
          <w:rFonts w:cstheme="minorBidi"/>
          <w:color w:val="1A2A38"/>
          <w:sz w:val="22"/>
          <w:szCs w:val="22"/>
        </w:rPr>
        <w:t>;</w:t>
      </w:r>
    </w:p>
    <w:p w14:paraId="35EC439E" w14:textId="7BFFF7AC" w:rsidR="00031DC6" w:rsidRPr="006F4F7A" w:rsidRDefault="00031DC6" w:rsidP="006F4F7A">
      <w:pPr>
        <w:pStyle w:val="Default"/>
        <w:numPr>
          <w:ilvl w:val="0"/>
          <w:numId w:val="42"/>
        </w:numPr>
        <w:spacing w:after="300" w:line="361" w:lineRule="atLeast"/>
        <w:rPr>
          <w:color w:val="1A2A38"/>
        </w:rPr>
      </w:pPr>
      <w:r w:rsidRPr="006F4F7A">
        <w:rPr>
          <w:color w:val="1A2A38"/>
          <w:sz w:val="22"/>
        </w:rPr>
        <w:t>increase interoperability and automation in systems and data sources</w:t>
      </w:r>
      <w:r w:rsidR="008E4027" w:rsidRPr="000632C7">
        <w:rPr>
          <w:rFonts w:cstheme="minorBidi"/>
          <w:color w:val="1A2A38"/>
          <w:sz w:val="22"/>
          <w:szCs w:val="22"/>
        </w:rPr>
        <w:t>;</w:t>
      </w:r>
      <w:r w:rsidR="00E02BC9">
        <w:rPr>
          <w:rFonts w:cstheme="minorBidi"/>
          <w:color w:val="1A2A38"/>
          <w:sz w:val="22"/>
          <w:szCs w:val="22"/>
        </w:rPr>
        <w:t xml:space="preserve"> and</w:t>
      </w:r>
    </w:p>
    <w:p w14:paraId="25CD7C38" w14:textId="77777777" w:rsidR="00BE0FD7" w:rsidRPr="000632C7" w:rsidRDefault="00BE0FD7" w:rsidP="000632C7">
      <w:pPr>
        <w:pStyle w:val="Default"/>
        <w:numPr>
          <w:ilvl w:val="0"/>
          <w:numId w:val="42"/>
        </w:numPr>
        <w:spacing w:after="300" w:line="361" w:lineRule="atLeast"/>
        <w:rPr>
          <w:rFonts w:cstheme="minorBidi"/>
          <w:color w:val="1A2A38"/>
          <w:sz w:val="22"/>
          <w:szCs w:val="22"/>
        </w:rPr>
      </w:pPr>
      <w:r w:rsidRPr="000632C7">
        <w:rPr>
          <w:rFonts w:cstheme="minorBidi"/>
          <w:color w:val="1A2A38"/>
          <w:sz w:val="22"/>
          <w:szCs w:val="22"/>
        </w:rPr>
        <w:t xml:space="preserve">develop a governance framework to help guide us in how we manage data and information. </w:t>
      </w:r>
    </w:p>
    <w:p w14:paraId="43EAD6E5" w14:textId="393EF14E" w:rsidR="00031DC6" w:rsidRPr="00CB34B2" w:rsidRDefault="00031DC6" w:rsidP="00031DC6">
      <w:pPr>
        <w:spacing w:after="300" w:line="361" w:lineRule="atLeast"/>
        <w:rPr>
          <w:rFonts w:ascii="Century Gothic" w:hAnsi="Century Gothic"/>
        </w:rPr>
      </w:pPr>
      <w:r w:rsidRPr="00CB34B2">
        <w:rPr>
          <w:rFonts w:ascii="Century Gothic" w:hAnsi="Century Gothic"/>
        </w:rPr>
        <w:t xml:space="preserve">To support </w:t>
      </w:r>
      <w:r w:rsidR="0046580A">
        <w:rPr>
          <w:rFonts w:ascii="Century Gothic" w:hAnsi="Century Gothic"/>
        </w:rPr>
        <w:t xml:space="preserve">the </w:t>
      </w:r>
      <w:r w:rsidRPr="00CB34B2">
        <w:rPr>
          <w:rFonts w:ascii="Century Gothic" w:hAnsi="Century Gothic"/>
        </w:rPr>
        <w:t xml:space="preserve">implementation of the ICT </w:t>
      </w:r>
      <w:r w:rsidR="000B0FC5">
        <w:rPr>
          <w:rFonts w:ascii="Century Gothic" w:hAnsi="Century Gothic"/>
        </w:rPr>
        <w:t>and Digital S</w:t>
      </w:r>
      <w:r w:rsidR="00282DBD" w:rsidRPr="00CB34B2">
        <w:rPr>
          <w:rFonts w:ascii="Century Gothic" w:hAnsi="Century Gothic"/>
        </w:rPr>
        <w:t xml:space="preserve">trategies, </w:t>
      </w:r>
      <w:r w:rsidRPr="00CB34B2">
        <w:rPr>
          <w:rFonts w:ascii="Century Gothic" w:hAnsi="Century Gothic"/>
        </w:rPr>
        <w:t>we will develop operating, sourcing and technology models</w:t>
      </w:r>
      <w:r w:rsidR="00804449">
        <w:rPr>
          <w:rFonts w:ascii="Century Gothic" w:hAnsi="Century Gothic"/>
        </w:rPr>
        <w:t xml:space="preserve">. These models will </w:t>
      </w:r>
      <w:r w:rsidRPr="00CB34B2">
        <w:rPr>
          <w:rFonts w:ascii="Century Gothic" w:hAnsi="Century Gothic"/>
        </w:rPr>
        <w:t xml:space="preserve">inform technology </w:t>
      </w:r>
      <w:r w:rsidR="00282DBD" w:rsidRPr="00CB34B2">
        <w:rPr>
          <w:rFonts w:ascii="Century Gothic" w:hAnsi="Century Gothic"/>
        </w:rPr>
        <w:t>investment</w:t>
      </w:r>
      <w:r w:rsidR="009A5DC1">
        <w:rPr>
          <w:rFonts w:ascii="Century Gothic" w:hAnsi="Century Gothic"/>
        </w:rPr>
        <w:t xml:space="preserve"> decisions</w:t>
      </w:r>
      <w:r w:rsidRPr="00CB34B2">
        <w:rPr>
          <w:rFonts w:ascii="Century Gothic" w:hAnsi="Century Gothic"/>
        </w:rPr>
        <w:t xml:space="preserve"> and how we consolidate and rationalise the ICT landscape to reduce unnecessary overheads </w:t>
      </w:r>
      <w:r w:rsidR="009A5DC1">
        <w:rPr>
          <w:rFonts w:ascii="Century Gothic" w:hAnsi="Century Gothic"/>
        </w:rPr>
        <w:t>costs</w:t>
      </w:r>
      <w:r w:rsidR="00282DBD" w:rsidRPr="00CB34B2">
        <w:rPr>
          <w:rFonts w:ascii="Century Gothic" w:hAnsi="Century Gothic"/>
        </w:rPr>
        <w:t xml:space="preserve"> </w:t>
      </w:r>
      <w:r w:rsidRPr="00CB34B2">
        <w:rPr>
          <w:rFonts w:ascii="Century Gothic" w:hAnsi="Century Gothic"/>
        </w:rPr>
        <w:t>and capability fragmentation.</w:t>
      </w:r>
    </w:p>
    <w:p w14:paraId="37A1FA74" w14:textId="29E6162D" w:rsidR="00C70053" w:rsidRPr="0022533F" w:rsidRDefault="009C03C5" w:rsidP="0022533F">
      <w:pPr>
        <w:spacing w:after="300" w:line="361" w:lineRule="atLeast"/>
        <w:rPr>
          <w:rFonts w:ascii="Century Gothic" w:hAnsi="Century Gothic"/>
        </w:rPr>
      </w:pPr>
      <w:r w:rsidRPr="00BE0FD7">
        <w:rPr>
          <w:rFonts w:ascii="Century Gothic" w:hAnsi="Century Gothic"/>
        </w:rPr>
        <w:t>We will collaborate with</w:t>
      </w:r>
      <w:r w:rsidR="00031DC6" w:rsidRPr="00CB34B2">
        <w:rPr>
          <w:rFonts w:ascii="Century Gothic" w:hAnsi="Century Gothic"/>
        </w:rPr>
        <w:t xml:space="preserve"> our </w:t>
      </w:r>
      <w:r w:rsidRPr="00BE0FD7">
        <w:rPr>
          <w:rFonts w:ascii="Century Gothic" w:hAnsi="Century Gothic"/>
        </w:rPr>
        <w:t>shared services</w:t>
      </w:r>
      <w:r w:rsidR="00031DC6" w:rsidRPr="00CB34B2">
        <w:rPr>
          <w:rFonts w:ascii="Century Gothic" w:hAnsi="Century Gothic"/>
        </w:rPr>
        <w:t xml:space="preserve"> partners </w:t>
      </w:r>
      <w:r>
        <w:rPr>
          <w:rFonts w:ascii="Century Gothic" w:hAnsi="Century Gothic"/>
        </w:rPr>
        <w:t>in delivering these strategies</w:t>
      </w:r>
      <w:r w:rsidRPr="00BE0FD7">
        <w:rPr>
          <w:rFonts w:ascii="Century Gothic" w:hAnsi="Century Gothic"/>
        </w:rPr>
        <w:t>,</w:t>
      </w:r>
      <w:r w:rsidR="00031DC6" w:rsidRPr="00CB34B2">
        <w:rPr>
          <w:rFonts w:ascii="Century Gothic" w:hAnsi="Century Gothic"/>
        </w:rPr>
        <w:t xml:space="preserve"> to</w:t>
      </w:r>
      <w:r w:rsidRPr="00BE0FD7">
        <w:rPr>
          <w:rFonts w:ascii="Century Gothic" w:hAnsi="Century Gothic"/>
        </w:rPr>
        <w:t xml:space="preserve"> ensure that we have the appropriate systems and services in place to operate effectively and to support</w:t>
      </w:r>
      <w:r w:rsidR="00031DC6" w:rsidRPr="00E361D5">
        <w:rPr>
          <w:rFonts w:ascii="Century Gothic" w:hAnsi="Century Gothic"/>
        </w:rPr>
        <w:t xml:space="preserve"> our staff and </w:t>
      </w:r>
      <w:r w:rsidRPr="00BE0FD7">
        <w:rPr>
          <w:rFonts w:ascii="Century Gothic" w:hAnsi="Century Gothic"/>
        </w:rPr>
        <w:t>stakeholders, now</w:t>
      </w:r>
      <w:r w:rsidR="00031DC6" w:rsidRPr="00E361D5">
        <w:rPr>
          <w:rFonts w:ascii="Century Gothic" w:hAnsi="Century Gothic"/>
        </w:rPr>
        <w:t xml:space="preserve"> and </w:t>
      </w:r>
      <w:r w:rsidRPr="00BE0FD7">
        <w:rPr>
          <w:rFonts w:ascii="Century Gothic" w:hAnsi="Century Gothic"/>
        </w:rPr>
        <w:t>into the future.</w:t>
      </w:r>
    </w:p>
    <w:p w14:paraId="3C6FBF31" w14:textId="32D7549F" w:rsidR="00031DC6" w:rsidRPr="00950A94" w:rsidRDefault="001B505E" w:rsidP="001625D7">
      <w:pPr>
        <w:pStyle w:val="Default"/>
        <w:spacing w:after="300" w:line="361" w:lineRule="atLeast"/>
        <w:outlineLvl w:val="1"/>
        <w:rPr>
          <w:b/>
          <w:u w:val="single"/>
        </w:rPr>
      </w:pPr>
      <w:r>
        <w:rPr>
          <w:b/>
          <w:u w:val="single"/>
        </w:rPr>
        <w:t>Providing</w:t>
      </w:r>
      <w:r w:rsidR="008B4553" w:rsidRPr="006F4F7A">
        <w:rPr>
          <w:b/>
          <w:u w:val="single"/>
        </w:rPr>
        <w:t xml:space="preserve"> a </w:t>
      </w:r>
      <w:r w:rsidRPr="001625D7">
        <w:rPr>
          <w:rFonts w:cstheme="minorBidi"/>
          <w:b/>
          <w:color w:val="auto"/>
          <w:u w:val="single"/>
        </w:rPr>
        <w:t>suitable</w:t>
      </w:r>
      <w:r w:rsidR="008B4553" w:rsidRPr="00950A94">
        <w:rPr>
          <w:b/>
          <w:u w:val="single"/>
        </w:rPr>
        <w:t xml:space="preserve"> </w:t>
      </w:r>
      <w:r w:rsidR="007C1380" w:rsidRPr="00950A94">
        <w:rPr>
          <w:b/>
          <w:u w:val="single"/>
        </w:rPr>
        <w:t>property</w:t>
      </w:r>
      <w:r w:rsidR="00325A46" w:rsidRPr="00950A94">
        <w:rPr>
          <w:b/>
          <w:u w:val="single"/>
        </w:rPr>
        <w:t xml:space="preserve"> portfolio</w:t>
      </w:r>
    </w:p>
    <w:p w14:paraId="1D914D4E" w14:textId="01AA82E1" w:rsidR="00B57E9E" w:rsidRDefault="0083064A" w:rsidP="0022533F">
      <w:pPr>
        <w:spacing w:after="300" w:line="361" w:lineRule="atLeast"/>
        <w:rPr>
          <w:rFonts w:ascii="Century Gothic" w:hAnsi="Century Gothic"/>
          <w:b/>
        </w:rPr>
      </w:pPr>
      <w:r>
        <w:rPr>
          <w:rFonts w:ascii="Century Gothic" w:hAnsi="Century Gothic"/>
        </w:rPr>
        <w:t>Our infrastructure footprint supports the delivery of policy</w:t>
      </w:r>
      <w:r w:rsidR="008B4553" w:rsidRPr="006F4F7A">
        <w:rPr>
          <w:rFonts w:ascii="Century Gothic" w:hAnsi="Century Gothic"/>
        </w:rPr>
        <w:t xml:space="preserve"> and </w:t>
      </w:r>
      <w:r>
        <w:rPr>
          <w:rFonts w:ascii="Century Gothic" w:hAnsi="Century Gothic"/>
        </w:rPr>
        <w:t xml:space="preserve">programs across Australia.  </w:t>
      </w:r>
      <w:r w:rsidR="0001080F">
        <w:rPr>
          <w:rFonts w:ascii="Century Gothic" w:hAnsi="Century Gothic"/>
        </w:rPr>
        <w:t xml:space="preserve">The </w:t>
      </w:r>
      <w:r w:rsidR="00056F25">
        <w:rPr>
          <w:rFonts w:ascii="Century Gothic" w:hAnsi="Century Gothic"/>
        </w:rPr>
        <w:t>NIAA</w:t>
      </w:r>
      <w:r w:rsidR="007F7BBB">
        <w:rPr>
          <w:rFonts w:ascii="Century Gothic" w:hAnsi="Century Gothic"/>
        </w:rPr>
        <w:t xml:space="preserve"> has </w:t>
      </w:r>
      <w:r w:rsidR="007E6C68">
        <w:rPr>
          <w:rFonts w:ascii="Century Gothic" w:hAnsi="Century Gothic"/>
        </w:rPr>
        <w:t>a significant</w:t>
      </w:r>
      <w:r w:rsidR="007F7BBB">
        <w:rPr>
          <w:rFonts w:ascii="Century Gothic" w:hAnsi="Century Gothic"/>
        </w:rPr>
        <w:t xml:space="preserve"> </w:t>
      </w:r>
      <w:r w:rsidR="0001080F">
        <w:rPr>
          <w:rFonts w:ascii="Century Gothic" w:hAnsi="Century Gothic"/>
        </w:rPr>
        <w:t xml:space="preserve">staffing </w:t>
      </w:r>
      <w:r w:rsidR="007F7BBB">
        <w:rPr>
          <w:rFonts w:ascii="Century Gothic" w:hAnsi="Century Gothic"/>
        </w:rPr>
        <w:t xml:space="preserve">presence across remote and </w:t>
      </w:r>
      <w:r w:rsidR="007F7BBB" w:rsidRPr="00706AB2">
        <w:rPr>
          <w:rFonts w:ascii="Century Gothic" w:hAnsi="Century Gothic"/>
        </w:rPr>
        <w:t xml:space="preserve">regional </w:t>
      </w:r>
      <w:r w:rsidR="00706AB2" w:rsidRPr="00706AB2">
        <w:rPr>
          <w:rFonts w:ascii="Century Gothic" w:hAnsi="Century Gothic"/>
        </w:rPr>
        <w:t>Australia</w:t>
      </w:r>
      <w:r w:rsidR="007F7BBB" w:rsidRPr="00706AB2">
        <w:rPr>
          <w:rFonts w:ascii="Century Gothic" w:hAnsi="Century Gothic"/>
        </w:rPr>
        <w:t>. This supports</w:t>
      </w:r>
      <w:r w:rsidR="007F7BBB">
        <w:rPr>
          <w:rFonts w:ascii="Century Gothic" w:hAnsi="Century Gothic"/>
        </w:rPr>
        <w:t xml:space="preserve"> </w:t>
      </w:r>
      <w:r w:rsidR="00706AB2">
        <w:rPr>
          <w:rFonts w:ascii="Century Gothic" w:hAnsi="Century Gothic"/>
        </w:rPr>
        <w:t xml:space="preserve">us in developing </w:t>
      </w:r>
      <w:r w:rsidR="007F7BBB">
        <w:rPr>
          <w:rFonts w:ascii="Century Gothic" w:hAnsi="Century Gothic"/>
        </w:rPr>
        <w:t xml:space="preserve">on the ground knowledge </w:t>
      </w:r>
      <w:r>
        <w:rPr>
          <w:rFonts w:ascii="Century Gothic" w:hAnsi="Century Gothic"/>
        </w:rPr>
        <w:t>by working in community. It also helps us in</w:t>
      </w:r>
      <w:r w:rsidR="00706AB2">
        <w:rPr>
          <w:rFonts w:ascii="Century Gothic" w:hAnsi="Century Gothic"/>
        </w:rPr>
        <w:t xml:space="preserve"> facilitating </w:t>
      </w:r>
      <w:r w:rsidR="007F7BBB">
        <w:rPr>
          <w:rFonts w:ascii="Century Gothic" w:hAnsi="Century Gothic"/>
        </w:rPr>
        <w:t>co-operation with other agencies to achieve their objectives where they require support in working in remote locations.</w:t>
      </w:r>
      <w:r w:rsidR="007E6C68">
        <w:rPr>
          <w:rFonts w:ascii="Century Gothic" w:hAnsi="Century Gothic"/>
        </w:rPr>
        <w:t xml:space="preserve"> </w:t>
      </w:r>
      <w:r w:rsidR="00B57E9E">
        <w:rPr>
          <w:rFonts w:ascii="Century Gothic" w:hAnsi="Century Gothic"/>
          <w:b/>
        </w:rPr>
        <w:br w:type="page"/>
      </w:r>
    </w:p>
    <w:p w14:paraId="5E9A9FA0" w14:textId="3BDD5484" w:rsidR="00C60B26" w:rsidRPr="00C60B26" w:rsidRDefault="003A441C" w:rsidP="00BD3505">
      <w:pPr>
        <w:pStyle w:val="Heading1"/>
      </w:pPr>
      <w:bookmarkStart w:id="19" w:name="_Toc52967398"/>
      <w:bookmarkStart w:id="20" w:name="_Toc52982148"/>
      <w:bookmarkStart w:id="21" w:name="_Toc55483151"/>
      <w:bookmarkStart w:id="22" w:name="_Toc59456219"/>
      <w:r w:rsidRPr="00C60B26">
        <w:lastRenderedPageBreak/>
        <w:t>RISK</w:t>
      </w:r>
      <w:r w:rsidR="00E53A32" w:rsidRPr="00C60B26">
        <w:t xml:space="preserve"> OVERSIGHT AND</w:t>
      </w:r>
      <w:r w:rsidRPr="00C60B26">
        <w:t xml:space="preserve"> </w:t>
      </w:r>
      <w:r w:rsidR="00E53A32" w:rsidRPr="00C60B26">
        <w:t>MANAGEMENT</w:t>
      </w:r>
      <w:bookmarkEnd w:id="19"/>
      <w:bookmarkEnd w:id="20"/>
      <w:bookmarkEnd w:id="21"/>
      <w:bookmarkEnd w:id="22"/>
    </w:p>
    <w:p w14:paraId="74B038B8" w14:textId="7DAB44CE" w:rsidR="00E53A32" w:rsidRPr="004A709D" w:rsidRDefault="00E53A32" w:rsidP="004A709D">
      <w:pPr>
        <w:pStyle w:val="Default"/>
        <w:spacing w:after="300" w:line="361" w:lineRule="atLeast"/>
        <w:rPr>
          <w:b/>
          <w:sz w:val="22"/>
          <w:szCs w:val="22"/>
        </w:rPr>
      </w:pPr>
      <w:r w:rsidRPr="004A709D">
        <w:rPr>
          <w:b/>
          <w:sz w:val="22"/>
          <w:szCs w:val="22"/>
        </w:rPr>
        <w:t xml:space="preserve">In a rapidly evolving landscape of emerging risks we continue to face a number of challenges to deliver on our purpose. It is through our commitment to achieving and maintaining </w:t>
      </w:r>
      <w:r w:rsidR="00B14EC2">
        <w:rPr>
          <w:b/>
          <w:sz w:val="22"/>
          <w:szCs w:val="22"/>
        </w:rPr>
        <w:t xml:space="preserve">a </w:t>
      </w:r>
      <w:r w:rsidRPr="004A709D">
        <w:rPr>
          <w:b/>
          <w:sz w:val="22"/>
          <w:szCs w:val="22"/>
        </w:rPr>
        <w:t xml:space="preserve">strong risk management </w:t>
      </w:r>
      <w:r w:rsidR="00B14EC2">
        <w:rPr>
          <w:b/>
          <w:sz w:val="22"/>
          <w:szCs w:val="22"/>
        </w:rPr>
        <w:t>process</w:t>
      </w:r>
      <w:r w:rsidRPr="004A709D">
        <w:rPr>
          <w:b/>
          <w:sz w:val="22"/>
          <w:szCs w:val="22"/>
        </w:rPr>
        <w:t xml:space="preserve"> that we are able to address these challenges and </w:t>
      </w:r>
      <w:r w:rsidR="005D3F1F">
        <w:rPr>
          <w:b/>
          <w:sz w:val="22"/>
          <w:szCs w:val="22"/>
        </w:rPr>
        <w:t>practice</w:t>
      </w:r>
      <w:r w:rsidRPr="004A709D">
        <w:rPr>
          <w:b/>
          <w:sz w:val="22"/>
          <w:szCs w:val="22"/>
        </w:rPr>
        <w:t xml:space="preserve"> evidence based decision making. Risk monitoring and reporting capabilities are being enhanced to ensure we can track progress and demonstrate continuous improvement across all areas of risk oversight and management. We are focused on </w:t>
      </w:r>
      <w:r w:rsidR="002B5622">
        <w:rPr>
          <w:b/>
          <w:sz w:val="22"/>
          <w:szCs w:val="22"/>
        </w:rPr>
        <w:t xml:space="preserve">continuing to enhance </w:t>
      </w:r>
      <w:r w:rsidRPr="004A709D">
        <w:rPr>
          <w:b/>
          <w:sz w:val="22"/>
          <w:szCs w:val="22"/>
        </w:rPr>
        <w:t xml:space="preserve">staff capability to proactively manage all risks and </w:t>
      </w:r>
      <w:r w:rsidR="00E871D6">
        <w:rPr>
          <w:b/>
          <w:sz w:val="22"/>
          <w:szCs w:val="22"/>
        </w:rPr>
        <w:t>seek to ensure</w:t>
      </w:r>
      <w:r w:rsidRPr="004A709D">
        <w:rPr>
          <w:b/>
          <w:sz w:val="22"/>
          <w:szCs w:val="22"/>
        </w:rPr>
        <w:t xml:space="preserve"> staff at all levels dentify</w:t>
      </w:r>
      <w:r w:rsidR="002B5622">
        <w:rPr>
          <w:b/>
          <w:sz w:val="22"/>
          <w:szCs w:val="22"/>
        </w:rPr>
        <w:t xml:space="preserve"> and manage</w:t>
      </w:r>
      <w:r w:rsidRPr="004A709D">
        <w:rPr>
          <w:b/>
          <w:sz w:val="22"/>
          <w:szCs w:val="22"/>
        </w:rPr>
        <w:t xml:space="preserve"> risks and feel comfortable to escalate risks when required.</w:t>
      </w:r>
    </w:p>
    <w:p w14:paraId="694784CF" w14:textId="256B8B43" w:rsidR="00E53A32" w:rsidRPr="004A709D" w:rsidRDefault="0001080F" w:rsidP="004A709D">
      <w:pPr>
        <w:pStyle w:val="Default"/>
        <w:spacing w:after="300" w:line="361" w:lineRule="atLeast"/>
        <w:rPr>
          <w:sz w:val="22"/>
          <w:szCs w:val="22"/>
        </w:rPr>
      </w:pPr>
      <w:r>
        <w:rPr>
          <w:sz w:val="22"/>
          <w:szCs w:val="22"/>
        </w:rPr>
        <w:t xml:space="preserve">The </w:t>
      </w:r>
      <w:r w:rsidR="00056F25">
        <w:rPr>
          <w:sz w:val="22"/>
          <w:szCs w:val="22"/>
        </w:rPr>
        <w:t>NIAA</w:t>
      </w:r>
      <w:r w:rsidR="00E53A32" w:rsidRPr="004A709D">
        <w:rPr>
          <w:sz w:val="22"/>
          <w:szCs w:val="22"/>
        </w:rPr>
        <w:t xml:space="preserve"> has established </w:t>
      </w:r>
      <w:r>
        <w:rPr>
          <w:sz w:val="22"/>
          <w:szCs w:val="22"/>
        </w:rPr>
        <w:t xml:space="preserve">internal controls and </w:t>
      </w:r>
      <w:r w:rsidR="00E53A32" w:rsidRPr="004A709D">
        <w:rPr>
          <w:sz w:val="22"/>
          <w:szCs w:val="22"/>
        </w:rPr>
        <w:t xml:space="preserve">governance arrangements that support the management of risk across the </w:t>
      </w:r>
      <w:r w:rsidR="006D375E">
        <w:rPr>
          <w:sz w:val="22"/>
          <w:szCs w:val="22"/>
        </w:rPr>
        <w:t>NIAA</w:t>
      </w:r>
      <w:r w:rsidR="00E53A32" w:rsidRPr="004A709D">
        <w:rPr>
          <w:sz w:val="22"/>
          <w:szCs w:val="22"/>
        </w:rPr>
        <w:t xml:space="preserve">, including an integrated business planning process. The </w:t>
      </w:r>
      <w:r w:rsidR="00056F25">
        <w:rPr>
          <w:sz w:val="22"/>
          <w:szCs w:val="22"/>
        </w:rPr>
        <w:t>NIAA</w:t>
      </w:r>
      <w:r w:rsidR="00E53A32" w:rsidRPr="004A709D">
        <w:rPr>
          <w:sz w:val="22"/>
          <w:szCs w:val="22"/>
        </w:rPr>
        <w:t xml:space="preserve"> Audit and Risk Committee and Internal Audit functions are designed to strengthen our systems and processes to ensure we can withstand current and unforeseen pressures and risks such as the </w:t>
      </w:r>
      <w:r w:rsidR="005E0B4B">
        <w:rPr>
          <w:sz w:val="22"/>
          <w:szCs w:val="22"/>
        </w:rPr>
        <w:t>COVID</w:t>
      </w:r>
      <w:r w:rsidR="00E53A32" w:rsidRPr="004A709D">
        <w:rPr>
          <w:sz w:val="22"/>
          <w:szCs w:val="22"/>
        </w:rPr>
        <w:t xml:space="preserve">-19 pandemic, whilst also monitoring control effectiveness and performance. Specific committees and enterprise wide processes exist within our governance structure to manage particular categories of risk. </w:t>
      </w:r>
    </w:p>
    <w:p w14:paraId="57FCA308" w14:textId="23F4580F" w:rsidR="00E53A32" w:rsidRPr="004A709D" w:rsidRDefault="00935D43" w:rsidP="004A709D">
      <w:pPr>
        <w:pStyle w:val="Default"/>
        <w:spacing w:after="300" w:line="361" w:lineRule="atLeast"/>
        <w:rPr>
          <w:sz w:val="22"/>
          <w:szCs w:val="22"/>
        </w:rPr>
      </w:pPr>
      <w:r>
        <w:rPr>
          <w:sz w:val="22"/>
          <w:szCs w:val="22"/>
        </w:rPr>
        <w:t xml:space="preserve">In 2020-21 we </w:t>
      </w:r>
      <w:r w:rsidR="00E53A32" w:rsidRPr="004A709D">
        <w:rPr>
          <w:sz w:val="22"/>
          <w:szCs w:val="22"/>
        </w:rPr>
        <w:t xml:space="preserve">will complete </w:t>
      </w:r>
      <w:r>
        <w:rPr>
          <w:sz w:val="22"/>
          <w:szCs w:val="22"/>
        </w:rPr>
        <w:t>a refresh of</w:t>
      </w:r>
      <w:r w:rsidR="00E53A32" w:rsidRPr="004A709D">
        <w:rPr>
          <w:sz w:val="22"/>
          <w:szCs w:val="22"/>
        </w:rPr>
        <w:t xml:space="preserve"> our risk management policy and framework </w:t>
      </w:r>
      <w:r>
        <w:rPr>
          <w:sz w:val="22"/>
          <w:szCs w:val="22"/>
        </w:rPr>
        <w:t>to</w:t>
      </w:r>
      <w:r w:rsidR="00E53A32" w:rsidRPr="004A709D">
        <w:rPr>
          <w:sz w:val="22"/>
          <w:szCs w:val="22"/>
        </w:rPr>
        <w:t xml:space="preserve"> focus on building capability through a training and awareness program </w:t>
      </w:r>
      <w:r w:rsidRPr="004A709D">
        <w:rPr>
          <w:sz w:val="22"/>
          <w:szCs w:val="22"/>
        </w:rPr>
        <w:t>t</w:t>
      </w:r>
      <w:r>
        <w:rPr>
          <w:sz w:val="22"/>
          <w:szCs w:val="22"/>
        </w:rPr>
        <w:t xml:space="preserve">hat </w:t>
      </w:r>
      <w:r w:rsidRPr="004A709D">
        <w:rPr>
          <w:sz w:val="22"/>
          <w:szCs w:val="22"/>
        </w:rPr>
        <w:t>help</w:t>
      </w:r>
      <w:r>
        <w:rPr>
          <w:sz w:val="22"/>
          <w:szCs w:val="22"/>
        </w:rPr>
        <w:t>s</w:t>
      </w:r>
      <w:r w:rsidR="00E53A32" w:rsidRPr="004A709D">
        <w:rPr>
          <w:sz w:val="22"/>
          <w:szCs w:val="22"/>
        </w:rPr>
        <w:t xml:space="preserve"> staff </w:t>
      </w:r>
      <w:r w:rsidR="002B5622">
        <w:rPr>
          <w:sz w:val="22"/>
          <w:szCs w:val="22"/>
        </w:rPr>
        <w:t>further</w:t>
      </w:r>
      <w:r w:rsidR="00E53A32" w:rsidRPr="004A709D">
        <w:rPr>
          <w:sz w:val="22"/>
          <w:szCs w:val="22"/>
        </w:rPr>
        <w:t xml:space="preserve">engage with risk and apply best practice. Over the </w:t>
      </w:r>
      <w:r w:rsidR="005D3F1F">
        <w:rPr>
          <w:sz w:val="22"/>
          <w:szCs w:val="22"/>
        </w:rPr>
        <w:t>next four years</w:t>
      </w:r>
      <w:r w:rsidR="00E53A32" w:rsidRPr="004A709D">
        <w:rPr>
          <w:sz w:val="22"/>
          <w:szCs w:val="22"/>
        </w:rPr>
        <w:t>, we will continue to integrate, strengthen and embed our risk management framework in order to deliver our purpose. Maintaining strong relationships, increasi</w:t>
      </w:r>
      <w:r w:rsidR="005D3F1F">
        <w:rPr>
          <w:sz w:val="22"/>
          <w:szCs w:val="22"/>
        </w:rPr>
        <w:t xml:space="preserve">ng transparency and identifying </w:t>
      </w:r>
      <w:r w:rsidR="00E53A32" w:rsidRPr="004A709D">
        <w:rPr>
          <w:sz w:val="22"/>
          <w:szCs w:val="22"/>
        </w:rPr>
        <w:t>trends and opportunities will better support us to collaborate with stakeholders to manage risk.</w:t>
      </w:r>
      <w:r w:rsidR="008B5A28">
        <w:rPr>
          <w:sz w:val="22"/>
          <w:szCs w:val="22"/>
        </w:rPr>
        <w:t xml:space="preserve"> </w:t>
      </w:r>
    </w:p>
    <w:p w14:paraId="4617332D" w14:textId="03132F60" w:rsidR="00E53A32" w:rsidRPr="004A709D" w:rsidRDefault="00E53A32" w:rsidP="004A709D">
      <w:pPr>
        <w:pStyle w:val="Default"/>
        <w:spacing w:after="300" w:line="361" w:lineRule="atLeast"/>
        <w:rPr>
          <w:sz w:val="22"/>
          <w:szCs w:val="22"/>
        </w:rPr>
      </w:pPr>
    </w:p>
    <w:p w14:paraId="120D2A2E" w14:textId="0133CE10" w:rsidR="00E53A32" w:rsidRPr="00965908" w:rsidRDefault="00E53A32" w:rsidP="001625D7">
      <w:pPr>
        <w:spacing w:after="300" w:line="361" w:lineRule="atLeast"/>
        <w:outlineLvl w:val="1"/>
        <w:rPr>
          <w:rFonts w:ascii="Century Gothic" w:hAnsi="Century Gothic"/>
          <w:b/>
          <w:sz w:val="24"/>
        </w:rPr>
      </w:pPr>
      <w:r w:rsidRPr="004A709D">
        <w:rPr>
          <w:rFonts w:ascii="Century Gothic" w:hAnsi="Century Gothic"/>
          <w:b/>
        </w:rPr>
        <w:br w:type="page"/>
      </w:r>
      <w:r w:rsidRPr="00965908">
        <w:rPr>
          <w:rFonts w:ascii="Century Gothic" w:hAnsi="Century Gothic"/>
          <w:b/>
          <w:sz w:val="24"/>
        </w:rPr>
        <w:lastRenderedPageBreak/>
        <w:t>Enterprise Risks 2020-21</w:t>
      </w:r>
    </w:p>
    <w:tbl>
      <w:tblPr>
        <w:tblStyle w:val="TableGrid"/>
        <w:tblW w:w="20266" w:type="dxa"/>
        <w:tblLook w:val="04A0" w:firstRow="1" w:lastRow="0" w:firstColumn="1" w:lastColumn="0" w:noHBand="0" w:noVBand="1"/>
        <w:tblCaption w:val="Enterprise Risks 2020-21"/>
        <w:tblDescription w:val="Category; Enterprise Risks and Mitigation"/>
      </w:tblPr>
      <w:tblGrid>
        <w:gridCol w:w="1838"/>
        <w:gridCol w:w="5245"/>
        <w:gridCol w:w="13183"/>
      </w:tblGrid>
      <w:tr w:rsidR="002B0D7E" w:rsidRPr="00965908" w14:paraId="0B71A937" w14:textId="77777777" w:rsidTr="0022533F">
        <w:trPr>
          <w:tblHeader/>
        </w:trPr>
        <w:tc>
          <w:tcPr>
            <w:tcW w:w="1838" w:type="dxa"/>
            <w:shd w:val="clear" w:color="auto" w:fill="auto"/>
            <w:vAlign w:val="center"/>
          </w:tcPr>
          <w:p w14:paraId="2B09579A" w14:textId="77777777" w:rsidR="00965908" w:rsidRPr="00965908" w:rsidRDefault="00965908" w:rsidP="00965908">
            <w:pPr>
              <w:spacing w:after="120" w:line="360" w:lineRule="atLeast"/>
              <w:rPr>
                <w:rFonts w:ascii="Century Gothic" w:hAnsi="Century Gothic"/>
                <w:b/>
                <w:bCs/>
                <w:sz w:val="24"/>
                <w:lang w:val="en-US"/>
              </w:rPr>
            </w:pPr>
            <w:r w:rsidRPr="00965908">
              <w:rPr>
                <w:rFonts w:ascii="Century Gothic" w:hAnsi="Century Gothic"/>
                <w:b/>
                <w:bCs/>
                <w:sz w:val="24"/>
                <w:lang w:val="en-US"/>
              </w:rPr>
              <w:t>Category</w:t>
            </w:r>
          </w:p>
        </w:tc>
        <w:tc>
          <w:tcPr>
            <w:tcW w:w="5245" w:type="dxa"/>
            <w:shd w:val="clear" w:color="auto" w:fill="auto"/>
            <w:vAlign w:val="center"/>
          </w:tcPr>
          <w:p w14:paraId="2072748E" w14:textId="77777777" w:rsidR="00965908" w:rsidRPr="00965908" w:rsidRDefault="00965908" w:rsidP="00965908">
            <w:pPr>
              <w:spacing w:after="120" w:line="360" w:lineRule="atLeast"/>
              <w:rPr>
                <w:rFonts w:ascii="Century Gothic" w:hAnsi="Century Gothic"/>
                <w:b/>
                <w:bCs/>
                <w:sz w:val="24"/>
                <w:lang w:val="en-US"/>
              </w:rPr>
            </w:pPr>
            <w:r w:rsidRPr="00965908">
              <w:rPr>
                <w:rFonts w:ascii="Century Gothic" w:hAnsi="Century Gothic"/>
                <w:b/>
                <w:bCs/>
                <w:sz w:val="24"/>
                <w:lang w:val="en-US"/>
              </w:rPr>
              <w:t>Enterprise Risks</w:t>
            </w:r>
          </w:p>
        </w:tc>
        <w:tc>
          <w:tcPr>
            <w:tcW w:w="13183" w:type="dxa"/>
            <w:shd w:val="clear" w:color="auto" w:fill="auto"/>
            <w:vAlign w:val="center"/>
          </w:tcPr>
          <w:p w14:paraId="61EE3B9C" w14:textId="77777777" w:rsidR="00965908" w:rsidRPr="00965908" w:rsidRDefault="00965908" w:rsidP="00965908">
            <w:pPr>
              <w:spacing w:after="120" w:line="360" w:lineRule="atLeast"/>
              <w:rPr>
                <w:rFonts w:ascii="Century Gothic" w:hAnsi="Century Gothic"/>
                <w:b/>
                <w:bCs/>
                <w:sz w:val="24"/>
                <w:lang w:val="en-US"/>
              </w:rPr>
            </w:pPr>
            <w:r w:rsidRPr="00965908">
              <w:rPr>
                <w:rFonts w:ascii="Century Gothic" w:hAnsi="Century Gothic"/>
                <w:b/>
                <w:bCs/>
                <w:sz w:val="24"/>
                <w:lang w:val="en-US"/>
              </w:rPr>
              <w:t>Mitigation</w:t>
            </w:r>
          </w:p>
        </w:tc>
      </w:tr>
      <w:tr w:rsidR="00965908" w:rsidRPr="00965908" w14:paraId="47B5AFD0" w14:textId="77777777" w:rsidTr="0022533F">
        <w:trPr>
          <w:trHeight w:val="2440"/>
        </w:trPr>
        <w:tc>
          <w:tcPr>
            <w:tcW w:w="1838" w:type="dxa"/>
            <w:vAlign w:val="center"/>
          </w:tcPr>
          <w:p w14:paraId="227558C8" w14:textId="77777777" w:rsidR="00965908" w:rsidRPr="00965908" w:rsidRDefault="00965908" w:rsidP="00965908">
            <w:pPr>
              <w:spacing w:after="120" w:line="360" w:lineRule="atLeast"/>
              <w:rPr>
                <w:rFonts w:ascii="Century Gothic" w:hAnsi="Century Gothic"/>
                <w:b/>
                <w:bCs/>
                <w:lang w:val="en-US"/>
              </w:rPr>
            </w:pPr>
            <w:r w:rsidRPr="00965908">
              <w:rPr>
                <w:rFonts w:ascii="Century Gothic" w:hAnsi="Century Gothic"/>
                <w:b/>
                <w:bCs/>
                <w:lang w:val="en-US"/>
              </w:rPr>
              <w:t>People and Capability</w:t>
            </w:r>
          </w:p>
        </w:tc>
        <w:tc>
          <w:tcPr>
            <w:tcW w:w="5245" w:type="dxa"/>
            <w:vAlign w:val="center"/>
          </w:tcPr>
          <w:p w14:paraId="0ADBB42C" w14:textId="4730615A" w:rsidR="00965908" w:rsidRPr="00965908" w:rsidRDefault="00220A7E" w:rsidP="00965908">
            <w:pPr>
              <w:pStyle w:val="ListParagraph"/>
              <w:numPr>
                <w:ilvl w:val="0"/>
                <w:numId w:val="38"/>
              </w:numPr>
              <w:spacing w:after="120" w:line="360" w:lineRule="atLeast"/>
              <w:ind w:left="315" w:hanging="284"/>
              <w:contextualSpacing w:val="0"/>
              <w:rPr>
                <w:rFonts w:ascii="Century Gothic" w:hAnsi="Century Gothic"/>
              </w:rPr>
            </w:pPr>
            <w:r>
              <w:rPr>
                <w:rFonts w:ascii="Century Gothic" w:hAnsi="Century Gothic"/>
              </w:rPr>
              <w:t xml:space="preserve">The </w:t>
            </w:r>
            <w:r w:rsidR="00965908" w:rsidRPr="00965908">
              <w:rPr>
                <w:rFonts w:ascii="Century Gothic" w:hAnsi="Century Gothic"/>
              </w:rPr>
              <w:t xml:space="preserve">NIAA does not put in place the right capabilities (people, resources, processes, systems and culture) to deliver </w:t>
            </w:r>
            <w:r w:rsidR="00431043">
              <w:rPr>
                <w:rFonts w:ascii="Century Gothic" w:hAnsi="Century Gothic"/>
              </w:rPr>
              <w:t>g</w:t>
            </w:r>
            <w:r w:rsidR="00965908" w:rsidRPr="00965908">
              <w:rPr>
                <w:rFonts w:ascii="Century Gothic" w:hAnsi="Century Gothic"/>
              </w:rPr>
              <w:t>overnment objectives.</w:t>
            </w:r>
          </w:p>
          <w:p w14:paraId="299BA259" w14:textId="25D6DCF4" w:rsidR="00965908" w:rsidRPr="00965908" w:rsidRDefault="00220A7E" w:rsidP="00965908">
            <w:pPr>
              <w:pStyle w:val="ListParagraph"/>
              <w:numPr>
                <w:ilvl w:val="0"/>
                <w:numId w:val="38"/>
              </w:numPr>
              <w:spacing w:after="120" w:line="360" w:lineRule="atLeast"/>
              <w:ind w:left="315" w:hanging="284"/>
              <w:contextualSpacing w:val="0"/>
              <w:rPr>
                <w:rFonts w:ascii="Century Gothic" w:hAnsi="Century Gothic"/>
                <w:lang w:val="en-US"/>
              </w:rPr>
            </w:pPr>
            <w:r>
              <w:rPr>
                <w:rFonts w:ascii="Century Gothic" w:hAnsi="Century Gothic"/>
              </w:rPr>
              <w:t xml:space="preserve">The </w:t>
            </w:r>
            <w:r w:rsidR="00965908" w:rsidRPr="00965908">
              <w:rPr>
                <w:rFonts w:ascii="Century Gothic" w:hAnsi="Century Gothic"/>
              </w:rPr>
              <w:t>NIAA’s investment in and management of its people does not meet short and long</w:t>
            </w:r>
            <w:r w:rsidR="00B7156B">
              <w:rPr>
                <w:rFonts w:ascii="Century Gothic" w:hAnsi="Century Gothic"/>
              </w:rPr>
              <w:noBreakHyphen/>
            </w:r>
            <w:r w:rsidR="00965908" w:rsidRPr="00965908">
              <w:rPr>
                <w:rFonts w:ascii="Century Gothic" w:hAnsi="Century Gothic"/>
              </w:rPr>
              <w:t>term requirements to achieve its purpose.</w:t>
            </w:r>
          </w:p>
        </w:tc>
        <w:tc>
          <w:tcPr>
            <w:tcW w:w="13183" w:type="dxa"/>
            <w:vAlign w:val="center"/>
          </w:tcPr>
          <w:p w14:paraId="52B00A2C" w14:textId="77777777" w:rsidR="00965908" w:rsidRPr="002B0D7E" w:rsidRDefault="00965908" w:rsidP="00965908">
            <w:pPr>
              <w:pStyle w:val="NoSpacing"/>
              <w:numPr>
                <w:ilvl w:val="0"/>
                <w:numId w:val="38"/>
              </w:numPr>
              <w:spacing w:after="120" w:line="360" w:lineRule="atLeast"/>
              <w:rPr>
                <w:rFonts w:ascii="Century Gothic" w:hAnsi="Century Gothic"/>
              </w:rPr>
            </w:pPr>
            <w:r w:rsidRPr="002B0D7E">
              <w:rPr>
                <w:rFonts w:ascii="Century Gothic" w:hAnsi="Century Gothic"/>
              </w:rPr>
              <w:t xml:space="preserve">Develop an NIAA Workforce Plan and Human Resource Management Model, with a focus on Leadership and Development, Performance Management, and our action plan for the Commonwealth Aboriginal and Torres Strait Islander Workforce Strategy. </w:t>
            </w:r>
          </w:p>
          <w:p w14:paraId="46830BA8" w14:textId="19FF0DC3" w:rsidR="00965908" w:rsidRPr="002B0D7E" w:rsidRDefault="00965908" w:rsidP="00965908">
            <w:pPr>
              <w:pStyle w:val="ListParagraph"/>
              <w:numPr>
                <w:ilvl w:val="0"/>
                <w:numId w:val="38"/>
              </w:numPr>
              <w:spacing w:after="120" w:line="360" w:lineRule="atLeast"/>
              <w:contextualSpacing w:val="0"/>
              <w:rPr>
                <w:rFonts w:ascii="Century Gothic" w:hAnsi="Century Gothic"/>
              </w:rPr>
            </w:pPr>
            <w:r w:rsidRPr="002B0D7E">
              <w:rPr>
                <w:rFonts w:ascii="Century Gothic" w:hAnsi="Century Gothic"/>
              </w:rPr>
              <w:t xml:space="preserve">Develop and implement a new Risk Management Framework, </w:t>
            </w:r>
            <w:r w:rsidR="002B5622">
              <w:rPr>
                <w:rFonts w:ascii="Century Gothic" w:hAnsi="Century Gothic"/>
              </w:rPr>
              <w:t xml:space="preserve">further </w:t>
            </w:r>
            <w:r w:rsidRPr="002B0D7E">
              <w:rPr>
                <w:rFonts w:ascii="Century Gothic" w:hAnsi="Century Gothic"/>
              </w:rPr>
              <w:t>educate staff about risk.</w:t>
            </w:r>
          </w:p>
          <w:p w14:paraId="2C63056C" w14:textId="1A5DA8B4" w:rsidR="00965908" w:rsidRPr="002B0D7E" w:rsidRDefault="001360BF" w:rsidP="00965908">
            <w:pPr>
              <w:pStyle w:val="ListParagraph"/>
              <w:numPr>
                <w:ilvl w:val="0"/>
                <w:numId w:val="38"/>
              </w:numPr>
              <w:spacing w:after="120" w:line="360" w:lineRule="atLeast"/>
              <w:contextualSpacing w:val="0"/>
              <w:rPr>
                <w:rFonts w:ascii="Century Gothic" w:hAnsi="Century Gothic" w:cs="Calibri"/>
              </w:rPr>
            </w:pPr>
            <w:r w:rsidRPr="00F8601C">
              <w:rPr>
                <w:rFonts w:ascii="Century Gothic" w:hAnsi="Century Gothic" w:cs="Calibri"/>
              </w:rPr>
              <w:t>Participate</w:t>
            </w:r>
            <w:r w:rsidR="00965908" w:rsidRPr="002B0D7E">
              <w:rPr>
                <w:rFonts w:ascii="Century Gothic" w:hAnsi="Century Gothic" w:cs="Calibri"/>
              </w:rPr>
              <w:t xml:space="preserve"> in the Mental Health </w:t>
            </w:r>
            <w:r w:rsidR="006B7914">
              <w:rPr>
                <w:rFonts w:ascii="Century Gothic" w:hAnsi="Century Gothic" w:cs="Calibri"/>
              </w:rPr>
              <w:t xml:space="preserve">Capability </w:t>
            </w:r>
            <w:r w:rsidR="00965908" w:rsidRPr="002B0D7E">
              <w:rPr>
                <w:rFonts w:ascii="Century Gothic" w:hAnsi="Century Gothic" w:cs="Calibri"/>
              </w:rPr>
              <w:t>Pilot Program.</w:t>
            </w:r>
          </w:p>
          <w:p w14:paraId="6DD3CE75" w14:textId="0D0BFB86" w:rsidR="00965908" w:rsidRPr="002B0D7E" w:rsidRDefault="00965908" w:rsidP="00965908">
            <w:pPr>
              <w:pStyle w:val="ListParagraph"/>
              <w:numPr>
                <w:ilvl w:val="0"/>
                <w:numId w:val="38"/>
              </w:numPr>
              <w:spacing w:after="120" w:line="360" w:lineRule="atLeast"/>
              <w:contextualSpacing w:val="0"/>
              <w:rPr>
                <w:rFonts w:ascii="Century Gothic" w:hAnsi="Century Gothic" w:cs="Calibri"/>
              </w:rPr>
            </w:pPr>
            <w:r w:rsidRPr="002B0D7E">
              <w:rPr>
                <w:rFonts w:ascii="Century Gothic" w:hAnsi="Century Gothic" w:cs="Calibri"/>
              </w:rPr>
              <w:t xml:space="preserve">Develop and track the delivery of </w:t>
            </w:r>
            <w:r w:rsidR="00220A7E">
              <w:rPr>
                <w:rFonts w:ascii="Century Gothic" w:hAnsi="Century Gothic" w:cs="Calibri"/>
              </w:rPr>
              <w:t>the</w:t>
            </w:r>
            <w:r w:rsidRPr="002B0D7E">
              <w:rPr>
                <w:rFonts w:ascii="Century Gothic" w:hAnsi="Century Gothic" w:cs="Calibri"/>
              </w:rPr>
              <w:t xml:space="preserve"> NIAA</w:t>
            </w:r>
            <w:r w:rsidR="00220A7E">
              <w:rPr>
                <w:rFonts w:ascii="Century Gothic" w:hAnsi="Century Gothic" w:cs="Calibri"/>
              </w:rPr>
              <w:t>’s</w:t>
            </w:r>
            <w:r w:rsidRPr="002B0D7E">
              <w:rPr>
                <w:rFonts w:ascii="Century Gothic" w:hAnsi="Century Gothic" w:cs="Calibri"/>
              </w:rPr>
              <w:t xml:space="preserve"> Digital Strategy, Data and Information Management Strategy and ICT strategy.</w:t>
            </w:r>
          </w:p>
          <w:p w14:paraId="71A4509E" w14:textId="77777777" w:rsidR="00965908" w:rsidRPr="002B0D7E" w:rsidRDefault="00965908" w:rsidP="00965908">
            <w:pPr>
              <w:pStyle w:val="ListParagraph"/>
              <w:numPr>
                <w:ilvl w:val="0"/>
                <w:numId w:val="38"/>
              </w:numPr>
              <w:spacing w:after="120" w:line="360" w:lineRule="atLeast"/>
              <w:contextualSpacing w:val="0"/>
              <w:rPr>
                <w:rFonts w:ascii="Century Gothic" w:hAnsi="Century Gothic" w:cs="Calibri"/>
              </w:rPr>
            </w:pPr>
            <w:r w:rsidRPr="002B0D7E">
              <w:rPr>
                <w:rFonts w:ascii="Century Gothic" w:hAnsi="Century Gothic" w:cs="Calibri"/>
              </w:rPr>
              <w:t>Invest in a tailored capability uplift program for staff in Digital as per the three new strategies - digital, data/information and ICT.</w:t>
            </w:r>
          </w:p>
        </w:tc>
      </w:tr>
      <w:tr w:rsidR="00965908" w:rsidRPr="00965908" w14:paraId="266BDE4B" w14:textId="77777777" w:rsidTr="0022533F">
        <w:trPr>
          <w:trHeight w:val="699"/>
        </w:trPr>
        <w:tc>
          <w:tcPr>
            <w:tcW w:w="1838" w:type="dxa"/>
            <w:vAlign w:val="center"/>
          </w:tcPr>
          <w:p w14:paraId="2026A67E" w14:textId="77777777" w:rsidR="00965908" w:rsidRPr="00965908" w:rsidRDefault="00965908" w:rsidP="00965908">
            <w:pPr>
              <w:spacing w:after="120" w:line="360" w:lineRule="atLeast"/>
              <w:rPr>
                <w:rFonts w:ascii="Century Gothic" w:hAnsi="Century Gothic"/>
                <w:b/>
                <w:bCs/>
                <w:lang w:val="en-US"/>
              </w:rPr>
            </w:pPr>
            <w:r w:rsidRPr="00965908">
              <w:rPr>
                <w:rFonts w:ascii="Century Gothic" w:hAnsi="Century Gothic"/>
                <w:b/>
                <w:bCs/>
                <w:lang w:val="en-US"/>
              </w:rPr>
              <w:t>Relationships and Influence</w:t>
            </w:r>
          </w:p>
        </w:tc>
        <w:tc>
          <w:tcPr>
            <w:tcW w:w="5245" w:type="dxa"/>
            <w:vAlign w:val="center"/>
          </w:tcPr>
          <w:p w14:paraId="05CDE0C8" w14:textId="1D5E32CC" w:rsidR="00965908" w:rsidRPr="00965908" w:rsidRDefault="00220A7E" w:rsidP="00965908">
            <w:pPr>
              <w:pStyle w:val="ListParagraph"/>
              <w:numPr>
                <w:ilvl w:val="0"/>
                <w:numId w:val="38"/>
              </w:numPr>
              <w:spacing w:after="120" w:line="360" w:lineRule="atLeast"/>
              <w:ind w:left="315" w:hanging="284"/>
              <w:contextualSpacing w:val="0"/>
              <w:rPr>
                <w:rFonts w:ascii="Century Gothic" w:hAnsi="Century Gothic"/>
              </w:rPr>
            </w:pPr>
            <w:r>
              <w:rPr>
                <w:rFonts w:ascii="Century Gothic" w:hAnsi="Century Gothic"/>
              </w:rPr>
              <w:t xml:space="preserve">The </w:t>
            </w:r>
            <w:r w:rsidR="00965908" w:rsidRPr="00965908">
              <w:rPr>
                <w:rFonts w:ascii="Century Gothic" w:hAnsi="Century Gothic"/>
              </w:rPr>
              <w:t>NIAA lacks credibility with key stakeholders and partners and is unable to collaborate and influence outcomes in support of the organisation’s purpose.</w:t>
            </w:r>
          </w:p>
          <w:p w14:paraId="46350431" w14:textId="467B09AB" w:rsidR="00965908" w:rsidRPr="00965908" w:rsidRDefault="000B09EF" w:rsidP="00431043">
            <w:pPr>
              <w:pStyle w:val="ListParagraph"/>
              <w:numPr>
                <w:ilvl w:val="0"/>
                <w:numId w:val="38"/>
              </w:numPr>
              <w:spacing w:after="120" w:line="360" w:lineRule="atLeast"/>
              <w:ind w:left="315" w:hanging="284"/>
              <w:contextualSpacing w:val="0"/>
              <w:rPr>
                <w:rFonts w:ascii="Century Gothic" w:hAnsi="Century Gothic"/>
                <w:lang w:val="en-US"/>
              </w:rPr>
            </w:pPr>
            <w:r>
              <w:rPr>
                <w:rFonts w:ascii="Century Gothic" w:hAnsi="Century Gothic"/>
              </w:rPr>
              <w:t>Aboriginal and Torres Strait Islander peoples</w:t>
            </w:r>
            <w:r w:rsidR="00965908" w:rsidRPr="00965908">
              <w:rPr>
                <w:rFonts w:ascii="Century Gothic" w:hAnsi="Century Gothic"/>
              </w:rPr>
              <w:t xml:space="preserve"> do not see the </w:t>
            </w:r>
            <w:r w:rsidR="006D375E">
              <w:rPr>
                <w:rFonts w:ascii="Century Gothic" w:hAnsi="Century Gothic"/>
              </w:rPr>
              <w:t>NIAA</w:t>
            </w:r>
            <w:r w:rsidR="00965908" w:rsidRPr="00965908">
              <w:rPr>
                <w:rFonts w:ascii="Century Gothic" w:hAnsi="Century Gothic"/>
              </w:rPr>
              <w:t xml:space="preserve"> as trusted or reliable.</w:t>
            </w:r>
          </w:p>
        </w:tc>
        <w:tc>
          <w:tcPr>
            <w:tcW w:w="13183" w:type="dxa"/>
            <w:vAlign w:val="center"/>
          </w:tcPr>
          <w:p w14:paraId="7AEE93BB" w14:textId="60E7839C" w:rsidR="00965908" w:rsidRPr="002B0D7E" w:rsidRDefault="00965908" w:rsidP="00965908">
            <w:pPr>
              <w:pStyle w:val="ListParagraph"/>
              <w:numPr>
                <w:ilvl w:val="0"/>
                <w:numId w:val="38"/>
              </w:numPr>
              <w:spacing w:after="120" w:line="360" w:lineRule="atLeast"/>
              <w:contextualSpacing w:val="0"/>
              <w:rPr>
                <w:rFonts w:ascii="Century Gothic" w:hAnsi="Century Gothic"/>
              </w:rPr>
            </w:pPr>
            <w:r w:rsidRPr="002B0D7E">
              <w:rPr>
                <w:rFonts w:ascii="Century Gothic" w:hAnsi="Century Gothic"/>
              </w:rPr>
              <w:t>We have a credible regional footprint which is connected to</w:t>
            </w:r>
            <w:r w:rsidR="002B5622">
              <w:rPr>
                <w:rFonts w:ascii="Century Gothic" w:hAnsi="Century Gothic"/>
              </w:rPr>
              <w:t xml:space="preserve"> and engaged with</w:t>
            </w:r>
            <w:r w:rsidRPr="002B0D7E">
              <w:rPr>
                <w:rFonts w:ascii="Century Gothic" w:hAnsi="Century Gothic"/>
              </w:rPr>
              <w:t xml:space="preserve"> communities, service providers and state and territory governments.</w:t>
            </w:r>
          </w:p>
          <w:p w14:paraId="2DA65529" w14:textId="792EB3B8" w:rsidR="00965908" w:rsidRPr="002B0D7E" w:rsidRDefault="00965908" w:rsidP="00965908">
            <w:pPr>
              <w:pStyle w:val="ListParagraph"/>
              <w:numPr>
                <w:ilvl w:val="0"/>
                <w:numId w:val="38"/>
              </w:numPr>
              <w:spacing w:after="120" w:line="360" w:lineRule="atLeast"/>
              <w:contextualSpacing w:val="0"/>
              <w:rPr>
                <w:rFonts w:ascii="Century Gothic" w:hAnsi="Century Gothic"/>
              </w:rPr>
            </w:pPr>
            <w:r w:rsidRPr="002B0D7E">
              <w:rPr>
                <w:rFonts w:ascii="Century Gothic" w:hAnsi="Century Gothic"/>
              </w:rPr>
              <w:t xml:space="preserve">We invest in a systematic external stakeholder engagement approach at all levels of the </w:t>
            </w:r>
            <w:r w:rsidR="006D375E">
              <w:rPr>
                <w:rFonts w:ascii="Century Gothic" w:hAnsi="Century Gothic"/>
              </w:rPr>
              <w:t>NIAA</w:t>
            </w:r>
            <w:r w:rsidRPr="002B0D7E">
              <w:rPr>
                <w:rFonts w:ascii="Century Gothic" w:hAnsi="Century Gothic"/>
              </w:rPr>
              <w:t>.</w:t>
            </w:r>
          </w:p>
          <w:p w14:paraId="502E9736" w14:textId="3806CEAD" w:rsidR="00965908" w:rsidRPr="002B0D7E" w:rsidRDefault="00965908" w:rsidP="00965908">
            <w:pPr>
              <w:pStyle w:val="ListParagraph"/>
              <w:numPr>
                <w:ilvl w:val="0"/>
                <w:numId w:val="38"/>
              </w:numPr>
              <w:spacing w:after="120" w:line="360" w:lineRule="atLeast"/>
              <w:contextualSpacing w:val="0"/>
              <w:rPr>
                <w:rFonts w:ascii="Century Gothic" w:hAnsi="Century Gothic"/>
                <w:lang w:val="en-US"/>
              </w:rPr>
            </w:pPr>
            <w:r w:rsidRPr="002B0D7E">
              <w:rPr>
                <w:rFonts w:ascii="Century Gothic" w:hAnsi="Century Gothic"/>
              </w:rPr>
              <w:t>We demonstrate the shared benefit of collaboration through a partnership approach.</w:t>
            </w:r>
          </w:p>
        </w:tc>
      </w:tr>
      <w:tr w:rsidR="00965908" w:rsidRPr="00965908" w14:paraId="0B8B721C" w14:textId="77777777" w:rsidTr="0022533F">
        <w:tc>
          <w:tcPr>
            <w:tcW w:w="1838" w:type="dxa"/>
            <w:vAlign w:val="center"/>
          </w:tcPr>
          <w:p w14:paraId="133B9766" w14:textId="77777777" w:rsidR="00965908" w:rsidRPr="00965908" w:rsidRDefault="00965908" w:rsidP="00965908">
            <w:pPr>
              <w:spacing w:after="120" w:line="360" w:lineRule="atLeast"/>
              <w:rPr>
                <w:rFonts w:ascii="Century Gothic" w:hAnsi="Century Gothic"/>
                <w:b/>
                <w:bCs/>
                <w:lang w:val="en-US"/>
              </w:rPr>
            </w:pPr>
            <w:r w:rsidRPr="00965908">
              <w:rPr>
                <w:rFonts w:ascii="Century Gothic" w:hAnsi="Century Gothic"/>
                <w:b/>
                <w:bCs/>
                <w:lang w:val="en-US"/>
              </w:rPr>
              <w:t>Culture</w:t>
            </w:r>
          </w:p>
        </w:tc>
        <w:tc>
          <w:tcPr>
            <w:tcW w:w="5245" w:type="dxa"/>
            <w:vAlign w:val="center"/>
          </w:tcPr>
          <w:p w14:paraId="702BE7B6" w14:textId="0FB18871" w:rsidR="00965908" w:rsidRPr="00965908" w:rsidRDefault="00220A7E" w:rsidP="00965908">
            <w:pPr>
              <w:pStyle w:val="ListParagraph"/>
              <w:numPr>
                <w:ilvl w:val="0"/>
                <w:numId w:val="38"/>
              </w:numPr>
              <w:spacing w:after="120" w:line="360" w:lineRule="atLeast"/>
              <w:ind w:left="315" w:hanging="284"/>
              <w:contextualSpacing w:val="0"/>
              <w:rPr>
                <w:rFonts w:ascii="Century Gothic" w:hAnsi="Century Gothic"/>
                <w:lang w:val="en-US"/>
              </w:rPr>
            </w:pPr>
            <w:r>
              <w:rPr>
                <w:rFonts w:ascii="Century Gothic" w:hAnsi="Century Gothic"/>
              </w:rPr>
              <w:t xml:space="preserve">The </w:t>
            </w:r>
            <w:r w:rsidR="00965908" w:rsidRPr="00965908">
              <w:rPr>
                <w:rFonts w:ascii="Century Gothic" w:hAnsi="Century Gothic"/>
              </w:rPr>
              <w:t xml:space="preserve">NIAA’s organisational culture does not harness the unifying power of a one-team approach and leads to an organisation that lacks cohesion and alignment to </w:t>
            </w:r>
            <w:r>
              <w:rPr>
                <w:rFonts w:ascii="Century Gothic" w:hAnsi="Century Gothic"/>
              </w:rPr>
              <w:t xml:space="preserve">the </w:t>
            </w:r>
            <w:r w:rsidR="00965908" w:rsidRPr="00965908">
              <w:rPr>
                <w:rFonts w:ascii="Century Gothic" w:hAnsi="Century Gothic"/>
              </w:rPr>
              <w:t>NIAA</w:t>
            </w:r>
            <w:r>
              <w:rPr>
                <w:rFonts w:ascii="Century Gothic" w:hAnsi="Century Gothic"/>
              </w:rPr>
              <w:t>’s</w:t>
            </w:r>
            <w:r w:rsidR="00965908" w:rsidRPr="00965908">
              <w:rPr>
                <w:rFonts w:ascii="Century Gothic" w:hAnsi="Century Gothic"/>
              </w:rPr>
              <w:t xml:space="preserve"> purpose.</w:t>
            </w:r>
          </w:p>
        </w:tc>
        <w:tc>
          <w:tcPr>
            <w:tcW w:w="13183" w:type="dxa"/>
            <w:vAlign w:val="center"/>
          </w:tcPr>
          <w:p w14:paraId="5F653224" w14:textId="77777777" w:rsidR="00965908" w:rsidRPr="002B0D7E" w:rsidRDefault="00965908" w:rsidP="00965908">
            <w:pPr>
              <w:pStyle w:val="ListParagraph"/>
              <w:numPr>
                <w:ilvl w:val="0"/>
                <w:numId w:val="38"/>
              </w:numPr>
              <w:spacing w:after="120" w:line="360" w:lineRule="atLeast"/>
              <w:contextualSpacing w:val="0"/>
              <w:rPr>
                <w:rFonts w:ascii="Century Gothic" w:hAnsi="Century Gothic"/>
              </w:rPr>
            </w:pPr>
            <w:r w:rsidRPr="002B0D7E">
              <w:rPr>
                <w:rFonts w:ascii="Century Gothic" w:hAnsi="Century Gothic"/>
              </w:rPr>
              <w:t>Further develop the Footprints Cultural Learning Program to enhance cross-cultural capabilities.</w:t>
            </w:r>
          </w:p>
          <w:p w14:paraId="48418730" w14:textId="65964AF2" w:rsidR="00965908" w:rsidRPr="002B0D7E" w:rsidRDefault="00965908" w:rsidP="00965908">
            <w:pPr>
              <w:pStyle w:val="ListParagraph"/>
              <w:numPr>
                <w:ilvl w:val="0"/>
                <w:numId w:val="38"/>
              </w:numPr>
              <w:spacing w:after="120" w:line="360" w:lineRule="atLeast"/>
              <w:contextualSpacing w:val="0"/>
              <w:rPr>
                <w:rFonts w:ascii="Century Gothic" w:hAnsi="Century Gothic"/>
              </w:rPr>
            </w:pPr>
            <w:r w:rsidRPr="002B0D7E">
              <w:rPr>
                <w:rFonts w:ascii="Century Gothic" w:hAnsi="Century Gothic"/>
              </w:rPr>
              <w:t xml:space="preserve">Embed a positive risk culture at </w:t>
            </w:r>
            <w:r w:rsidR="00220A7E">
              <w:rPr>
                <w:rFonts w:ascii="Century Gothic" w:hAnsi="Century Gothic"/>
              </w:rPr>
              <w:t>the</w:t>
            </w:r>
            <w:r w:rsidRPr="002B0D7E">
              <w:rPr>
                <w:rFonts w:ascii="Century Gothic" w:hAnsi="Century Gothic"/>
              </w:rPr>
              <w:t xml:space="preserve"> NIAA through </w:t>
            </w:r>
            <w:r w:rsidR="002B5622">
              <w:rPr>
                <w:rFonts w:ascii="Century Gothic" w:hAnsi="Century Gothic"/>
              </w:rPr>
              <w:t xml:space="preserve">further </w:t>
            </w:r>
            <w:r w:rsidRPr="002B0D7E">
              <w:rPr>
                <w:rFonts w:ascii="Century Gothic" w:hAnsi="Century Gothic"/>
              </w:rPr>
              <w:t xml:space="preserve">education about risk and training staff to apply the risk management framework. </w:t>
            </w:r>
          </w:p>
          <w:p w14:paraId="14EC1CCC" w14:textId="77777777" w:rsidR="00965908" w:rsidRPr="002B0D7E" w:rsidRDefault="00965908" w:rsidP="00965908">
            <w:pPr>
              <w:pStyle w:val="ListParagraph"/>
              <w:numPr>
                <w:ilvl w:val="0"/>
                <w:numId w:val="38"/>
              </w:numPr>
              <w:spacing w:after="120" w:line="360" w:lineRule="atLeast"/>
              <w:contextualSpacing w:val="0"/>
              <w:rPr>
                <w:rFonts w:ascii="Century Gothic" w:hAnsi="Century Gothic" w:cs="Calibri"/>
              </w:rPr>
            </w:pPr>
            <w:r w:rsidRPr="002B0D7E">
              <w:rPr>
                <w:rFonts w:ascii="Century Gothic" w:hAnsi="Century Gothic" w:cs="Calibri"/>
              </w:rPr>
              <w:t>Develop and implement an Internal Communications Strategy to increase information sharing and support One Team.</w:t>
            </w:r>
          </w:p>
          <w:p w14:paraId="41198837" w14:textId="162934C9" w:rsidR="00965908" w:rsidRPr="002B0D7E" w:rsidRDefault="00965908" w:rsidP="002B5622">
            <w:pPr>
              <w:pStyle w:val="ListParagraph"/>
              <w:numPr>
                <w:ilvl w:val="0"/>
                <w:numId w:val="38"/>
              </w:numPr>
              <w:spacing w:after="120" w:line="360" w:lineRule="atLeast"/>
              <w:contextualSpacing w:val="0"/>
              <w:rPr>
                <w:rFonts w:ascii="Century Gothic" w:hAnsi="Century Gothic" w:cs="Calibri"/>
              </w:rPr>
            </w:pPr>
            <w:r w:rsidRPr="002B0D7E">
              <w:rPr>
                <w:rFonts w:ascii="Century Gothic" w:eastAsia="Times New Roman" w:hAnsi="Century Gothic" w:cstheme="minorHAnsi"/>
              </w:rPr>
              <w:t xml:space="preserve">Drive a culture of high performance and accountability through the implementation of the Integrated Business Planning Framework, including mechanisms to support and monitor culture through </w:t>
            </w:r>
            <w:r w:rsidR="002B5622">
              <w:rPr>
                <w:rFonts w:ascii="Century Gothic" w:eastAsia="Times New Roman" w:hAnsi="Century Gothic" w:cstheme="minorHAnsi"/>
              </w:rPr>
              <w:t>ongoing performance reviews.</w:t>
            </w:r>
          </w:p>
        </w:tc>
      </w:tr>
      <w:tr w:rsidR="00965908" w:rsidRPr="00965908" w14:paraId="48E08971" w14:textId="77777777" w:rsidTr="0022533F">
        <w:trPr>
          <w:trHeight w:val="1550"/>
        </w:trPr>
        <w:tc>
          <w:tcPr>
            <w:tcW w:w="1838" w:type="dxa"/>
            <w:vAlign w:val="center"/>
          </w:tcPr>
          <w:p w14:paraId="7FA564A0" w14:textId="77777777" w:rsidR="00965908" w:rsidRPr="00965908" w:rsidRDefault="00965908" w:rsidP="00965908">
            <w:pPr>
              <w:spacing w:after="120" w:line="360" w:lineRule="atLeast"/>
              <w:rPr>
                <w:rFonts w:ascii="Century Gothic" w:hAnsi="Century Gothic"/>
                <w:b/>
                <w:bCs/>
                <w:lang w:val="en-US"/>
              </w:rPr>
            </w:pPr>
            <w:r w:rsidRPr="00965908">
              <w:rPr>
                <w:rFonts w:ascii="Century Gothic" w:hAnsi="Century Gothic"/>
                <w:b/>
                <w:bCs/>
                <w:lang w:val="en-US"/>
              </w:rPr>
              <w:t>Delivery</w:t>
            </w:r>
          </w:p>
        </w:tc>
        <w:tc>
          <w:tcPr>
            <w:tcW w:w="5245" w:type="dxa"/>
            <w:vAlign w:val="center"/>
          </w:tcPr>
          <w:p w14:paraId="071240C5" w14:textId="16ABAA79" w:rsidR="00965908" w:rsidRPr="00965908" w:rsidRDefault="00220A7E" w:rsidP="00965908">
            <w:pPr>
              <w:pStyle w:val="ListParagraph"/>
              <w:numPr>
                <w:ilvl w:val="0"/>
                <w:numId w:val="38"/>
              </w:numPr>
              <w:spacing w:after="120" w:line="360" w:lineRule="atLeast"/>
              <w:ind w:left="315" w:hanging="284"/>
              <w:contextualSpacing w:val="0"/>
              <w:rPr>
                <w:rFonts w:ascii="Century Gothic" w:hAnsi="Century Gothic"/>
              </w:rPr>
            </w:pPr>
            <w:r>
              <w:rPr>
                <w:rFonts w:ascii="Century Gothic" w:hAnsi="Century Gothic"/>
              </w:rPr>
              <w:t xml:space="preserve">The </w:t>
            </w:r>
            <w:r w:rsidR="00965908" w:rsidRPr="00965908">
              <w:rPr>
                <w:rFonts w:ascii="Century Gothic" w:hAnsi="Century Gothic"/>
              </w:rPr>
              <w:t>NIAA’s administrative processes constrain effective and timely delivery of programs and services.</w:t>
            </w:r>
          </w:p>
          <w:p w14:paraId="624B75BE" w14:textId="28CC0E6D" w:rsidR="00965908" w:rsidRPr="00965908" w:rsidRDefault="00220A7E" w:rsidP="00965908">
            <w:pPr>
              <w:pStyle w:val="ListParagraph"/>
              <w:numPr>
                <w:ilvl w:val="0"/>
                <w:numId w:val="38"/>
              </w:numPr>
              <w:spacing w:after="120" w:line="360" w:lineRule="atLeast"/>
              <w:ind w:left="315" w:hanging="284"/>
              <w:contextualSpacing w:val="0"/>
              <w:rPr>
                <w:rFonts w:ascii="Century Gothic" w:hAnsi="Century Gothic"/>
                <w:lang w:val="en-US"/>
              </w:rPr>
            </w:pPr>
            <w:r>
              <w:rPr>
                <w:rFonts w:ascii="Century Gothic" w:hAnsi="Century Gothic"/>
              </w:rPr>
              <w:t xml:space="preserve">The </w:t>
            </w:r>
            <w:r w:rsidR="00965908" w:rsidRPr="00965908">
              <w:rPr>
                <w:rFonts w:ascii="Century Gothic" w:hAnsi="Century Gothic"/>
              </w:rPr>
              <w:t>NIAA</w:t>
            </w:r>
            <w:r>
              <w:rPr>
                <w:rFonts w:ascii="Century Gothic" w:hAnsi="Century Gothic"/>
              </w:rPr>
              <w:t>’s</w:t>
            </w:r>
            <w:r w:rsidR="00965908" w:rsidRPr="00965908">
              <w:rPr>
                <w:rFonts w:ascii="Century Gothic" w:hAnsi="Century Gothic"/>
              </w:rPr>
              <w:t xml:space="preserve"> sponsored programs are not grounded in evidence and the lived experience of Indigenous communities.</w:t>
            </w:r>
          </w:p>
        </w:tc>
        <w:tc>
          <w:tcPr>
            <w:tcW w:w="13183" w:type="dxa"/>
            <w:vAlign w:val="center"/>
          </w:tcPr>
          <w:p w14:paraId="03F0F25D" w14:textId="375227FE" w:rsidR="00965908" w:rsidRPr="00965908" w:rsidRDefault="00965908" w:rsidP="00965908">
            <w:pPr>
              <w:pStyle w:val="NoSpacing"/>
              <w:numPr>
                <w:ilvl w:val="0"/>
                <w:numId w:val="38"/>
              </w:numPr>
              <w:spacing w:after="120" w:line="360" w:lineRule="atLeast"/>
              <w:rPr>
                <w:rFonts w:ascii="Century Gothic" w:hAnsi="Century Gothic" w:cstheme="minorHAnsi"/>
              </w:rPr>
            </w:pPr>
            <w:r w:rsidRPr="00965908">
              <w:rPr>
                <w:rFonts w:ascii="Century Gothic" w:eastAsia="Times New Roman" w:hAnsi="Century Gothic" w:cstheme="minorHAnsi"/>
                <w:color w:val="000000"/>
              </w:rPr>
              <w:t xml:space="preserve">Implement </w:t>
            </w:r>
            <w:r w:rsidR="00DE160D">
              <w:rPr>
                <w:rFonts w:ascii="Century Gothic" w:eastAsia="Times New Roman" w:hAnsi="Century Gothic" w:cstheme="minorHAnsi"/>
                <w:color w:val="000000"/>
              </w:rPr>
              <w:t>an</w:t>
            </w:r>
            <w:r w:rsidRPr="00965908">
              <w:rPr>
                <w:rFonts w:ascii="Century Gothic" w:eastAsia="Times New Roman" w:hAnsi="Century Gothic" w:cstheme="minorHAnsi"/>
                <w:color w:val="000000"/>
              </w:rPr>
              <w:t xml:space="preserve"> Integrated Business Planning Framework to ensure the most effective and efficient allocation of our people, effort and resources.</w:t>
            </w:r>
          </w:p>
          <w:p w14:paraId="4D8E8252" w14:textId="48130702" w:rsidR="00965908" w:rsidRPr="00965908" w:rsidRDefault="00965908" w:rsidP="00965908">
            <w:pPr>
              <w:pStyle w:val="ListParagraph"/>
              <w:numPr>
                <w:ilvl w:val="0"/>
                <w:numId w:val="38"/>
              </w:numPr>
              <w:spacing w:after="120" w:line="360" w:lineRule="atLeast"/>
              <w:contextualSpacing w:val="0"/>
              <w:rPr>
                <w:rFonts w:ascii="Century Gothic" w:hAnsi="Century Gothic"/>
                <w:lang w:val="en-US"/>
              </w:rPr>
            </w:pPr>
            <w:r w:rsidRPr="00965908">
              <w:rPr>
                <w:rFonts w:ascii="Century Gothic" w:hAnsi="Century Gothic"/>
                <w:lang w:val="en-US"/>
              </w:rPr>
              <w:t xml:space="preserve">Develop </w:t>
            </w:r>
            <w:r w:rsidR="00DE160D">
              <w:rPr>
                <w:rFonts w:ascii="Century Gothic" w:hAnsi="Century Gothic"/>
                <w:lang w:val="en-US"/>
              </w:rPr>
              <w:t xml:space="preserve">a </w:t>
            </w:r>
            <w:r w:rsidRPr="00965908">
              <w:rPr>
                <w:rFonts w:ascii="Century Gothic" w:hAnsi="Century Gothic"/>
                <w:lang w:val="en-US"/>
              </w:rPr>
              <w:t xml:space="preserve">‘digital first’ approach for enhanced use of information and </w:t>
            </w:r>
            <w:r w:rsidR="00DE160D">
              <w:rPr>
                <w:rFonts w:ascii="Century Gothic" w:hAnsi="Century Gothic"/>
                <w:lang w:val="en-US"/>
              </w:rPr>
              <w:t>improved</w:t>
            </w:r>
            <w:r w:rsidRPr="00965908">
              <w:rPr>
                <w:rFonts w:ascii="Century Gothic" w:hAnsi="Century Gothic"/>
                <w:lang w:val="en-US"/>
              </w:rPr>
              <w:t xml:space="preserve"> evidence base. This will also improve the internal sharing of information and ability to detect and respond to </w:t>
            </w:r>
            <w:r w:rsidR="00970975">
              <w:rPr>
                <w:rFonts w:ascii="Century Gothic" w:hAnsi="Century Gothic"/>
                <w:lang w:val="en-US"/>
              </w:rPr>
              <w:t xml:space="preserve">further </w:t>
            </w:r>
            <w:r w:rsidRPr="00965908">
              <w:rPr>
                <w:rFonts w:ascii="Century Gothic" w:hAnsi="Century Gothic"/>
                <w:lang w:val="en-US"/>
              </w:rPr>
              <w:t xml:space="preserve">performance and compliance issues. </w:t>
            </w:r>
          </w:p>
          <w:p w14:paraId="6F2A67E4" w14:textId="57CC4718" w:rsidR="00965908" w:rsidRPr="00965908" w:rsidRDefault="00965908" w:rsidP="00965908">
            <w:pPr>
              <w:pStyle w:val="ListParagraph"/>
              <w:numPr>
                <w:ilvl w:val="0"/>
                <w:numId w:val="38"/>
              </w:numPr>
              <w:spacing w:after="120" w:line="360" w:lineRule="atLeast"/>
              <w:contextualSpacing w:val="0"/>
              <w:rPr>
                <w:rFonts w:ascii="Century Gothic" w:hAnsi="Century Gothic"/>
                <w:lang w:val="en-US"/>
              </w:rPr>
            </w:pPr>
            <w:r w:rsidRPr="00965908">
              <w:rPr>
                <w:rFonts w:ascii="Century Gothic" w:hAnsi="Century Gothic"/>
                <w:lang w:val="en-US"/>
              </w:rPr>
              <w:t>Develop and implement an enhanced Fraud and Compliance Framework to</w:t>
            </w:r>
            <w:r w:rsidR="002B5622">
              <w:rPr>
                <w:rFonts w:ascii="Century Gothic" w:hAnsi="Century Gothic"/>
                <w:lang w:val="en-US"/>
              </w:rPr>
              <w:t xml:space="preserve"> further</w:t>
            </w:r>
            <w:r w:rsidRPr="00965908">
              <w:rPr>
                <w:rFonts w:ascii="Century Gothic" w:hAnsi="Century Gothic"/>
                <w:lang w:val="en-US"/>
              </w:rPr>
              <w:t xml:space="preserve"> improve our proactive approach to compliance and early engagement and response.</w:t>
            </w:r>
          </w:p>
        </w:tc>
      </w:tr>
    </w:tbl>
    <w:p w14:paraId="4B08A223" w14:textId="53E30BB0" w:rsidR="001625D7" w:rsidRPr="00304247" w:rsidRDefault="001625D7" w:rsidP="00304247">
      <w:pPr>
        <w:rPr>
          <w:rFonts w:ascii="Century Gothic" w:hAnsi="Century Gothic"/>
          <w:b/>
          <w:color w:val="1A2A38"/>
          <w:sz w:val="32"/>
        </w:rPr>
        <w:sectPr w:rsidR="001625D7" w:rsidRPr="00304247" w:rsidSect="00685ADB">
          <w:headerReference w:type="default" r:id="rId16"/>
          <w:footerReference w:type="default" r:id="rId17"/>
          <w:pgSz w:w="23811" w:h="16838" w:orient="landscape" w:code="8"/>
          <w:pgMar w:top="1440" w:right="1440" w:bottom="1440" w:left="1440" w:header="708" w:footer="708" w:gutter="0"/>
          <w:cols w:space="708"/>
          <w:docGrid w:linePitch="360"/>
        </w:sectPr>
      </w:pPr>
      <w:r>
        <w:rPr>
          <w:color w:val="1A2A38"/>
        </w:rPr>
        <w:br w:type="page"/>
      </w:r>
    </w:p>
    <w:p w14:paraId="5F4F461F" w14:textId="0721C979" w:rsidR="001625D7" w:rsidRDefault="001625D7" w:rsidP="001625D7">
      <w:pPr>
        <w:pStyle w:val="Heading1"/>
        <w:rPr>
          <w:sz w:val="28"/>
          <w:szCs w:val="24"/>
        </w:rPr>
      </w:pPr>
      <w:bookmarkStart w:id="23" w:name="_Toc59456220"/>
      <w:r w:rsidRPr="00E32D5C">
        <w:lastRenderedPageBreak/>
        <w:t>OUR PERFORMANCE</w:t>
      </w:r>
      <w:bookmarkEnd w:id="23"/>
      <w:r>
        <w:rPr>
          <w:sz w:val="28"/>
          <w:szCs w:val="24"/>
        </w:rPr>
        <w:t xml:space="preserve"> </w:t>
      </w:r>
    </w:p>
    <w:p w14:paraId="7F41FA82" w14:textId="77777777" w:rsidR="001625D7" w:rsidRPr="00580763" w:rsidRDefault="001625D7" w:rsidP="00C6027A">
      <w:pPr>
        <w:rPr>
          <w:rFonts w:ascii="Century Gothic" w:hAnsi="Century Gothic" w:cs="Century Gothic"/>
          <w:b/>
          <w:sz w:val="28"/>
          <w:szCs w:val="28"/>
        </w:rPr>
      </w:pPr>
      <w:r w:rsidRPr="00580763">
        <w:rPr>
          <w:rFonts w:ascii="Century Gothic" w:hAnsi="Century Gothic" w:cs="Century Gothic"/>
          <w:b/>
          <w:sz w:val="28"/>
          <w:szCs w:val="28"/>
        </w:rPr>
        <w:t xml:space="preserve">The </w:t>
      </w:r>
      <w:r w:rsidRPr="00580763">
        <w:rPr>
          <w:rFonts w:ascii="Century Gothic" w:hAnsi="Century Gothic" w:cs="Century Gothic"/>
          <w:b/>
          <w:bCs/>
          <w:sz w:val="28"/>
          <w:szCs w:val="28"/>
        </w:rPr>
        <w:t>purpose</w:t>
      </w:r>
      <w:r w:rsidRPr="00580763">
        <w:rPr>
          <w:rFonts w:ascii="Century Gothic" w:hAnsi="Century Gothic" w:cs="Century Gothic"/>
          <w:b/>
          <w:sz w:val="28"/>
          <w:szCs w:val="28"/>
        </w:rPr>
        <w:t xml:space="preserve"> of NIAA is to assist the Australian Government achieve its objectives in improving the lives of Indigenous Australians by leading the development of the Commonwealth’s approach, focusing on place, working in partnership, and effectively delivering programs through the Indigenous Advancement Strategy. </w:t>
      </w:r>
    </w:p>
    <w:p w14:paraId="46802146" w14:textId="0A6C2E40" w:rsidR="001625D7" w:rsidRDefault="001625D7" w:rsidP="00304247">
      <w:pPr>
        <w:rPr>
          <w:rFonts w:ascii="Century Gothic" w:hAnsi="Century Gothic"/>
          <w:sz w:val="28"/>
          <w:szCs w:val="28"/>
        </w:rPr>
      </w:pPr>
      <w:r w:rsidRPr="00580763">
        <w:rPr>
          <w:rFonts w:ascii="Century Gothic" w:hAnsi="Century Gothic" w:cs="Century Gothic"/>
          <w:color w:val="000000" w:themeColor="text1"/>
          <w:sz w:val="28"/>
          <w:szCs w:val="28"/>
        </w:rPr>
        <w:t xml:space="preserve">We achieve our purpose by focusing on place and working in partnership through the following </w:t>
      </w:r>
      <w:r>
        <w:rPr>
          <w:rFonts w:ascii="Century Gothic" w:hAnsi="Century Gothic" w:cs="Century Gothic"/>
          <w:color w:val="000000" w:themeColor="text1"/>
          <w:sz w:val="28"/>
          <w:szCs w:val="28"/>
        </w:rPr>
        <w:t>nine</w:t>
      </w:r>
      <w:r w:rsidRPr="00580763">
        <w:rPr>
          <w:rFonts w:ascii="Century Gothic" w:hAnsi="Century Gothic" w:cs="Century Gothic"/>
          <w:color w:val="000000" w:themeColor="text1"/>
          <w:sz w:val="28"/>
          <w:szCs w:val="28"/>
        </w:rPr>
        <w:t xml:space="preserve"> priority activities:</w:t>
      </w:r>
    </w:p>
    <w:p w14:paraId="73370F2F" w14:textId="7C8B9FBE" w:rsidR="00304247" w:rsidRDefault="00304247" w:rsidP="00304247">
      <w:pPr>
        <w:rPr>
          <w:rFonts w:ascii="Century Gothic" w:hAnsi="Century Gothic"/>
          <w:sz w:val="28"/>
          <w:szCs w:val="28"/>
        </w:rPr>
      </w:pPr>
    </w:p>
    <w:p w14:paraId="137C48D1" w14:textId="77777777" w:rsidR="00304247" w:rsidRPr="00304247" w:rsidRDefault="00304247" w:rsidP="00304247">
      <w:pPr>
        <w:rPr>
          <w:rFonts w:ascii="Century Gothic" w:hAnsi="Century Gothic"/>
          <w:sz w:val="28"/>
          <w:szCs w:val="28"/>
        </w:rPr>
        <w:sectPr w:rsidR="00304247" w:rsidRPr="00304247" w:rsidSect="00304247">
          <w:headerReference w:type="default" r:id="rId18"/>
          <w:footerReference w:type="default" r:id="rId19"/>
          <w:footerReference w:type="first" r:id="rId20"/>
          <w:pgSz w:w="23811" w:h="16838" w:orient="landscape" w:code="8"/>
          <w:pgMar w:top="1440" w:right="1440" w:bottom="1134" w:left="1440" w:header="708" w:footer="708" w:gutter="0"/>
          <w:cols w:space="708"/>
          <w:docGrid w:linePitch="360"/>
        </w:sectPr>
      </w:pPr>
    </w:p>
    <w:p w14:paraId="3C8957DE" w14:textId="77777777" w:rsidR="001625D7" w:rsidRPr="00304247" w:rsidRDefault="001625D7" w:rsidP="00304247">
      <w:pPr>
        <w:jc w:val="center"/>
        <w:outlineLvl w:val="1"/>
        <w:rPr>
          <w:rFonts w:ascii="Century Gothic" w:hAnsi="Century Gothic" w:cs="Century Gothic"/>
          <w:b/>
          <w:color w:val="58A28B"/>
          <w:sz w:val="28"/>
          <w:szCs w:val="32"/>
        </w:rPr>
      </w:pPr>
      <w:r w:rsidRPr="00304247">
        <w:rPr>
          <w:rFonts w:ascii="Century Gothic" w:hAnsi="Century Gothic" w:cs="Century Gothic"/>
          <w:b/>
          <w:color w:val="58A28B"/>
          <w:sz w:val="28"/>
          <w:szCs w:val="32"/>
        </w:rPr>
        <w:t>Leading the Commonwealth’s approach:</w:t>
      </w:r>
    </w:p>
    <w:p w14:paraId="7BFCA687" w14:textId="77777777" w:rsidR="001625D7" w:rsidRPr="00C841CC" w:rsidRDefault="001625D7" w:rsidP="00C6027A">
      <w:pPr>
        <w:jc w:val="center"/>
        <w:rPr>
          <w:rFonts w:asciiTheme="majorHAnsi" w:hAnsiTheme="majorHAnsi"/>
          <w:b/>
          <w:iCs/>
          <w:color w:val="A5A5A5" w:themeColor="accent3"/>
          <w:szCs w:val="18"/>
        </w:rPr>
      </w:pPr>
    </w:p>
    <w:p w14:paraId="268D82CE" w14:textId="77777777" w:rsidR="001625D7" w:rsidRPr="00BF5539" w:rsidRDefault="001625D7" w:rsidP="00C6027A">
      <w:pPr>
        <w:rPr>
          <w:rFonts w:ascii="Century Gothic" w:hAnsi="Century Gothic" w:cs="Century Gothic"/>
          <w:color w:val="000000"/>
          <w:sz w:val="28"/>
        </w:rPr>
      </w:pPr>
      <w:r w:rsidRPr="00BF5539">
        <w:rPr>
          <w:rFonts w:ascii="Century Gothic" w:hAnsi="Century Gothic" w:cs="Century Gothic"/>
          <w:color w:val="000000"/>
          <w:sz w:val="28"/>
        </w:rPr>
        <w:t>Activity 1 - Leading the Commonwealth Government implementation of the National Agreement on Closing the Gap through partnership and engagement with other Commonwealth Government portfolios, Aboriginal and Torres Strait Islander representatives, and state and territory governments.</w:t>
      </w:r>
    </w:p>
    <w:p w14:paraId="1DDFD2C2" w14:textId="77777777" w:rsidR="001625D7" w:rsidRPr="00BF5539" w:rsidRDefault="001625D7" w:rsidP="00C6027A">
      <w:pPr>
        <w:rPr>
          <w:rFonts w:ascii="Century Gothic" w:hAnsi="Century Gothic" w:cs="Century Gothic"/>
          <w:color w:val="000000"/>
          <w:sz w:val="28"/>
        </w:rPr>
      </w:pPr>
    </w:p>
    <w:p w14:paraId="2EA51F9D" w14:textId="77777777" w:rsidR="001625D7" w:rsidRPr="00BF5539" w:rsidRDefault="001625D7" w:rsidP="00C6027A">
      <w:pPr>
        <w:rPr>
          <w:rFonts w:ascii="Century Gothic" w:hAnsi="Century Gothic" w:cs="Century Gothic"/>
          <w:color w:val="000000"/>
          <w:sz w:val="28"/>
          <w:lang w:val="en-US"/>
        </w:rPr>
      </w:pPr>
      <w:r w:rsidRPr="00BF5539">
        <w:rPr>
          <w:rFonts w:ascii="Century Gothic" w:hAnsi="Century Gothic" w:cs="Century Gothic"/>
          <w:color w:val="000000"/>
          <w:sz w:val="28"/>
          <w:lang w:val="en-US"/>
        </w:rPr>
        <w:t>Activity 2 - Progressing co-design of a Voice for Indigenous Australians.</w:t>
      </w:r>
    </w:p>
    <w:p w14:paraId="0FBA9A49" w14:textId="77777777" w:rsidR="001625D7" w:rsidRPr="00BF5539" w:rsidRDefault="001625D7" w:rsidP="00C6027A">
      <w:pPr>
        <w:rPr>
          <w:rFonts w:ascii="Century Gothic" w:hAnsi="Century Gothic" w:cs="Century Gothic"/>
          <w:color w:val="000000"/>
          <w:sz w:val="28"/>
          <w:lang w:val="en-US"/>
        </w:rPr>
      </w:pPr>
    </w:p>
    <w:p w14:paraId="04BDAA9B" w14:textId="77777777" w:rsidR="001625D7" w:rsidRPr="00570B3B" w:rsidRDefault="001625D7" w:rsidP="00304247">
      <w:pPr>
        <w:spacing w:after="3000"/>
        <w:rPr>
          <w:rFonts w:ascii="Century Gothic" w:hAnsi="Century Gothic" w:cs="Century Gothic"/>
          <w:color w:val="000000"/>
          <w:sz w:val="28"/>
        </w:rPr>
      </w:pPr>
      <w:r w:rsidRPr="00BF5539">
        <w:rPr>
          <w:rFonts w:ascii="Century Gothic" w:hAnsi="Century Gothic" w:cs="Century Gothic"/>
          <w:color w:val="000000"/>
          <w:sz w:val="28"/>
        </w:rPr>
        <w:t>Activity 3 -</w:t>
      </w:r>
      <w:r w:rsidRPr="00570B3B">
        <w:rPr>
          <w:rFonts w:ascii="Century Gothic" w:hAnsi="Century Gothic" w:cs="Century Gothic"/>
          <w:color w:val="000000"/>
          <w:sz w:val="28"/>
        </w:rPr>
        <w:t xml:space="preserve"> Progressing constitutional recognition of Indigenous Australians</w:t>
      </w:r>
      <w:r>
        <w:rPr>
          <w:rFonts w:ascii="Century Gothic" w:hAnsi="Century Gothic" w:cs="Century Gothic"/>
          <w:color w:val="000000"/>
          <w:sz w:val="28"/>
        </w:rPr>
        <w:t>.</w:t>
      </w:r>
    </w:p>
    <w:p w14:paraId="7B46A5BE" w14:textId="77777777" w:rsidR="001625D7" w:rsidRPr="00304247" w:rsidRDefault="001625D7" w:rsidP="00304247">
      <w:pPr>
        <w:jc w:val="center"/>
        <w:outlineLvl w:val="1"/>
        <w:rPr>
          <w:rFonts w:ascii="Century Gothic" w:hAnsi="Century Gothic" w:cs="Century Gothic"/>
          <w:b/>
          <w:color w:val="58A28B"/>
          <w:sz w:val="28"/>
          <w:szCs w:val="32"/>
        </w:rPr>
      </w:pPr>
      <w:r w:rsidRPr="00304247">
        <w:rPr>
          <w:rFonts w:ascii="Century Gothic" w:hAnsi="Century Gothic" w:cs="Century Gothic"/>
          <w:b/>
          <w:color w:val="58A28B"/>
          <w:sz w:val="28"/>
          <w:szCs w:val="32"/>
        </w:rPr>
        <w:t>Effectively delivering programs through the Indigenous Advancement Strategy:</w:t>
      </w:r>
    </w:p>
    <w:p w14:paraId="60515505" w14:textId="77777777" w:rsidR="001625D7" w:rsidRPr="00304247" w:rsidRDefault="001625D7" w:rsidP="00304247">
      <w:pPr>
        <w:rPr>
          <w:rFonts w:ascii="Century Gothic" w:hAnsi="Century Gothic" w:cs="Century Gothic"/>
          <w:color w:val="000000"/>
          <w:sz w:val="28"/>
        </w:rPr>
      </w:pPr>
      <w:r w:rsidRPr="00304247">
        <w:rPr>
          <w:rFonts w:ascii="Century Gothic" w:hAnsi="Century Gothic" w:cs="Century Gothic"/>
          <w:color w:val="000000"/>
          <w:sz w:val="28"/>
        </w:rPr>
        <w:t>Activity 4 - Enhancing Indigenous economic outcomes, including improving employment and pathways to jobs, fostering Indigenous business and assisting Indigenous people to generate economic and social benefits from effective use of their land and waters, particularly in remote areas.</w:t>
      </w:r>
    </w:p>
    <w:p w14:paraId="2B378958" w14:textId="77777777" w:rsidR="001625D7" w:rsidRPr="00304247" w:rsidRDefault="001625D7" w:rsidP="00304247">
      <w:pPr>
        <w:rPr>
          <w:rFonts w:ascii="Century Gothic" w:hAnsi="Century Gothic" w:cs="Century Gothic"/>
          <w:color w:val="000000"/>
          <w:sz w:val="28"/>
        </w:rPr>
      </w:pPr>
      <w:r w:rsidRPr="00304247">
        <w:rPr>
          <w:rFonts w:ascii="Century Gothic" w:hAnsi="Century Gothic" w:cs="Century Gothic"/>
          <w:color w:val="000000"/>
          <w:sz w:val="28"/>
        </w:rPr>
        <w:t>Activity 5 – Supporting early childhood development and wellbeing; school attendance, engagement and attainment; and further education.</w:t>
      </w:r>
    </w:p>
    <w:p w14:paraId="0C9CB75C" w14:textId="77777777" w:rsidR="001625D7" w:rsidRPr="00304247" w:rsidRDefault="001625D7" w:rsidP="00304247">
      <w:pPr>
        <w:rPr>
          <w:rFonts w:ascii="Century Gothic" w:hAnsi="Century Gothic" w:cs="Century Gothic"/>
          <w:color w:val="000000"/>
          <w:sz w:val="28"/>
        </w:rPr>
      </w:pPr>
      <w:r w:rsidRPr="00304247">
        <w:rPr>
          <w:rFonts w:ascii="Century Gothic" w:hAnsi="Century Gothic" w:cs="Century Gothic"/>
          <w:color w:val="000000"/>
          <w:sz w:val="28"/>
        </w:rPr>
        <w:t>Activity 6 – Improving mental health, social and emotional wellbeing for Indigenous people, including Indigenous youths and supporting suicide prevention in remote communities</w:t>
      </w:r>
    </w:p>
    <w:p w14:paraId="7332F559" w14:textId="77777777" w:rsidR="001625D7" w:rsidRPr="00304247" w:rsidRDefault="001625D7" w:rsidP="00304247">
      <w:pPr>
        <w:rPr>
          <w:rFonts w:ascii="Century Gothic" w:hAnsi="Century Gothic" w:cs="Century Gothic"/>
          <w:color w:val="000000"/>
          <w:sz w:val="28"/>
        </w:rPr>
      </w:pPr>
      <w:r w:rsidRPr="00304247">
        <w:rPr>
          <w:rFonts w:ascii="Century Gothic" w:hAnsi="Century Gothic" w:cs="Century Gothic"/>
          <w:color w:val="000000"/>
          <w:sz w:val="28"/>
        </w:rPr>
        <w:t>Activity 7 – Enhancing regional governance and local decision-making.</w:t>
      </w:r>
    </w:p>
    <w:p w14:paraId="04FB48A1" w14:textId="77777777" w:rsidR="001625D7" w:rsidRPr="00304247" w:rsidRDefault="001625D7" w:rsidP="00304247">
      <w:pPr>
        <w:rPr>
          <w:rFonts w:ascii="Century Gothic" w:hAnsi="Century Gothic" w:cs="Century Gothic"/>
          <w:color w:val="000000"/>
          <w:sz w:val="28"/>
        </w:rPr>
      </w:pPr>
      <w:r w:rsidRPr="00304247">
        <w:rPr>
          <w:rFonts w:ascii="Century Gothic" w:hAnsi="Century Gothic" w:cs="Century Gothic"/>
          <w:color w:val="000000"/>
          <w:sz w:val="28"/>
        </w:rPr>
        <w:t xml:space="preserve">Activity 8 – Delivering the Indigenous Advancement Strategy (IAS) in partnership with Indigenous communities. </w:t>
      </w:r>
    </w:p>
    <w:p w14:paraId="371DEE2E" w14:textId="77777777" w:rsidR="001625D7" w:rsidRPr="00304247" w:rsidRDefault="001625D7" w:rsidP="00304247">
      <w:pPr>
        <w:rPr>
          <w:rFonts w:ascii="Century Gothic" w:hAnsi="Century Gothic" w:cs="Century Gothic"/>
          <w:color w:val="000000"/>
          <w:sz w:val="28"/>
        </w:rPr>
        <w:sectPr w:rsidR="001625D7" w:rsidRPr="00304247" w:rsidSect="00304247">
          <w:type w:val="continuous"/>
          <w:pgSz w:w="23811" w:h="16838" w:orient="landscape" w:code="8"/>
          <w:pgMar w:top="851" w:right="1414" w:bottom="851" w:left="1701" w:header="567" w:footer="57" w:gutter="0"/>
          <w:cols w:num="2" w:space="1418"/>
          <w:titlePg/>
          <w:docGrid w:linePitch="360"/>
        </w:sectPr>
      </w:pPr>
      <w:r w:rsidRPr="00304247">
        <w:rPr>
          <w:rFonts w:ascii="Century Gothic" w:hAnsi="Century Gothic" w:cs="Century Gothic"/>
          <w:color w:val="000000"/>
          <w:sz w:val="28"/>
        </w:rPr>
        <w:t>Activity 9 – Undertaking evaluations of National Indigenous Australian Agency programs in line with the IAS Evaluation Framework and incorporating evaluations into policies and programs delivered by the NIAA.</w:t>
      </w:r>
    </w:p>
    <w:p w14:paraId="12471C34" w14:textId="77777777" w:rsidR="001625D7" w:rsidRDefault="001625D7" w:rsidP="00304247">
      <w:pPr>
        <w:rPr>
          <w:rFonts w:ascii="Century Gothic" w:hAnsi="Century Gothic"/>
          <w:sz w:val="28"/>
          <w:szCs w:val="24"/>
        </w:rPr>
      </w:pPr>
      <w:r w:rsidRPr="00304247">
        <w:rPr>
          <w:rFonts w:ascii="Century Gothic" w:hAnsi="Century Gothic" w:cs="Century Gothic"/>
          <w:color w:val="000000"/>
          <w:sz w:val="28"/>
        </w:rPr>
        <w:t>The NIAA is committed to developing our performance framework so that it provides useful information to the Australian Parliament and the public. This year we have included a number of outcome and qualitative measures to demonstrate that our work is both effective and high quality. We have also made updates to better align our performance measures with our purpose and the objectives outlined in our Portfolio Budget Statement. We will continue to mature our performance framework over the coming year, including focusing on developing outcome and efficiency measures as appropriate.</w:t>
      </w:r>
    </w:p>
    <w:p w14:paraId="4D11A0ED" w14:textId="77777777" w:rsidR="001625D7" w:rsidRDefault="001625D7" w:rsidP="00D31B69">
      <w:pPr>
        <w:pStyle w:val="BodyText"/>
        <w:rPr>
          <w:rFonts w:ascii="Century Gothic" w:hAnsi="Century Gothic"/>
          <w:sz w:val="28"/>
          <w:szCs w:val="24"/>
        </w:rPr>
      </w:pPr>
    </w:p>
    <w:p w14:paraId="38577A1E" w14:textId="77777777" w:rsidR="001625D7" w:rsidRPr="00304247" w:rsidRDefault="001625D7" w:rsidP="00304247">
      <w:pPr>
        <w:outlineLvl w:val="1"/>
        <w:rPr>
          <w:rFonts w:ascii="Century Gothic" w:hAnsi="Century Gothic" w:cs="Century Gothic"/>
          <w:b/>
          <w:color w:val="58A28B"/>
          <w:sz w:val="24"/>
          <w:szCs w:val="32"/>
        </w:rPr>
      </w:pPr>
      <w:r w:rsidRPr="00304247">
        <w:rPr>
          <w:rFonts w:ascii="Century Gothic" w:hAnsi="Century Gothic" w:cs="Century Gothic"/>
          <w:b/>
          <w:color w:val="58A28B"/>
          <w:sz w:val="24"/>
          <w:szCs w:val="32"/>
        </w:rPr>
        <w:t>PERFORMANCE MEASURES</w:t>
      </w:r>
    </w:p>
    <w:tbl>
      <w:tblPr>
        <w:tblStyle w:val="NIAATableStyle2"/>
        <w:tblW w:w="2119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660" w:firstRow="1" w:lastRow="1" w:firstColumn="0" w:lastColumn="0" w:noHBand="1" w:noVBand="1"/>
        <w:tblCaption w:val="Performance Measures by Activity: Intended Result; Performance Measure; Methodology; 2020-21 Target; 2021-22 Target; 2022-23 Target; 2023-24 Target and PBS Program"/>
      </w:tblPr>
      <w:tblGrid>
        <w:gridCol w:w="2891"/>
        <w:gridCol w:w="3798"/>
        <w:gridCol w:w="2665"/>
        <w:gridCol w:w="2438"/>
        <w:gridCol w:w="2053"/>
        <w:gridCol w:w="2054"/>
        <w:gridCol w:w="2053"/>
        <w:gridCol w:w="2054"/>
        <w:gridCol w:w="1191"/>
      </w:tblGrid>
      <w:tr w:rsidR="001625D7" w:rsidRPr="008C6E24" w14:paraId="7A9F50B8" w14:textId="77777777" w:rsidTr="00A42487">
        <w:trPr>
          <w:cnfStyle w:val="100000000000" w:firstRow="1" w:lastRow="0" w:firstColumn="0" w:lastColumn="0" w:oddVBand="0" w:evenVBand="0" w:oddHBand="0" w:evenHBand="0" w:firstRowFirstColumn="0" w:firstRowLastColumn="0" w:lastRowFirstColumn="0" w:lastRowLastColumn="0"/>
          <w:trHeight w:val="350"/>
          <w:tblHeader/>
        </w:trPr>
        <w:tc>
          <w:tcPr>
            <w:tcW w:w="2891" w:type="dxa"/>
            <w:shd w:val="clear" w:color="auto" w:fill="E7E6E6" w:themeFill="background2"/>
            <w:tcMar>
              <w:left w:w="170" w:type="dxa"/>
              <w:right w:w="170" w:type="dxa"/>
            </w:tcMar>
            <w:vAlign w:val="center"/>
          </w:tcPr>
          <w:p w14:paraId="0EF49875" w14:textId="77777777" w:rsidR="001625D7" w:rsidRPr="00321F99" w:rsidRDefault="001625D7" w:rsidP="00F71396">
            <w:pPr>
              <w:pStyle w:val="TableHeading"/>
              <w:spacing w:before="0" w:after="0" w:line="240" w:lineRule="atLeast"/>
              <w:rPr>
                <w:rFonts w:ascii="Century Gothic" w:hAnsi="Century Gothic"/>
                <w:color w:val="auto"/>
                <w:szCs w:val="18"/>
              </w:rPr>
            </w:pPr>
            <w:r w:rsidRPr="00321F99">
              <w:rPr>
                <w:rFonts w:ascii="Century Gothic" w:hAnsi="Century Gothic"/>
                <w:color w:val="auto"/>
                <w:szCs w:val="18"/>
              </w:rPr>
              <w:t>Activity</w:t>
            </w:r>
          </w:p>
        </w:tc>
        <w:tc>
          <w:tcPr>
            <w:tcW w:w="3798" w:type="dxa"/>
            <w:shd w:val="clear" w:color="auto" w:fill="E7E6E6" w:themeFill="background2"/>
            <w:tcMar>
              <w:left w:w="170" w:type="dxa"/>
              <w:right w:w="170" w:type="dxa"/>
            </w:tcMar>
            <w:vAlign w:val="center"/>
          </w:tcPr>
          <w:p w14:paraId="588985E3" w14:textId="77777777" w:rsidR="001625D7" w:rsidRPr="00321F99" w:rsidRDefault="001625D7" w:rsidP="00F71396">
            <w:pPr>
              <w:pStyle w:val="TableHeading"/>
              <w:spacing w:before="0" w:after="0" w:line="240" w:lineRule="atLeast"/>
              <w:rPr>
                <w:rFonts w:ascii="Century Gothic" w:hAnsi="Century Gothic"/>
                <w:color w:val="auto"/>
                <w:szCs w:val="18"/>
              </w:rPr>
            </w:pPr>
            <w:r w:rsidRPr="00321F99">
              <w:rPr>
                <w:rFonts w:ascii="Century Gothic" w:hAnsi="Century Gothic"/>
                <w:color w:val="auto"/>
                <w:szCs w:val="18"/>
              </w:rPr>
              <w:t>Intended Result</w:t>
            </w:r>
          </w:p>
        </w:tc>
        <w:tc>
          <w:tcPr>
            <w:tcW w:w="2665" w:type="dxa"/>
            <w:shd w:val="clear" w:color="auto" w:fill="E7E6E6" w:themeFill="background2"/>
            <w:tcMar>
              <w:left w:w="170" w:type="dxa"/>
              <w:right w:w="170" w:type="dxa"/>
            </w:tcMar>
            <w:vAlign w:val="center"/>
          </w:tcPr>
          <w:p w14:paraId="2EE236F3" w14:textId="77777777" w:rsidR="001625D7" w:rsidRPr="00321F99" w:rsidRDefault="001625D7" w:rsidP="00F71396">
            <w:pPr>
              <w:pStyle w:val="TableHeading"/>
              <w:spacing w:before="0" w:after="0" w:line="240" w:lineRule="atLeast"/>
              <w:rPr>
                <w:rFonts w:ascii="Century Gothic" w:hAnsi="Century Gothic"/>
                <w:b w:val="0"/>
                <w:color w:val="auto"/>
                <w:szCs w:val="18"/>
              </w:rPr>
            </w:pPr>
            <w:r w:rsidRPr="00321F99">
              <w:rPr>
                <w:rFonts w:ascii="Century Gothic" w:hAnsi="Century Gothic"/>
                <w:color w:val="auto"/>
                <w:szCs w:val="18"/>
              </w:rPr>
              <w:t>Performance Measure</w:t>
            </w:r>
          </w:p>
        </w:tc>
        <w:tc>
          <w:tcPr>
            <w:tcW w:w="2438" w:type="dxa"/>
            <w:shd w:val="clear" w:color="auto" w:fill="E7E6E6" w:themeFill="background2"/>
            <w:tcMar>
              <w:left w:w="170" w:type="dxa"/>
              <w:right w:w="170" w:type="dxa"/>
            </w:tcMar>
            <w:vAlign w:val="center"/>
          </w:tcPr>
          <w:p w14:paraId="3762C7D1" w14:textId="77777777" w:rsidR="001625D7" w:rsidRPr="00321F99" w:rsidRDefault="001625D7" w:rsidP="00F71396">
            <w:pPr>
              <w:pStyle w:val="TableHeading"/>
              <w:spacing w:before="0" w:after="0" w:line="240" w:lineRule="atLeast"/>
              <w:rPr>
                <w:rFonts w:ascii="Century Gothic" w:hAnsi="Century Gothic"/>
                <w:color w:val="auto"/>
                <w:szCs w:val="18"/>
              </w:rPr>
            </w:pPr>
            <w:r w:rsidRPr="00321F99">
              <w:rPr>
                <w:rFonts w:ascii="Century Gothic" w:hAnsi="Century Gothic"/>
                <w:color w:val="auto"/>
                <w:szCs w:val="18"/>
              </w:rPr>
              <w:t>Methodology</w:t>
            </w:r>
          </w:p>
        </w:tc>
        <w:tc>
          <w:tcPr>
            <w:tcW w:w="2053" w:type="dxa"/>
            <w:shd w:val="clear" w:color="auto" w:fill="E7E6E6" w:themeFill="background2"/>
            <w:tcMar>
              <w:left w:w="170" w:type="dxa"/>
              <w:right w:w="170" w:type="dxa"/>
            </w:tcMar>
            <w:vAlign w:val="center"/>
          </w:tcPr>
          <w:p w14:paraId="639877F6" w14:textId="77777777" w:rsidR="001625D7" w:rsidRPr="00321F99" w:rsidRDefault="001625D7" w:rsidP="00F71396">
            <w:pPr>
              <w:pStyle w:val="TableHeading"/>
              <w:spacing w:before="0" w:after="0" w:line="240" w:lineRule="atLeast"/>
              <w:rPr>
                <w:rFonts w:ascii="Century Gothic" w:hAnsi="Century Gothic"/>
                <w:color w:val="auto"/>
                <w:szCs w:val="18"/>
              </w:rPr>
            </w:pPr>
            <w:r w:rsidRPr="00321F99">
              <w:rPr>
                <w:rFonts w:ascii="Century Gothic" w:hAnsi="Century Gothic"/>
                <w:color w:val="auto"/>
                <w:szCs w:val="18"/>
              </w:rPr>
              <w:t>2020-21 Target</w:t>
            </w:r>
          </w:p>
        </w:tc>
        <w:tc>
          <w:tcPr>
            <w:tcW w:w="2054" w:type="dxa"/>
            <w:shd w:val="clear" w:color="auto" w:fill="E7E6E6" w:themeFill="background2"/>
            <w:tcMar>
              <w:left w:w="170" w:type="dxa"/>
              <w:right w:w="170" w:type="dxa"/>
            </w:tcMar>
            <w:vAlign w:val="center"/>
          </w:tcPr>
          <w:p w14:paraId="6B3F0CCE" w14:textId="77777777" w:rsidR="001625D7" w:rsidRPr="00321F99" w:rsidRDefault="001625D7" w:rsidP="00F71396">
            <w:pPr>
              <w:pStyle w:val="TableHeading"/>
              <w:spacing w:before="0" w:after="0" w:line="240" w:lineRule="atLeast"/>
              <w:rPr>
                <w:rFonts w:ascii="Century Gothic" w:hAnsi="Century Gothic"/>
                <w:color w:val="auto"/>
                <w:szCs w:val="18"/>
              </w:rPr>
            </w:pPr>
            <w:r w:rsidRPr="00321F99">
              <w:rPr>
                <w:rFonts w:ascii="Century Gothic" w:hAnsi="Century Gothic"/>
                <w:color w:val="auto"/>
                <w:szCs w:val="18"/>
              </w:rPr>
              <w:t>2021-22 Target</w:t>
            </w:r>
          </w:p>
        </w:tc>
        <w:tc>
          <w:tcPr>
            <w:tcW w:w="2053" w:type="dxa"/>
            <w:shd w:val="clear" w:color="auto" w:fill="E7E6E6" w:themeFill="background2"/>
            <w:tcMar>
              <w:left w:w="170" w:type="dxa"/>
              <w:right w:w="170" w:type="dxa"/>
            </w:tcMar>
            <w:vAlign w:val="center"/>
          </w:tcPr>
          <w:p w14:paraId="6CDB1F03" w14:textId="77777777" w:rsidR="001625D7" w:rsidRPr="00321F99" w:rsidRDefault="001625D7" w:rsidP="00F71396">
            <w:pPr>
              <w:pStyle w:val="TableHeading"/>
              <w:spacing w:before="0" w:after="0" w:line="240" w:lineRule="atLeast"/>
              <w:rPr>
                <w:rFonts w:ascii="Century Gothic" w:hAnsi="Century Gothic"/>
                <w:color w:val="auto"/>
                <w:szCs w:val="18"/>
              </w:rPr>
            </w:pPr>
            <w:r w:rsidRPr="00321F99">
              <w:rPr>
                <w:rFonts w:ascii="Century Gothic" w:hAnsi="Century Gothic"/>
                <w:color w:val="auto"/>
                <w:szCs w:val="18"/>
              </w:rPr>
              <w:t>2022-23 Target</w:t>
            </w:r>
          </w:p>
        </w:tc>
        <w:tc>
          <w:tcPr>
            <w:tcW w:w="2054" w:type="dxa"/>
            <w:shd w:val="clear" w:color="auto" w:fill="E7E6E6" w:themeFill="background2"/>
            <w:tcMar>
              <w:left w:w="170" w:type="dxa"/>
              <w:right w:w="170" w:type="dxa"/>
            </w:tcMar>
            <w:vAlign w:val="center"/>
          </w:tcPr>
          <w:p w14:paraId="2D41B0C0" w14:textId="77777777" w:rsidR="001625D7" w:rsidRPr="00321F99" w:rsidRDefault="001625D7" w:rsidP="00F71396">
            <w:pPr>
              <w:pStyle w:val="TableHeading"/>
              <w:spacing w:before="0" w:after="0" w:line="240" w:lineRule="atLeast"/>
              <w:rPr>
                <w:rFonts w:ascii="Century Gothic" w:hAnsi="Century Gothic"/>
                <w:color w:val="auto"/>
                <w:szCs w:val="18"/>
              </w:rPr>
            </w:pPr>
            <w:r w:rsidRPr="00321F99">
              <w:rPr>
                <w:rFonts w:ascii="Century Gothic" w:hAnsi="Century Gothic"/>
                <w:color w:val="auto"/>
                <w:szCs w:val="18"/>
              </w:rPr>
              <w:t>2023-24 Target</w:t>
            </w:r>
          </w:p>
        </w:tc>
        <w:tc>
          <w:tcPr>
            <w:tcW w:w="1191" w:type="dxa"/>
            <w:shd w:val="clear" w:color="auto" w:fill="E7E6E6" w:themeFill="background2"/>
            <w:tcMar>
              <w:left w:w="170" w:type="dxa"/>
              <w:right w:w="170" w:type="dxa"/>
            </w:tcMar>
            <w:vAlign w:val="center"/>
          </w:tcPr>
          <w:p w14:paraId="4C267690" w14:textId="77777777" w:rsidR="001625D7" w:rsidRPr="00321F99" w:rsidRDefault="001625D7" w:rsidP="00CB345F">
            <w:pPr>
              <w:pStyle w:val="TableHeading"/>
              <w:spacing w:before="0" w:after="0" w:line="240" w:lineRule="atLeast"/>
              <w:jc w:val="center"/>
              <w:rPr>
                <w:rFonts w:ascii="Century Gothic" w:hAnsi="Century Gothic"/>
                <w:color w:val="auto"/>
                <w:szCs w:val="18"/>
              </w:rPr>
            </w:pPr>
            <w:r w:rsidRPr="00321F99">
              <w:rPr>
                <w:rFonts w:ascii="Century Gothic" w:hAnsi="Century Gothic"/>
                <w:color w:val="auto"/>
                <w:szCs w:val="18"/>
              </w:rPr>
              <w:t>PBS Program</w:t>
            </w:r>
          </w:p>
        </w:tc>
      </w:tr>
      <w:tr w:rsidR="001625D7" w:rsidRPr="008C6E24" w14:paraId="39D926CB" w14:textId="77777777" w:rsidTr="00D747F7">
        <w:trPr>
          <w:trHeight w:val="2477"/>
        </w:trPr>
        <w:tc>
          <w:tcPr>
            <w:tcW w:w="2891" w:type="dxa"/>
            <w:vMerge w:val="restart"/>
            <w:shd w:val="clear" w:color="auto" w:fill="auto"/>
            <w:tcMar>
              <w:left w:w="170" w:type="dxa"/>
              <w:right w:w="170" w:type="dxa"/>
            </w:tcMar>
            <w:vAlign w:val="center"/>
          </w:tcPr>
          <w:p w14:paraId="4CE89DF3" w14:textId="77777777" w:rsidR="001625D7" w:rsidRPr="00321F99" w:rsidRDefault="001625D7" w:rsidP="001D438B">
            <w:pPr>
              <w:pStyle w:val="TableBody"/>
              <w:spacing w:before="0" w:after="0" w:line="240" w:lineRule="atLeast"/>
              <w:rPr>
                <w:rFonts w:ascii="Century Gothic" w:hAnsi="Century Gothic"/>
                <w:b/>
                <w:color w:val="auto"/>
                <w:szCs w:val="18"/>
                <w:u w:val="single"/>
              </w:rPr>
            </w:pPr>
            <w:r w:rsidRPr="00321F99">
              <w:rPr>
                <w:rFonts w:ascii="Century Gothic" w:hAnsi="Century Gothic"/>
                <w:b/>
                <w:color w:val="auto"/>
                <w:szCs w:val="18"/>
                <w:u w:val="single"/>
              </w:rPr>
              <w:t>Activity 1</w:t>
            </w:r>
          </w:p>
          <w:p w14:paraId="13005DE7" w14:textId="77777777" w:rsidR="001625D7" w:rsidRPr="00321F99" w:rsidRDefault="001625D7" w:rsidP="001D438B">
            <w:pPr>
              <w:pStyle w:val="TableBody"/>
              <w:spacing w:before="0" w:after="0" w:line="240" w:lineRule="atLeast"/>
              <w:rPr>
                <w:rFonts w:ascii="Century Gothic" w:hAnsi="Century Gothic"/>
                <w:b/>
                <w:color w:val="auto"/>
                <w:szCs w:val="18"/>
              </w:rPr>
            </w:pPr>
            <w:r w:rsidRPr="00321F99">
              <w:rPr>
                <w:rFonts w:ascii="Century Gothic" w:hAnsi="Century Gothic"/>
                <w:b/>
                <w:color w:val="auto"/>
                <w:szCs w:val="18"/>
              </w:rPr>
              <w:t>Leading the Commonwealth Government implementation of the National Agreement on Closing the Gap through partnership and engagement with other Commonwealth Government portfolios, Aboriginal and Torres Strait Islander representatives, and state and territory governments.</w:t>
            </w:r>
          </w:p>
        </w:tc>
        <w:tc>
          <w:tcPr>
            <w:tcW w:w="3798" w:type="dxa"/>
            <w:shd w:val="clear" w:color="auto" w:fill="auto"/>
            <w:tcMar>
              <w:left w:w="170" w:type="dxa"/>
              <w:right w:w="170" w:type="dxa"/>
            </w:tcMar>
            <w:vAlign w:val="center"/>
          </w:tcPr>
          <w:p w14:paraId="101F2C9B" w14:textId="77777777" w:rsidR="001625D7" w:rsidRPr="00321F99" w:rsidRDefault="001625D7" w:rsidP="001D438B">
            <w:pPr>
              <w:pStyle w:val="TableBody"/>
              <w:spacing w:before="0" w:after="0" w:line="240" w:lineRule="atLeast"/>
              <w:rPr>
                <w:rFonts w:ascii="Century Gothic" w:hAnsi="Century Gothic" w:cstheme="minorHAnsi"/>
                <w:color w:val="auto"/>
                <w:szCs w:val="18"/>
                <w:lang w:val="en-US"/>
              </w:rPr>
            </w:pPr>
            <w:r w:rsidRPr="00321F99">
              <w:rPr>
                <w:rFonts w:ascii="Century Gothic" w:hAnsi="Century Gothic" w:cstheme="minorHAnsi"/>
                <w:color w:val="auto"/>
                <w:szCs w:val="18"/>
                <w:lang w:val="en-US"/>
              </w:rPr>
              <w:t>1.1 Delivered a National Agreement on Closing the Gap, including targets, for agreement by the Council of Australian Governments and the Coalition of Aboriginal and Torres Strait Islander Peak Organisations.</w:t>
            </w:r>
          </w:p>
        </w:tc>
        <w:tc>
          <w:tcPr>
            <w:tcW w:w="2665" w:type="dxa"/>
            <w:shd w:val="clear" w:color="auto" w:fill="auto"/>
            <w:tcMar>
              <w:left w:w="170" w:type="dxa"/>
              <w:right w:w="170" w:type="dxa"/>
            </w:tcMar>
            <w:vAlign w:val="center"/>
          </w:tcPr>
          <w:p w14:paraId="16FEE6F1" w14:textId="77777777" w:rsidR="001625D7" w:rsidRPr="00321F99" w:rsidRDefault="001625D7" w:rsidP="00F71396">
            <w:pPr>
              <w:pStyle w:val="TableBody"/>
              <w:spacing w:before="0" w:after="0" w:line="240" w:lineRule="atLeast"/>
              <w:rPr>
                <w:rFonts w:ascii="Century Gothic" w:hAnsi="Century Gothic"/>
                <w:color w:val="auto"/>
                <w:szCs w:val="18"/>
              </w:rPr>
            </w:pPr>
            <w:r w:rsidRPr="00321F99">
              <w:rPr>
                <w:rFonts w:ascii="Century Gothic" w:hAnsi="Century Gothic"/>
                <w:color w:val="auto"/>
                <w:szCs w:val="18"/>
              </w:rPr>
              <w:t>1.1.1 Delivery within the announced timeframe.</w:t>
            </w:r>
          </w:p>
        </w:tc>
        <w:tc>
          <w:tcPr>
            <w:tcW w:w="2438" w:type="dxa"/>
            <w:shd w:val="clear" w:color="auto" w:fill="auto"/>
            <w:tcMar>
              <w:left w:w="170" w:type="dxa"/>
              <w:right w:w="170" w:type="dxa"/>
            </w:tcMar>
            <w:vAlign w:val="center"/>
          </w:tcPr>
          <w:p w14:paraId="4BEE5A9B" w14:textId="77777777" w:rsidR="001625D7" w:rsidRPr="00321F99" w:rsidRDefault="001625D7" w:rsidP="00A62552">
            <w:pPr>
              <w:pStyle w:val="TableBody"/>
              <w:spacing w:before="0" w:after="0" w:line="240" w:lineRule="atLeast"/>
              <w:rPr>
                <w:rFonts w:ascii="Century Gothic" w:hAnsi="Century Gothic"/>
                <w:color w:val="auto"/>
                <w:szCs w:val="18"/>
              </w:rPr>
            </w:pPr>
            <w:r w:rsidRPr="00321F99">
              <w:rPr>
                <w:rFonts w:ascii="Century Gothic" w:hAnsi="Century Gothic"/>
                <w:color w:val="auto"/>
                <w:szCs w:val="18"/>
              </w:rPr>
              <w:t>Quantitative assessment against timeframe.</w:t>
            </w:r>
          </w:p>
        </w:tc>
        <w:tc>
          <w:tcPr>
            <w:tcW w:w="2053" w:type="dxa"/>
            <w:shd w:val="clear" w:color="auto" w:fill="auto"/>
            <w:tcMar>
              <w:left w:w="170" w:type="dxa"/>
              <w:right w:w="170" w:type="dxa"/>
            </w:tcMar>
            <w:vAlign w:val="center"/>
          </w:tcPr>
          <w:p w14:paraId="1216C8D9" w14:textId="77777777" w:rsidR="001625D7" w:rsidRPr="00321F99" w:rsidRDefault="001625D7" w:rsidP="00BF5539">
            <w:pPr>
              <w:pStyle w:val="TableBody"/>
              <w:spacing w:after="0" w:line="240" w:lineRule="atLeast"/>
              <w:rPr>
                <w:rFonts w:ascii="Century Gothic" w:hAnsi="Century Gothic" w:cstheme="minorHAnsi"/>
                <w:color w:val="auto"/>
                <w:szCs w:val="18"/>
              </w:rPr>
            </w:pPr>
            <w:r w:rsidRPr="00321F99">
              <w:rPr>
                <w:rFonts w:ascii="Century Gothic" w:hAnsi="Century Gothic" w:cstheme="minorHAnsi"/>
                <w:color w:val="auto"/>
                <w:szCs w:val="18"/>
              </w:rPr>
              <w:t>July 2020:</w:t>
            </w:r>
          </w:p>
          <w:p w14:paraId="0F23ECD3" w14:textId="77777777" w:rsidR="001625D7" w:rsidRPr="00321F99" w:rsidRDefault="001625D7" w:rsidP="00BF5539">
            <w:pPr>
              <w:pStyle w:val="TableBody"/>
              <w:spacing w:after="0" w:line="240" w:lineRule="atLeast"/>
              <w:rPr>
                <w:rFonts w:ascii="Century Gothic" w:hAnsi="Century Gothic" w:cstheme="minorHAnsi"/>
                <w:color w:val="auto"/>
                <w:szCs w:val="18"/>
              </w:rPr>
            </w:pPr>
            <w:r w:rsidRPr="00321F99">
              <w:rPr>
                <w:rFonts w:ascii="Century Gothic" w:hAnsi="Century Gothic" w:cstheme="minorHAnsi"/>
                <w:color w:val="auto"/>
                <w:szCs w:val="18"/>
              </w:rPr>
              <w:t>Delivery of National Agreement</w:t>
            </w:r>
          </w:p>
          <w:p w14:paraId="704112C5" w14:textId="77777777" w:rsidR="001625D7" w:rsidRPr="00321F99" w:rsidRDefault="001625D7" w:rsidP="00BF5539">
            <w:pPr>
              <w:pStyle w:val="TableBody"/>
              <w:spacing w:after="0" w:line="240" w:lineRule="atLeast"/>
              <w:rPr>
                <w:rFonts w:ascii="Century Gothic" w:hAnsi="Century Gothic" w:cstheme="minorHAnsi"/>
                <w:color w:val="auto"/>
                <w:szCs w:val="18"/>
              </w:rPr>
            </w:pPr>
          </w:p>
          <w:p w14:paraId="0B7A11A5" w14:textId="77777777" w:rsidR="001625D7" w:rsidRPr="00321F99" w:rsidRDefault="001625D7" w:rsidP="00BF5539">
            <w:pPr>
              <w:pStyle w:val="TableBody"/>
              <w:spacing w:before="0" w:after="0" w:line="240" w:lineRule="atLeast"/>
              <w:rPr>
                <w:rFonts w:ascii="Century Gothic" w:hAnsi="Century Gothic" w:cstheme="minorHAnsi"/>
                <w:color w:val="auto"/>
                <w:szCs w:val="18"/>
              </w:rPr>
            </w:pPr>
            <w:r w:rsidRPr="00321F99">
              <w:rPr>
                <w:rFonts w:ascii="Century Gothic" w:hAnsi="Century Gothic" w:cstheme="minorHAnsi"/>
                <w:color w:val="auto"/>
                <w:szCs w:val="18"/>
              </w:rPr>
              <w:t>October 2020:</w:t>
            </w:r>
          </w:p>
          <w:p w14:paraId="6503A701" w14:textId="77777777" w:rsidR="001625D7" w:rsidRPr="00321F99" w:rsidRDefault="001625D7" w:rsidP="00BF5539">
            <w:pPr>
              <w:pStyle w:val="TableBody"/>
              <w:spacing w:before="0" w:after="0" w:line="240" w:lineRule="atLeast"/>
              <w:rPr>
                <w:rFonts w:ascii="Century Gothic" w:hAnsi="Century Gothic" w:cstheme="minorHAnsi"/>
                <w:color w:val="auto"/>
                <w:szCs w:val="18"/>
              </w:rPr>
            </w:pPr>
            <w:r w:rsidRPr="00321F99">
              <w:rPr>
                <w:rFonts w:ascii="Century Gothic" w:hAnsi="Century Gothic" w:cstheme="minorHAnsi"/>
                <w:color w:val="auto"/>
                <w:szCs w:val="18"/>
              </w:rPr>
              <w:t>Deliver the Family Violence and Access to Information targets</w:t>
            </w:r>
          </w:p>
        </w:tc>
        <w:tc>
          <w:tcPr>
            <w:tcW w:w="2054" w:type="dxa"/>
            <w:shd w:val="clear" w:color="auto" w:fill="auto"/>
            <w:tcMar>
              <w:left w:w="170" w:type="dxa"/>
              <w:right w:w="170" w:type="dxa"/>
            </w:tcMar>
            <w:vAlign w:val="center"/>
          </w:tcPr>
          <w:p w14:paraId="582AB6D1" w14:textId="77777777" w:rsidR="001625D7" w:rsidRPr="00321F99" w:rsidRDefault="001625D7" w:rsidP="00BF5539">
            <w:pPr>
              <w:pStyle w:val="TableBullet"/>
              <w:numPr>
                <w:ilvl w:val="0"/>
                <w:numId w:val="0"/>
              </w:numPr>
              <w:spacing w:before="0" w:after="0" w:line="240" w:lineRule="atLeast"/>
              <w:rPr>
                <w:rFonts w:ascii="Century Gothic" w:hAnsi="Century Gothic"/>
                <w:color w:val="auto"/>
                <w:szCs w:val="18"/>
              </w:rPr>
            </w:pPr>
            <w:r w:rsidRPr="00321F99">
              <w:rPr>
                <w:rFonts w:ascii="Century Gothic" w:hAnsi="Century Gothic"/>
                <w:color w:val="auto"/>
                <w:szCs w:val="18"/>
              </w:rPr>
              <w:t xml:space="preserve">July 2021: </w:t>
            </w:r>
          </w:p>
          <w:p w14:paraId="79B44784" w14:textId="77777777" w:rsidR="001625D7" w:rsidRPr="00321F99" w:rsidRDefault="001625D7" w:rsidP="00BF5539">
            <w:pPr>
              <w:pStyle w:val="TableBullet"/>
              <w:numPr>
                <w:ilvl w:val="0"/>
                <w:numId w:val="0"/>
              </w:numPr>
              <w:spacing w:before="0" w:after="0" w:line="240" w:lineRule="atLeast"/>
              <w:rPr>
                <w:rFonts w:ascii="Century Gothic" w:hAnsi="Century Gothic"/>
                <w:color w:val="auto"/>
                <w:szCs w:val="18"/>
              </w:rPr>
            </w:pPr>
            <w:r w:rsidRPr="00321F99">
              <w:rPr>
                <w:rFonts w:ascii="Century Gothic" w:hAnsi="Century Gothic"/>
                <w:color w:val="auto"/>
                <w:szCs w:val="18"/>
              </w:rPr>
              <w:t>Deliver the Community Infrastructure and Inland waters targets</w:t>
            </w:r>
          </w:p>
        </w:tc>
        <w:tc>
          <w:tcPr>
            <w:tcW w:w="2053" w:type="dxa"/>
            <w:shd w:val="clear" w:color="auto" w:fill="auto"/>
            <w:tcMar>
              <w:left w:w="170" w:type="dxa"/>
              <w:right w:w="170" w:type="dxa"/>
            </w:tcMar>
            <w:vAlign w:val="center"/>
          </w:tcPr>
          <w:p w14:paraId="142879C2" w14:textId="77777777" w:rsidR="001625D7" w:rsidRPr="00321F99" w:rsidRDefault="001625D7" w:rsidP="00F71396">
            <w:pPr>
              <w:pStyle w:val="TableNumbering"/>
              <w:numPr>
                <w:ilvl w:val="0"/>
                <w:numId w:val="0"/>
              </w:numPr>
              <w:spacing w:before="0" w:after="0" w:line="240" w:lineRule="atLeast"/>
              <w:rPr>
                <w:rFonts w:ascii="Century Gothic" w:hAnsi="Century Gothic" w:cstheme="minorHAnsi"/>
                <w:color w:val="auto"/>
                <w:szCs w:val="18"/>
              </w:rPr>
            </w:pPr>
          </w:p>
        </w:tc>
        <w:tc>
          <w:tcPr>
            <w:tcW w:w="2054" w:type="dxa"/>
            <w:shd w:val="clear" w:color="auto" w:fill="auto"/>
            <w:tcMar>
              <w:left w:w="170" w:type="dxa"/>
              <w:right w:w="170" w:type="dxa"/>
            </w:tcMar>
            <w:vAlign w:val="center"/>
          </w:tcPr>
          <w:p w14:paraId="6FD3C30B" w14:textId="77777777" w:rsidR="001625D7" w:rsidRPr="00321F99" w:rsidRDefault="001625D7" w:rsidP="00F71396">
            <w:pPr>
              <w:pStyle w:val="TableNumbering"/>
              <w:numPr>
                <w:ilvl w:val="0"/>
                <w:numId w:val="0"/>
              </w:numPr>
              <w:spacing w:before="0" w:after="0" w:line="240" w:lineRule="atLeast"/>
              <w:rPr>
                <w:rFonts w:ascii="Century Gothic" w:hAnsi="Century Gothic" w:cstheme="minorHAnsi"/>
                <w:color w:val="auto"/>
                <w:szCs w:val="18"/>
              </w:rPr>
            </w:pPr>
          </w:p>
        </w:tc>
        <w:tc>
          <w:tcPr>
            <w:tcW w:w="1191" w:type="dxa"/>
            <w:vMerge w:val="restart"/>
            <w:shd w:val="clear" w:color="auto" w:fill="auto"/>
            <w:tcMar>
              <w:left w:w="170" w:type="dxa"/>
              <w:right w:w="170" w:type="dxa"/>
            </w:tcMar>
            <w:vAlign w:val="center"/>
          </w:tcPr>
          <w:p w14:paraId="29EE6659" w14:textId="77777777" w:rsidR="001625D7" w:rsidRPr="00321F99" w:rsidRDefault="001625D7" w:rsidP="001625D7">
            <w:pPr>
              <w:pStyle w:val="TableNumbering"/>
              <w:spacing w:before="0" w:after="0" w:line="240" w:lineRule="atLeast"/>
              <w:ind w:left="0" w:hanging="397"/>
              <w:jc w:val="center"/>
              <w:rPr>
                <w:rFonts w:ascii="Century Gothic" w:hAnsi="Century Gothic"/>
                <w:color w:val="auto"/>
                <w:szCs w:val="18"/>
              </w:rPr>
            </w:pPr>
            <w:r w:rsidRPr="00321F99">
              <w:rPr>
                <w:rFonts w:ascii="Century Gothic" w:hAnsi="Century Gothic"/>
                <w:color w:val="auto"/>
                <w:szCs w:val="18"/>
              </w:rPr>
              <w:t>Program 1.7</w:t>
            </w:r>
          </w:p>
        </w:tc>
      </w:tr>
      <w:tr w:rsidR="001625D7" w:rsidRPr="008C6E24" w14:paraId="773EF8E0" w14:textId="77777777" w:rsidTr="00D747F7">
        <w:trPr>
          <w:trHeight w:val="1854"/>
        </w:trPr>
        <w:tc>
          <w:tcPr>
            <w:tcW w:w="2891" w:type="dxa"/>
            <w:vMerge/>
            <w:shd w:val="clear" w:color="auto" w:fill="auto"/>
            <w:tcMar>
              <w:left w:w="170" w:type="dxa"/>
              <w:right w:w="170" w:type="dxa"/>
            </w:tcMar>
            <w:vAlign w:val="center"/>
          </w:tcPr>
          <w:p w14:paraId="5AB21801" w14:textId="77777777" w:rsidR="001625D7" w:rsidRPr="00321F99" w:rsidRDefault="001625D7" w:rsidP="005E38BF">
            <w:pPr>
              <w:pStyle w:val="TableBody"/>
              <w:spacing w:before="0" w:after="0" w:line="240" w:lineRule="atLeast"/>
              <w:rPr>
                <w:rFonts w:ascii="Century Gothic" w:hAnsi="Century Gothic" w:cstheme="minorHAnsi"/>
                <w:b/>
                <w:color w:val="auto"/>
                <w:szCs w:val="18"/>
                <w:lang w:val="en-US"/>
              </w:rPr>
            </w:pPr>
          </w:p>
        </w:tc>
        <w:tc>
          <w:tcPr>
            <w:tcW w:w="3798" w:type="dxa"/>
            <w:tcMar>
              <w:left w:w="170" w:type="dxa"/>
              <w:right w:w="170" w:type="dxa"/>
            </w:tcMar>
            <w:vAlign w:val="center"/>
          </w:tcPr>
          <w:p w14:paraId="7D4FCB88" w14:textId="77777777" w:rsidR="001625D7" w:rsidRPr="00321F99" w:rsidRDefault="001625D7" w:rsidP="005E38BF">
            <w:pPr>
              <w:pStyle w:val="TableBody"/>
              <w:spacing w:before="0" w:after="0" w:line="240" w:lineRule="atLeast"/>
              <w:rPr>
                <w:rFonts w:ascii="Century Gothic" w:hAnsi="Century Gothic" w:cstheme="minorHAnsi"/>
                <w:color w:val="auto"/>
                <w:szCs w:val="18"/>
                <w:lang w:val="en-US"/>
              </w:rPr>
            </w:pPr>
            <w:r w:rsidRPr="00321F99">
              <w:rPr>
                <w:rFonts w:ascii="Century Gothic" w:hAnsi="Century Gothic" w:cstheme="minorHAnsi"/>
                <w:color w:val="auto"/>
                <w:szCs w:val="18"/>
                <w:lang w:val="en-US"/>
              </w:rPr>
              <w:t xml:space="preserve">1.2 Developed a whole of Commonwealth implementation plan, setting out how the Commonwealth will contribute to achieving the targets and Priority Reforms in the National Agreement on Closing the Gap. </w:t>
            </w:r>
          </w:p>
        </w:tc>
        <w:tc>
          <w:tcPr>
            <w:tcW w:w="2665" w:type="dxa"/>
            <w:tcMar>
              <w:left w:w="170" w:type="dxa"/>
              <w:right w:w="170" w:type="dxa"/>
            </w:tcMar>
            <w:vAlign w:val="center"/>
          </w:tcPr>
          <w:p w14:paraId="79401331" w14:textId="77777777" w:rsidR="001625D7" w:rsidRPr="00321F99" w:rsidRDefault="001625D7" w:rsidP="005E38BF">
            <w:pPr>
              <w:pStyle w:val="TableBody"/>
              <w:spacing w:before="0" w:after="0" w:line="240" w:lineRule="atLeast"/>
              <w:rPr>
                <w:rFonts w:ascii="Century Gothic" w:hAnsi="Century Gothic"/>
                <w:color w:val="auto"/>
                <w:szCs w:val="18"/>
              </w:rPr>
            </w:pPr>
            <w:r w:rsidRPr="00321F99">
              <w:rPr>
                <w:rFonts w:ascii="Century Gothic" w:hAnsi="Century Gothic"/>
                <w:color w:val="auto"/>
                <w:szCs w:val="18"/>
              </w:rPr>
              <w:t>1.2.1 NIAA demonstrates leadership in delivering the plan, within the announced timeframe.</w:t>
            </w:r>
          </w:p>
        </w:tc>
        <w:tc>
          <w:tcPr>
            <w:tcW w:w="2438" w:type="dxa"/>
            <w:tcMar>
              <w:left w:w="170" w:type="dxa"/>
              <w:right w:w="170" w:type="dxa"/>
            </w:tcMar>
            <w:vAlign w:val="center"/>
          </w:tcPr>
          <w:p w14:paraId="2A2D497F" w14:textId="77777777" w:rsidR="001625D7" w:rsidRPr="00321F99" w:rsidRDefault="001625D7" w:rsidP="00AF46ED">
            <w:pPr>
              <w:pStyle w:val="TableBody"/>
              <w:spacing w:before="0" w:after="0" w:line="240" w:lineRule="atLeast"/>
              <w:rPr>
                <w:rFonts w:ascii="Century Gothic" w:hAnsi="Century Gothic"/>
                <w:color w:val="auto"/>
                <w:szCs w:val="18"/>
              </w:rPr>
            </w:pPr>
            <w:r w:rsidRPr="00321F99">
              <w:rPr>
                <w:rFonts w:ascii="Century Gothic" w:hAnsi="Century Gothic"/>
                <w:color w:val="auto"/>
                <w:szCs w:val="18"/>
              </w:rPr>
              <w:t>Quantitative assessment against timeframe supported by qualitative analysis of actions taken.</w:t>
            </w:r>
          </w:p>
        </w:tc>
        <w:tc>
          <w:tcPr>
            <w:tcW w:w="2053" w:type="dxa"/>
            <w:tcMar>
              <w:left w:w="170" w:type="dxa"/>
              <w:right w:w="170" w:type="dxa"/>
            </w:tcMar>
            <w:vAlign w:val="center"/>
          </w:tcPr>
          <w:p w14:paraId="26694902" w14:textId="77777777" w:rsidR="001625D7" w:rsidRPr="00321F99" w:rsidRDefault="001625D7" w:rsidP="005E38BF">
            <w:pPr>
              <w:pStyle w:val="TableBody"/>
              <w:spacing w:before="0" w:after="0" w:line="240" w:lineRule="atLeast"/>
              <w:rPr>
                <w:rFonts w:ascii="Century Gothic" w:hAnsi="Century Gothic" w:cstheme="minorHAnsi"/>
                <w:color w:val="auto"/>
                <w:szCs w:val="18"/>
              </w:rPr>
            </w:pPr>
          </w:p>
        </w:tc>
        <w:tc>
          <w:tcPr>
            <w:tcW w:w="2054" w:type="dxa"/>
            <w:tcMar>
              <w:left w:w="170" w:type="dxa"/>
              <w:right w:w="170" w:type="dxa"/>
            </w:tcMar>
            <w:vAlign w:val="center"/>
          </w:tcPr>
          <w:p w14:paraId="30228A39" w14:textId="77777777" w:rsidR="001625D7" w:rsidRPr="00321F99" w:rsidRDefault="001625D7" w:rsidP="005E38BF">
            <w:pPr>
              <w:pStyle w:val="TableBullet"/>
              <w:numPr>
                <w:ilvl w:val="0"/>
                <w:numId w:val="0"/>
              </w:numPr>
              <w:spacing w:before="0" w:after="0" w:line="240" w:lineRule="atLeast"/>
              <w:rPr>
                <w:rFonts w:ascii="Century Gothic" w:hAnsi="Century Gothic" w:cstheme="minorHAnsi"/>
                <w:color w:val="auto"/>
                <w:szCs w:val="18"/>
              </w:rPr>
            </w:pPr>
            <w:r w:rsidRPr="00321F99">
              <w:rPr>
                <w:rFonts w:ascii="Century Gothic" w:hAnsi="Century Gothic" w:cstheme="minorHAnsi"/>
                <w:color w:val="auto"/>
                <w:szCs w:val="18"/>
              </w:rPr>
              <w:t>July 2021:</w:t>
            </w:r>
          </w:p>
          <w:p w14:paraId="381D84E6" w14:textId="77777777" w:rsidR="001625D7" w:rsidRPr="00321F99" w:rsidRDefault="001625D7" w:rsidP="005E38BF">
            <w:pPr>
              <w:pStyle w:val="TableBullet"/>
              <w:numPr>
                <w:ilvl w:val="0"/>
                <w:numId w:val="0"/>
              </w:numPr>
              <w:spacing w:before="0" w:after="0" w:line="240" w:lineRule="atLeast"/>
              <w:rPr>
                <w:rFonts w:ascii="Century Gothic" w:hAnsi="Century Gothic" w:cstheme="minorHAnsi"/>
                <w:color w:val="auto"/>
                <w:szCs w:val="18"/>
              </w:rPr>
            </w:pPr>
            <w:r w:rsidRPr="00321F99">
              <w:rPr>
                <w:rFonts w:ascii="Century Gothic" w:hAnsi="Century Gothic" w:cstheme="minorHAnsi"/>
                <w:color w:val="auto"/>
                <w:szCs w:val="18"/>
              </w:rPr>
              <w:t>Deliver the Commonwealth Implementation Plan to Joint Council</w:t>
            </w:r>
          </w:p>
        </w:tc>
        <w:tc>
          <w:tcPr>
            <w:tcW w:w="2053" w:type="dxa"/>
            <w:tcMar>
              <w:left w:w="170" w:type="dxa"/>
              <w:right w:w="170" w:type="dxa"/>
            </w:tcMar>
            <w:vAlign w:val="center"/>
          </w:tcPr>
          <w:p w14:paraId="5F803D60" w14:textId="77777777" w:rsidR="001625D7" w:rsidRPr="00321F99" w:rsidRDefault="001625D7" w:rsidP="005E38BF">
            <w:pPr>
              <w:pStyle w:val="TableNumbering"/>
              <w:numPr>
                <w:ilvl w:val="0"/>
                <w:numId w:val="0"/>
              </w:numPr>
              <w:spacing w:before="0" w:after="0" w:line="240" w:lineRule="atLeast"/>
              <w:rPr>
                <w:rFonts w:ascii="Century Gothic" w:hAnsi="Century Gothic" w:cstheme="minorHAnsi"/>
                <w:color w:val="auto"/>
                <w:szCs w:val="18"/>
              </w:rPr>
            </w:pPr>
          </w:p>
        </w:tc>
        <w:tc>
          <w:tcPr>
            <w:tcW w:w="2054" w:type="dxa"/>
            <w:tcMar>
              <w:left w:w="170" w:type="dxa"/>
              <w:right w:w="170" w:type="dxa"/>
            </w:tcMar>
            <w:vAlign w:val="center"/>
          </w:tcPr>
          <w:p w14:paraId="55BF7333" w14:textId="77777777" w:rsidR="001625D7" w:rsidRPr="00321F99" w:rsidRDefault="001625D7" w:rsidP="005E38BF">
            <w:pPr>
              <w:pStyle w:val="TableNumbering"/>
              <w:numPr>
                <w:ilvl w:val="0"/>
                <w:numId w:val="0"/>
              </w:numPr>
              <w:spacing w:before="0" w:after="0" w:line="240" w:lineRule="atLeast"/>
              <w:rPr>
                <w:rFonts w:ascii="Century Gothic" w:hAnsi="Century Gothic" w:cstheme="minorHAnsi"/>
                <w:color w:val="auto"/>
                <w:szCs w:val="18"/>
              </w:rPr>
            </w:pPr>
          </w:p>
        </w:tc>
        <w:tc>
          <w:tcPr>
            <w:tcW w:w="1191" w:type="dxa"/>
            <w:vMerge/>
            <w:tcMar>
              <w:left w:w="170" w:type="dxa"/>
              <w:right w:w="170" w:type="dxa"/>
            </w:tcMar>
            <w:vAlign w:val="center"/>
          </w:tcPr>
          <w:p w14:paraId="2CB357E0" w14:textId="77777777" w:rsidR="001625D7" w:rsidRPr="00321F99" w:rsidRDefault="001625D7" w:rsidP="00CB345F">
            <w:pPr>
              <w:pStyle w:val="TableNumbering"/>
              <w:numPr>
                <w:ilvl w:val="0"/>
                <w:numId w:val="0"/>
              </w:numPr>
              <w:spacing w:before="0" w:after="0" w:line="240" w:lineRule="atLeast"/>
              <w:jc w:val="center"/>
              <w:rPr>
                <w:rFonts w:ascii="Century Gothic" w:hAnsi="Century Gothic" w:cstheme="minorHAnsi"/>
                <w:color w:val="auto"/>
                <w:szCs w:val="18"/>
              </w:rPr>
            </w:pPr>
          </w:p>
        </w:tc>
      </w:tr>
      <w:tr w:rsidR="001625D7" w:rsidRPr="008C6E24" w14:paraId="748A77C6" w14:textId="77777777" w:rsidTr="00D747F7">
        <w:trPr>
          <w:trHeight w:val="2100"/>
        </w:trPr>
        <w:tc>
          <w:tcPr>
            <w:tcW w:w="2891" w:type="dxa"/>
            <w:vMerge/>
            <w:shd w:val="clear" w:color="auto" w:fill="auto"/>
            <w:tcMar>
              <w:left w:w="170" w:type="dxa"/>
              <w:right w:w="170" w:type="dxa"/>
            </w:tcMar>
            <w:vAlign w:val="center"/>
          </w:tcPr>
          <w:p w14:paraId="45DE94AC" w14:textId="77777777" w:rsidR="001625D7" w:rsidRPr="00321F99" w:rsidRDefault="001625D7" w:rsidP="005E38BF">
            <w:pPr>
              <w:pStyle w:val="TableBody"/>
              <w:spacing w:before="0" w:after="0" w:line="240" w:lineRule="atLeast"/>
              <w:rPr>
                <w:rFonts w:ascii="Century Gothic" w:hAnsi="Century Gothic" w:cstheme="minorHAnsi"/>
                <w:b/>
                <w:color w:val="auto"/>
                <w:szCs w:val="18"/>
                <w:lang w:val="en-US"/>
              </w:rPr>
            </w:pPr>
          </w:p>
        </w:tc>
        <w:tc>
          <w:tcPr>
            <w:tcW w:w="3798" w:type="dxa"/>
            <w:tcMar>
              <w:left w:w="170" w:type="dxa"/>
              <w:right w:w="170" w:type="dxa"/>
            </w:tcMar>
            <w:vAlign w:val="center"/>
          </w:tcPr>
          <w:p w14:paraId="06FA6886" w14:textId="77777777" w:rsidR="001625D7" w:rsidRPr="00321F99" w:rsidRDefault="001625D7" w:rsidP="00E3793E">
            <w:pPr>
              <w:pStyle w:val="TableBody"/>
              <w:spacing w:before="0" w:after="0" w:line="240" w:lineRule="atLeast"/>
              <w:rPr>
                <w:rFonts w:ascii="Century Gothic" w:hAnsi="Century Gothic"/>
                <w:color w:val="auto"/>
                <w:szCs w:val="18"/>
              </w:rPr>
            </w:pPr>
            <w:r w:rsidRPr="00321F99">
              <w:rPr>
                <w:rFonts w:ascii="Century Gothic" w:hAnsi="Century Gothic"/>
                <w:color w:val="auto"/>
                <w:szCs w:val="18"/>
              </w:rPr>
              <w:t xml:space="preserve">1.3 Implemented joint actions against the priority reforms.  </w:t>
            </w:r>
          </w:p>
        </w:tc>
        <w:tc>
          <w:tcPr>
            <w:tcW w:w="2665" w:type="dxa"/>
            <w:tcMar>
              <w:left w:w="170" w:type="dxa"/>
              <w:right w:w="170" w:type="dxa"/>
            </w:tcMar>
            <w:vAlign w:val="center"/>
          </w:tcPr>
          <w:p w14:paraId="4F888E95" w14:textId="77777777" w:rsidR="001625D7" w:rsidRPr="00321F99" w:rsidRDefault="001625D7" w:rsidP="006478F5">
            <w:pPr>
              <w:pStyle w:val="TableBody"/>
              <w:spacing w:before="0" w:after="0" w:line="240" w:lineRule="atLeast"/>
              <w:rPr>
                <w:rFonts w:ascii="Century Gothic" w:hAnsi="Century Gothic"/>
                <w:color w:val="auto"/>
                <w:szCs w:val="18"/>
              </w:rPr>
            </w:pPr>
            <w:r w:rsidRPr="00321F99">
              <w:rPr>
                <w:rFonts w:ascii="Century Gothic" w:hAnsi="Century Gothic"/>
                <w:color w:val="auto"/>
                <w:szCs w:val="18"/>
              </w:rPr>
              <w:t>1.3.1 NIAA coordinates the implementation of priority reforms across the Commonwealth.</w:t>
            </w:r>
          </w:p>
        </w:tc>
        <w:tc>
          <w:tcPr>
            <w:tcW w:w="2438" w:type="dxa"/>
            <w:tcMar>
              <w:left w:w="170" w:type="dxa"/>
              <w:right w:w="170" w:type="dxa"/>
            </w:tcMar>
            <w:vAlign w:val="center"/>
          </w:tcPr>
          <w:p w14:paraId="44D2C2EB" w14:textId="77777777" w:rsidR="001625D7" w:rsidRPr="00321F99" w:rsidRDefault="001625D7" w:rsidP="005E38BF">
            <w:pPr>
              <w:pStyle w:val="TableBody"/>
              <w:spacing w:before="0" w:after="0" w:line="240" w:lineRule="atLeast"/>
              <w:rPr>
                <w:rFonts w:ascii="Century Gothic" w:hAnsi="Century Gothic"/>
                <w:color w:val="auto"/>
                <w:szCs w:val="18"/>
              </w:rPr>
            </w:pPr>
            <w:r w:rsidRPr="00321F99">
              <w:rPr>
                <w:rFonts w:ascii="Century Gothic" w:hAnsi="Century Gothic"/>
                <w:color w:val="auto"/>
                <w:szCs w:val="18"/>
              </w:rPr>
              <w:t>Quantitative assessment against timeframe supported by qualitative analysis of actions taken.</w:t>
            </w:r>
          </w:p>
        </w:tc>
        <w:tc>
          <w:tcPr>
            <w:tcW w:w="2053" w:type="dxa"/>
            <w:tcMar>
              <w:left w:w="170" w:type="dxa"/>
              <w:right w:w="170" w:type="dxa"/>
            </w:tcMar>
            <w:vAlign w:val="center"/>
          </w:tcPr>
          <w:p w14:paraId="648C9493" w14:textId="77777777" w:rsidR="001625D7" w:rsidRPr="00321F99" w:rsidRDefault="001625D7" w:rsidP="00BD1C68">
            <w:pPr>
              <w:pStyle w:val="TableBody"/>
              <w:spacing w:before="0" w:after="0" w:line="240" w:lineRule="atLeast"/>
              <w:rPr>
                <w:rFonts w:ascii="Century Gothic" w:hAnsi="Century Gothic"/>
                <w:color w:val="auto"/>
                <w:szCs w:val="18"/>
              </w:rPr>
            </w:pPr>
            <w:r w:rsidRPr="00321F99">
              <w:rPr>
                <w:rFonts w:ascii="Century Gothic" w:hAnsi="Century Gothic"/>
                <w:color w:val="auto"/>
                <w:szCs w:val="18"/>
              </w:rPr>
              <w:t xml:space="preserve">Progress has been made in implementing the priority reform actions.  </w:t>
            </w:r>
          </w:p>
        </w:tc>
        <w:tc>
          <w:tcPr>
            <w:tcW w:w="2054" w:type="dxa"/>
            <w:tcMar>
              <w:left w:w="170" w:type="dxa"/>
              <w:right w:w="170" w:type="dxa"/>
            </w:tcMar>
            <w:vAlign w:val="center"/>
          </w:tcPr>
          <w:p w14:paraId="73FFB529" w14:textId="77777777" w:rsidR="007831E1" w:rsidRDefault="001625D7" w:rsidP="005E38BF">
            <w:pPr>
              <w:spacing w:before="0" w:after="0" w:line="240" w:lineRule="atLeast"/>
              <w:rPr>
                <w:rFonts w:ascii="Century Gothic" w:hAnsi="Century Gothic"/>
                <w:color w:val="auto"/>
                <w:sz w:val="18"/>
                <w:szCs w:val="18"/>
              </w:rPr>
            </w:pPr>
            <w:r w:rsidRPr="00321F99">
              <w:rPr>
                <w:rFonts w:ascii="Century Gothic" w:hAnsi="Century Gothic"/>
                <w:color w:val="auto"/>
                <w:sz w:val="18"/>
                <w:szCs w:val="18"/>
              </w:rPr>
              <w:t>Progress has been made in implementing the priority reform actions.</w:t>
            </w:r>
          </w:p>
          <w:p w14:paraId="4EA06C9B" w14:textId="77777777" w:rsidR="001625D7" w:rsidRPr="00321F99" w:rsidRDefault="001625D7" w:rsidP="005E38BF">
            <w:pPr>
              <w:spacing w:before="0" w:after="0" w:line="240" w:lineRule="atLeast"/>
              <w:rPr>
                <w:rFonts w:ascii="Century Gothic" w:hAnsi="Century Gothic"/>
                <w:color w:val="auto"/>
                <w:sz w:val="18"/>
                <w:szCs w:val="18"/>
              </w:rPr>
            </w:pPr>
          </w:p>
          <w:p w14:paraId="7B734D00" w14:textId="77777777" w:rsidR="001625D7" w:rsidRPr="00321F99" w:rsidRDefault="001625D7" w:rsidP="005E38BF">
            <w:pPr>
              <w:spacing w:before="0" w:after="0" w:line="240" w:lineRule="atLeast"/>
              <w:rPr>
                <w:rFonts w:ascii="Century Gothic" w:hAnsi="Century Gothic"/>
                <w:color w:val="auto"/>
                <w:sz w:val="18"/>
                <w:szCs w:val="18"/>
              </w:rPr>
            </w:pPr>
            <w:r w:rsidRPr="00321F99">
              <w:rPr>
                <w:rFonts w:ascii="Century Gothic" w:hAnsi="Century Gothic"/>
                <w:color w:val="auto"/>
                <w:sz w:val="18"/>
                <w:szCs w:val="18"/>
              </w:rPr>
              <w:t>July 2021 – Identified locations for six place</w:t>
            </w:r>
            <w:r w:rsidRPr="00321F99">
              <w:rPr>
                <w:rFonts w:ascii="Century Gothic" w:hAnsi="Century Gothic"/>
                <w:color w:val="auto"/>
                <w:sz w:val="18"/>
                <w:szCs w:val="18"/>
              </w:rPr>
              <w:noBreakHyphen/>
              <w:t>based partnerships</w:t>
            </w:r>
          </w:p>
        </w:tc>
        <w:tc>
          <w:tcPr>
            <w:tcW w:w="2053" w:type="dxa"/>
            <w:tcMar>
              <w:left w:w="170" w:type="dxa"/>
              <w:right w:w="170" w:type="dxa"/>
            </w:tcMar>
            <w:vAlign w:val="center"/>
          </w:tcPr>
          <w:p w14:paraId="31718728" w14:textId="77777777" w:rsidR="007831E1" w:rsidRDefault="001625D7" w:rsidP="00A62552">
            <w:pPr>
              <w:pStyle w:val="TableNumbering"/>
              <w:numPr>
                <w:ilvl w:val="0"/>
                <w:numId w:val="0"/>
              </w:numPr>
              <w:spacing w:before="0" w:after="0" w:line="240" w:lineRule="atLeast"/>
              <w:rPr>
                <w:rFonts w:ascii="Century Gothic" w:hAnsi="Century Gothic"/>
                <w:color w:val="auto"/>
                <w:szCs w:val="18"/>
              </w:rPr>
            </w:pPr>
            <w:r w:rsidRPr="00321F99">
              <w:rPr>
                <w:rFonts w:ascii="Century Gothic" w:hAnsi="Century Gothic"/>
                <w:color w:val="auto"/>
                <w:szCs w:val="18"/>
              </w:rPr>
              <w:t>Progress has been made in implementing the priority reform actions.</w:t>
            </w:r>
          </w:p>
          <w:p w14:paraId="5A7F1078" w14:textId="5A19F8FA" w:rsidR="001625D7" w:rsidRPr="00321F99" w:rsidRDefault="007831E1" w:rsidP="00A62552">
            <w:pPr>
              <w:pStyle w:val="TableNumbering"/>
              <w:numPr>
                <w:ilvl w:val="0"/>
                <w:numId w:val="0"/>
              </w:numPr>
              <w:spacing w:before="0" w:after="0" w:line="240" w:lineRule="atLeast"/>
              <w:rPr>
                <w:rFonts w:ascii="Century Gothic" w:hAnsi="Century Gothic"/>
                <w:color w:val="auto"/>
                <w:szCs w:val="18"/>
              </w:rPr>
            </w:pPr>
            <w:r w:rsidRPr="00321F99">
              <w:rPr>
                <w:rFonts w:ascii="Century Gothic" w:hAnsi="Century Gothic"/>
                <w:color w:val="auto"/>
                <w:szCs w:val="18"/>
              </w:rPr>
              <w:t xml:space="preserve"> </w:t>
            </w:r>
          </w:p>
          <w:p w14:paraId="57A7BED5" w14:textId="77777777" w:rsidR="001625D7" w:rsidRPr="00321F99" w:rsidRDefault="001625D7" w:rsidP="00A62552">
            <w:pPr>
              <w:pStyle w:val="TableNumbering"/>
              <w:numPr>
                <w:ilvl w:val="0"/>
                <w:numId w:val="0"/>
              </w:numPr>
              <w:spacing w:after="0" w:line="240" w:lineRule="atLeast"/>
              <w:rPr>
                <w:rFonts w:ascii="Century Gothic" w:hAnsi="Century Gothic"/>
                <w:color w:val="auto"/>
                <w:szCs w:val="18"/>
              </w:rPr>
            </w:pPr>
            <w:r w:rsidRPr="00321F99">
              <w:rPr>
                <w:rFonts w:ascii="Century Gothic" w:hAnsi="Century Gothic"/>
                <w:color w:val="auto"/>
                <w:szCs w:val="18"/>
              </w:rPr>
              <w:t>July 2022 – Deliver the Closing the Gap Data Development Plan</w:t>
            </w:r>
          </w:p>
          <w:p w14:paraId="5950D927" w14:textId="77777777" w:rsidR="001625D7" w:rsidRPr="00321F99" w:rsidRDefault="001625D7" w:rsidP="00A62552">
            <w:pPr>
              <w:pStyle w:val="TableNumbering"/>
              <w:numPr>
                <w:ilvl w:val="0"/>
                <w:numId w:val="0"/>
              </w:numPr>
              <w:spacing w:before="0" w:after="0" w:line="240" w:lineRule="atLeast"/>
              <w:rPr>
                <w:rFonts w:ascii="Century Gothic" w:hAnsi="Century Gothic"/>
                <w:color w:val="auto"/>
                <w:szCs w:val="18"/>
              </w:rPr>
            </w:pPr>
          </w:p>
          <w:p w14:paraId="0DA79CF7" w14:textId="77777777" w:rsidR="001625D7" w:rsidRPr="00321F99" w:rsidRDefault="001625D7" w:rsidP="00BD1C68">
            <w:pPr>
              <w:pStyle w:val="TableNumbering"/>
              <w:numPr>
                <w:ilvl w:val="0"/>
                <w:numId w:val="0"/>
              </w:numPr>
              <w:spacing w:before="0" w:after="0" w:line="240" w:lineRule="atLeast"/>
              <w:rPr>
                <w:rFonts w:ascii="Century Gothic" w:hAnsi="Century Gothic"/>
                <w:color w:val="auto"/>
                <w:szCs w:val="18"/>
              </w:rPr>
            </w:pPr>
            <w:r w:rsidRPr="00321F99">
              <w:rPr>
                <w:rFonts w:ascii="Century Gothic" w:hAnsi="Century Gothic"/>
                <w:color w:val="auto"/>
                <w:szCs w:val="18"/>
              </w:rPr>
              <w:t>July 2022 – establish a joined-up approach on the five policy priority areas under the National Agreement.</w:t>
            </w:r>
          </w:p>
        </w:tc>
        <w:tc>
          <w:tcPr>
            <w:tcW w:w="2054" w:type="dxa"/>
            <w:tcMar>
              <w:left w:w="170" w:type="dxa"/>
              <w:right w:w="170" w:type="dxa"/>
            </w:tcMar>
          </w:tcPr>
          <w:p w14:paraId="470ABB74" w14:textId="77777777" w:rsidR="007831E1" w:rsidRDefault="001625D7" w:rsidP="007831E1">
            <w:pPr>
              <w:pStyle w:val="TableNumbering"/>
              <w:numPr>
                <w:ilvl w:val="0"/>
                <w:numId w:val="0"/>
              </w:numPr>
              <w:spacing w:before="0" w:after="120" w:line="240" w:lineRule="atLeast"/>
              <w:rPr>
                <w:rFonts w:ascii="Century Gothic" w:hAnsi="Century Gothic"/>
                <w:color w:val="auto"/>
                <w:szCs w:val="18"/>
              </w:rPr>
            </w:pPr>
            <w:r w:rsidRPr="00321F99">
              <w:rPr>
                <w:rFonts w:ascii="Century Gothic" w:hAnsi="Century Gothic"/>
                <w:color w:val="auto"/>
                <w:szCs w:val="18"/>
              </w:rPr>
              <w:t>Progress has been made in implementing the priority reform actions.</w:t>
            </w:r>
          </w:p>
          <w:p w14:paraId="54C79430" w14:textId="29BCC775" w:rsidR="001625D7" w:rsidRDefault="001625D7" w:rsidP="007831E1">
            <w:pPr>
              <w:pStyle w:val="TableNumbering"/>
              <w:numPr>
                <w:ilvl w:val="0"/>
                <w:numId w:val="0"/>
              </w:numPr>
              <w:spacing w:before="0" w:after="0" w:line="240" w:lineRule="atLeast"/>
              <w:rPr>
                <w:rFonts w:ascii="Century Gothic" w:hAnsi="Century Gothic"/>
                <w:color w:val="auto"/>
                <w:szCs w:val="18"/>
              </w:rPr>
            </w:pPr>
            <w:r w:rsidRPr="00321F99">
              <w:rPr>
                <w:rFonts w:ascii="Century Gothic" w:hAnsi="Century Gothic"/>
                <w:color w:val="auto"/>
                <w:szCs w:val="18"/>
              </w:rPr>
              <w:t>July 2023 – establish data projects in six locations across Australia</w:t>
            </w:r>
          </w:p>
          <w:p w14:paraId="4A3C98F6" w14:textId="77777777" w:rsidR="007831E1" w:rsidRPr="00321F99" w:rsidRDefault="007831E1" w:rsidP="007831E1">
            <w:pPr>
              <w:pStyle w:val="TableNumbering"/>
              <w:numPr>
                <w:ilvl w:val="0"/>
                <w:numId w:val="0"/>
              </w:numPr>
              <w:spacing w:before="0" w:after="0" w:line="240" w:lineRule="atLeast"/>
              <w:rPr>
                <w:rFonts w:ascii="Century Gothic" w:hAnsi="Century Gothic"/>
                <w:color w:val="auto"/>
                <w:szCs w:val="18"/>
              </w:rPr>
            </w:pPr>
          </w:p>
          <w:p w14:paraId="078CD13A" w14:textId="77777777" w:rsidR="001625D7" w:rsidRPr="00321F99" w:rsidRDefault="001625D7" w:rsidP="004903D9">
            <w:pPr>
              <w:pStyle w:val="TableNumbering"/>
              <w:numPr>
                <w:ilvl w:val="0"/>
                <w:numId w:val="0"/>
              </w:numPr>
              <w:spacing w:before="0" w:after="0" w:line="240" w:lineRule="atLeast"/>
              <w:rPr>
                <w:rFonts w:ascii="Century Gothic" w:hAnsi="Century Gothic"/>
                <w:color w:val="auto"/>
                <w:szCs w:val="18"/>
              </w:rPr>
            </w:pPr>
            <w:r w:rsidRPr="00321F99">
              <w:rPr>
                <w:rFonts w:ascii="Century Gothic" w:hAnsi="Century Gothic"/>
                <w:color w:val="auto"/>
                <w:szCs w:val="18"/>
              </w:rPr>
              <w:t>June 2024 – establish six place-based partnerships</w:t>
            </w:r>
          </w:p>
        </w:tc>
        <w:tc>
          <w:tcPr>
            <w:tcW w:w="1191" w:type="dxa"/>
            <w:vMerge/>
            <w:tcMar>
              <w:left w:w="170" w:type="dxa"/>
              <w:right w:w="170" w:type="dxa"/>
            </w:tcMar>
            <w:vAlign w:val="center"/>
          </w:tcPr>
          <w:p w14:paraId="4043651A" w14:textId="77777777" w:rsidR="001625D7" w:rsidRPr="00321F99" w:rsidRDefault="001625D7" w:rsidP="00CB345F">
            <w:pPr>
              <w:pStyle w:val="TableNumbering"/>
              <w:numPr>
                <w:ilvl w:val="0"/>
                <w:numId w:val="0"/>
              </w:numPr>
              <w:spacing w:before="0" w:after="0" w:line="240" w:lineRule="atLeast"/>
              <w:jc w:val="center"/>
              <w:rPr>
                <w:rFonts w:ascii="Century Gothic" w:hAnsi="Century Gothic"/>
                <w:color w:val="auto"/>
                <w:szCs w:val="18"/>
              </w:rPr>
            </w:pPr>
          </w:p>
        </w:tc>
      </w:tr>
      <w:tr w:rsidR="001625D7" w:rsidRPr="008C6E24" w14:paraId="626EAEF9" w14:textId="77777777" w:rsidTr="007831E1">
        <w:trPr>
          <w:trHeight w:val="4204"/>
        </w:trPr>
        <w:tc>
          <w:tcPr>
            <w:tcW w:w="2891" w:type="dxa"/>
            <w:vMerge w:val="restart"/>
            <w:tcMar>
              <w:left w:w="170" w:type="dxa"/>
              <w:right w:w="170" w:type="dxa"/>
            </w:tcMar>
            <w:vAlign w:val="center"/>
          </w:tcPr>
          <w:p w14:paraId="7F21E541" w14:textId="77777777" w:rsidR="001625D7" w:rsidRPr="00321F99" w:rsidRDefault="001625D7" w:rsidP="00CB345F">
            <w:pPr>
              <w:pStyle w:val="TableBody"/>
              <w:spacing w:before="0" w:after="0" w:line="240" w:lineRule="atLeast"/>
              <w:rPr>
                <w:rFonts w:ascii="Century Gothic" w:hAnsi="Century Gothic"/>
                <w:b/>
                <w:color w:val="auto"/>
                <w:szCs w:val="18"/>
              </w:rPr>
            </w:pPr>
            <w:r w:rsidRPr="00321F99">
              <w:rPr>
                <w:rFonts w:ascii="Century Gothic" w:hAnsi="Century Gothic"/>
                <w:b/>
                <w:color w:val="auto"/>
                <w:szCs w:val="18"/>
                <w:u w:val="single"/>
              </w:rPr>
              <w:t>Activity 2</w:t>
            </w:r>
            <w:r w:rsidRPr="00321F99">
              <w:rPr>
                <w:rFonts w:ascii="Century Gothic" w:hAnsi="Century Gothic"/>
                <w:b/>
                <w:color w:val="auto"/>
                <w:szCs w:val="18"/>
              </w:rPr>
              <w:t xml:space="preserve"> </w:t>
            </w:r>
          </w:p>
          <w:p w14:paraId="5264F868" w14:textId="77777777" w:rsidR="001625D7" w:rsidRPr="00321F99" w:rsidRDefault="001625D7" w:rsidP="00CB345F">
            <w:pPr>
              <w:pStyle w:val="TableBody"/>
              <w:spacing w:before="0" w:after="0" w:line="240" w:lineRule="atLeast"/>
              <w:rPr>
                <w:rFonts w:ascii="Century Gothic" w:hAnsi="Century Gothic"/>
                <w:b/>
                <w:color w:val="auto"/>
                <w:szCs w:val="18"/>
              </w:rPr>
            </w:pPr>
            <w:r w:rsidRPr="00321F99">
              <w:rPr>
                <w:rFonts w:ascii="Century Gothic" w:hAnsi="Century Gothic"/>
                <w:b/>
                <w:color w:val="auto"/>
                <w:szCs w:val="18"/>
              </w:rPr>
              <w:t>Progressing co</w:t>
            </w:r>
            <w:r w:rsidRPr="00321F99">
              <w:rPr>
                <w:rFonts w:ascii="Century Gothic" w:hAnsi="Century Gothic"/>
                <w:b/>
                <w:color w:val="auto"/>
                <w:szCs w:val="18"/>
              </w:rPr>
              <w:noBreakHyphen/>
              <w:t>design of a Voice for Indigenous Australians.</w:t>
            </w:r>
          </w:p>
        </w:tc>
        <w:tc>
          <w:tcPr>
            <w:tcW w:w="3798" w:type="dxa"/>
            <w:vMerge w:val="restart"/>
            <w:tcMar>
              <w:left w:w="170" w:type="dxa"/>
              <w:right w:w="170" w:type="dxa"/>
            </w:tcMar>
            <w:vAlign w:val="center"/>
          </w:tcPr>
          <w:p w14:paraId="069A891F" w14:textId="77777777" w:rsidR="001625D7" w:rsidRPr="00321F99" w:rsidDel="0001187A" w:rsidRDefault="001625D7" w:rsidP="000D650F">
            <w:pPr>
              <w:pStyle w:val="TableBody"/>
              <w:spacing w:before="0" w:after="0" w:line="240" w:lineRule="atLeast"/>
              <w:rPr>
                <w:rFonts w:ascii="Century Gothic" w:hAnsi="Century Gothic" w:cstheme="minorHAnsi"/>
                <w:color w:val="auto"/>
                <w:szCs w:val="18"/>
                <w:lang w:val="en-US"/>
              </w:rPr>
            </w:pPr>
            <w:r w:rsidRPr="00321F99">
              <w:rPr>
                <w:rFonts w:ascii="Century Gothic" w:eastAsia="Calibri" w:hAnsi="Century Gothic" w:cstheme="minorHAnsi"/>
                <w:color w:val="auto"/>
                <w:szCs w:val="18"/>
              </w:rPr>
              <w:t>2.1 Supported the co-design process to provide advice to the Government on national, local and regional options and models for an Indigenous voice.</w:t>
            </w:r>
          </w:p>
        </w:tc>
        <w:tc>
          <w:tcPr>
            <w:tcW w:w="2665" w:type="dxa"/>
            <w:tcMar>
              <w:left w:w="170" w:type="dxa"/>
              <w:right w:w="170" w:type="dxa"/>
            </w:tcMar>
            <w:vAlign w:val="center"/>
          </w:tcPr>
          <w:p w14:paraId="75C0EF8A" w14:textId="010CC36B" w:rsidR="001625D7" w:rsidRPr="007831E1" w:rsidDel="0001187A" w:rsidRDefault="001625D7" w:rsidP="007831E1">
            <w:pPr>
              <w:spacing w:before="0" w:after="0" w:line="240" w:lineRule="atLeast"/>
              <w:rPr>
                <w:rFonts w:ascii="Century Gothic" w:hAnsi="Century Gothic"/>
                <w:sz w:val="18"/>
                <w:szCs w:val="18"/>
              </w:rPr>
            </w:pPr>
            <w:r w:rsidRPr="00321F99">
              <w:rPr>
                <w:rFonts w:ascii="Century Gothic" w:eastAsia="Calibri" w:hAnsi="Century Gothic" w:cstheme="minorHAnsi"/>
                <w:color w:val="auto"/>
                <w:sz w:val="18"/>
                <w:szCs w:val="18"/>
              </w:rPr>
              <w:t>2.1.1 Delivery of the interim and the final report to government on national, local and regional options and models for an Indigenous voice within the required timeframes.</w:t>
            </w:r>
            <w:r w:rsidR="007831E1" w:rsidRPr="007831E1" w:rsidDel="0001187A">
              <w:rPr>
                <w:rFonts w:ascii="Century Gothic" w:hAnsi="Century Gothic"/>
                <w:sz w:val="18"/>
                <w:szCs w:val="18"/>
              </w:rPr>
              <w:t xml:space="preserve"> </w:t>
            </w:r>
          </w:p>
        </w:tc>
        <w:tc>
          <w:tcPr>
            <w:tcW w:w="2438" w:type="dxa"/>
            <w:tcMar>
              <w:left w:w="170" w:type="dxa"/>
              <w:right w:w="170" w:type="dxa"/>
            </w:tcMar>
            <w:vAlign w:val="center"/>
          </w:tcPr>
          <w:p w14:paraId="036AB188" w14:textId="77777777" w:rsidR="001625D7" w:rsidRPr="00321F99" w:rsidRDefault="001625D7" w:rsidP="002B219F">
            <w:pPr>
              <w:pStyle w:val="TableBody"/>
              <w:spacing w:before="0" w:after="0" w:line="240" w:lineRule="atLeast"/>
              <w:rPr>
                <w:rFonts w:ascii="Century Gothic" w:hAnsi="Century Gothic"/>
                <w:color w:val="auto"/>
                <w:szCs w:val="18"/>
              </w:rPr>
            </w:pPr>
            <w:r w:rsidRPr="00321F99">
              <w:rPr>
                <w:rFonts w:ascii="Century Gothic" w:hAnsi="Century Gothic"/>
                <w:color w:val="auto"/>
                <w:szCs w:val="18"/>
              </w:rPr>
              <w:t>Quantitative assessment against timeframes.</w:t>
            </w:r>
          </w:p>
        </w:tc>
        <w:tc>
          <w:tcPr>
            <w:tcW w:w="2053" w:type="dxa"/>
            <w:tcMar>
              <w:left w:w="170" w:type="dxa"/>
              <w:right w:w="170" w:type="dxa"/>
            </w:tcMar>
            <w:vAlign w:val="center"/>
          </w:tcPr>
          <w:p w14:paraId="2F295DD6" w14:textId="77777777" w:rsidR="001625D7" w:rsidRPr="00321F99" w:rsidRDefault="001625D7" w:rsidP="00066042">
            <w:pPr>
              <w:spacing w:before="0" w:after="0" w:line="240" w:lineRule="atLeast"/>
              <w:rPr>
                <w:rFonts w:ascii="Century Gothic" w:eastAsia="Calibri" w:hAnsi="Century Gothic" w:cstheme="minorHAnsi"/>
                <w:color w:val="auto"/>
                <w:sz w:val="18"/>
                <w:szCs w:val="18"/>
              </w:rPr>
            </w:pPr>
            <w:r w:rsidRPr="00321F99">
              <w:rPr>
                <w:rFonts w:ascii="Century Gothic" w:eastAsia="Calibri" w:hAnsi="Century Gothic" w:cstheme="minorHAnsi"/>
                <w:color w:val="auto"/>
                <w:sz w:val="18"/>
                <w:szCs w:val="18"/>
              </w:rPr>
              <w:t>Interim report completed by November 2020.</w:t>
            </w:r>
          </w:p>
          <w:p w14:paraId="6101B3C1" w14:textId="77777777" w:rsidR="001625D7" w:rsidRPr="00321F99" w:rsidRDefault="001625D7" w:rsidP="00DE48DE">
            <w:pPr>
              <w:spacing w:before="0" w:after="0" w:line="240" w:lineRule="atLeast"/>
              <w:rPr>
                <w:rFonts w:ascii="Century Gothic" w:hAnsi="Century Gothic"/>
                <w:color w:val="auto"/>
                <w:sz w:val="18"/>
                <w:szCs w:val="18"/>
              </w:rPr>
            </w:pPr>
            <w:r w:rsidRPr="00321F99">
              <w:rPr>
                <w:rFonts w:ascii="Century Gothic" w:eastAsia="Calibri" w:hAnsi="Century Gothic" w:cstheme="minorHAnsi"/>
                <w:color w:val="auto"/>
                <w:sz w:val="18"/>
                <w:szCs w:val="18"/>
              </w:rPr>
              <w:t xml:space="preserve">Final report completed in the last quarter of 2021. </w:t>
            </w:r>
          </w:p>
        </w:tc>
        <w:tc>
          <w:tcPr>
            <w:tcW w:w="2054" w:type="dxa"/>
            <w:tcMar>
              <w:left w:w="170" w:type="dxa"/>
              <w:right w:w="170" w:type="dxa"/>
            </w:tcMar>
            <w:vAlign w:val="center"/>
          </w:tcPr>
          <w:p w14:paraId="1959EB3A" w14:textId="77777777" w:rsidR="001625D7" w:rsidRPr="00321F99" w:rsidRDefault="001625D7" w:rsidP="005E38BF">
            <w:pPr>
              <w:pStyle w:val="TableBullet"/>
              <w:numPr>
                <w:ilvl w:val="0"/>
                <w:numId w:val="0"/>
              </w:numPr>
              <w:spacing w:before="0" w:after="0" w:line="240" w:lineRule="atLeast"/>
              <w:rPr>
                <w:rFonts w:ascii="Century Gothic" w:hAnsi="Century Gothic"/>
                <w:color w:val="auto"/>
                <w:szCs w:val="18"/>
              </w:rPr>
            </w:pPr>
          </w:p>
        </w:tc>
        <w:tc>
          <w:tcPr>
            <w:tcW w:w="2053" w:type="dxa"/>
            <w:tcMar>
              <w:left w:w="170" w:type="dxa"/>
              <w:right w:w="170" w:type="dxa"/>
            </w:tcMar>
            <w:vAlign w:val="center"/>
          </w:tcPr>
          <w:p w14:paraId="29A1CA11" w14:textId="77777777" w:rsidR="001625D7" w:rsidRPr="00321F99" w:rsidRDefault="001625D7" w:rsidP="005E38BF">
            <w:pPr>
              <w:pStyle w:val="TableNumbering"/>
              <w:numPr>
                <w:ilvl w:val="0"/>
                <w:numId w:val="0"/>
              </w:numPr>
              <w:spacing w:before="0" w:after="0" w:line="240" w:lineRule="atLeast"/>
              <w:rPr>
                <w:rFonts w:ascii="Century Gothic" w:hAnsi="Century Gothic"/>
                <w:color w:val="auto"/>
                <w:szCs w:val="18"/>
              </w:rPr>
            </w:pPr>
          </w:p>
        </w:tc>
        <w:tc>
          <w:tcPr>
            <w:tcW w:w="2054" w:type="dxa"/>
            <w:tcMar>
              <w:left w:w="170" w:type="dxa"/>
              <w:right w:w="170" w:type="dxa"/>
            </w:tcMar>
            <w:vAlign w:val="center"/>
          </w:tcPr>
          <w:p w14:paraId="3ED1B848" w14:textId="77777777" w:rsidR="001625D7" w:rsidRPr="00321F99" w:rsidRDefault="001625D7" w:rsidP="005E38BF">
            <w:pPr>
              <w:pStyle w:val="TableNumbering"/>
              <w:numPr>
                <w:ilvl w:val="0"/>
                <w:numId w:val="0"/>
              </w:numPr>
              <w:spacing w:before="0" w:after="0" w:line="240" w:lineRule="atLeast"/>
              <w:rPr>
                <w:rFonts w:ascii="Century Gothic" w:hAnsi="Century Gothic"/>
                <w:color w:val="auto"/>
                <w:szCs w:val="18"/>
              </w:rPr>
            </w:pPr>
          </w:p>
        </w:tc>
        <w:tc>
          <w:tcPr>
            <w:tcW w:w="1191" w:type="dxa"/>
            <w:vMerge w:val="restart"/>
            <w:tcMar>
              <w:left w:w="170" w:type="dxa"/>
              <w:right w:w="170" w:type="dxa"/>
            </w:tcMar>
            <w:vAlign w:val="center"/>
          </w:tcPr>
          <w:p w14:paraId="0E976E49" w14:textId="77777777" w:rsidR="001625D7" w:rsidRPr="00321F99" w:rsidRDefault="001625D7" w:rsidP="00CB345F">
            <w:pPr>
              <w:pStyle w:val="TableNumbering"/>
              <w:numPr>
                <w:ilvl w:val="0"/>
                <w:numId w:val="0"/>
              </w:numPr>
              <w:spacing w:before="0" w:after="0" w:line="240" w:lineRule="atLeast"/>
              <w:jc w:val="center"/>
              <w:rPr>
                <w:rFonts w:ascii="Century Gothic" w:hAnsi="Century Gothic"/>
                <w:color w:val="auto"/>
                <w:szCs w:val="18"/>
              </w:rPr>
            </w:pPr>
            <w:r w:rsidRPr="00321F99">
              <w:rPr>
                <w:rFonts w:ascii="Century Gothic" w:hAnsi="Century Gothic"/>
                <w:color w:val="auto"/>
                <w:szCs w:val="18"/>
              </w:rPr>
              <w:t>Program 1.7; Program 1.4; Program 1.5</w:t>
            </w:r>
          </w:p>
        </w:tc>
      </w:tr>
      <w:tr w:rsidR="001625D7" w:rsidRPr="008C6E24" w14:paraId="33306CEF" w14:textId="77777777" w:rsidTr="00D747F7">
        <w:trPr>
          <w:trHeight w:val="4002"/>
        </w:trPr>
        <w:tc>
          <w:tcPr>
            <w:tcW w:w="2891" w:type="dxa"/>
            <w:vMerge/>
            <w:tcMar>
              <w:left w:w="170" w:type="dxa"/>
              <w:right w:w="170" w:type="dxa"/>
            </w:tcMar>
            <w:vAlign w:val="center"/>
          </w:tcPr>
          <w:p w14:paraId="4B3B7919" w14:textId="77777777" w:rsidR="001625D7" w:rsidRPr="00321F99" w:rsidRDefault="001625D7" w:rsidP="00D3070D">
            <w:pPr>
              <w:pStyle w:val="TableBody"/>
              <w:spacing w:before="0" w:after="0" w:line="240" w:lineRule="atLeast"/>
              <w:rPr>
                <w:rFonts w:ascii="Century Gothic" w:hAnsi="Century Gothic"/>
                <w:b/>
                <w:color w:val="auto"/>
                <w:szCs w:val="18"/>
              </w:rPr>
            </w:pPr>
          </w:p>
        </w:tc>
        <w:tc>
          <w:tcPr>
            <w:tcW w:w="3798" w:type="dxa"/>
            <w:vMerge/>
            <w:tcMar>
              <w:left w:w="170" w:type="dxa"/>
              <w:right w:w="170" w:type="dxa"/>
            </w:tcMar>
            <w:vAlign w:val="center"/>
          </w:tcPr>
          <w:p w14:paraId="43A18A79" w14:textId="77777777" w:rsidR="001625D7" w:rsidRPr="00321F99" w:rsidDel="0001187A" w:rsidRDefault="001625D7" w:rsidP="00D3070D">
            <w:pPr>
              <w:pStyle w:val="TableBody"/>
              <w:spacing w:before="0" w:after="0" w:line="240" w:lineRule="atLeast"/>
              <w:rPr>
                <w:rFonts w:ascii="Century Gothic" w:hAnsi="Century Gothic" w:cstheme="minorHAnsi"/>
                <w:color w:val="auto"/>
                <w:szCs w:val="18"/>
                <w:lang w:val="en-US"/>
              </w:rPr>
            </w:pPr>
          </w:p>
        </w:tc>
        <w:tc>
          <w:tcPr>
            <w:tcW w:w="2665" w:type="dxa"/>
            <w:tcMar>
              <w:left w:w="170" w:type="dxa"/>
              <w:right w:w="170" w:type="dxa"/>
            </w:tcMar>
            <w:vAlign w:val="center"/>
          </w:tcPr>
          <w:p w14:paraId="274A2E5B" w14:textId="77777777" w:rsidR="001625D7" w:rsidRPr="00321F99" w:rsidDel="0001187A" w:rsidRDefault="001625D7" w:rsidP="001F7396">
            <w:pPr>
              <w:spacing w:before="0" w:after="0" w:line="240" w:lineRule="atLeast"/>
              <w:rPr>
                <w:rFonts w:ascii="Century Gothic" w:eastAsia="Calibri" w:hAnsi="Century Gothic" w:cstheme="minorHAnsi"/>
                <w:color w:val="auto"/>
                <w:sz w:val="18"/>
                <w:szCs w:val="18"/>
              </w:rPr>
            </w:pPr>
            <w:r w:rsidRPr="00321F99">
              <w:rPr>
                <w:rFonts w:ascii="Century Gothic" w:eastAsia="Calibri" w:hAnsi="Century Gothic" w:cstheme="minorHAnsi"/>
                <w:color w:val="auto"/>
                <w:sz w:val="18"/>
                <w:szCs w:val="18"/>
              </w:rPr>
              <w:t xml:space="preserve">2.1.2 Accessible </w:t>
            </w:r>
            <w:r w:rsidRPr="00321F99">
              <w:rPr>
                <w:rFonts w:ascii="Century Gothic" w:eastAsia="Times New Roman" w:hAnsi="Century Gothic" w:cs="Calibri"/>
                <w:color w:val="auto"/>
                <w:sz w:val="18"/>
                <w:szCs w:val="18"/>
                <w:lang w:eastAsia="en-AU"/>
              </w:rPr>
              <w:t xml:space="preserve">and </w:t>
            </w:r>
            <w:r w:rsidRPr="00321F99">
              <w:rPr>
                <w:rFonts w:ascii="Century Gothic" w:eastAsia="Calibri" w:hAnsi="Century Gothic" w:cstheme="minorHAnsi"/>
                <w:color w:val="auto"/>
                <w:sz w:val="18"/>
                <w:szCs w:val="18"/>
              </w:rPr>
              <w:t>effective Australia</w:t>
            </w:r>
            <w:r w:rsidRPr="00321F99">
              <w:rPr>
                <w:rFonts w:ascii="Century Gothic" w:eastAsia="Times New Roman" w:hAnsi="Century Gothic" w:cs="Calibri"/>
                <w:color w:val="auto"/>
                <w:sz w:val="18"/>
                <w:szCs w:val="18"/>
                <w:lang w:eastAsia="en-AU"/>
              </w:rPr>
              <w:t xml:space="preserve">-wide consultation and engagement </w:t>
            </w:r>
            <w:r w:rsidRPr="00321F99">
              <w:rPr>
                <w:rFonts w:ascii="Century Gothic" w:eastAsia="Calibri" w:hAnsi="Century Gothic" w:cstheme="minorHAnsi"/>
                <w:color w:val="auto"/>
                <w:sz w:val="18"/>
                <w:szCs w:val="18"/>
              </w:rPr>
              <w:t>across Indigenous and non-Indigenous communities is undertaken</w:t>
            </w:r>
            <w:r w:rsidRPr="00321F99">
              <w:rPr>
                <w:rFonts w:ascii="Century Gothic" w:eastAsia="Times New Roman" w:hAnsi="Century Gothic" w:cs="Calibri"/>
                <w:color w:val="auto"/>
                <w:sz w:val="18"/>
                <w:szCs w:val="18"/>
                <w:lang w:eastAsia="en-AU"/>
              </w:rPr>
              <w:t xml:space="preserve"> to promote awareness of the process, encourage public feedback on options and models for an Indigenous voice</w:t>
            </w:r>
            <w:r w:rsidRPr="00321F99">
              <w:rPr>
                <w:rFonts w:ascii="Century Gothic" w:eastAsia="Calibri" w:hAnsi="Century Gothic" w:cstheme="minorHAnsi"/>
                <w:color w:val="auto"/>
                <w:sz w:val="18"/>
                <w:szCs w:val="18"/>
              </w:rPr>
              <w:t xml:space="preserve"> and inform co-design group final report recommendations.</w:t>
            </w:r>
          </w:p>
        </w:tc>
        <w:tc>
          <w:tcPr>
            <w:tcW w:w="2438" w:type="dxa"/>
            <w:tcMar>
              <w:left w:w="170" w:type="dxa"/>
              <w:right w:w="170" w:type="dxa"/>
            </w:tcMar>
            <w:vAlign w:val="center"/>
          </w:tcPr>
          <w:p w14:paraId="63E13033" w14:textId="77777777" w:rsidR="001625D7" w:rsidRPr="00321F99" w:rsidRDefault="001625D7" w:rsidP="00416524">
            <w:pPr>
              <w:spacing w:before="0" w:after="0" w:line="240" w:lineRule="atLeast"/>
              <w:rPr>
                <w:rFonts w:ascii="Century Gothic" w:hAnsi="Century Gothic"/>
                <w:color w:val="auto"/>
                <w:sz w:val="18"/>
                <w:szCs w:val="18"/>
              </w:rPr>
            </w:pPr>
            <w:r w:rsidRPr="00321F99">
              <w:rPr>
                <w:rFonts w:ascii="Century Gothic" w:hAnsi="Century Gothic"/>
                <w:color w:val="auto"/>
                <w:sz w:val="18"/>
                <w:szCs w:val="18"/>
              </w:rPr>
              <w:t>Qualitative and quantitative assessment of the level of engagement and accessibility of communications products.</w:t>
            </w:r>
          </w:p>
        </w:tc>
        <w:tc>
          <w:tcPr>
            <w:tcW w:w="2053" w:type="dxa"/>
            <w:tcMar>
              <w:left w:w="170" w:type="dxa"/>
              <w:right w:w="170" w:type="dxa"/>
            </w:tcMar>
            <w:vAlign w:val="center"/>
          </w:tcPr>
          <w:p w14:paraId="5102F7E2" w14:textId="77777777" w:rsidR="001625D7" w:rsidRPr="00321F99" w:rsidRDefault="001625D7" w:rsidP="00416524">
            <w:pPr>
              <w:pStyle w:val="TableBody"/>
              <w:spacing w:before="0" w:after="0" w:line="240" w:lineRule="atLeast"/>
              <w:rPr>
                <w:rFonts w:ascii="Century Gothic" w:hAnsi="Century Gothic"/>
                <w:color w:val="auto"/>
                <w:szCs w:val="18"/>
              </w:rPr>
            </w:pPr>
            <w:r w:rsidRPr="00321F99">
              <w:rPr>
                <w:rFonts w:ascii="Century Gothic" w:hAnsi="Century Gothic"/>
                <w:color w:val="auto"/>
                <w:szCs w:val="18"/>
              </w:rPr>
              <w:t>Consultation and engagement across all states and territories with feedback from Indigenous and non-Indigenous individuals and organisations.</w:t>
            </w:r>
          </w:p>
          <w:p w14:paraId="79EC6D65" w14:textId="77777777" w:rsidR="001625D7" w:rsidRPr="00321F99" w:rsidRDefault="001625D7" w:rsidP="00066042">
            <w:pPr>
              <w:pStyle w:val="TableBody"/>
              <w:spacing w:before="0" w:after="0" w:line="240" w:lineRule="atLeast"/>
              <w:rPr>
                <w:rFonts w:ascii="Century Gothic" w:hAnsi="Century Gothic"/>
                <w:color w:val="auto"/>
                <w:szCs w:val="18"/>
              </w:rPr>
            </w:pPr>
          </w:p>
        </w:tc>
        <w:tc>
          <w:tcPr>
            <w:tcW w:w="2054" w:type="dxa"/>
            <w:tcMar>
              <w:left w:w="170" w:type="dxa"/>
              <w:right w:w="170" w:type="dxa"/>
            </w:tcMar>
            <w:vAlign w:val="center"/>
          </w:tcPr>
          <w:p w14:paraId="7E2DA2CA" w14:textId="77777777" w:rsidR="001625D7" w:rsidRPr="00321F99" w:rsidRDefault="001625D7" w:rsidP="005E38BF">
            <w:pPr>
              <w:pStyle w:val="TableBullet"/>
              <w:numPr>
                <w:ilvl w:val="0"/>
                <w:numId w:val="0"/>
              </w:numPr>
              <w:spacing w:before="0" w:after="0" w:line="240" w:lineRule="atLeast"/>
              <w:rPr>
                <w:rFonts w:ascii="Century Gothic" w:hAnsi="Century Gothic"/>
                <w:color w:val="auto"/>
                <w:szCs w:val="18"/>
              </w:rPr>
            </w:pPr>
          </w:p>
        </w:tc>
        <w:tc>
          <w:tcPr>
            <w:tcW w:w="2053" w:type="dxa"/>
            <w:tcMar>
              <w:left w:w="170" w:type="dxa"/>
              <w:right w:w="170" w:type="dxa"/>
            </w:tcMar>
            <w:vAlign w:val="center"/>
          </w:tcPr>
          <w:p w14:paraId="37CB1D30" w14:textId="77777777" w:rsidR="001625D7" w:rsidRPr="00321F99" w:rsidRDefault="001625D7" w:rsidP="005E38BF">
            <w:pPr>
              <w:pStyle w:val="TableNumbering"/>
              <w:numPr>
                <w:ilvl w:val="0"/>
                <w:numId w:val="0"/>
              </w:numPr>
              <w:spacing w:before="0" w:after="0" w:line="240" w:lineRule="atLeast"/>
              <w:rPr>
                <w:rFonts w:ascii="Century Gothic" w:hAnsi="Century Gothic"/>
                <w:color w:val="auto"/>
                <w:szCs w:val="18"/>
              </w:rPr>
            </w:pPr>
          </w:p>
        </w:tc>
        <w:tc>
          <w:tcPr>
            <w:tcW w:w="2054" w:type="dxa"/>
            <w:tcMar>
              <w:left w:w="170" w:type="dxa"/>
              <w:right w:w="170" w:type="dxa"/>
            </w:tcMar>
            <w:vAlign w:val="center"/>
          </w:tcPr>
          <w:p w14:paraId="062B9362" w14:textId="77777777" w:rsidR="001625D7" w:rsidRPr="00321F99" w:rsidRDefault="001625D7" w:rsidP="005E38BF">
            <w:pPr>
              <w:pStyle w:val="TableNumbering"/>
              <w:numPr>
                <w:ilvl w:val="0"/>
                <w:numId w:val="0"/>
              </w:numPr>
              <w:spacing w:before="0" w:after="0" w:line="240" w:lineRule="atLeast"/>
              <w:rPr>
                <w:rFonts w:ascii="Century Gothic" w:hAnsi="Century Gothic"/>
                <w:color w:val="auto"/>
                <w:szCs w:val="18"/>
              </w:rPr>
            </w:pPr>
          </w:p>
        </w:tc>
        <w:tc>
          <w:tcPr>
            <w:tcW w:w="1191" w:type="dxa"/>
            <w:vMerge/>
            <w:tcMar>
              <w:left w:w="170" w:type="dxa"/>
              <w:right w:w="170" w:type="dxa"/>
            </w:tcMar>
            <w:vAlign w:val="center"/>
          </w:tcPr>
          <w:p w14:paraId="50C1BB04" w14:textId="77777777" w:rsidR="001625D7" w:rsidRPr="00321F99" w:rsidRDefault="001625D7" w:rsidP="00CB345F">
            <w:pPr>
              <w:pStyle w:val="TableNumbering"/>
              <w:numPr>
                <w:ilvl w:val="0"/>
                <w:numId w:val="0"/>
              </w:numPr>
              <w:spacing w:before="0" w:after="0" w:line="240" w:lineRule="atLeast"/>
              <w:jc w:val="center"/>
              <w:rPr>
                <w:rFonts w:ascii="Century Gothic" w:hAnsi="Century Gothic"/>
                <w:color w:val="auto"/>
                <w:szCs w:val="18"/>
              </w:rPr>
            </w:pPr>
          </w:p>
        </w:tc>
      </w:tr>
      <w:tr w:rsidR="001625D7" w:rsidRPr="008C6E24" w14:paraId="2EC14466" w14:textId="77777777" w:rsidTr="00D747F7">
        <w:trPr>
          <w:trHeight w:val="2641"/>
        </w:trPr>
        <w:tc>
          <w:tcPr>
            <w:tcW w:w="2891" w:type="dxa"/>
            <w:tcMar>
              <w:left w:w="170" w:type="dxa"/>
              <w:right w:w="170" w:type="dxa"/>
            </w:tcMar>
            <w:vAlign w:val="center"/>
          </w:tcPr>
          <w:p w14:paraId="63CFD68D" w14:textId="77777777" w:rsidR="001625D7" w:rsidRPr="00321F99" w:rsidRDefault="001625D7" w:rsidP="00CB345F">
            <w:pPr>
              <w:pStyle w:val="TableBody"/>
              <w:spacing w:before="0" w:after="0" w:line="240" w:lineRule="atLeast"/>
              <w:rPr>
                <w:rFonts w:ascii="Century Gothic" w:hAnsi="Century Gothic"/>
                <w:b/>
                <w:iCs/>
                <w:color w:val="auto"/>
                <w:szCs w:val="18"/>
                <w:u w:val="single"/>
              </w:rPr>
            </w:pPr>
            <w:r w:rsidRPr="00321F99">
              <w:rPr>
                <w:rFonts w:ascii="Century Gothic" w:hAnsi="Century Gothic"/>
                <w:b/>
                <w:color w:val="auto"/>
                <w:szCs w:val="18"/>
                <w:u w:val="single"/>
              </w:rPr>
              <w:t xml:space="preserve">Activity </w:t>
            </w:r>
            <w:r w:rsidRPr="00321F99">
              <w:rPr>
                <w:rFonts w:ascii="Century Gothic" w:hAnsi="Century Gothic"/>
                <w:b/>
                <w:iCs/>
                <w:color w:val="auto"/>
                <w:szCs w:val="18"/>
                <w:u w:val="single"/>
              </w:rPr>
              <w:t>3</w:t>
            </w:r>
          </w:p>
          <w:p w14:paraId="3766D53C" w14:textId="77777777" w:rsidR="001625D7" w:rsidRPr="00321F99" w:rsidRDefault="001625D7" w:rsidP="00EB52C8">
            <w:pPr>
              <w:pStyle w:val="TableBody"/>
              <w:spacing w:before="0" w:after="0" w:line="240" w:lineRule="atLeast"/>
              <w:rPr>
                <w:rFonts w:ascii="Century Gothic" w:hAnsi="Century Gothic"/>
                <w:b/>
                <w:color w:val="auto"/>
                <w:szCs w:val="18"/>
              </w:rPr>
            </w:pPr>
            <w:r w:rsidRPr="00321F99">
              <w:rPr>
                <w:rFonts w:ascii="Century Gothic" w:hAnsi="Century Gothic"/>
                <w:b/>
                <w:color w:val="auto"/>
                <w:szCs w:val="18"/>
              </w:rPr>
              <w:t>Progressing constitutional recognition of Indigenous Australians.</w:t>
            </w:r>
          </w:p>
        </w:tc>
        <w:tc>
          <w:tcPr>
            <w:tcW w:w="3798" w:type="dxa"/>
            <w:tcMar>
              <w:left w:w="170" w:type="dxa"/>
              <w:right w:w="170" w:type="dxa"/>
            </w:tcMar>
            <w:vAlign w:val="center"/>
          </w:tcPr>
          <w:p w14:paraId="7F0F3BDB" w14:textId="77777777" w:rsidR="001625D7" w:rsidRPr="00321F99" w:rsidDel="0001187A" w:rsidRDefault="001625D7" w:rsidP="007A7CF9">
            <w:pPr>
              <w:pStyle w:val="TableBody"/>
              <w:spacing w:before="0" w:after="0" w:line="240" w:lineRule="atLeast"/>
              <w:rPr>
                <w:rFonts w:ascii="Century Gothic" w:hAnsi="Century Gothic" w:cstheme="minorHAnsi"/>
                <w:color w:val="auto"/>
                <w:szCs w:val="18"/>
                <w:lang w:val="en-US"/>
              </w:rPr>
            </w:pPr>
            <w:r w:rsidRPr="00321F99">
              <w:rPr>
                <w:rFonts w:ascii="Century Gothic" w:hAnsi="Century Gothic" w:cstheme="minorHAnsi"/>
                <w:color w:val="auto"/>
                <w:szCs w:val="18"/>
                <w:lang w:val="en-US"/>
              </w:rPr>
              <w:t xml:space="preserve">3.1 Supported the process for constitutional recognition and a referendum. </w:t>
            </w:r>
          </w:p>
        </w:tc>
        <w:tc>
          <w:tcPr>
            <w:tcW w:w="2665" w:type="dxa"/>
            <w:tcMar>
              <w:left w:w="170" w:type="dxa"/>
              <w:right w:w="170" w:type="dxa"/>
            </w:tcMar>
            <w:vAlign w:val="center"/>
          </w:tcPr>
          <w:p w14:paraId="06783154" w14:textId="77777777" w:rsidR="001625D7" w:rsidRPr="00321F99" w:rsidDel="0001187A" w:rsidRDefault="001625D7" w:rsidP="005E38BF">
            <w:pPr>
              <w:pStyle w:val="TableBody"/>
              <w:spacing w:before="0" w:after="0" w:line="240" w:lineRule="atLeast"/>
              <w:rPr>
                <w:rFonts w:ascii="Century Gothic" w:hAnsi="Century Gothic"/>
                <w:color w:val="auto"/>
                <w:szCs w:val="18"/>
              </w:rPr>
            </w:pPr>
            <w:r w:rsidRPr="00321F99">
              <w:rPr>
                <w:rFonts w:ascii="Century Gothic" w:hAnsi="Century Gothic"/>
                <w:color w:val="auto"/>
                <w:szCs w:val="18"/>
              </w:rPr>
              <w:t>3.1.1 The extent to which NIAA contributes to progressing constitutional recognition and a referendum.</w:t>
            </w:r>
          </w:p>
        </w:tc>
        <w:tc>
          <w:tcPr>
            <w:tcW w:w="2438" w:type="dxa"/>
            <w:tcMar>
              <w:left w:w="170" w:type="dxa"/>
              <w:right w:w="170" w:type="dxa"/>
            </w:tcMar>
            <w:vAlign w:val="center"/>
          </w:tcPr>
          <w:p w14:paraId="4C09253A" w14:textId="77777777" w:rsidR="001625D7" w:rsidRPr="00321F99" w:rsidRDefault="001625D7" w:rsidP="005E38BF">
            <w:pPr>
              <w:pStyle w:val="TableBody"/>
              <w:spacing w:before="0" w:after="0" w:line="240" w:lineRule="atLeast"/>
              <w:rPr>
                <w:rFonts w:ascii="Century Gothic" w:hAnsi="Century Gothic"/>
                <w:color w:val="auto"/>
                <w:szCs w:val="18"/>
              </w:rPr>
            </w:pPr>
            <w:r w:rsidRPr="00321F99">
              <w:rPr>
                <w:rFonts w:ascii="Century Gothic" w:hAnsi="Century Gothic"/>
                <w:color w:val="auto"/>
                <w:szCs w:val="18"/>
              </w:rPr>
              <w:t>Qualitative assessment of approach.</w:t>
            </w:r>
          </w:p>
        </w:tc>
        <w:tc>
          <w:tcPr>
            <w:tcW w:w="2053" w:type="dxa"/>
            <w:tcMar>
              <w:left w:w="170" w:type="dxa"/>
              <w:right w:w="170" w:type="dxa"/>
            </w:tcMar>
            <w:vAlign w:val="center"/>
          </w:tcPr>
          <w:p w14:paraId="15E60760" w14:textId="77777777" w:rsidR="001625D7" w:rsidRPr="00321F99" w:rsidRDefault="001625D7" w:rsidP="005E38BF">
            <w:pPr>
              <w:pStyle w:val="TableBody"/>
              <w:spacing w:before="0" w:after="0" w:line="240" w:lineRule="atLeast"/>
              <w:rPr>
                <w:rFonts w:ascii="Century Gothic" w:hAnsi="Century Gothic"/>
                <w:color w:val="auto"/>
                <w:szCs w:val="18"/>
              </w:rPr>
            </w:pPr>
            <w:r w:rsidRPr="00321F99">
              <w:rPr>
                <w:rFonts w:ascii="Century Gothic" w:hAnsi="Century Gothic"/>
                <w:color w:val="auto"/>
                <w:szCs w:val="18"/>
              </w:rPr>
              <w:t xml:space="preserve">NIAA has effectively supported building consensus on constitutional recognition. </w:t>
            </w:r>
          </w:p>
        </w:tc>
        <w:tc>
          <w:tcPr>
            <w:tcW w:w="2054" w:type="dxa"/>
            <w:tcMar>
              <w:left w:w="170" w:type="dxa"/>
              <w:right w:w="170" w:type="dxa"/>
            </w:tcMar>
            <w:vAlign w:val="center"/>
          </w:tcPr>
          <w:p w14:paraId="34B5B788" w14:textId="77777777" w:rsidR="001625D7" w:rsidRPr="00321F99" w:rsidRDefault="001625D7" w:rsidP="005E38BF">
            <w:pPr>
              <w:pStyle w:val="TableBullet"/>
              <w:numPr>
                <w:ilvl w:val="0"/>
                <w:numId w:val="0"/>
              </w:numPr>
              <w:spacing w:before="0" w:after="0" w:line="240" w:lineRule="atLeast"/>
              <w:rPr>
                <w:rFonts w:ascii="Century Gothic" w:hAnsi="Century Gothic"/>
                <w:color w:val="auto"/>
                <w:szCs w:val="18"/>
              </w:rPr>
            </w:pPr>
            <w:r w:rsidRPr="00321F99">
              <w:rPr>
                <w:rFonts w:ascii="Century Gothic" w:hAnsi="Century Gothic"/>
                <w:color w:val="auto"/>
                <w:szCs w:val="18"/>
              </w:rPr>
              <w:t>NIAA has effectively supported building consensus on constitutional recognition.</w:t>
            </w:r>
          </w:p>
        </w:tc>
        <w:tc>
          <w:tcPr>
            <w:tcW w:w="2053" w:type="dxa"/>
            <w:tcMar>
              <w:left w:w="170" w:type="dxa"/>
              <w:right w:w="170" w:type="dxa"/>
            </w:tcMar>
            <w:vAlign w:val="center"/>
          </w:tcPr>
          <w:p w14:paraId="3A4EA516" w14:textId="77777777" w:rsidR="001625D7" w:rsidRPr="00321F99" w:rsidRDefault="001625D7" w:rsidP="005E38BF">
            <w:pPr>
              <w:pStyle w:val="TableNumbering"/>
              <w:numPr>
                <w:ilvl w:val="0"/>
                <w:numId w:val="0"/>
              </w:numPr>
              <w:spacing w:before="0" w:after="0" w:line="240" w:lineRule="atLeast"/>
              <w:rPr>
                <w:rFonts w:ascii="Century Gothic" w:hAnsi="Century Gothic"/>
                <w:color w:val="auto"/>
                <w:szCs w:val="18"/>
              </w:rPr>
            </w:pPr>
          </w:p>
        </w:tc>
        <w:tc>
          <w:tcPr>
            <w:tcW w:w="2054" w:type="dxa"/>
            <w:tcMar>
              <w:left w:w="170" w:type="dxa"/>
              <w:right w:w="170" w:type="dxa"/>
            </w:tcMar>
            <w:vAlign w:val="center"/>
          </w:tcPr>
          <w:p w14:paraId="76201E2C" w14:textId="77777777" w:rsidR="001625D7" w:rsidRPr="00321F99" w:rsidRDefault="001625D7" w:rsidP="005E38BF">
            <w:pPr>
              <w:pStyle w:val="TableNumbering"/>
              <w:numPr>
                <w:ilvl w:val="0"/>
                <w:numId w:val="0"/>
              </w:numPr>
              <w:spacing w:before="0" w:after="0" w:line="240" w:lineRule="atLeast"/>
              <w:rPr>
                <w:rFonts w:ascii="Century Gothic" w:hAnsi="Century Gothic"/>
                <w:color w:val="auto"/>
                <w:szCs w:val="18"/>
              </w:rPr>
            </w:pPr>
          </w:p>
        </w:tc>
        <w:tc>
          <w:tcPr>
            <w:tcW w:w="1191" w:type="dxa"/>
            <w:tcMar>
              <w:left w:w="170" w:type="dxa"/>
              <w:right w:w="170" w:type="dxa"/>
            </w:tcMar>
            <w:vAlign w:val="center"/>
          </w:tcPr>
          <w:p w14:paraId="49326E60" w14:textId="77777777" w:rsidR="001625D7" w:rsidRPr="00321F99" w:rsidRDefault="001625D7" w:rsidP="00CB345F">
            <w:pPr>
              <w:pStyle w:val="TableNumbering"/>
              <w:numPr>
                <w:ilvl w:val="0"/>
                <w:numId w:val="0"/>
              </w:numPr>
              <w:spacing w:before="0" w:after="0" w:line="240" w:lineRule="atLeast"/>
              <w:jc w:val="center"/>
              <w:rPr>
                <w:rFonts w:ascii="Century Gothic" w:hAnsi="Century Gothic"/>
                <w:color w:val="auto"/>
                <w:szCs w:val="18"/>
              </w:rPr>
            </w:pPr>
            <w:r w:rsidRPr="00321F99">
              <w:rPr>
                <w:rFonts w:ascii="Century Gothic" w:hAnsi="Century Gothic"/>
                <w:color w:val="auto"/>
                <w:szCs w:val="18"/>
              </w:rPr>
              <w:t>Program 1.7</w:t>
            </w:r>
          </w:p>
        </w:tc>
      </w:tr>
      <w:tr w:rsidR="001625D7" w:rsidRPr="008C6E24" w14:paraId="797D9899" w14:textId="77777777" w:rsidTr="00D747F7">
        <w:trPr>
          <w:trHeight w:val="2820"/>
        </w:trPr>
        <w:tc>
          <w:tcPr>
            <w:tcW w:w="2891" w:type="dxa"/>
            <w:vMerge w:val="restart"/>
            <w:tcMar>
              <w:left w:w="170" w:type="dxa"/>
              <w:right w:w="170" w:type="dxa"/>
            </w:tcMar>
            <w:vAlign w:val="center"/>
          </w:tcPr>
          <w:p w14:paraId="4769C9A2" w14:textId="77777777" w:rsidR="001625D7" w:rsidRPr="00321F99" w:rsidRDefault="001625D7" w:rsidP="00CB345F">
            <w:pPr>
              <w:pStyle w:val="BodyText"/>
              <w:spacing w:before="0" w:after="0" w:line="240" w:lineRule="atLeast"/>
              <w:rPr>
                <w:rFonts w:ascii="Century Gothic" w:hAnsi="Century Gothic"/>
                <w:b/>
                <w:color w:val="auto"/>
                <w:sz w:val="18"/>
                <w:szCs w:val="18"/>
              </w:rPr>
            </w:pPr>
            <w:r w:rsidRPr="00321F99">
              <w:rPr>
                <w:rFonts w:ascii="Century Gothic" w:hAnsi="Century Gothic"/>
                <w:b/>
                <w:color w:val="auto"/>
                <w:sz w:val="18"/>
                <w:szCs w:val="18"/>
                <w:u w:val="single"/>
              </w:rPr>
              <w:t xml:space="preserve">Activity </w:t>
            </w:r>
            <w:r w:rsidRPr="00321F99">
              <w:rPr>
                <w:rFonts w:ascii="Century Gothic" w:hAnsi="Century Gothic"/>
                <w:b/>
                <w:iCs/>
                <w:color w:val="auto"/>
                <w:sz w:val="18"/>
                <w:szCs w:val="18"/>
                <w:u w:val="single"/>
              </w:rPr>
              <w:t>4</w:t>
            </w:r>
            <w:r w:rsidRPr="00321F99">
              <w:rPr>
                <w:rFonts w:ascii="Century Gothic" w:hAnsi="Century Gothic"/>
                <w:b/>
                <w:color w:val="auto"/>
                <w:sz w:val="18"/>
                <w:szCs w:val="18"/>
              </w:rPr>
              <w:t xml:space="preserve"> </w:t>
            </w:r>
          </w:p>
          <w:p w14:paraId="406917C1" w14:textId="77777777" w:rsidR="001625D7" w:rsidRPr="00321F99" w:rsidRDefault="001625D7" w:rsidP="00CB345F">
            <w:pPr>
              <w:pStyle w:val="BodyText"/>
              <w:spacing w:before="0" w:after="0" w:line="240" w:lineRule="atLeast"/>
              <w:rPr>
                <w:rFonts w:ascii="Century Gothic" w:hAnsi="Century Gothic"/>
                <w:b/>
                <w:color w:val="auto"/>
                <w:sz w:val="18"/>
                <w:szCs w:val="18"/>
              </w:rPr>
            </w:pPr>
            <w:r w:rsidRPr="00321F99">
              <w:rPr>
                <w:rFonts w:ascii="Century Gothic" w:hAnsi="Century Gothic"/>
                <w:b/>
                <w:color w:val="auto"/>
                <w:sz w:val="18"/>
                <w:szCs w:val="18"/>
              </w:rPr>
              <w:t>Enhancing Indigenous economic outcomes, including improving employment and pathways to jobs, fostering Indigenous business and a</w:t>
            </w:r>
            <w:r w:rsidRPr="00321F99">
              <w:rPr>
                <w:rFonts w:ascii="Century Gothic" w:hAnsi="Century Gothic" w:cs="Century Gothic"/>
                <w:b/>
                <w:color w:val="auto"/>
                <w:sz w:val="18"/>
                <w:szCs w:val="18"/>
              </w:rPr>
              <w:t>ssisting Indigenous people to generate economic and social benefits from effective use of their land and waters, particularly in remote areas.</w:t>
            </w:r>
          </w:p>
        </w:tc>
        <w:tc>
          <w:tcPr>
            <w:tcW w:w="3798" w:type="dxa"/>
            <w:shd w:val="clear" w:color="auto" w:fill="auto"/>
            <w:tcMar>
              <w:left w:w="170" w:type="dxa"/>
              <w:right w:w="170" w:type="dxa"/>
            </w:tcMar>
            <w:vAlign w:val="center"/>
          </w:tcPr>
          <w:p w14:paraId="1AC12108" w14:textId="77777777" w:rsidR="001625D7" w:rsidRPr="00321F99" w:rsidRDefault="001625D7" w:rsidP="00E47821">
            <w:pPr>
              <w:pStyle w:val="BodyText"/>
              <w:spacing w:after="0" w:line="240" w:lineRule="atLeast"/>
              <w:rPr>
                <w:rFonts w:ascii="Century Gothic" w:hAnsi="Century Gothic" w:cstheme="minorHAnsi"/>
                <w:color w:val="auto"/>
                <w:sz w:val="18"/>
                <w:szCs w:val="18"/>
              </w:rPr>
            </w:pPr>
            <w:r w:rsidRPr="00321F99">
              <w:rPr>
                <w:rFonts w:ascii="Century Gothic" w:hAnsi="Century Gothic" w:cstheme="minorHAnsi"/>
                <w:color w:val="auto"/>
                <w:sz w:val="18"/>
                <w:szCs w:val="18"/>
              </w:rPr>
              <w:t>4.1 NIAA provided stewardship and support for Indigenous participation targets in government procurement and major projects.</w:t>
            </w:r>
          </w:p>
        </w:tc>
        <w:tc>
          <w:tcPr>
            <w:tcW w:w="2665" w:type="dxa"/>
            <w:shd w:val="clear" w:color="auto" w:fill="auto"/>
            <w:tcMar>
              <w:left w:w="170" w:type="dxa"/>
              <w:right w:w="170" w:type="dxa"/>
            </w:tcMar>
            <w:vAlign w:val="center"/>
          </w:tcPr>
          <w:p w14:paraId="7E1CE22E" w14:textId="77777777" w:rsidR="001625D7" w:rsidRPr="00321F99" w:rsidRDefault="001625D7" w:rsidP="00E47821">
            <w:pPr>
              <w:pStyle w:val="TableBody"/>
              <w:spacing w:before="0" w:after="0" w:line="240" w:lineRule="atLeast"/>
              <w:rPr>
                <w:rFonts w:ascii="Century Gothic" w:hAnsi="Century Gothic"/>
                <w:color w:val="auto"/>
                <w:szCs w:val="18"/>
              </w:rPr>
            </w:pPr>
            <w:r w:rsidRPr="00321F99">
              <w:rPr>
                <w:rFonts w:ascii="Century Gothic" w:eastAsia="Calibri" w:hAnsi="Century Gothic" w:cstheme="minorHAnsi"/>
                <w:color w:val="auto"/>
                <w:szCs w:val="18"/>
              </w:rPr>
              <w:t>4.1.1 The extent to which NIAA contributes to effective implementation of the Indigenous Procurement Policy (IPP) across the Australian Public Service (APS).</w:t>
            </w:r>
          </w:p>
        </w:tc>
        <w:tc>
          <w:tcPr>
            <w:tcW w:w="2438" w:type="dxa"/>
            <w:shd w:val="clear" w:color="auto" w:fill="auto"/>
            <w:tcMar>
              <w:left w:w="170" w:type="dxa"/>
              <w:right w:w="170" w:type="dxa"/>
            </w:tcMar>
            <w:vAlign w:val="center"/>
          </w:tcPr>
          <w:p w14:paraId="351DFA58" w14:textId="77777777" w:rsidR="001625D7" w:rsidRPr="00321F99" w:rsidRDefault="001625D7" w:rsidP="00E47821">
            <w:pPr>
              <w:pStyle w:val="TableBody"/>
              <w:spacing w:before="0" w:after="0" w:line="240" w:lineRule="atLeast"/>
              <w:rPr>
                <w:rFonts w:ascii="Century Gothic" w:hAnsi="Century Gothic"/>
                <w:color w:val="auto"/>
                <w:szCs w:val="18"/>
              </w:rPr>
            </w:pPr>
            <w:r w:rsidRPr="00321F99">
              <w:rPr>
                <w:rFonts w:ascii="Century Gothic" w:hAnsi="Century Gothic" w:cstheme="minorHAnsi"/>
                <w:color w:val="auto"/>
                <w:szCs w:val="18"/>
              </w:rPr>
              <w:t xml:space="preserve">Qualitative assessment based on approach taken. </w:t>
            </w:r>
          </w:p>
        </w:tc>
        <w:tc>
          <w:tcPr>
            <w:tcW w:w="2053" w:type="dxa"/>
            <w:shd w:val="clear" w:color="auto" w:fill="auto"/>
            <w:tcMar>
              <w:left w:w="170" w:type="dxa"/>
              <w:right w:w="170" w:type="dxa"/>
            </w:tcMar>
            <w:vAlign w:val="center"/>
          </w:tcPr>
          <w:p w14:paraId="5A19D0B8" w14:textId="77777777" w:rsidR="001625D7" w:rsidRPr="00321F99" w:rsidRDefault="001625D7" w:rsidP="00E47821">
            <w:pPr>
              <w:pStyle w:val="TableBody"/>
              <w:spacing w:before="0" w:after="0" w:line="240" w:lineRule="atLeast"/>
              <w:rPr>
                <w:rFonts w:ascii="Century Gothic" w:eastAsia="Times New Roman" w:hAnsi="Century Gothic" w:cs="Arial"/>
                <w:color w:val="auto"/>
                <w:szCs w:val="18"/>
                <w:lang w:eastAsia="en-AU"/>
              </w:rPr>
            </w:pPr>
            <w:r w:rsidRPr="00321F99">
              <w:rPr>
                <w:rFonts w:ascii="Century Gothic" w:eastAsia="Times New Roman" w:hAnsi="Century Gothic" w:cs="Arial"/>
                <w:color w:val="auto"/>
                <w:szCs w:val="18"/>
                <w:lang w:eastAsia="en-AU"/>
              </w:rPr>
              <w:t>Actions taken by NIAA contributes to the achievement of the 3% IPP target (number of contracts awarded) and the 1.25% IPP target (value of contracts awarded) across the APS.</w:t>
            </w:r>
          </w:p>
        </w:tc>
        <w:tc>
          <w:tcPr>
            <w:tcW w:w="2054" w:type="dxa"/>
            <w:shd w:val="clear" w:color="auto" w:fill="auto"/>
            <w:tcMar>
              <w:left w:w="170" w:type="dxa"/>
              <w:right w:w="170" w:type="dxa"/>
            </w:tcMar>
            <w:vAlign w:val="center"/>
          </w:tcPr>
          <w:p w14:paraId="2B68F903" w14:textId="77777777" w:rsidR="001625D7" w:rsidRPr="00321F99" w:rsidRDefault="001625D7" w:rsidP="00E47821">
            <w:pPr>
              <w:pStyle w:val="TableBody"/>
              <w:spacing w:before="0" w:after="0" w:line="240" w:lineRule="atLeast"/>
              <w:rPr>
                <w:rFonts w:ascii="Century Gothic" w:eastAsia="Times New Roman" w:hAnsi="Century Gothic" w:cs="Arial"/>
                <w:color w:val="auto"/>
                <w:szCs w:val="18"/>
                <w:lang w:eastAsia="en-AU"/>
              </w:rPr>
            </w:pPr>
            <w:r w:rsidRPr="00321F99">
              <w:rPr>
                <w:rFonts w:ascii="Century Gothic" w:eastAsia="Times New Roman" w:hAnsi="Century Gothic" w:cs="Arial"/>
                <w:color w:val="auto"/>
                <w:szCs w:val="18"/>
                <w:lang w:eastAsia="en-AU"/>
              </w:rPr>
              <w:t>Actions taken by NIAA contributes to the achievement of the 3% IPP target (number of contracts awarded) and the 1.5% IPP target (value of contracts awarded) across the APS.</w:t>
            </w:r>
          </w:p>
        </w:tc>
        <w:tc>
          <w:tcPr>
            <w:tcW w:w="2053" w:type="dxa"/>
            <w:shd w:val="clear" w:color="auto" w:fill="auto"/>
            <w:tcMar>
              <w:left w:w="170" w:type="dxa"/>
              <w:right w:w="170" w:type="dxa"/>
            </w:tcMar>
            <w:vAlign w:val="center"/>
          </w:tcPr>
          <w:p w14:paraId="7525BD95" w14:textId="77777777" w:rsidR="001625D7" w:rsidRPr="00321F99" w:rsidRDefault="001625D7" w:rsidP="00E47821">
            <w:pPr>
              <w:pStyle w:val="TableBody"/>
              <w:spacing w:before="0" w:after="0" w:line="240" w:lineRule="atLeast"/>
              <w:rPr>
                <w:rFonts w:ascii="Century Gothic" w:eastAsia="Times New Roman" w:hAnsi="Century Gothic" w:cs="Arial"/>
                <w:color w:val="auto"/>
                <w:szCs w:val="18"/>
                <w:lang w:eastAsia="en-AU"/>
              </w:rPr>
            </w:pPr>
            <w:r w:rsidRPr="00321F99">
              <w:rPr>
                <w:rFonts w:ascii="Century Gothic" w:eastAsia="Times New Roman" w:hAnsi="Century Gothic" w:cs="Arial"/>
                <w:color w:val="auto"/>
                <w:szCs w:val="18"/>
                <w:lang w:eastAsia="en-AU"/>
              </w:rPr>
              <w:t>Actions taken by NIAA contributes to the achievement of the 3% IPP target (number of contracts awarded) and the 1.75% IPP target (value of contracts awarded) across the APS.</w:t>
            </w:r>
          </w:p>
        </w:tc>
        <w:tc>
          <w:tcPr>
            <w:tcW w:w="2054" w:type="dxa"/>
            <w:shd w:val="clear" w:color="auto" w:fill="auto"/>
            <w:tcMar>
              <w:left w:w="170" w:type="dxa"/>
              <w:right w:w="170" w:type="dxa"/>
            </w:tcMar>
            <w:vAlign w:val="center"/>
          </w:tcPr>
          <w:p w14:paraId="43E6E0A2" w14:textId="77777777" w:rsidR="001625D7" w:rsidRPr="00321F99" w:rsidRDefault="001625D7" w:rsidP="009E56EE">
            <w:pPr>
              <w:pStyle w:val="TableBody"/>
              <w:spacing w:before="0" w:after="0" w:line="240" w:lineRule="atLeast"/>
              <w:rPr>
                <w:rFonts w:ascii="Century Gothic" w:eastAsia="Times New Roman" w:hAnsi="Century Gothic" w:cs="Arial"/>
                <w:color w:val="auto"/>
                <w:szCs w:val="18"/>
                <w:lang w:eastAsia="en-AU"/>
              </w:rPr>
            </w:pPr>
            <w:r w:rsidRPr="00321F99">
              <w:rPr>
                <w:rFonts w:ascii="Century Gothic" w:eastAsia="Times New Roman" w:hAnsi="Century Gothic" w:cs="Arial"/>
                <w:color w:val="auto"/>
                <w:szCs w:val="18"/>
                <w:lang w:eastAsia="en-AU"/>
              </w:rPr>
              <w:t>Actions taken by NIAA contributes to the achievement of the 3% IPP target (number of contracts awarded) and the 2.0% IPP target (value of contracts awarded) across the APS.</w:t>
            </w:r>
          </w:p>
        </w:tc>
        <w:tc>
          <w:tcPr>
            <w:tcW w:w="1191" w:type="dxa"/>
            <w:vMerge w:val="restart"/>
            <w:shd w:val="clear" w:color="auto" w:fill="auto"/>
            <w:tcMar>
              <w:left w:w="170" w:type="dxa"/>
              <w:right w:w="170" w:type="dxa"/>
            </w:tcMar>
            <w:vAlign w:val="center"/>
          </w:tcPr>
          <w:p w14:paraId="0B448916" w14:textId="77777777" w:rsidR="001625D7" w:rsidRPr="00321F99" w:rsidRDefault="001625D7" w:rsidP="00CB345F">
            <w:pPr>
              <w:pStyle w:val="TableBody"/>
              <w:spacing w:before="0" w:after="0" w:line="240" w:lineRule="atLeast"/>
              <w:jc w:val="center"/>
              <w:rPr>
                <w:rFonts w:ascii="Century Gothic" w:eastAsia="Times New Roman" w:hAnsi="Century Gothic" w:cs="Arial"/>
                <w:color w:val="auto"/>
                <w:szCs w:val="18"/>
                <w:lang w:eastAsia="en-AU"/>
              </w:rPr>
            </w:pPr>
            <w:r w:rsidRPr="00321F99">
              <w:rPr>
                <w:rFonts w:ascii="Century Gothic" w:eastAsia="Times New Roman" w:hAnsi="Century Gothic" w:cs="Arial"/>
                <w:color w:val="auto"/>
                <w:szCs w:val="18"/>
                <w:lang w:eastAsia="en-AU"/>
              </w:rPr>
              <w:t>Program 1.1</w:t>
            </w:r>
          </w:p>
          <w:p w14:paraId="5F4BC97D" w14:textId="77777777" w:rsidR="001625D7" w:rsidRPr="00321F99" w:rsidRDefault="001625D7" w:rsidP="00454DD4">
            <w:pPr>
              <w:pStyle w:val="TableBody"/>
              <w:spacing w:before="0" w:after="0" w:line="240" w:lineRule="atLeast"/>
              <w:jc w:val="center"/>
              <w:rPr>
                <w:rFonts w:ascii="Century Gothic" w:eastAsia="Times New Roman" w:hAnsi="Century Gothic" w:cs="Arial"/>
                <w:color w:val="auto"/>
                <w:szCs w:val="18"/>
                <w:lang w:eastAsia="en-AU"/>
              </w:rPr>
            </w:pPr>
          </w:p>
        </w:tc>
      </w:tr>
      <w:tr w:rsidR="001625D7" w:rsidRPr="008C6E24" w14:paraId="657504A7" w14:textId="77777777" w:rsidTr="00A42487">
        <w:trPr>
          <w:trHeight w:val="2137"/>
        </w:trPr>
        <w:tc>
          <w:tcPr>
            <w:tcW w:w="2891" w:type="dxa"/>
            <w:vMerge/>
            <w:tcMar>
              <w:left w:w="170" w:type="dxa"/>
              <w:right w:w="170" w:type="dxa"/>
            </w:tcMar>
            <w:vAlign w:val="center"/>
          </w:tcPr>
          <w:p w14:paraId="62541DC4" w14:textId="77777777" w:rsidR="001625D7" w:rsidRPr="00321F99" w:rsidRDefault="001625D7" w:rsidP="00633473">
            <w:pPr>
              <w:pStyle w:val="BodyText"/>
              <w:spacing w:after="0" w:line="240" w:lineRule="atLeast"/>
              <w:rPr>
                <w:rFonts w:ascii="Century Gothic" w:hAnsi="Century Gothic"/>
                <w:b/>
                <w:color w:val="auto"/>
                <w:sz w:val="18"/>
                <w:szCs w:val="18"/>
              </w:rPr>
            </w:pPr>
          </w:p>
        </w:tc>
        <w:tc>
          <w:tcPr>
            <w:tcW w:w="3798" w:type="dxa"/>
            <w:vMerge w:val="restart"/>
            <w:tcMar>
              <w:left w:w="170" w:type="dxa"/>
              <w:right w:w="170" w:type="dxa"/>
            </w:tcMar>
            <w:vAlign w:val="center"/>
          </w:tcPr>
          <w:p w14:paraId="5006CF87" w14:textId="77777777" w:rsidR="001625D7" w:rsidRPr="00321F99" w:rsidRDefault="001625D7" w:rsidP="0070345F">
            <w:pPr>
              <w:pStyle w:val="BodyText"/>
              <w:spacing w:before="0" w:after="0" w:line="240" w:lineRule="atLeast"/>
              <w:rPr>
                <w:rFonts w:ascii="Century Gothic" w:hAnsi="Century Gothic" w:cstheme="minorHAnsi"/>
                <w:color w:val="auto"/>
                <w:sz w:val="18"/>
                <w:szCs w:val="18"/>
              </w:rPr>
            </w:pPr>
            <w:r w:rsidRPr="00321F99">
              <w:rPr>
                <w:rFonts w:ascii="Century Gothic" w:hAnsi="Century Gothic" w:cstheme="minorHAnsi"/>
                <w:color w:val="auto"/>
                <w:sz w:val="18"/>
                <w:szCs w:val="18"/>
              </w:rPr>
              <w:t>4.2 IAS activities contributed towards increased Indigenous skills, employment, business and economic development.</w:t>
            </w:r>
          </w:p>
        </w:tc>
        <w:tc>
          <w:tcPr>
            <w:tcW w:w="2665" w:type="dxa"/>
            <w:tcMar>
              <w:left w:w="170" w:type="dxa"/>
              <w:right w:w="170" w:type="dxa"/>
            </w:tcMar>
            <w:vAlign w:val="center"/>
          </w:tcPr>
          <w:p w14:paraId="30545A64" w14:textId="77777777" w:rsidR="001625D7" w:rsidRPr="00321F99" w:rsidRDefault="001625D7" w:rsidP="005E38BF">
            <w:pPr>
              <w:pStyle w:val="TableBody"/>
              <w:spacing w:before="0" w:after="0" w:line="240" w:lineRule="atLeast"/>
              <w:rPr>
                <w:rFonts w:ascii="Century Gothic" w:hAnsi="Century Gothic"/>
                <w:color w:val="auto"/>
                <w:szCs w:val="18"/>
              </w:rPr>
            </w:pPr>
            <w:r w:rsidRPr="00321F99">
              <w:rPr>
                <w:rFonts w:ascii="Century Gothic" w:hAnsi="Century Gothic"/>
                <w:color w:val="auto"/>
                <w:szCs w:val="18"/>
              </w:rPr>
              <w:t>4.2.1 Proportion of job seekers who remain in employment for 26 weeks.</w:t>
            </w:r>
          </w:p>
        </w:tc>
        <w:tc>
          <w:tcPr>
            <w:tcW w:w="2438" w:type="dxa"/>
            <w:tcMar>
              <w:left w:w="170" w:type="dxa"/>
              <w:right w:w="170" w:type="dxa"/>
            </w:tcMar>
            <w:vAlign w:val="center"/>
          </w:tcPr>
          <w:p w14:paraId="2F1C7AD5" w14:textId="77777777" w:rsidR="001625D7" w:rsidRPr="00321F99" w:rsidRDefault="001625D7" w:rsidP="005E38BF">
            <w:pPr>
              <w:pStyle w:val="TableBody"/>
              <w:spacing w:before="0" w:after="0" w:line="240" w:lineRule="atLeast"/>
              <w:rPr>
                <w:rFonts w:ascii="Century Gothic" w:hAnsi="Century Gothic"/>
                <w:color w:val="auto"/>
                <w:szCs w:val="18"/>
              </w:rPr>
            </w:pPr>
            <w:r w:rsidRPr="00321F99">
              <w:rPr>
                <w:rFonts w:ascii="Century Gothic" w:hAnsi="Century Gothic"/>
                <w:color w:val="auto"/>
                <w:szCs w:val="18"/>
              </w:rPr>
              <w:t>Quantitative assessment of provider data.</w:t>
            </w:r>
          </w:p>
        </w:tc>
        <w:tc>
          <w:tcPr>
            <w:tcW w:w="2053" w:type="dxa"/>
            <w:tcMar>
              <w:left w:w="170" w:type="dxa"/>
              <w:right w:w="170" w:type="dxa"/>
            </w:tcMar>
            <w:vAlign w:val="center"/>
          </w:tcPr>
          <w:p w14:paraId="72A1024F" w14:textId="77777777" w:rsidR="001625D7" w:rsidRPr="00321F99" w:rsidRDefault="001625D7" w:rsidP="007A7CF9">
            <w:pPr>
              <w:pStyle w:val="TableBody"/>
              <w:spacing w:before="0" w:after="0" w:line="240" w:lineRule="atLeast"/>
              <w:rPr>
                <w:rFonts w:ascii="Century Gothic" w:hAnsi="Century Gothic" w:cstheme="minorHAnsi"/>
                <w:color w:val="auto"/>
                <w:szCs w:val="18"/>
              </w:rPr>
            </w:pPr>
            <w:r w:rsidRPr="00321F99">
              <w:rPr>
                <w:rFonts w:ascii="Century Gothic" w:eastAsia="Times New Roman" w:hAnsi="Century Gothic" w:cs="Arial"/>
                <w:color w:val="auto"/>
                <w:szCs w:val="18"/>
                <w:lang w:eastAsia="en-AU"/>
              </w:rPr>
              <w:t>60 per cent of job seekers engaged in IAS employment who remain in employment for 26 weeks.</w:t>
            </w:r>
          </w:p>
        </w:tc>
        <w:tc>
          <w:tcPr>
            <w:tcW w:w="2054" w:type="dxa"/>
            <w:tcMar>
              <w:left w:w="170" w:type="dxa"/>
              <w:right w:w="170" w:type="dxa"/>
            </w:tcMar>
            <w:vAlign w:val="center"/>
          </w:tcPr>
          <w:p w14:paraId="25E29519" w14:textId="77777777" w:rsidR="001625D7" w:rsidRPr="00321F99" w:rsidRDefault="001625D7" w:rsidP="005E38BF">
            <w:pPr>
              <w:pStyle w:val="TableBody"/>
              <w:spacing w:before="0" w:after="0" w:line="240" w:lineRule="atLeast"/>
              <w:rPr>
                <w:rFonts w:ascii="Century Gothic" w:hAnsi="Century Gothic" w:cstheme="minorHAnsi"/>
                <w:color w:val="auto"/>
                <w:szCs w:val="18"/>
              </w:rPr>
            </w:pPr>
            <w:r w:rsidRPr="00321F99">
              <w:rPr>
                <w:rFonts w:ascii="Century Gothic" w:eastAsia="Times New Roman" w:hAnsi="Century Gothic" w:cs="Arial"/>
                <w:color w:val="auto"/>
                <w:szCs w:val="18"/>
                <w:lang w:eastAsia="en-AU"/>
              </w:rPr>
              <w:t>65 per cent of job seekers engaged in IAS employment</w:t>
            </w:r>
            <w:r w:rsidRPr="00321F99" w:rsidDel="007A7CF9">
              <w:rPr>
                <w:rFonts w:ascii="Century Gothic" w:eastAsia="Times New Roman" w:hAnsi="Century Gothic" w:cs="Arial"/>
                <w:color w:val="auto"/>
                <w:szCs w:val="18"/>
                <w:lang w:eastAsia="en-AU"/>
              </w:rPr>
              <w:t xml:space="preserve"> </w:t>
            </w:r>
            <w:r w:rsidRPr="00321F99">
              <w:rPr>
                <w:rFonts w:ascii="Century Gothic" w:eastAsia="Times New Roman" w:hAnsi="Century Gothic" w:cs="Arial"/>
                <w:color w:val="auto"/>
                <w:szCs w:val="18"/>
                <w:lang w:eastAsia="en-AU"/>
              </w:rPr>
              <w:t>who remain in employment for 26 weeks.</w:t>
            </w:r>
          </w:p>
        </w:tc>
        <w:tc>
          <w:tcPr>
            <w:tcW w:w="2053" w:type="dxa"/>
            <w:tcMar>
              <w:left w:w="170" w:type="dxa"/>
              <w:right w:w="170" w:type="dxa"/>
            </w:tcMar>
            <w:vAlign w:val="center"/>
          </w:tcPr>
          <w:p w14:paraId="007EB86D" w14:textId="77777777" w:rsidR="001625D7" w:rsidRPr="00321F99" w:rsidRDefault="001625D7" w:rsidP="005E38BF">
            <w:pPr>
              <w:pStyle w:val="TableBody"/>
              <w:spacing w:before="0" w:after="0" w:line="240" w:lineRule="atLeast"/>
              <w:rPr>
                <w:rFonts w:ascii="Century Gothic" w:hAnsi="Century Gothic" w:cstheme="minorHAnsi"/>
                <w:color w:val="auto"/>
                <w:szCs w:val="18"/>
              </w:rPr>
            </w:pPr>
            <w:r w:rsidRPr="00321F99">
              <w:rPr>
                <w:rFonts w:ascii="Century Gothic" w:eastAsia="Times New Roman" w:hAnsi="Century Gothic" w:cs="Arial"/>
                <w:color w:val="auto"/>
                <w:szCs w:val="18"/>
                <w:lang w:eastAsia="en-AU"/>
              </w:rPr>
              <w:t>65 per cent of job seekers engaged in IAS employment who remain in employment for 26 weeks.</w:t>
            </w:r>
          </w:p>
        </w:tc>
        <w:tc>
          <w:tcPr>
            <w:tcW w:w="2054" w:type="dxa"/>
            <w:tcMar>
              <w:left w:w="170" w:type="dxa"/>
              <w:right w:w="170" w:type="dxa"/>
            </w:tcMar>
            <w:vAlign w:val="center"/>
          </w:tcPr>
          <w:p w14:paraId="1875E6FF" w14:textId="77777777" w:rsidR="001625D7" w:rsidRPr="00321F99" w:rsidRDefault="001625D7" w:rsidP="005E38BF">
            <w:pPr>
              <w:pStyle w:val="TableBody"/>
              <w:spacing w:before="0" w:after="0" w:line="240" w:lineRule="atLeast"/>
              <w:rPr>
                <w:rFonts w:ascii="Century Gothic" w:hAnsi="Century Gothic" w:cstheme="minorHAnsi"/>
                <w:color w:val="auto"/>
                <w:szCs w:val="18"/>
              </w:rPr>
            </w:pPr>
            <w:r w:rsidRPr="00321F99">
              <w:rPr>
                <w:rFonts w:ascii="Century Gothic" w:eastAsia="Times New Roman" w:hAnsi="Century Gothic" w:cs="Arial"/>
                <w:color w:val="auto"/>
                <w:szCs w:val="18"/>
                <w:lang w:eastAsia="en-AU"/>
              </w:rPr>
              <w:t>65 per cent of job seekers engaged in IAS employment who remain in employment for 26 weeks.</w:t>
            </w:r>
          </w:p>
        </w:tc>
        <w:tc>
          <w:tcPr>
            <w:tcW w:w="1191" w:type="dxa"/>
            <w:vMerge/>
            <w:shd w:val="clear" w:color="auto" w:fill="auto"/>
            <w:tcMar>
              <w:left w:w="170" w:type="dxa"/>
              <w:right w:w="170" w:type="dxa"/>
            </w:tcMar>
            <w:vAlign w:val="center"/>
          </w:tcPr>
          <w:p w14:paraId="7E2B7D5B" w14:textId="77777777" w:rsidR="001625D7" w:rsidRPr="00321F99" w:rsidRDefault="001625D7" w:rsidP="00454DD4">
            <w:pPr>
              <w:pStyle w:val="TableBody"/>
              <w:spacing w:before="0" w:after="0" w:line="240" w:lineRule="atLeast"/>
              <w:jc w:val="center"/>
              <w:rPr>
                <w:rFonts w:ascii="Century Gothic" w:eastAsia="Times New Roman" w:hAnsi="Century Gothic" w:cs="Arial"/>
                <w:color w:val="auto"/>
                <w:szCs w:val="18"/>
                <w:lang w:eastAsia="en-AU"/>
              </w:rPr>
            </w:pPr>
          </w:p>
        </w:tc>
      </w:tr>
      <w:tr w:rsidR="001625D7" w:rsidRPr="008C6E24" w14:paraId="0823076F" w14:textId="77777777" w:rsidTr="00A42487">
        <w:trPr>
          <w:trHeight w:val="2747"/>
        </w:trPr>
        <w:tc>
          <w:tcPr>
            <w:tcW w:w="2891" w:type="dxa"/>
            <w:vMerge/>
            <w:tcMar>
              <w:left w:w="170" w:type="dxa"/>
              <w:right w:w="170" w:type="dxa"/>
            </w:tcMar>
            <w:vAlign w:val="center"/>
          </w:tcPr>
          <w:p w14:paraId="5540752D" w14:textId="77777777" w:rsidR="001625D7" w:rsidRPr="00321F99" w:rsidRDefault="001625D7" w:rsidP="00633473">
            <w:pPr>
              <w:pStyle w:val="BodyText"/>
              <w:spacing w:after="0" w:line="240" w:lineRule="atLeast"/>
              <w:rPr>
                <w:rFonts w:ascii="Century Gothic" w:hAnsi="Century Gothic"/>
                <w:b/>
                <w:color w:val="auto"/>
                <w:sz w:val="18"/>
                <w:szCs w:val="18"/>
              </w:rPr>
            </w:pPr>
          </w:p>
        </w:tc>
        <w:tc>
          <w:tcPr>
            <w:tcW w:w="3798" w:type="dxa"/>
            <w:vMerge/>
            <w:tcMar>
              <w:left w:w="170" w:type="dxa"/>
              <w:right w:w="170" w:type="dxa"/>
            </w:tcMar>
            <w:vAlign w:val="center"/>
          </w:tcPr>
          <w:p w14:paraId="24DC1884" w14:textId="77777777" w:rsidR="001625D7" w:rsidRPr="00321F99" w:rsidRDefault="001625D7" w:rsidP="00DD4A28">
            <w:pPr>
              <w:pStyle w:val="BodyText"/>
              <w:spacing w:after="0" w:line="240" w:lineRule="atLeast"/>
              <w:rPr>
                <w:rFonts w:ascii="Century Gothic" w:hAnsi="Century Gothic" w:cstheme="minorHAnsi"/>
                <w:color w:val="auto"/>
                <w:sz w:val="18"/>
                <w:szCs w:val="18"/>
              </w:rPr>
            </w:pPr>
          </w:p>
        </w:tc>
        <w:tc>
          <w:tcPr>
            <w:tcW w:w="2665" w:type="dxa"/>
            <w:tcMar>
              <w:left w:w="170" w:type="dxa"/>
              <w:right w:w="170" w:type="dxa"/>
            </w:tcMar>
            <w:vAlign w:val="center"/>
          </w:tcPr>
          <w:p w14:paraId="2AA53946" w14:textId="77777777" w:rsidR="001625D7" w:rsidRPr="00321F99" w:rsidRDefault="001625D7" w:rsidP="00376740">
            <w:pPr>
              <w:pStyle w:val="TableBody"/>
              <w:spacing w:before="0" w:after="0" w:line="240" w:lineRule="atLeast"/>
              <w:rPr>
                <w:rFonts w:ascii="Century Gothic" w:hAnsi="Century Gothic"/>
                <w:color w:val="auto"/>
                <w:szCs w:val="18"/>
              </w:rPr>
            </w:pPr>
            <w:r w:rsidRPr="00321F99">
              <w:rPr>
                <w:rFonts w:ascii="Century Gothic" w:hAnsi="Century Gothic"/>
                <w:color w:val="auto"/>
                <w:szCs w:val="18"/>
              </w:rPr>
              <w:t>4.2.2 Proportion of Indigenous employees who agree that their technical and leadership skills have increased through their participation in the Indigenous Ranger Program.</w:t>
            </w:r>
          </w:p>
        </w:tc>
        <w:tc>
          <w:tcPr>
            <w:tcW w:w="2438" w:type="dxa"/>
            <w:tcMar>
              <w:left w:w="170" w:type="dxa"/>
              <w:right w:w="170" w:type="dxa"/>
            </w:tcMar>
            <w:vAlign w:val="center"/>
          </w:tcPr>
          <w:p w14:paraId="1F930A8C" w14:textId="77777777" w:rsidR="001625D7" w:rsidRPr="00321F99" w:rsidRDefault="001625D7" w:rsidP="005E38BF">
            <w:pPr>
              <w:pStyle w:val="TableBody"/>
              <w:spacing w:before="0" w:after="0" w:line="240" w:lineRule="atLeast"/>
              <w:rPr>
                <w:rFonts w:ascii="Century Gothic" w:hAnsi="Century Gothic"/>
                <w:color w:val="auto"/>
                <w:szCs w:val="18"/>
              </w:rPr>
            </w:pPr>
            <w:r w:rsidRPr="00321F99">
              <w:rPr>
                <w:rFonts w:ascii="Century Gothic" w:hAnsi="Century Gothic"/>
                <w:color w:val="auto"/>
                <w:szCs w:val="18"/>
              </w:rPr>
              <w:t xml:space="preserve">Quantitative assessment of provider data. </w:t>
            </w:r>
          </w:p>
        </w:tc>
        <w:tc>
          <w:tcPr>
            <w:tcW w:w="2053" w:type="dxa"/>
            <w:tcMar>
              <w:left w:w="170" w:type="dxa"/>
              <w:right w:w="170" w:type="dxa"/>
            </w:tcMar>
            <w:vAlign w:val="center"/>
          </w:tcPr>
          <w:p w14:paraId="670867B6" w14:textId="77777777" w:rsidR="001625D7" w:rsidRPr="00321F99" w:rsidRDefault="001625D7" w:rsidP="005E38BF">
            <w:pPr>
              <w:pStyle w:val="TableBody"/>
              <w:spacing w:before="0" w:after="0" w:line="240" w:lineRule="atLeast"/>
              <w:rPr>
                <w:rFonts w:ascii="Century Gothic" w:eastAsia="Times New Roman" w:hAnsi="Century Gothic" w:cs="Arial"/>
                <w:color w:val="auto"/>
                <w:szCs w:val="18"/>
                <w:lang w:eastAsia="en-AU"/>
              </w:rPr>
            </w:pPr>
            <w:r w:rsidRPr="00321F99">
              <w:rPr>
                <w:rFonts w:ascii="Century Gothic" w:eastAsia="Times New Roman" w:hAnsi="Century Gothic" w:cs="Arial"/>
                <w:color w:val="auto"/>
                <w:szCs w:val="18"/>
                <w:lang w:eastAsia="en-AU"/>
              </w:rPr>
              <w:t>80 per cent</w:t>
            </w:r>
          </w:p>
        </w:tc>
        <w:tc>
          <w:tcPr>
            <w:tcW w:w="2054" w:type="dxa"/>
            <w:tcMar>
              <w:left w:w="170" w:type="dxa"/>
              <w:right w:w="170" w:type="dxa"/>
            </w:tcMar>
            <w:vAlign w:val="center"/>
          </w:tcPr>
          <w:p w14:paraId="487F9C90" w14:textId="77777777" w:rsidR="001625D7" w:rsidRPr="00321F99" w:rsidRDefault="001625D7" w:rsidP="005E38BF">
            <w:pPr>
              <w:pStyle w:val="TableBody"/>
              <w:spacing w:before="0" w:after="0" w:line="240" w:lineRule="atLeast"/>
              <w:rPr>
                <w:rFonts w:ascii="Century Gothic" w:eastAsia="Times New Roman" w:hAnsi="Century Gothic" w:cs="Arial"/>
                <w:color w:val="auto"/>
                <w:szCs w:val="18"/>
                <w:lang w:eastAsia="en-AU"/>
              </w:rPr>
            </w:pPr>
            <w:r w:rsidRPr="00321F99">
              <w:rPr>
                <w:rFonts w:ascii="Century Gothic" w:eastAsia="Times New Roman" w:hAnsi="Century Gothic" w:cs="Arial"/>
                <w:color w:val="auto"/>
                <w:szCs w:val="18"/>
                <w:lang w:eastAsia="en-AU"/>
              </w:rPr>
              <w:t>80 per cent</w:t>
            </w:r>
          </w:p>
        </w:tc>
        <w:tc>
          <w:tcPr>
            <w:tcW w:w="2053" w:type="dxa"/>
            <w:tcMar>
              <w:left w:w="170" w:type="dxa"/>
              <w:right w:w="170" w:type="dxa"/>
            </w:tcMar>
            <w:vAlign w:val="center"/>
          </w:tcPr>
          <w:p w14:paraId="62A62C48" w14:textId="77777777" w:rsidR="001625D7" w:rsidRPr="00321F99" w:rsidRDefault="001625D7" w:rsidP="005E38BF">
            <w:pPr>
              <w:pStyle w:val="TableBody"/>
              <w:spacing w:before="0" w:after="0" w:line="240" w:lineRule="atLeast"/>
              <w:rPr>
                <w:rFonts w:ascii="Century Gothic" w:eastAsia="Times New Roman" w:hAnsi="Century Gothic" w:cs="Arial"/>
                <w:color w:val="auto"/>
                <w:szCs w:val="18"/>
                <w:lang w:eastAsia="en-AU"/>
              </w:rPr>
            </w:pPr>
            <w:r w:rsidRPr="00321F99">
              <w:rPr>
                <w:rFonts w:ascii="Century Gothic" w:eastAsia="Times New Roman" w:hAnsi="Century Gothic" w:cs="Arial"/>
                <w:color w:val="auto"/>
                <w:szCs w:val="18"/>
                <w:lang w:eastAsia="en-AU"/>
              </w:rPr>
              <w:t>80 per cent</w:t>
            </w:r>
          </w:p>
        </w:tc>
        <w:tc>
          <w:tcPr>
            <w:tcW w:w="2054" w:type="dxa"/>
            <w:tcMar>
              <w:left w:w="170" w:type="dxa"/>
              <w:right w:w="170" w:type="dxa"/>
            </w:tcMar>
            <w:vAlign w:val="center"/>
          </w:tcPr>
          <w:p w14:paraId="1BFDBC8C" w14:textId="77777777" w:rsidR="001625D7" w:rsidRPr="00321F99" w:rsidRDefault="001625D7" w:rsidP="005E38BF">
            <w:pPr>
              <w:pStyle w:val="TableBody"/>
              <w:spacing w:before="0" w:after="0" w:line="240" w:lineRule="atLeast"/>
              <w:rPr>
                <w:rFonts w:ascii="Century Gothic" w:eastAsia="Times New Roman" w:hAnsi="Century Gothic" w:cs="Arial"/>
                <w:color w:val="auto"/>
                <w:szCs w:val="18"/>
                <w:lang w:eastAsia="en-AU"/>
              </w:rPr>
            </w:pPr>
            <w:r w:rsidRPr="00321F99">
              <w:rPr>
                <w:rFonts w:ascii="Century Gothic" w:eastAsia="Times New Roman" w:hAnsi="Century Gothic" w:cs="Arial"/>
                <w:color w:val="auto"/>
                <w:szCs w:val="18"/>
                <w:lang w:eastAsia="en-AU"/>
              </w:rPr>
              <w:t>80 per cent</w:t>
            </w:r>
          </w:p>
        </w:tc>
        <w:tc>
          <w:tcPr>
            <w:tcW w:w="1191" w:type="dxa"/>
            <w:vMerge/>
            <w:shd w:val="clear" w:color="auto" w:fill="auto"/>
            <w:tcMar>
              <w:left w:w="170" w:type="dxa"/>
              <w:right w:w="170" w:type="dxa"/>
            </w:tcMar>
            <w:vAlign w:val="center"/>
          </w:tcPr>
          <w:p w14:paraId="7036FA08" w14:textId="77777777" w:rsidR="001625D7" w:rsidRPr="00321F99" w:rsidRDefault="001625D7" w:rsidP="00454DD4">
            <w:pPr>
              <w:pStyle w:val="TableBody"/>
              <w:spacing w:before="0" w:after="0" w:line="240" w:lineRule="atLeast"/>
              <w:jc w:val="center"/>
              <w:rPr>
                <w:rFonts w:ascii="Century Gothic" w:eastAsia="Times New Roman" w:hAnsi="Century Gothic" w:cs="Arial"/>
                <w:color w:val="auto"/>
                <w:szCs w:val="18"/>
                <w:lang w:eastAsia="en-AU"/>
              </w:rPr>
            </w:pPr>
          </w:p>
        </w:tc>
      </w:tr>
      <w:tr w:rsidR="001625D7" w:rsidRPr="008C6E24" w14:paraId="2AF751D9" w14:textId="77777777" w:rsidTr="00D747F7">
        <w:trPr>
          <w:trHeight w:val="4200"/>
        </w:trPr>
        <w:tc>
          <w:tcPr>
            <w:tcW w:w="2891" w:type="dxa"/>
            <w:vMerge w:val="restart"/>
            <w:tcMar>
              <w:left w:w="170" w:type="dxa"/>
              <w:right w:w="170" w:type="dxa"/>
            </w:tcMar>
            <w:vAlign w:val="center"/>
          </w:tcPr>
          <w:p w14:paraId="42E0F0FC" w14:textId="77777777" w:rsidR="001625D7" w:rsidRPr="00321F99" w:rsidRDefault="001625D7" w:rsidP="00766947">
            <w:pPr>
              <w:pStyle w:val="TableBody"/>
              <w:spacing w:before="0" w:after="0" w:line="240" w:lineRule="atLeast"/>
              <w:rPr>
                <w:rFonts w:ascii="Century Gothic" w:hAnsi="Century Gothic"/>
                <w:b/>
                <w:color w:val="auto"/>
                <w:szCs w:val="18"/>
              </w:rPr>
            </w:pPr>
            <w:r w:rsidRPr="00321F99">
              <w:rPr>
                <w:rFonts w:ascii="Century Gothic" w:hAnsi="Century Gothic"/>
                <w:b/>
                <w:color w:val="auto"/>
                <w:szCs w:val="18"/>
                <w:u w:val="single"/>
              </w:rPr>
              <w:lastRenderedPageBreak/>
              <w:t>Activity 5</w:t>
            </w:r>
            <w:r w:rsidRPr="00321F99">
              <w:rPr>
                <w:rFonts w:ascii="Century Gothic" w:hAnsi="Century Gothic"/>
                <w:b/>
                <w:color w:val="auto"/>
                <w:szCs w:val="18"/>
              </w:rPr>
              <w:t xml:space="preserve"> </w:t>
            </w:r>
          </w:p>
          <w:p w14:paraId="4A89CE36" w14:textId="77777777" w:rsidR="001625D7" w:rsidRPr="00321F99" w:rsidRDefault="001625D7" w:rsidP="00766947">
            <w:pPr>
              <w:pStyle w:val="TableBody"/>
              <w:spacing w:before="0" w:after="0" w:line="240" w:lineRule="atLeast"/>
              <w:rPr>
                <w:rFonts w:ascii="Century Gothic" w:hAnsi="Century Gothic"/>
                <w:color w:val="auto"/>
                <w:szCs w:val="18"/>
              </w:rPr>
            </w:pPr>
            <w:r w:rsidRPr="00321F99">
              <w:rPr>
                <w:rFonts w:ascii="Century Gothic" w:hAnsi="Century Gothic"/>
                <w:b/>
                <w:color w:val="auto"/>
                <w:szCs w:val="18"/>
              </w:rPr>
              <w:t>Supporting early childhood development and wellbeing; school attendance, engagement and attainment; and further education.</w:t>
            </w:r>
          </w:p>
        </w:tc>
        <w:tc>
          <w:tcPr>
            <w:tcW w:w="3798" w:type="dxa"/>
            <w:tcMar>
              <w:left w:w="170" w:type="dxa"/>
              <w:right w:w="170" w:type="dxa"/>
            </w:tcMar>
            <w:vAlign w:val="center"/>
          </w:tcPr>
          <w:p w14:paraId="23B8BF37" w14:textId="77777777" w:rsidR="001625D7" w:rsidRPr="00321F99" w:rsidRDefault="001625D7" w:rsidP="00633473">
            <w:pPr>
              <w:spacing w:after="0" w:line="240" w:lineRule="atLeast"/>
              <w:rPr>
                <w:rFonts w:ascii="Century Gothic" w:hAnsi="Century Gothic" w:cstheme="minorHAnsi"/>
                <w:color w:val="auto"/>
                <w:sz w:val="18"/>
                <w:szCs w:val="18"/>
                <w:lang w:val="en-US"/>
              </w:rPr>
            </w:pPr>
            <w:r w:rsidRPr="00321F99">
              <w:rPr>
                <w:rFonts w:ascii="Century Gothic" w:eastAsia="Calibri" w:hAnsi="Century Gothic" w:cs="Calibri"/>
                <w:color w:val="auto"/>
                <w:sz w:val="18"/>
                <w:szCs w:val="18"/>
              </w:rPr>
              <w:t>5.1 Improved the Commonwealth’s approach to achieve whole</w:t>
            </w:r>
            <w:r w:rsidRPr="00321F99">
              <w:rPr>
                <w:rFonts w:ascii="Century Gothic" w:eastAsia="Calibri" w:hAnsi="Century Gothic" w:cs="Calibri"/>
                <w:color w:val="auto"/>
                <w:sz w:val="18"/>
                <w:szCs w:val="18"/>
              </w:rPr>
              <w:noBreakHyphen/>
              <w:t>of</w:t>
            </w:r>
            <w:r w:rsidRPr="00321F99">
              <w:rPr>
                <w:rFonts w:ascii="Century Gothic" w:eastAsia="Calibri" w:hAnsi="Century Gothic" w:cs="Calibri"/>
                <w:color w:val="auto"/>
                <w:sz w:val="18"/>
                <w:szCs w:val="18"/>
              </w:rPr>
              <w:noBreakHyphen/>
              <w:t>government policy and investment outcomes for Indigenous early childhood development and wellbeing.</w:t>
            </w:r>
          </w:p>
        </w:tc>
        <w:tc>
          <w:tcPr>
            <w:tcW w:w="2665" w:type="dxa"/>
            <w:tcMar>
              <w:left w:w="170" w:type="dxa"/>
              <w:right w:w="170" w:type="dxa"/>
            </w:tcMar>
            <w:vAlign w:val="center"/>
          </w:tcPr>
          <w:p w14:paraId="018C7368" w14:textId="77777777" w:rsidR="001625D7" w:rsidRPr="00321F99" w:rsidRDefault="001625D7" w:rsidP="00633473">
            <w:pPr>
              <w:spacing w:before="0" w:after="0" w:line="240" w:lineRule="atLeast"/>
              <w:rPr>
                <w:rFonts w:ascii="Century Gothic" w:hAnsi="Century Gothic"/>
                <w:color w:val="auto"/>
                <w:sz w:val="18"/>
                <w:szCs w:val="18"/>
              </w:rPr>
            </w:pPr>
            <w:r w:rsidRPr="00321F99">
              <w:rPr>
                <w:rFonts w:ascii="Century Gothic" w:eastAsia="Calibri" w:hAnsi="Century Gothic" w:cs="Calibri"/>
                <w:color w:val="auto"/>
                <w:sz w:val="18"/>
                <w:szCs w:val="18"/>
              </w:rPr>
              <w:t>5.1.1 The extent to which NIAA effectively coordinates both the de</w:t>
            </w:r>
            <w:r w:rsidRPr="00321F99">
              <w:rPr>
                <w:rFonts w:ascii="Century Gothic" w:eastAsia="Calibri" w:hAnsi="Century Gothic" w:cs="Times New Roman"/>
                <w:color w:val="auto"/>
                <w:sz w:val="18"/>
                <w:szCs w:val="18"/>
                <w:lang w:eastAsia="en-AU"/>
              </w:rPr>
              <w:t>velopment of the National Aboriginal and Torres Strait Islander Early Childhood Strategy (‘the Strategy’) and implementation of the Strategy through the Commonwealths Closing the Gap Implementation Plan.</w:t>
            </w:r>
          </w:p>
        </w:tc>
        <w:tc>
          <w:tcPr>
            <w:tcW w:w="2438" w:type="dxa"/>
            <w:tcMar>
              <w:left w:w="170" w:type="dxa"/>
              <w:right w:w="170" w:type="dxa"/>
            </w:tcMar>
            <w:vAlign w:val="center"/>
          </w:tcPr>
          <w:p w14:paraId="043408C5" w14:textId="77777777" w:rsidR="001625D7" w:rsidRPr="00321F99" w:rsidRDefault="001625D7" w:rsidP="00A057F9">
            <w:pPr>
              <w:pStyle w:val="TableBody"/>
              <w:spacing w:after="0" w:line="240" w:lineRule="atLeast"/>
              <w:rPr>
                <w:rFonts w:ascii="Century Gothic" w:eastAsia="Calibri" w:hAnsi="Century Gothic" w:cs="Calibri"/>
                <w:color w:val="auto"/>
                <w:szCs w:val="18"/>
              </w:rPr>
            </w:pPr>
            <w:r w:rsidRPr="00321F99">
              <w:rPr>
                <w:rFonts w:ascii="Century Gothic" w:eastAsia="Calibri" w:hAnsi="Century Gothic" w:cs="Calibri"/>
                <w:color w:val="auto"/>
                <w:szCs w:val="18"/>
              </w:rPr>
              <w:t xml:space="preserve">Qualitative assessment based on approach taken. </w:t>
            </w:r>
          </w:p>
          <w:p w14:paraId="5B411295" w14:textId="77777777" w:rsidR="001625D7" w:rsidRPr="00321F99" w:rsidRDefault="001625D7" w:rsidP="00633473">
            <w:pPr>
              <w:pStyle w:val="TableBody"/>
              <w:spacing w:before="0" w:after="0" w:line="240" w:lineRule="atLeast"/>
              <w:rPr>
                <w:rFonts w:ascii="Century Gothic" w:eastAsia="Calibri" w:hAnsi="Century Gothic" w:cs="Calibri"/>
                <w:color w:val="auto"/>
                <w:szCs w:val="18"/>
              </w:rPr>
            </w:pPr>
          </w:p>
        </w:tc>
        <w:tc>
          <w:tcPr>
            <w:tcW w:w="2053" w:type="dxa"/>
            <w:tcMar>
              <w:left w:w="170" w:type="dxa"/>
              <w:right w:w="170" w:type="dxa"/>
            </w:tcMar>
            <w:vAlign w:val="center"/>
          </w:tcPr>
          <w:p w14:paraId="6A72B91F" w14:textId="77777777" w:rsidR="001625D7" w:rsidRPr="00321F99" w:rsidRDefault="001625D7" w:rsidP="00633473">
            <w:pPr>
              <w:pStyle w:val="TableBody"/>
              <w:spacing w:before="0" w:after="0" w:line="240" w:lineRule="atLeast"/>
              <w:rPr>
                <w:rFonts w:ascii="Century Gothic" w:hAnsi="Century Gothic"/>
                <w:color w:val="auto"/>
                <w:szCs w:val="18"/>
              </w:rPr>
            </w:pPr>
            <w:r w:rsidRPr="00321F99">
              <w:rPr>
                <w:rFonts w:ascii="Century Gothic" w:hAnsi="Century Gothic"/>
                <w:color w:val="auto"/>
                <w:szCs w:val="18"/>
              </w:rPr>
              <w:t>Actions taken by NIAA successfully contribute to development of the Strategy.</w:t>
            </w:r>
          </w:p>
        </w:tc>
        <w:tc>
          <w:tcPr>
            <w:tcW w:w="2054" w:type="dxa"/>
            <w:tcMar>
              <w:left w:w="170" w:type="dxa"/>
              <w:right w:w="170" w:type="dxa"/>
            </w:tcMar>
            <w:vAlign w:val="center"/>
          </w:tcPr>
          <w:p w14:paraId="4E34D6CB" w14:textId="77777777" w:rsidR="001625D7" w:rsidRPr="00321F99" w:rsidRDefault="001625D7" w:rsidP="00633473">
            <w:pPr>
              <w:pStyle w:val="TableBullet"/>
              <w:numPr>
                <w:ilvl w:val="0"/>
                <w:numId w:val="0"/>
              </w:numPr>
              <w:spacing w:before="0" w:after="0" w:line="240" w:lineRule="atLeast"/>
              <w:rPr>
                <w:rFonts w:ascii="Century Gothic" w:hAnsi="Century Gothic"/>
                <w:color w:val="auto"/>
                <w:szCs w:val="18"/>
              </w:rPr>
            </w:pPr>
            <w:r w:rsidRPr="00321F99">
              <w:rPr>
                <w:rFonts w:ascii="Century Gothic" w:eastAsia="Calibri" w:hAnsi="Century Gothic" w:cs="Calibri"/>
                <w:color w:val="auto"/>
                <w:szCs w:val="18"/>
              </w:rPr>
              <w:t>A</w:t>
            </w:r>
            <w:r w:rsidRPr="00321F99">
              <w:rPr>
                <w:rFonts w:ascii="Century Gothic" w:hAnsi="Century Gothic"/>
                <w:color w:val="auto"/>
                <w:szCs w:val="18"/>
              </w:rPr>
              <w:t>ctions taken by NIAA successfully contributes to implementation of the Strategy.</w:t>
            </w:r>
          </w:p>
        </w:tc>
        <w:tc>
          <w:tcPr>
            <w:tcW w:w="2053" w:type="dxa"/>
            <w:tcMar>
              <w:left w:w="170" w:type="dxa"/>
              <w:right w:w="170" w:type="dxa"/>
            </w:tcMar>
            <w:vAlign w:val="center"/>
          </w:tcPr>
          <w:p w14:paraId="5C20FF3D" w14:textId="77777777" w:rsidR="001625D7" w:rsidRPr="00321F99" w:rsidRDefault="001625D7" w:rsidP="00633473">
            <w:pPr>
              <w:pStyle w:val="TableNumbering"/>
              <w:numPr>
                <w:ilvl w:val="0"/>
                <w:numId w:val="0"/>
              </w:numPr>
              <w:spacing w:before="0" w:after="0" w:line="240" w:lineRule="atLeast"/>
              <w:rPr>
                <w:rFonts w:ascii="Century Gothic" w:hAnsi="Century Gothic"/>
                <w:color w:val="auto"/>
                <w:szCs w:val="18"/>
              </w:rPr>
            </w:pPr>
            <w:r w:rsidRPr="00321F99">
              <w:rPr>
                <w:rFonts w:ascii="Century Gothic" w:eastAsia="Calibri" w:hAnsi="Century Gothic" w:cs="Calibri"/>
                <w:color w:val="auto"/>
                <w:szCs w:val="18"/>
              </w:rPr>
              <w:t>A</w:t>
            </w:r>
            <w:r w:rsidRPr="00321F99">
              <w:rPr>
                <w:rFonts w:ascii="Century Gothic" w:hAnsi="Century Gothic"/>
                <w:color w:val="auto"/>
                <w:szCs w:val="18"/>
              </w:rPr>
              <w:t>ctions taken by NIAA successfully contributes to implementation of the Strategy.</w:t>
            </w:r>
          </w:p>
        </w:tc>
        <w:tc>
          <w:tcPr>
            <w:tcW w:w="2054" w:type="dxa"/>
            <w:tcMar>
              <w:left w:w="170" w:type="dxa"/>
              <w:right w:w="170" w:type="dxa"/>
            </w:tcMar>
            <w:vAlign w:val="center"/>
          </w:tcPr>
          <w:p w14:paraId="78ECAAA9" w14:textId="77777777" w:rsidR="001625D7" w:rsidRPr="00321F99" w:rsidRDefault="001625D7" w:rsidP="00633473">
            <w:pPr>
              <w:pStyle w:val="TableNumbering"/>
              <w:numPr>
                <w:ilvl w:val="0"/>
                <w:numId w:val="0"/>
              </w:numPr>
              <w:spacing w:before="0" w:after="0" w:line="240" w:lineRule="atLeast"/>
              <w:rPr>
                <w:rFonts w:ascii="Century Gothic" w:hAnsi="Century Gothic"/>
                <w:color w:val="auto"/>
                <w:szCs w:val="18"/>
              </w:rPr>
            </w:pPr>
            <w:r w:rsidRPr="00321F99">
              <w:rPr>
                <w:rFonts w:ascii="Century Gothic" w:eastAsia="Calibri" w:hAnsi="Century Gothic" w:cs="Calibri"/>
                <w:color w:val="auto"/>
                <w:szCs w:val="18"/>
              </w:rPr>
              <w:t>A</w:t>
            </w:r>
            <w:r w:rsidRPr="00321F99">
              <w:rPr>
                <w:rFonts w:ascii="Century Gothic" w:hAnsi="Century Gothic"/>
                <w:color w:val="auto"/>
                <w:szCs w:val="18"/>
              </w:rPr>
              <w:t>ctions taken by NIAA successfully contributes to implementation of the Strategy.</w:t>
            </w:r>
          </w:p>
        </w:tc>
        <w:tc>
          <w:tcPr>
            <w:tcW w:w="1191" w:type="dxa"/>
            <w:vMerge w:val="restart"/>
            <w:tcMar>
              <w:left w:w="170" w:type="dxa"/>
              <w:right w:w="170" w:type="dxa"/>
            </w:tcMar>
            <w:vAlign w:val="center"/>
          </w:tcPr>
          <w:p w14:paraId="2A5C1DFE" w14:textId="77777777" w:rsidR="001625D7" w:rsidRPr="00321F99" w:rsidRDefault="001625D7" w:rsidP="005A2AB0">
            <w:pPr>
              <w:pStyle w:val="TableNumbering"/>
              <w:numPr>
                <w:ilvl w:val="0"/>
                <w:numId w:val="0"/>
              </w:numPr>
              <w:spacing w:before="0" w:after="0" w:line="240" w:lineRule="atLeast"/>
              <w:jc w:val="center"/>
              <w:rPr>
                <w:rFonts w:ascii="Century Gothic" w:eastAsia="Calibri" w:hAnsi="Century Gothic" w:cs="Calibri"/>
                <w:color w:val="auto"/>
                <w:szCs w:val="18"/>
              </w:rPr>
            </w:pPr>
            <w:r w:rsidRPr="00321F99">
              <w:rPr>
                <w:rFonts w:ascii="Century Gothic" w:eastAsia="Calibri" w:hAnsi="Century Gothic" w:cs="Calibri"/>
                <w:color w:val="auto"/>
                <w:szCs w:val="18"/>
              </w:rPr>
              <w:t>Program 1.2</w:t>
            </w:r>
          </w:p>
        </w:tc>
      </w:tr>
      <w:tr w:rsidR="001625D7" w:rsidRPr="008C6E24" w14:paraId="1909E7A2" w14:textId="77777777" w:rsidTr="00D747F7">
        <w:trPr>
          <w:trHeight w:val="2687"/>
        </w:trPr>
        <w:tc>
          <w:tcPr>
            <w:tcW w:w="2891" w:type="dxa"/>
            <w:vMerge/>
            <w:tcMar>
              <w:left w:w="170" w:type="dxa"/>
              <w:right w:w="170" w:type="dxa"/>
            </w:tcMar>
            <w:vAlign w:val="center"/>
          </w:tcPr>
          <w:p w14:paraId="6D0BAAA0" w14:textId="77777777" w:rsidR="001625D7" w:rsidRPr="00321F99" w:rsidRDefault="001625D7" w:rsidP="00766947">
            <w:pPr>
              <w:pStyle w:val="TableBody"/>
              <w:spacing w:before="0" w:after="0" w:line="240" w:lineRule="atLeast"/>
              <w:rPr>
                <w:rFonts w:ascii="Century Gothic" w:hAnsi="Century Gothic"/>
                <w:b/>
                <w:iCs/>
                <w:color w:val="auto"/>
                <w:szCs w:val="18"/>
              </w:rPr>
            </w:pPr>
          </w:p>
        </w:tc>
        <w:tc>
          <w:tcPr>
            <w:tcW w:w="3798" w:type="dxa"/>
            <w:tcMar>
              <w:left w:w="170" w:type="dxa"/>
              <w:right w:w="170" w:type="dxa"/>
            </w:tcMar>
            <w:vAlign w:val="center"/>
          </w:tcPr>
          <w:p w14:paraId="739DB030" w14:textId="77777777" w:rsidR="001625D7" w:rsidRPr="00321F99" w:rsidRDefault="001625D7" w:rsidP="00633473">
            <w:pPr>
              <w:pStyle w:val="TableBody"/>
              <w:spacing w:after="0" w:line="240" w:lineRule="atLeast"/>
              <w:rPr>
                <w:rFonts w:ascii="Century Gothic" w:hAnsi="Century Gothic" w:cstheme="minorHAnsi"/>
                <w:color w:val="auto"/>
                <w:szCs w:val="18"/>
                <w:lang w:val="en-US"/>
              </w:rPr>
            </w:pPr>
            <w:r w:rsidRPr="00321F99">
              <w:rPr>
                <w:rFonts w:ascii="Century Gothic" w:hAnsi="Century Gothic" w:cstheme="minorHAnsi"/>
                <w:color w:val="auto"/>
                <w:szCs w:val="18"/>
                <w:lang w:val="en-US"/>
              </w:rPr>
              <w:t xml:space="preserve">5.2 Support schools to improve </w:t>
            </w:r>
            <w:r w:rsidRPr="00321F99">
              <w:rPr>
                <w:rFonts w:ascii="Century Gothic" w:hAnsi="Century Gothic"/>
                <w:color w:val="auto"/>
                <w:szCs w:val="18"/>
                <w:lang w:eastAsia="en-AU"/>
              </w:rPr>
              <w:t>Year 12 or equivalent qualification attainment for Indigenous students.</w:t>
            </w:r>
          </w:p>
        </w:tc>
        <w:tc>
          <w:tcPr>
            <w:tcW w:w="2665" w:type="dxa"/>
            <w:tcMar>
              <w:left w:w="170" w:type="dxa"/>
              <w:right w:w="170" w:type="dxa"/>
            </w:tcMar>
            <w:vAlign w:val="center"/>
          </w:tcPr>
          <w:p w14:paraId="037D0938" w14:textId="77777777" w:rsidR="001625D7" w:rsidRPr="00321F99" w:rsidRDefault="001625D7" w:rsidP="00766947">
            <w:pPr>
              <w:pStyle w:val="TableBody"/>
              <w:spacing w:after="0" w:line="240" w:lineRule="atLeast"/>
              <w:rPr>
                <w:rFonts w:ascii="Century Gothic" w:hAnsi="Century Gothic"/>
                <w:color w:val="auto"/>
                <w:szCs w:val="18"/>
              </w:rPr>
            </w:pPr>
            <w:r w:rsidRPr="00321F99">
              <w:rPr>
                <w:rFonts w:ascii="Century Gothic" w:hAnsi="Century Gothic"/>
                <w:color w:val="auto"/>
                <w:szCs w:val="18"/>
                <w:lang w:eastAsia="en-AU"/>
              </w:rPr>
              <w:t>5.2.1 Increase in residential support, scholarship, academy and mentoring places for Aboriginal and Torres Strait Islander students through the Indigenous Youth Education Package (IYEP).</w:t>
            </w:r>
          </w:p>
        </w:tc>
        <w:tc>
          <w:tcPr>
            <w:tcW w:w="2438" w:type="dxa"/>
            <w:tcMar>
              <w:left w:w="170" w:type="dxa"/>
              <w:right w:w="170" w:type="dxa"/>
            </w:tcMar>
            <w:vAlign w:val="center"/>
          </w:tcPr>
          <w:p w14:paraId="6ED74C7C" w14:textId="77777777" w:rsidR="001625D7" w:rsidRPr="00321F99" w:rsidRDefault="001625D7" w:rsidP="00633473">
            <w:pPr>
              <w:pStyle w:val="TableBody"/>
              <w:spacing w:before="0" w:after="0" w:line="240" w:lineRule="atLeast"/>
              <w:rPr>
                <w:rFonts w:ascii="Century Gothic" w:hAnsi="Century Gothic"/>
                <w:color w:val="auto"/>
                <w:szCs w:val="18"/>
                <w:lang w:eastAsia="en-AU"/>
              </w:rPr>
            </w:pPr>
            <w:r w:rsidRPr="00321F99">
              <w:rPr>
                <w:rFonts w:ascii="Century Gothic" w:hAnsi="Century Gothic"/>
                <w:color w:val="auto"/>
                <w:szCs w:val="18"/>
                <w:lang w:eastAsia="en-AU"/>
              </w:rPr>
              <w:t xml:space="preserve">Qualitative assessment of provider reports. </w:t>
            </w:r>
          </w:p>
          <w:p w14:paraId="549E1227" w14:textId="77777777" w:rsidR="001625D7" w:rsidRPr="00321F99" w:rsidRDefault="001625D7" w:rsidP="00633473">
            <w:pPr>
              <w:pStyle w:val="TableBody"/>
              <w:spacing w:before="0" w:after="0" w:line="240" w:lineRule="atLeast"/>
              <w:rPr>
                <w:rFonts w:ascii="Century Gothic" w:hAnsi="Century Gothic"/>
                <w:color w:val="auto"/>
                <w:szCs w:val="18"/>
                <w:lang w:eastAsia="en-AU"/>
              </w:rPr>
            </w:pPr>
          </w:p>
          <w:p w14:paraId="4F2B4B97" w14:textId="77777777" w:rsidR="001625D7" w:rsidRPr="00321F99" w:rsidRDefault="001625D7" w:rsidP="00633473">
            <w:pPr>
              <w:pStyle w:val="TableBody"/>
              <w:spacing w:before="0" w:after="0" w:line="240" w:lineRule="atLeast"/>
              <w:rPr>
                <w:rFonts w:ascii="Century Gothic" w:hAnsi="Century Gothic"/>
                <w:color w:val="auto"/>
                <w:szCs w:val="18"/>
                <w:lang w:eastAsia="en-AU"/>
              </w:rPr>
            </w:pPr>
            <w:r w:rsidRPr="00321F99">
              <w:rPr>
                <w:rFonts w:ascii="Century Gothic" w:hAnsi="Century Gothic"/>
                <w:color w:val="auto"/>
                <w:szCs w:val="18"/>
                <w:lang w:eastAsia="en-AU"/>
              </w:rPr>
              <w:t xml:space="preserve">Quantitative assessment of IYEP places.  </w:t>
            </w:r>
          </w:p>
        </w:tc>
        <w:tc>
          <w:tcPr>
            <w:tcW w:w="2053" w:type="dxa"/>
            <w:tcMar>
              <w:left w:w="170" w:type="dxa"/>
              <w:right w:w="170" w:type="dxa"/>
            </w:tcMar>
            <w:vAlign w:val="center"/>
          </w:tcPr>
          <w:p w14:paraId="4AFFCF80" w14:textId="77777777" w:rsidR="001625D7" w:rsidRPr="00321F99" w:rsidRDefault="001625D7" w:rsidP="00F75FC7">
            <w:pPr>
              <w:pStyle w:val="TableBody"/>
              <w:spacing w:before="0" w:after="0" w:line="240" w:lineRule="atLeast"/>
              <w:rPr>
                <w:rFonts w:ascii="Century Gothic" w:hAnsi="Century Gothic"/>
                <w:color w:val="auto"/>
                <w:szCs w:val="18"/>
              </w:rPr>
            </w:pPr>
            <w:r w:rsidRPr="00321F99">
              <w:rPr>
                <w:rFonts w:ascii="Century Gothic" w:hAnsi="Century Gothic"/>
                <w:color w:val="auto"/>
                <w:szCs w:val="18"/>
                <w:lang w:eastAsia="en-AU"/>
              </w:rPr>
              <w:t>3,000 IYEP places.</w:t>
            </w:r>
          </w:p>
        </w:tc>
        <w:tc>
          <w:tcPr>
            <w:tcW w:w="2054" w:type="dxa"/>
            <w:tcMar>
              <w:left w:w="170" w:type="dxa"/>
              <w:right w:w="170" w:type="dxa"/>
            </w:tcMar>
            <w:vAlign w:val="center"/>
          </w:tcPr>
          <w:p w14:paraId="52C82DB4" w14:textId="77777777" w:rsidR="001625D7" w:rsidRPr="00321F99" w:rsidRDefault="001625D7" w:rsidP="00633473">
            <w:pPr>
              <w:pStyle w:val="TableBullet"/>
              <w:numPr>
                <w:ilvl w:val="0"/>
                <w:numId w:val="0"/>
              </w:numPr>
              <w:spacing w:before="0" w:after="0" w:line="240" w:lineRule="atLeast"/>
              <w:rPr>
                <w:rFonts w:ascii="Century Gothic" w:hAnsi="Century Gothic"/>
                <w:color w:val="auto"/>
                <w:szCs w:val="18"/>
                <w:lang w:eastAsia="en-AU"/>
              </w:rPr>
            </w:pPr>
            <w:r w:rsidRPr="00321F99">
              <w:rPr>
                <w:rFonts w:ascii="Century Gothic" w:hAnsi="Century Gothic"/>
                <w:color w:val="auto"/>
                <w:szCs w:val="18"/>
                <w:lang w:eastAsia="en-AU"/>
              </w:rPr>
              <w:t>4,000 IYEP places</w:t>
            </w:r>
          </w:p>
          <w:p w14:paraId="648E21D0" w14:textId="77777777" w:rsidR="001625D7" w:rsidRPr="00321F99" w:rsidRDefault="001625D7" w:rsidP="00633473">
            <w:pPr>
              <w:pStyle w:val="TableBullet"/>
              <w:numPr>
                <w:ilvl w:val="0"/>
                <w:numId w:val="0"/>
              </w:numPr>
              <w:spacing w:before="0" w:after="0" w:line="240" w:lineRule="atLeast"/>
              <w:rPr>
                <w:rFonts w:ascii="Century Gothic" w:hAnsi="Century Gothic"/>
                <w:color w:val="auto"/>
                <w:szCs w:val="18"/>
              </w:rPr>
            </w:pPr>
            <w:r w:rsidRPr="00321F99">
              <w:rPr>
                <w:rFonts w:ascii="Century Gothic" w:hAnsi="Century Gothic"/>
                <w:color w:val="auto"/>
                <w:szCs w:val="18"/>
                <w:lang w:eastAsia="en-AU"/>
              </w:rPr>
              <w:t>(1,000 additional places on 2020</w:t>
            </w:r>
            <w:r w:rsidRPr="00321F99">
              <w:rPr>
                <w:rFonts w:ascii="Century Gothic" w:hAnsi="Century Gothic"/>
                <w:color w:val="auto"/>
                <w:szCs w:val="18"/>
                <w:lang w:eastAsia="en-AU"/>
              </w:rPr>
              <w:noBreakHyphen/>
              <w:t>21)</w:t>
            </w:r>
          </w:p>
        </w:tc>
        <w:tc>
          <w:tcPr>
            <w:tcW w:w="2053" w:type="dxa"/>
            <w:tcMar>
              <w:left w:w="170" w:type="dxa"/>
              <w:right w:w="170" w:type="dxa"/>
            </w:tcMar>
            <w:vAlign w:val="center"/>
          </w:tcPr>
          <w:p w14:paraId="3BB41715" w14:textId="77777777" w:rsidR="001625D7" w:rsidRPr="00321F99" w:rsidRDefault="001625D7" w:rsidP="00633473">
            <w:pPr>
              <w:pStyle w:val="TableNumbering"/>
              <w:numPr>
                <w:ilvl w:val="0"/>
                <w:numId w:val="0"/>
              </w:numPr>
              <w:spacing w:before="0" w:after="0" w:line="240" w:lineRule="atLeast"/>
              <w:rPr>
                <w:rFonts w:ascii="Century Gothic" w:hAnsi="Century Gothic"/>
                <w:color w:val="auto"/>
                <w:szCs w:val="18"/>
                <w:lang w:eastAsia="en-AU"/>
              </w:rPr>
            </w:pPr>
            <w:r w:rsidRPr="00321F99">
              <w:rPr>
                <w:rFonts w:ascii="Century Gothic" w:hAnsi="Century Gothic"/>
                <w:color w:val="auto"/>
                <w:szCs w:val="18"/>
                <w:lang w:eastAsia="en-AU"/>
              </w:rPr>
              <w:t>5,000 IYEP places</w:t>
            </w:r>
          </w:p>
          <w:p w14:paraId="06E65766" w14:textId="77777777" w:rsidR="001625D7" w:rsidRPr="00321F99" w:rsidRDefault="001625D7" w:rsidP="00633473">
            <w:pPr>
              <w:pStyle w:val="TableBullet"/>
              <w:numPr>
                <w:ilvl w:val="0"/>
                <w:numId w:val="0"/>
              </w:numPr>
              <w:spacing w:before="0" w:after="0" w:line="240" w:lineRule="atLeast"/>
              <w:rPr>
                <w:rFonts w:ascii="Century Gothic" w:hAnsi="Century Gothic"/>
                <w:color w:val="auto"/>
                <w:szCs w:val="18"/>
              </w:rPr>
            </w:pPr>
            <w:r w:rsidRPr="00321F99">
              <w:rPr>
                <w:rFonts w:ascii="Century Gothic" w:hAnsi="Century Gothic"/>
                <w:color w:val="auto"/>
                <w:szCs w:val="18"/>
                <w:lang w:eastAsia="en-AU"/>
              </w:rPr>
              <w:t>(1,000 additional places on 2021</w:t>
            </w:r>
            <w:r w:rsidRPr="00321F99">
              <w:rPr>
                <w:rFonts w:ascii="Century Gothic" w:hAnsi="Century Gothic"/>
                <w:color w:val="auto"/>
                <w:szCs w:val="18"/>
                <w:lang w:eastAsia="en-AU"/>
              </w:rPr>
              <w:noBreakHyphen/>
              <w:t>22)</w:t>
            </w:r>
          </w:p>
        </w:tc>
        <w:tc>
          <w:tcPr>
            <w:tcW w:w="2054" w:type="dxa"/>
            <w:tcMar>
              <w:left w:w="170" w:type="dxa"/>
              <w:right w:w="170" w:type="dxa"/>
            </w:tcMar>
            <w:vAlign w:val="center"/>
          </w:tcPr>
          <w:p w14:paraId="4DB3A491" w14:textId="77777777" w:rsidR="001625D7" w:rsidRPr="00321F99" w:rsidRDefault="001625D7" w:rsidP="00633473">
            <w:pPr>
              <w:pStyle w:val="TableNumbering"/>
              <w:numPr>
                <w:ilvl w:val="0"/>
                <w:numId w:val="0"/>
              </w:numPr>
              <w:spacing w:before="0" w:after="0" w:line="240" w:lineRule="atLeast"/>
              <w:rPr>
                <w:rFonts w:ascii="Century Gothic" w:hAnsi="Century Gothic"/>
                <w:color w:val="auto"/>
                <w:szCs w:val="18"/>
              </w:rPr>
            </w:pPr>
          </w:p>
        </w:tc>
        <w:tc>
          <w:tcPr>
            <w:tcW w:w="1191" w:type="dxa"/>
            <w:vMerge/>
            <w:tcMar>
              <w:left w:w="170" w:type="dxa"/>
              <w:right w:w="170" w:type="dxa"/>
            </w:tcMar>
            <w:vAlign w:val="center"/>
          </w:tcPr>
          <w:p w14:paraId="7FBD3792" w14:textId="77777777" w:rsidR="001625D7" w:rsidRPr="00321F99" w:rsidRDefault="001625D7" w:rsidP="001625D7">
            <w:pPr>
              <w:pStyle w:val="TableNumbering"/>
              <w:spacing w:before="0" w:after="0" w:line="240" w:lineRule="atLeast"/>
              <w:ind w:left="0" w:hanging="397"/>
              <w:jc w:val="center"/>
              <w:rPr>
                <w:rFonts w:ascii="Century Gothic" w:hAnsi="Century Gothic"/>
                <w:color w:val="auto"/>
                <w:szCs w:val="18"/>
              </w:rPr>
            </w:pPr>
          </w:p>
        </w:tc>
      </w:tr>
      <w:tr w:rsidR="001625D7" w:rsidRPr="008C6E24" w14:paraId="25C04673" w14:textId="77777777" w:rsidTr="00D747F7">
        <w:trPr>
          <w:trHeight w:val="1988"/>
        </w:trPr>
        <w:tc>
          <w:tcPr>
            <w:tcW w:w="2891" w:type="dxa"/>
            <w:vMerge/>
            <w:tcMar>
              <w:left w:w="170" w:type="dxa"/>
              <w:right w:w="170" w:type="dxa"/>
            </w:tcMar>
            <w:vAlign w:val="center"/>
          </w:tcPr>
          <w:p w14:paraId="2C07F49D" w14:textId="77777777" w:rsidR="001625D7" w:rsidRPr="00321F99" w:rsidRDefault="001625D7" w:rsidP="00766947">
            <w:pPr>
              <w:pStyle w:val="TableBody"/>
              <w:spacing w:before="0" w:after="0" w:line="240" w:lineRule="atLeast"/>
              <w:rPr>
                <w:rFonts w:ascii="Century Gothic" w:hAnsi="Century Gothic"/>
                <w:b/>
                <w:iCs/>
                <w:color w:val="auto"/>
                <w:szCs w:val="18"/>
              </w:rPr>
            </w:pPr>
          </w:p>
        </w:tc>
        <w:tc>
          <w:tcPr>
            <w:tcW w:w="3798" w:type="dxa"/>
            <w:vMerge w:val="restart"/>
            <w:tcMar>
              <w:left w:w="170" w:type="dxa"/>
              <w:right w:w="170" w:type="dxa"/>
            </w:tcMar>
            <w:vAlign w:val="center"/>
          </w:tcPr>
          <w:p w14:paraId="483FFECE" w14:textId="77777777" w:rsidR="001625D7" w:rsidRPr="00321F99" w:rsidRDefault="001625D7" w:rsidP="00633473">
            <w:pPr>
              <w:pStyle w:val="TableBody"/>
              <w:spacing w:before="0" w:after="0" w:line="240" w:lineRule="atLeast"/>
              <w:rPr>
                <w:rFonts w:ascii="Century Gothic" w:hAnsi="Century Gothic" w:cstheme="minorHAnsi"/>
                <w:color w:val="auto"/>
                <w:szCs w:val="18"/>
                <w:lang w:val="en-US"/>
              </w:rPr>
            </w:pPr>
            <w:r w:rsidRPr="00321F99">
              <w:rPr>
                <w:rFonts w:ascii="Century Gothic" w:hAnsi="Century Gothic" w:cstheme="minorHAnsi"/>
                <w:color w:val="auto"/>
                <w:szCs w:val="18"/>
                <w:lang w:val="en-US"/>
              </w:rPr>
              <w:t>5.3 Supported schools and communities to improve attendance in remote and very remote locations.</w:t>
            </w:r>
          </w:p>
          <w:p w14:paraId="5A1F0185" w14:textId="77777777" w:rsidR="001625D7" w:rsidRPr="00321F99" w:rsidRDefault="001625D7" w:rsidP="00766947">
            <w:pPr>
              <w:pStyle w:val="TableBody"/>
              <w:spacing w:before="0" w:after="0" w:line="240" w:lineRule="atLeast"/>
              <w:rPr>
                <w:rFonts w:ascii="Century Gothic" w:hAnsi="Century Gothic" w:cstheme="minorHAnsi"/>
                <w:color w:val="auto"/>
                <w:szCs w:val="18"/>
                <w:lang w:val="en-US"/>
              </w:rPr>
            </w:pPr>
          </w:p>
        </w:tc>
        <w:tc>
          <w:tcPr>
            <w:tcW w:w="2665" w:type="dxa"/>
            <w:vMerge w:val="restart"/>
            <w:tcMar>
              <w:left w:w="170" w:type="dxa"/>
              <w:right w:w="170" w:type="dxa"/>
            </w:tcMar>
            <w:vAlign w:val="center"/>
          </w:tcPr>
          <w:p w14:paraId="728A3F9A" w14:textId="77777777" w:rsidR="001625D7" w:rsidRPr="00321F99" w:rsidRDefault="001625D7" w:rsidP="00766947">
            <w:pPr>
              <w:pStyle w:val="TableBody"/>
              <w:spacing w:before="0" w:after="0" w:line="240" w:lineRule="atLeast"/>
              <w:rPr>
                <w:rFonts w:ascii="Century Gothic" w:hAnsi="Century Gothic"/>
                <w:color w:val="auto"/>
                <w:szCs w:val="18"/>
              </w:rPr>
            </w:pPr>
            <w:r w:rsidRPr="00321F99">
              <w:rPr>
                <w:rFonts w:ascii="Century Gothic" w:hAnsi="Century Gothic"/>
                <w:color w:val="auto"/>
                <w:szCs w:val="18"/>
              </w:rPr>
              <w:t>5.3.1 Effective delivery of the Remote School Attendance Strategy (RSAS).</w:t>
            </w:r>
          </w:p>
        </w:tc>
        <w:tc>
          <w:tcPr>
            <w:tcW w:w="2438" w:type="dxa"/>
            <w:vMerge w:val="restart"/>
            <w:tcMar>
              <w:left w:w="170" w:type="dxa"/>
              <w:right w:w="170" w:type="dxa"/>
            </w:tcMar>
            <w:vAlign w:val="center"/>
          </w:tcPr>
          <w:p w14:paraId="3CB6F38D" w14:textId="77777777" w:rsidR="001625D7" w:rsidRPr="00321F99" w:rsidRDefault="001625D7" w:rsidP="007A7CF9">
            <w:pPr>
              <w:pStyle w:val="TableBody"/>
              <w:rPr>
                <w:rFonts w:ascii="Century Gothic" w:hAnsi="Century Gothic"/>
                <w:color w:val="auto"/>
                <w:szCs w:val="18"/>
              </w:rPr>
            </w:pPr>
            <w:r w:rsidRPr="00321F99">
              <w:rPr>
                <w:rFonts w:ascii="Century Gothic" w:hAnsi="Century Gothic"/>
                <w:color w:val="auto"/>
                <w:szCs w:val="18"/>
                <w:lang w:eastAsia="en-AU"/>
              </w:rPr>
              <w:t xml:space="preserve">Quantitative assessment of RSAS providers. </w:t>
            </w:r>
          </w:p>
        </w:tc>
        <w:tc>
          <w:tcPr>
            <w:tcW w:w="2053" w:type="dxa"/>
            <w:tcMar>
              <w:left w:w="170" w:type="dxa"/>
              <w:right w:w="170" w:type="dxa"/>
            </w:tcMar>
            <w:vAlign w:val="center"/>
          </w:tcPr>
          <w:p w14:paraId="51AA44C2" w14:textId="77777777" w:rsidR="001625D7" w:rsidRPr="00321F99" w:rsidRDefault="001625D7" w:rsidP="00633473">
            <w:pPr>
              <w:pStyle w:val="TableBody"/>
              <w:spacing w:before="0" w:after="0" w:line="240" w:lineRule="atLeast"/>
              <w:rPr>
                <w:rFonts w:ascii="Century Gothic" w:hAnsi="Century Gothic"/>
                <w:color w:val="auto"/>
                <w:szCs w:val="18"/>
              </w:rPr>
            </w:pPr>
            <w:r w:rsidRPr="00321F99">
              <w:rPr>
                <w:rFonts w:ascii="Century Gothic" w:hAnsi="Century Gothic"/>
                <w:color w:val="auto"/>
                <w:szCs w:val="18"/>
              </w:rPr>
              <w:t>100 per cent of providers deliver RSAS in line with agreed school and community attendance plans.</w:t>
            </w:r>
          </w:p>
        </w:tc>
        <w:tc>
          <w:tcPr>
            <w:tcW w:w="2054" w:type="dxa"/>
            <w:tcMar>
              <w:left w:w="170" w:type="dxa"/>
              <w:right w:w="170" w:type="dxa"/>
            </w:tcMar>
            <w:vAlign w:val="center"/>
          </w:tcPr>
          <w:p w14:paraId="0C1CACD5" w14:textId="77777777" w:rsidR="001625D7" w:rsidRPr="00321F99" w:rsidRDefault="001625D7" w:rsidP="00633473">
            <w:pPr>
              <w:pStyle w:val="TableBullet"/>
              <w:numPr>
                <w:ilvl w:val="0"/>
                <w:numId w:val="0"/>
              </w:numPr>
              <w:spacing w:before="0" w:after="0" w:line="240" w:lineRule="atLeast"/>
              <w:rPr>
                <w:rFonts w:ascii="Century Gothic" w:hAnsi="Century Gothic"/>
                <w:color w:val="auto"/>
                <w:szCs w:val="18"/>
              </w:rPr>
            </w:pPr>
            <w:r w:rsidRPr="00321F99">
              <w:rPr>
                <w:rFonts w:ascii="Century Gothic" w:hAnsi="Century Gothic"/>
                <w:color w:val="auto"/>
                <w:szCs w:val="18"/>
              </w:rPr>
              <w:t>100 per cent of providers deliver RSAS in line with agreed school and community attendance plans.</w:t>
            </w:r>
          </w:p>
        </w:tc>
        <w:tc>
          <w:tcPr>
            <w:tcW w:w="2053" w:type="dxa"/>
            <w:tcMar>
              <w:left w:w="170" w:type="dxa"/>
              <w:right w:w="170" w:type="dxa"/>
            </w:tcMar>
            <w:vAlign w:val="center"/>
          </w:tcPr>
          <w:p w14:paraId="431F1F80" w14:textId="77777777" w:rsidR="001625D7" w:rsidRPr="00321F99" w:rsidRDefault="001625D7" w:rsidP="00633473">
            <w:pPr>
              <w:pStyle w:val="TableNumbering"/>
              <w:numPr>
                <w:ilvl w:val="0"/>
                <w:numId w:val="0"/>
              </w:numPr>
              <w:spacing w:before="0" w:after="0" w:line="240" w:lineRule="atLeast"/>
              <w:rPr>
                <w:rFonts w:ascii="Century Gothic" w:hAnsi="Century Gothic"/>
                <w:color w:val="auto"/>
                <w:szCs w:val="18"/>
              </w:rPr>
            </w:pPr>
          </w:p>
        </w:tc>
        <w:tc>
          <w:tcPr>
            <w:tcW w:w="2054" w:type="dxa"/>
            <w:tcMar>
              <w:left w:w="170" w:type="dxa"/>
              <w:right w:w="170" w:type="dxa"/>
            </w:tcMar>
            <w:vAlign w:val="center"/>
          </w:tcPr>
          <w:p w14:paraId="1C084D37" w14:textId="77777777" w:rsidR="001625D7" w:rsidRPr="00321F99" w:rsidRDefault="001625D7" w:rsidP="00633473">
            <w:pPr>
              <w:pStyle w:val="TableNumbering"/>
              <w:numPr>
                <w:ilvl w:val="0"/>
                <w:numId w:val="0"/>
              </w:numPr>
              <w:spacing w:before="0" w:after="0" w:line="240" w:lineRule="atLeast"/>
              <w:rPr>
                <w:rFonts w:ascii="Century Gothic" w:hAnsi="Century Gothic"/>
                <w:color w:val="auto"/>
                <w:szCs w:val="18"/>
              </w:rPr>
            </w:pPr>
          </w:p>
        </w:tc>
        <w:tc>
          <w:tcPr>
            <w:tcW w:w="1191" w:type="dxa"/>
            <w:vMerge/>
            <w:tcMar>
              <w:left w:w="170" w:type="dxa"/>
              <w:right w:w="170" w:type="dxa"/>
            </w:tcMar>
            <w:vAlign w:val="center"/>
          </w:tcPr>
          <w:p w14:paraId="0586F70C" w14:textId="77777777" w:rsidR="001625D7" w:rsidRPr="00321F99" w:rsidRDefault="001625D7" w:rsidP="001625D7">
            <w:pPr>
              <w:pStyle w:val="TableNumbering"/>
              <w:spacing w:before="0" w:after="0" w:line="240" w:lineRule="atLeast"/>
              <w:ind w:left="0" w:hanging="397"/>
              <w:jc w:val="center"/>
              <w:rPr>
                <w:rFonts w:ascii="Century Gothic" w:hAnsi="Century Gothic"/>
                <w:color w:val="auto"/>
                <w:szCs w:val="18"/>
              </w:rPr>
            </w:pPr>
          </w:p>
        </w:tc>
      </w:tr>
      <w:tr w:rsidR="001625D7" w:rsidRPr="008C6E24" w14:paraId="757B72A2" w14:textId="77777777" w:rsidTr="00D747F7">
        <w:trPr>
          <w:trHeight w:val="1535"/>
        </w:trPr>
        <w:tc>
          <w:tcPr>
            <w:tcW w:w="2891" w:type="dxa"/>
            <w:vMerge/>
            <w:tcMar>
              <w:left w:w="170" w:type="dxa"/>
              <w:right w:w="170" w:type="dxa"/>
            </w:tcMar>
            <w:vAlign w:val="center"/>
          </w:tcPr>
          <w:p w14:paraId="5C5B815E" w14:textId="77777777" w:rsidR="001625D7" w:rsidRPr="00321F99" w:rsidRDefault="001625D7" w:rsidP="00766947">
            <w:pPr>
              <w:pStyle w:val="TableBody"/>
              <w:spacing w:before="0" w:after="0" w:line="240" w:lineRule="atLeast"/>
              <w:rPr>
                <w:rFonts w:ascii="Century Gothic" w:hAnsi="Century Gothic"/>
                <w:b/>
                <w:iCs/>
                <w:color w:val="auto"/>
                <w:szCs w:val="18"/>
              </w:rPr>
            </w:pPr>
          </w:p>
        </w:tc>
        <w:tc>
          <w:tcPr>
            <w:tcW w:w="3798" w:type="dxa"/>
            <w:vMerge/>
            <w:tcMar>
              <w:left w:w="170" w:type="dxa"/>
              <w:right w:w="170" w:type="dxa"/>
            </w:tcMar>
            <w:vAlign w:val="center"/>
          </w:tcPr>
          <w:p w14:paraId="3D7ED9F3" w14:textId="77777777" w:rsidR="001625D7" w:rsidRPr="00321F99" w:rsidRDefault="001625D7" w:rsidP="00766947">
            <w:pPr>
              <w:pStyle w:val="TableBody"/>
              <w:spacing w:before="0" w:after="0" w:line="240" w:lineRule="atLeast"/>
              <w:rPr>
                <w:rFonts w:ascii="Century Gothic" w:hAnsi="Century Gothic"/>
                <w:color w:val="auto"/>
                <w:szCs w:val="18"/>
                <w:lang w:eastAsia="en-AU"/>
              </w:rPr>
            </w:pPr>
          </w:p>
        </w:tc>
        <w:tc>
          <w:tcPr>
            <w:tcW w:w="2665" w:type="dxa"/>
            <w:vMerge/>
            <w:tcMar>
              <w:left w:w="170" w:type="dxa"/>
              <w:right w:w="170" w:type="dxa"/>
            </w:tcMar>
            <w:vAlign w:val="center"/>
          </w:tcPr>
          <w:p w14:paraId="467C2135" w14:textId="77777777" w:rsidR="001625D7" w:rsidRPr="00321F99" w:rsidRDefault="001625D7" w:rsidP="00766947">
            <w:pPr>
              <w:pStyle w:val="TableBody"/>
              <w:spacing w:before="0" w:after="0" w:line="240" w:lineRule="atLeast"/>
              <w:rPr>
                <w:rFonts w:ascii="Century Gothic" w:hAnsi="Century Gothic"/>
                <w:color w:val="auto"/>
                <w:szCs w:val="18"/>
                <w:lang w:eastAsia="en-AU"/>
              </w:rPr>
            </w:pPr>
          </w:p>
        </w:tc>
        <w:tc>
          <w:tcPr>
            <w:tcW w:w="2438" w:type="dxa"/>
            <w:vMerge/>
            <w:tcMar>
              <w:left w:w="170" w:type="dxa"/>
              <w:right w:w="170" w:type="dxa"/>
            </w:tcMar>
            <w:vAlign w:val="center"/>
          </w:tcPr>
          <w:p w14:paraId="2312D79B" w14:textId="77777777" w:rsidR="001625D7" w:rsidRPr="00321F99" w:rsidRDefault="001625D7" w:rsidP="00640A11">
            <w:pPr>
              <w:spacing w:before="0" w:after="0" w:line="240" w:lineRule="atLeast"/>
              <w:rPr>
                <w:rFonts w:ascii="Century Gothic" w:hAnsi="Century Gothic"/>
                <w:color w:val="auto"/>
                <w:sz w:val="18"/>
                <w:szCs w:val="18"/>
                <w:lang w:eastAsia="en-AU"/>
              </w:rPr>
            </w:pPr>
          </w:p>
        </w:tc>
        <w:tc>
          <w:tcPr>
            <w:tcW w:w="2053" w:type="dxa"/>
            <w:tcMar>
              <w:left w:w="170" w:type="dxa"/>
              <w:right w:w="170" w:type="dxa"/>
            </w:tcMar>
            <w:vAlign w:val="center"/>
          </w:tcPr>
          <w:p w14:paraId="24E6179F" w14:textId="77777777" w:rsidR="001625D7" w:rsidRPr="00321F99" w:rsidRDefault="001625D7" w:rsidP="00766947">
            <w:pPr>
              <w:pStyle w:val="TableBody"/>
              <w:spacing w:before="0" w:after="0" w:line="240" w:lineRule="atLeast"/>
              <w:rPr>
                <w:rFonts w:ascii="Century Gothic" w:hAnsi="Century Gothic"/>
                <w:color w:val="auto"/>
                <w:szCs w:val="18"/>
                <w:lang w:eastAsia="en-AU"/>
              </w:rPr>
            </w:pPr>
            <w:r w:rsidRPr="00321F99">
              <w:rPr>
                <w:rFonts w:ascii="Century Gothic" w:hAnsi="Century Gothic"/>
                <w:color w:val="auto"/>
                <w:szCs w:val="18"/>
                <w:lang w:eastAsia="en-AU"/>
              </w:rPr>
              <w:t>Increase in average annual attendance across all RSAS locations at a national level.</w:t>
            </w:r>
          </w:p>
        </w:tc>
        <w:tc>
          <w:tcPr>
            <w:tcW w:w="2054" w:type="dxa"/>
            <w:tcMar>
              <w:left w:w="170" w:type="dxa"/>
              <w:right w:w="170" w:type="dxa"/>
            </w:tcMar>
            <w:vAlign w:val="center"/>
          </w:tcPr>
          <w:p w14:paraId="2A24FF16" w14:textId="77777777" w:rsidR="001625D7" w:rsidRPr="00321F99" w:rsidRDefault="001625D7" w:rsidP="00766947">
            <w:pPr>
              <w:pStyle w:val="TableBullet"/>
              <w:numPr>
                <w:ilvl w:val="0"/>
                <w:numId w:val="0"/>
              </w:numPr>
              <w:spacing w:before="0" w:after="0" w:line="240" w:lineRule="atLeast"/>
              <w:rPr>
                <w:rFonts w:ascii="Century Gothic" w:hAnsi="Century Gothic"/>
                <w:color w:val="auto"/>
                <w:szCs w:val="18"/>
                <w:lang w:eastAsia="en-AU"/>
              </w:rPr>
            </w:pPr>
            <w:r w:rsidRPr="00321F99">
              <w:rPr>
                <w:rFonts w:ascii="Century Gothic" w:hAnsi="Century Gothic"/>
                <w:color w:val="auto"/>
                <w:szCs w:val="18"/>
                <w:lang w:eastAsia="en-AU"/>
              </w:rPr>
              <w:t>Increase in average annual attendance across all RSAS locations at a national level.</w:t>
            </w:r>
          </w:p>
        </w:tc>
        <w:tc>
          <w:tcPr>
            <w:tcW w:w="2053" w:type="dxa"/>
            <w:tcMar>
              <w:left w:w="170" w:type="dxa"/>
              <w:right w:w="170" w:type="dxa"/>
            </w:tcMar>
            <w:vAlign w:val="center"/>
          </w:tcPr>
          <w:p w14:paraId="685ABE0A" w14:textId="77777777" w:rsidR="001625D7" w:rsidRPr="00321F99" w:rsidRDefault="001625D7" w:rsidP="00766947">
            <w:pPr>
              <w:pStyle w:val="TableNumbering"/>
              <w:numPr>
                <w:ilvl w:val="0"/>
                <w:numId w:val="0"/>
              </w:numPr>
              <w:spacing w:before="0" w:after="0" w:line="240" w:lineRule="atLeast"/>
              <w:rPr>
                <w:rFonts w:ascii="Century Gothic" w:hAnsi="Century Gothic"/>
                <w:color w:val="auto"/>
                <w:szCs w:val="18"/>
              </w:rPr>
            </w:pPr>
          </w:p>
        </w:tc>
        <w:tc>
          <w:tcPr>
            <w:tcW w:w="2054" w:type="dxa"/>
            <w:tcMar>
              <w:left w:w="170" w:type="dxa"/>
              <w:right w:w="170" w:type="dxa"/>
            </w:tcMar>
            <w:vAlign w:val="center"/>
          </w:tcPr>
          <w:p w14:paraId="7C3977AC" w14:textId="77777777" w:rsidR="001625D7" w:rsidRPr="00321F99" w:rsidRDefault="001625D7" w:rsidP="00766947">
            <w:pPr>
              <w:pStyle w:val="TableNumbering"/>
              <w:numPr>
                <w:ilvl w:val="0"/>
                <w:numId w:val="0"/>
              </w:numPr>
              <w:spacing w:before="0" w:after="0" w:line="240" w:lineRule="atLeast"/>
              <w:rPr>
                <w:rFonts w:ascii="Century Gothic" w:hAnsi="Century Gothic"/>
                <w:color w:val="auto"/>
                <w:szCs w:val="18"/>
              </w:rPr>
            </w:pPr>
          </w:p>
        </w:tc>
        <w:tc>
          <w:tcPr>
            <w:tcW w:w="1191" w:type="dxa"/>
            <w:vMerge/>
            <w:tcMar>
              <w:left w:w="170" w:type="dxa"/>
              <w:right w:w="170" w:type="dxa"/>
            </w:tcMar>
            <w:vAlign w:val="center"/>
          </w:tcPr>
          <w:p w14:paraId="43B0ECDB" w14:textId="77777777" w:rsidR="001625D7" w:rsidRPr="00321F99" w:rsidRDefault="001625D7" w:rsidP="001625D7">
            <w:pPr>
              <w:pStyle w:val="TableNumbering"/>
              <w:spacing w:before="0" w:after="0" w:line="240" w:lineRule="atLeast"/>
              <w:ind w:left="0" w:hanging="397"/>
              <w:jc w:val="center"/>
              <w:rPr>
                <w:rFonts w:ascii="Century Gothic" w:hAnsi="Century Gothic"/>
                <w:color w:val="auto"/>
                <w:szCs w:val="18"/>
              </w:rPr>
            </w:pPr>
          </w:p>
        </w:tc>
      </w:tr>
      <w:tr w:rsidR="001625D7" w:rsidRPr="008C6E24" w14:paraId="1B90B34A" w14:textId="77777777" w:rsidTr="00D747F7">
        <w:trPr>
          <w:trHeight w:val="1791"/>
        </w:trPr>
        <w:tc>
          <w:tcPr>
            <w:tcW w:w="2891" w:type="dxa"/>
            <w:vMerge w:val="restart"/>
            <w:tcMar>
              <w:left w:w="170" w:type="dxa"/>
              <w:right w:w="170" w:type="dxa"/>
            </w:tcMar>
            <w:vAlign w:val="center"/>
          </w:tcPr>
          <w:p w14:paraId="1BE9B255" w14:textId="77777777" w:rsidR="001625D7" w:rsidRPr="00321F99" w:rsidRDefault="001625D7" w:rsidP="00766947">
            <w:pPr>
              <w:pStyle w:val="TableBody"/>
              <w:spacing w:before="0" w:after="0" w:line="240" w:lineRule="atLeast"/>
              <w:rPr>
                <w:rFonts w:ascii="Century Gothic" w:hAnsi="Century Gothic"/>
                <w:b/>
                <w:color w:val="auto"/>
                <w:szCs w:val="18"/>
              </w:rPr>
            </w:pPr>
            <w:r w:rsidRPr="00321F99">
              <w:rPr>
                <w:rFonts w:ascii="Century Gothic" w:hAnsi="Century Gothic"/>
                <w:b/>
                <w:color w:val="auto"/>
                <w:szCs w:val="18"/>
                <w:u w:val="single"/>
              </w:rPr>
              <w:t>Activity 6</w:t>
            </w:r>
            <w:r w:rsidRPr="00321F99">
              <w:rPr>
                <w:rFonts w:ascii="Century Gothic" w:hAnsi="Century Gothic"/>
                <w:b/>
                <w:color w:val="auto"/>
                <w:szCs w:val="18"/>
              </w:rPr>
              <w:t xml:space="preserve"> </w:t>
            </w:r>
          </w:p>
          <w:p w14:paraId="6F6B158F" w14:textId="77777777" w:rsidR="001625D7" w:rsidRPr="00321F99" w:rsidRDefault="001625D7" w:rsidP="00766947">
            <w:pPr>
              <w:pStyle w:val="TableBody"/>
              <w:spacing w:before="0" w:after="0" w:line="240" w:lineRule="atLeast"/>
              <w:rPr>
                <w:rFonts w:ascii="Century Gothic" w:hAnsi="Century Gothic" w:cstheme="minorHAnsi"/>
                <w:b/>
                <w:color w:val="auto"/>
                <w:szCs w:val="18"/>
                <w:lang w:val="en-US"/>
              </w:rPr>
            </w:pPr>
            <w:r w:rsidRPr="00321F99">
              <w:rPr>
                <w:rFonts w:ascii="Century Gothic" w:hAnsi="Century Gothic"/>
                <w:b/>
                <w:color w:val="auto"/>
                <w:szCs w:val="18"/>
              </w:rPr>
              <w:t>Improving mental health and wellbeing outcomes for young Indigenous people and supporting suicide prevention in remote communities.</w:t>
            </w:r>
          </w:p>
        </w:tc>
        <w:tc>
          <w:tcPr>
            <w:tcW w:w="3798" w:type="dxa"/>
            <w:vMerge w:val="restart"/>
            <w:tcMar>
              <w:left w:w="170" w:type="dxa"/>
              <w:right w:w="170" w:type="dxa"/>
            </w:tcMar>
            <w:vAlign w:val="center"/>
          </w:tcPr>
          <w:p w14:paraId="7A26EF01" w14:textId="77777777" w:rsidR="001625D7" w:rsidRPr="00321F99" w:rsidRDefault="001625D7" w:rsidP="00766947">
            <w:pPr>
              <w:pStyle w:val="TableBody"/>
              <w:spacing w:before="0" w:after="0" w:line="240" w:lineRule="atLeast"/>
              <w:rPr>
                <w:rFonts w:ascii="Century Gothic" w:hAnsi="Century Gothic" w:cstheme="minorHAnsi"/>
                <w:color w:val="auto"/>
                <w:szCs w:val="18"/>
                <w:highlight w:val="yellow"/>
              </w:rPr>
            </w:pPr>
            <w:r w:rsidRPr="00321F99">
              <w:rPr>
                <w:rFonts w:ascii="Century Gothic" w:hAnsi="Century Gothic" w:cstheme="minorHAnsi"/>
                <w:color w:val="auto"/>
                <w:szCs w:val="18"/>
              </w:rPr>
              <w:t>6.1 Target Indigenous Advancement Strategy (IAS) investment and effort to contribute to improved capability of frontline workers and community members to manage Indigenous youth mental health outcomes in high risk communities that are co</w:t>
            </w:r>
            <w:r w:rsidRPr="00321F99">
              <w:rPr>
                <w:rFonts w:ascii="Century Gothic" w:hAnsi="Century Gothic" w:cstheme="minorHAnsi"/>
                <w:color w:val="auto"/>
                <w:szCs w:val="18"/>
              </w:rPr>
              <w:noBreakHyphen/>
              <w:t>designed with communities, culturally appropriate and linked to other relevant activities.</w:t>
            </w:r>
          </w:p>
          <w:p w14:paraId="42ABF478" w14:textId="77777777" w:rsidR="001625D7" w:rsidRPr="00321F99" w:rsidRDefault="001625D7" w:rsidP="00766947">
            <w:pPr>
              <w:pStyle w:val="TableBody"/>
              <w:spacing w:before="0" w:after="0" w:line="240" w:lineRule="atLeast"/>
              <w:rPr>
                <w:rFonts w:ascii="Century Gothic" w:hAnsi="Century Gothic" w:cstheme="minorHAnsi"/>
                <w:color w:val="auto"/>
                <w:szCs w:val="18"/>
                <w:highlight w:val="yellow"/>
              </w:rPr>
            </w:pPr>
          </w:p>
        </w:tc>
        <w:tc>
          <w:tcPr>
            <w:tcW w:w="2665" w:type="dxa"/>
            <w:tcMar>
              <w:left w:w="170" w:type="dxa"/>
              <w:right w:w="170" w:type="dxa"/>
            </w:tcMar>
            <w:vAlign w:val="center"/>
          </w:tcPr>
          <w:p w14:paraId="59CE8A37" w14:textId="77777777" w:rsidR="001625D7" w:rsidRPr="00321F99" w:rsidRDefault="001625D7" w:rsidP="00766947">
            <w:pPr>
              <w:pStyle w:val="TableBody"/>
              <w:spacing w:before="0" w:after="0" w:line="240" w:lineRule="atLeast"/>
              <w:rPr>
                <w:rFonts w:ascii="Century Gothic" w:hAnsi="Century Gothic"/>
                <w:color w:val="auto"/>
                <w:szCs w:val="18"/>
              </w:rPr>
            </w:pPr>
            <w:r w:rsidRPr="00321F99">
              <w:rPr>
                <w:rFonts w:ascii="Century Gothic" w:hAnsi="Century Gothic"/>
                <w:color w:val="auto"/>
                <w:szCs w:val="18"/>
              </w:rPr>
              <w:t>6.1.1 Percentage of 12 high risk communities having received Mental Health First Aid (MHFA) Training workshops.</w:t>
            </w:r>
          </w:p>
        </w:tc>
        <w:tc>
          <w:tcPr>
            <w:tcW w:w="2438" w:type="dxa"/>
            <w:tcMar>
              <w:left w:w="170" w:type="dxa"/>
              <w:right w:w="170" w:type="dxa"/>
            </w:tcMar>
            <w:vAlign w:val="center"/>
          </w:tcPr>
          <w:p w14:paraId="63994C06" w14:textId="77777777" w:rsidR="001625D7" w:rsidRPr="00321F99" w:rsidRDefault="001625D7" w:rsidP="00640A11">
            <w:pPr>
              <w:pStyle w:val="TableBody"/>
              <w:spacing w:before="0" w:after="0" w:line="240" w:lineRule="atLeast"/>
              <w:rPr>
                <w:rFonts w:ascii="Century Gothic" w:hAnsi="Century Gothic"/>
                <w:color w:val="auto"/>
                <w:szCs w:val="18"/>
              </w:rPr>
            </w:pPr>
            <w:r w:rsidRPr="00321F99">
              <w:rPr>
                <w:rFonts w:ascii="Century Gothic" w:hAnsi="Century Gothic"/>
                <w:color w:val="auto"/>
                <w:szCs w:val="18"/>
              </w:rPr>
              <w:t>Quantitative assessment of workshop data.</w:t>
            </w:r>
          </w:p>
        </w:tc>
        <w:tc>
          <w:tcPr>
            <w:tcW w:w="2053" w:type="dxa"/>
            <w:tcMar>
              <w:left w:w="170" w:type="dxa"/>
              <w:right w:w="170" w:type="dxa"/>
            </w:tcMar>
            <w:vAlign w:val="center"/>
          </w:tcPr>
          <w:p w14:paraId="0B067F8A" w14:textId="77777777" w:rsidR="001625D7" w:rsidRPr="00321F99" w:rsidRDefault="001625D7" w:rsidP="00766947">
            <w:pPr>
              <w:pStyle w:val="TableBody"/>
              <w:spacing w:before="0" w:after="0" w:line="240" w:lineRule="atLeast"/>
              <w:rPr>
                <w:rFonts w:ascii="Century Gothic" w:hAnsi="Century Gothic"/>
                <w:color w:val="auto"/>
                <w:szCs w:val="18"/>
              </w:rPr>
            </w:pPr>
            <w:r w:rsidRPr="00321F99">
              <w:rPr>
                <w:rFonts w:ascii="Century Gothic" w:hAnsi="Century Gothic"/>
                <w:color w:val="auto"/>
                <w:szCs w:val="18"/>
              </w:rPr>
              <w:t>100 per cent of high risk communities received training.</w:t>
            </w:r>
          </w:p>
        </w:tc>
        <w:tc>
          <w:tcPr>
            <w:tcW w:w="2054" w:type="dxa"/>
            <w:tcMar>
              <w:left w:w="170" w:type="dxa"/>
              <w:right w:w="170" w:type="dxa"/>
            </w:tcMar>
            <w:vAlign w:val="center"/>
          </w:tcPr>
          <w:p w14:paraId="13578031" w14:textId="77777777" w:rsidR="001625D7" w:rsidRPr="00321F99" w:rsidRDefault="001625D7" w:rsidP="00766947">
            <w:pPr>
              <w:pStyle w:val="TableBullet"/>
              <w:numPr>
                <w:ilvl w:val="0"/>
                <w:numId w:val="0"/>
              </w:numPr>
              <w:spacing w:before="0" w:after="0" w:line="240" w:lineRule="atLeast"/>
              <w:rPr>
                <w:rFonts w:ascii="Century Gothic" w:hAnsi="Century Gothic"/>
                <w:color w:val="auto"/>
                <w:szCs w:val="18"/>
              </w:rPr>
            </w:pPr>
          </w:p>
        </w:tc>
        <w:tc>
          <w:tcPr>
            <w:tcW w:w="2053" w:type="dxa"/>
            <w:tcMar>
              <w:left w:w="170" w:type="dxa"/>
              <w:right w:w="170" w:type="dxa"/>
            </w:tcMar>
            <w:vAlign w:val="center"/>
          </w:tcPr>
          <w:p w14:paraId="1EDD8DFA" w14:textId="77777777" w:rsidR="001625D7" w:rsidRPr="00321F99" w:rsidRDefault="001625D7" w:rsidP="00766947">
            <w:pPr>
              <w:pStyle w:val="TableNumbering"/>
              <w:numPr>
                <w:ilvl w:val="0"/>
                <w:numId w:val="0"/>
              </w:numPr>
              <w:spacing w:before="0" w:after="0" w:line="240" w:lineRule="atLeast"/>
              <w:rPr>
                <w:rFonts w:ascii="Century Gothic" w:hAnsi="Century Gothic"/>
                <w:color w:val="auto"/>
                <w:szCs w:val="18"/>
              </w:rPr>
            </w:pPr>
          </w:p>
        </w:tc>
        <w:tc>
          <w:tcPr>
            <w:tcW w:w="2054" w:type="dxa"/>
            <w:tcMar>
              <w:left w:w="170" w:type="dxa"/>
              <w:right w:w="170" w:type="dxa"/>
            </w:tcMar>
            <w:vAlign w:val="center"/>
          </w:tcPr>
          <w:p w14:paraId="349C6FCF" w14:textId="77777777" w:rsidR="001625D7" w:rsidRPr="00321F99" w:rsidRDefault="001625D7" w:rsidP="00766947">
            <w:pPr>
              <w:pStyle w:val="TableNumbering"/>
              <w:numPr>
                <w:ilvl w:val="0"/>
                <w:numId w:val="0"/>
              </w:numPr>
              <w:spacing w:before="0" w:after="0" w:line="240" w:lineRule="atLeast"/>
              <w:rPr>
                <w:rFonts w:ascii="Century Gothic" w:hAnsi="Century Gothic"/>
                <w:color w:val="auto"/>
                <w:szCs w:val="18"/>
              </w:rPr>
            </w:pPr>
          </w:p>
        </w:tc>
        <w:tc>
          <w:tcPr>
            <w:tcW w:w="1191" w:type="dxa"/>
            <w:vMerge w:val="restart"/>
            <w:tcMar>
              <w:left w:w="170" w:type="dxa"/>
              <w:right w:w="170" w:type="dxa"/>
            </w:tcMar>
            <w:vAlign w:val="center"/>
          </w:tcPr>
          <w:p w14:paraId="707A36AE" w14:textId="77777777" w:rsidR="001625D7" w:rsidRPr="00321F99" w:rsidRDefault="001625D7" w:rsidP="00766947">
            <w:pPr>
              <w:pStyle w:val="TableNumbering"/>
              <w:numPr>
                <w:ilvl w:val="0"/>
                <w:numId w:val="0"/>
              </w:numPr>
              <w:spacing w:before="0" w:after="0" w:line="240" w:lineRule="atLeast"/>
              <w:jc w:val="center"/>
              <w:rPr>
                <w:rFonts w:ascii="Century Gothic" w:hAnsi="Century Gothic"/>
                <w:color w:val="auto"/>
                <w:szCs w:val="18"/>
              </w:rPr>
            </w:pPr>
            <w:r w:rsidRPr="00321F99">
              <w:rPr>
                <w:rFonts w:ascii="Century Gothic" w:hAnsi="Century Gothic"/>
                <w:color w:val="auto"/>
                <w:szCs w:val="18"/>
              </w:rPr>
              <w:t>Program 1.3</w:t>
            </w:r>
          </w:p>
        </w:tc>
      </w:tr>
      <w:tr w:rsidR="001625D7" w:rsidRPr="008C6E24" w14:paraId="0F5FDDA7" w14:textId="77777777" w:rsidTr="00D747F7">
        <w:trPr>
          <w:trHeight w:val="1972"/>
        </w:trPr>
        <w:tc>
          <w:tcPr>
            <w:tcW w:w="2891" w:type="dxa"/>
            <w:vMerge/>
            <w:tcMar>
              <w:left w:w="170" w:type="dxa"/>
              <w:right w:w="170" w:type="dxa"/>
            </w:tcMar>
            <w:vAlign w:val="center"/>
          </w:tcPr>
          <w:p w14:paraId="193ADDF3" w14:textId="77777777" w:rsidR="001625D7" w:rsidRPr="00321F99" w:rsidRDefault="001625D7" w:rsidP="00766947">
            <w:pPr>
              <w:pStyle w:val="TableBody"/>
              <w:spacing w:before="0" w:after="0" w:line="240" w:lineRule="atLeast"/>
              <w:rPr>
                <w:rFonts w:ascii="Century Gothic" w:hAnsi="Century Gothic" w:cstheme="minorHAnsi"/>
                <w:b/>
                <w:bCs/>
                <w:color w:val="auto"/>
                <w:szCs w:val="18"/>
              </w:rPr>
            </w:pPr>
          </w:p>
        </w:tc>
        <w:tc>
          <w:tcPr>
            <w:tcW w:w="3798" w:type="dxa"/>
            <w:vMerge/>
            <w:tcMar>
              <w:left w:w="170" w:type="dxa"/>
              <w:right w:w="170" w:type="dxa"/>
            </w:tcMar>
            <w:vAlign w:val="center"/>
          </w:tcPr>
          <w:p w14:paraId="0261725F" w14:textId="77777777" w:rsidR="001625D7" w:rsidRPr="00321F99" w:rsidRDefault="001625D7" w:rsidP="00766947">
            <w:pPr>
              <w:pStyle w:val="TableBody"/>
              <w:spacing w:before="0" w:after="0" w:line="240" w:lineRule="atLeast"/>
              <w:rPr>
                <w:rFonts w:ascii="Century Gothic" w:hAnsi="Century Gothic" w:cstheme="minorHAnsi"/>
                <w:bCs/>
                <w:color w:val="auto"/>
                <w:szCs w:val="18"/>
              </w:rPr>
            </w:pPr>
          </w:p>
        </w:tc>
        <w:tc>
          <w:tcPr>
            <w:tcW w:w="2665" w:type="dxa"/>
            <w:tcMar>
              <w:left w:w="170" w:type="dxa"/>
              <w:right w:w="170" w:type="dxa"/>
            </w:tcMar>
            <w:vAlign w:val="center"/>
          </w:tcPr>
          <w:p w14:paraId="6F6D57BD" w14:textId="77777777" w:rsidR="001625D7" w:rsidRPr="00321F99" w:rsidRDefault="001625D7" w:rsidP="00766947">
            <w:pPr>
              <w:pStyle w:val="TableBody"/>
              <w:spacing w:before="0" w:after="0" w:line="240" w:lineRule="atLeast"/>
              <w:rPr>
                <w:rFonts w:ascii="Century Gothic" w:hAnsi="Century Gothic"/>
                <w:color w:val="auto"/>
                <w:szCs w:val="18"/>
              </w:rPr>
            </w:pPr>
            <w:r w:rsidRPr="00321F99">
              <w:rPr>
                <w:rFonts w:ascii="Century Gothic" w:hAnsi="Century Gothic"/>
                <w:color w:val="auto"/>
                <w:szCs w:val="18"/>
              </w:rPr>
              <w:t xml:space="preserve">6.1.2 Number of MHFA workshops delivered to frontline workers funded under the IAS. </w:t>
            </w:r>
          </w:p>
        </w:tc>
        <w:tc>
          <w:tcPr>
            <w:tcW w:w="2438" w:type="dxa"/>
            <w:tcMar>
              <w:left w:w="170" w:type="dxa"/>
              <w:right w:w="170" w:type="dxa"/>
            </w:tcMar>
            <w:vAlign w:val="center"/>
          </w:tcPr>
          <w:p w14:paraId="50CBD477" w14:textId="77777777" w:rsidR="001625D7" w:rsidRPr="00321F99" w:rsidRDefault="001625D7" w:rsidP="00640A11">
            <w:pPr>
              <w:pStyle w:val="TableBody"/>
              <w:spacing w:before="0" w:after="0" w:line="240" w:lineRule="atLeast"/>
              <w:rPr>
                <w:rFonts w:ascii="Century Gothic" w:hAnsi="Century Gothic"/>
                <w:color w:val="auto"/>
                <w:szCs w:val="18"/>
              </w:rPr>
            </w:pPr>
            <w:r w:rsidRPr="00321F99">
              <w:rPr>
                <w:rFonts w:ascii="Century Gothic" w:hAnsi="Century Gothic"/>
                <w:color w:val="auto"/>
                <w:szCs w:val="18"/>
              </w:rPr>
              <w:t>Quantitative analysis of Provider Reports and workshop data.</w:t>
            </w:r>
          </w:p>
        </w:tc>
        <w:tc>
          <w:tcPr>
            <w:tcW w:w="2053" w:type="dxa"/>
            <w:tcMar>
              <w:left w:w="170" w:type="dxa"/>
              <w:right w:w="170" w:type="dxa"/>
            </w:tcMar>
            <w:vAlign w:val="center"/>
          </w:tcPr>
          <w:p w14:paraId="36A2ABE1" w14:textId="77777777" w:rsidR="001625D7" w:rsidRPr="00321F99" w:rsidRDefault="001625D7" w:rsidP="00766947">
            <w:pPr>
              <w:pStyle w:val="TableBody"/>
              <w:spacing w:before="0" w:after="0" w:line="240" w:lineRule="atLeast"/>
              <w:rPr>
                <w:rFonts w:ascii="Century Gothic" w:hAnsi="Century Gothic"/>
                <w:color w:val="auto"/>
                <w:szCs w:val="18"/>
              </w:rPr>
            </w:pPr>
            <w:r w:rsidRPr="00321F99">
              <w:rPr>
                <w:rFonts w:ascii="Century Gothic" w:hAnsi="Century Gothic"/>
                <w:color w:val="auto"/>
                <w:szCs w:val="18"/>
                <w:lang w:eastAsia="en-AU"/>
              </w:rPr>
              <w:t>100 MHFA workshops delivered (50 additional workshops delivered in 2020-21)</w:t>
            </w:r>
          </w:p>
        </w:tc>
        <w:tc>
          <w:tcPr>
            <w:tcW w:w="2054" w:type="dxa"/>
            <w:tcMar>
              <w:left w:w="170" w:type="dxa"/>
              <w:right w:w="170" w:type="dxa"/>
            </w:tcMar>
            <w:vAlign w:val="center"/>
          </w:tcPr>
          <w:p w14:paraId="19A897A1" w14:textId="77777777" w:rsidR="001625D7" w:rsidRPr="00321F99" w:rsidRDefault="001625D7" w:rsidP="00766947">
            <w:pPr>
              <w:pStyle w:val="TableBullet"/>
              <w:numPr>
                <w:ilvl w:val="0"/>
                <w:numId w:val="0"/>
              </w:numPr>
              <w:spacing w:before="0" w:after="0" w:line="240" w:lineRule="atLeast"/>
              <w:rPr>
                <w:rFonts w:ascii="Century Gothic" w:hAnsi="Century Gothic"/>
                <w:color w:val="auto"/>
                <w:szCs w:val="18"/>
              </w:rPr>
            </w:pPr>
          </w:p>
        </w:tc>
        <w:tc>
          <w:tcPr>
            <w:tcW w:w="2053" w:type="dxa"/>
            <w:tcMar>
              <w:left w:w="170" w:type="dxa"/>
              <w:right w:w="170" w:type="dxa"/>
            </w:tcMar>
            <w:vAlign w:val="center"/>
          </w:tcPr>
          <w:p w14:paraId="73CDBA80" w14:textId="77777777" w:rsidR="001625D7" w:rsidRPr="00321F99" w:rsidRDefault="001625D7" w:rsidP="00766947">
            <w:pPr>
              <w:pStyle w:val="TableNumbering"/>
              <w:numPr>
                <w:ilvl w:val="0"/>
                <w:numId w:val="0"/>
              </w:numPr>
              <w:spacing w:before="0" w:after="0" w:line="240" w:lineRule="atLeast"/>
              <w:rPr>
                <w:rFonts w:ascii="Century Gothic" w:hAnsi="Century Gothic"/>
                <w:color w:val="auto"/>
                <w:szCs w:val="18"/>
              </w:rPr>
            </w:pPr>
          </w:p>
        </w:tc>
        <w:tc>
          <w:tcPr>
            <w:tcW w:w="2054" w:type="dxa"/>
            <w:tcMar>
              <w:left w:w="170" w:type="dxa"/>
              <w:right w:w="170" w:type="dxa"/>
            </w:tcMar>
            <w:vAlign w:val="center"/>
          </w:tcPr>
          <w:p w14:paraId="3678B77D" w14:textId="77777777" w:rsidR="001625D7" w:rsidRPr="00321F99" w:rsidRDefault="001625D7" w:rsidP="00766947">
            <w:pPr>
              <w:pStyle w:val="TableNumbering"/>
              <w:numPr>
                <w:ilvl w:val="0"/>
                <w:numId w:val="0"/>
              </w:numPr>
              <w:spacing w:before="0" w:after="0" w:line="240" w:lineRule="atLeast"/>
              <w:rPr>
                <w:rFonts w:ascii="Century Gothic" w:hAnsi="Century Gothic"/>
                <w:color w:val="auto"/>
                <w:szCs w:val="18"/>
              </w:rPr>
            </w:pPr>
          </w:p>
        </w:tc>
        <w:tc>
          <w:tcPr>
            <w:tcW w:w="1191" w:type="dxa"/>
            <w:vMerge/>
            <w:tcMar>
              <w:left w:w="170" w:type="dxa"/>
              <w:right w:w="170" w:type="dxa"/>
            </w:tcMar>
            <w:vAlign w:val="center"/>
          </w:tcPr>
          <w:p w14:paraId="5023FAF8" w14:textId="77777777" w:rsidR="001625D7" w:rsidRPr="00321F99" w:rsidRDefault="001625D7" w:rsidP="00766947">
            <w:pPr>
              <w:pStyle w:val="TableNumbering"/>
              <w:numPr>
                <w:ilvl w:val="0"/>
                <w:numId w:val="0"/>
              </w:numPr>
              <w:spacing w:before="0" w:after="0" w:line="240" w:lineRule="atLeast"/>
              <w:jc w:val="center"/>
              <w:rPr>
                <w:rFonts w:ascii="Century Gothic" w:hAnsi="Century Gothic"/>
                <w:color w:val="auto"/>
                <w:szCs w:val="18"/>
              </w:rPr>
            </w:pPr>
          </w:p>
        </w:tc>
      </w:tr>
      <w:tr w:rsidR="001625D7" w:rsidRPr="008C6E24" w14:paraId="79D7E548" w14:textId="77777777" w:rsidTr="00D747F7">
        <w:trPr>
          <w:trHeight w:val="2842"/>
        </w:trPr>
        <w:tc>
          <w:tcPr>
            <w:tcW w:w="2891" w:type="dxa"/>
            <w:vMerge/>
            <w:tcMar>
              <w:left w:w="170" w:type="dxa"/>
              <w:right w:w="170" w:type="dxa"/>
            </w:tcMar>
            <w:vAlign w:val="center"/>
          </w:tcPr>
          <w:p w14:paraId="6BC7162C" w14:textId="77777777" w:rsidR="001625D7" w:rsidRPr="00321F99" w:rsidRDefault="001625D7" w:rsidP="00766947">
            <w:pPr>
              <w:pStyle w:val="TableBody"/>
              <w:spacing w:before="0" w:after="0" w:line="240" w:lineRule="atLeast"/>
              <w:rPr>
                <w:rFonts w:ascii="Century Gothic" w:hAnsi="Century Gothic" w:cstheme="minorHAnsi"/>
                <w:b/>
                <w:bCs/>
                <w:color w:val="auto"/>
                <w:szCs w:val="18"/>
              </w:rPr>
            </w:pPr>
          </w:p>
        </w:tc>
        <w:tc>
          <w:tcPr>
            <w:tcW w:w="3798" w:type="dxa"/>
            <w:vMerge/>
            <w:tcMar>
              <w:left w:w="170" w:type="dxa"/>
              <w:right w:w="170" w:type="dxa"/>
            </w:tcMar>
            <w:vAlign w:val="center"/>
          </w:tcPr>
          <w:p w14:paraId="4FAA9344" w14:textId="77777777" w:rsidR="001625D7" w:rsidRPr="00321F99" w:rsidRDefault="001625D7" w:rsidP="00766947">
            <w:pPr>
              <w:pStyle w:val="TableBody"/>
              <w:spacing w:before="0" w:after="0" w:line="240" w:lineRule="atLeast"/>
              <w:rPr>
                <w:rFonts w:ascii="Century Gothic" w:hAnsi="Century Gothic" w:cstheme="minorHAnsi"/>
                <w:bCs/>
                <w:color w:val="auto"/>
                <w:szCs w:val="18"/>
              </w:rPr>
            </w:pPr>
          </w:p>
        </w:tc>
        <w:tc>
          <w:tcPr>
            <w:tcW w:w="2665" w:type="dxa"/>
            <w:tcMar>
              <w:left w:w="170" w:type="dxa"/>
              <w:right w:w="170" w:type="dxa"/>
            </w:tcMar>
            <w:vAlign w:val="center"/>
          </w:tcPr>
          <w:p w14:paraId="5DE06627" w14:textId="77777777" w:rsidR="001625D7" w:rsidRPr="00321F99" w:rsidRDefault="001625D7" w:rsidP="00766947">
            <w:pPr>
              <w:pStyle w:val="TableBody"/>
              <w:spacing w:before="0" w:after="0" w:line="240" w:lineRule="atLeast"/>
              <w:rPr>
                <w:rFonts w:ascii="Century Gothic" w:hAnsi="Century Gothic"/>
                <w:color w:val="auto"/>
                <w:szCs w:val="18"/>
              </w:rPr>
            </w:pPr>
            <w:r w:rsidRPr="00321F99">
              <w:rPr>
                <w:rFonts w:ascii="Century Gothic" w:hAnsi="Century Gothic" w:cstheme="minorHAnsi"/>
                <w:bCs/>
                <w:color w:val="auto"/>
                <w:szCs w:val="18"/>
              </w:rPr>
              <w:t>6.1.3 Deliver youth cultural activities in 12 designated high risk communities co-designed with local young indigenous people, communities, and key stakeholders.</w:t>
            </w:r>
          </w:p>
        </w:tc>
        <w:tc>
          <w:tcPr>
            <w:tcW w:w="2438" w:type="dxa"/>
            <w:tcMar>
              <w:left w:w="170" w:type="dxa"/>
              <w:right w:w="170" w:type="dxa"/>
            </w:tcMar>
            <w:vAlign w:val="center"/>
          </w:tcPr>
          <w:p w14:paraId="04BBC6D4" w14:textId="77777777" w:rsidR="001625D7" w:rsidRPr="00321F99" w:rsidRDefault="001625D7" w:rsidP="00766947">
            <w:pPr>
              <w:pStyle w:val="TableBody"/>
              <w:spacing w:after="0" w:line="240" w:lineRule="atLeast"/>
              <w:rPr>
                <w:rFonts w:ascii="Century Gothic" w:hAnsi="Century Gothic"/>
                <w:color w:val="auto"/>
                <w:szCs w:val="18"/>
              </w:rPr>
            </w:pPr>
            <w:r w:rsidRPr="00321F99">
              <w:rPr>
                <w:rFonts w:ascii="Century Gothic" w:hAnsi="Century Gothic"/>
                <w:color w:val="auto"/>
                <w:szCs w:val="18"/>
              </w:rPr>
              <w:t xml:space="preserve">Quantitative assessment of delivery of program in identified communities. </w:t>
            </w:r>
          </w:p>
          <w:p w14:paraId="32C772A2" w14:textId="77777777" w:rsidR="001625D7" w:rsidRPr="00321F99" w:rsidRDefault="001625D7" w:rsidP="007C09DF">
            <w:pPr>
              <w:pStyle w:val="TableBody"/>
              <w:spacing w:after="0" w:line="240" w:lineRule="atLeast"/>
              <w:rPr>
                <w:rFonts w:ascii="Century Gothic" w:hAnsi="Century Gothic"/>
                <w:color w:val="auto"/>
                <w:szCs w:val="18"/>
              </w:rPr>
            </w:pPr>
            <w:r w:rsidRPr="00321F99">
              <w:rPr>
                <w:rFonts w:ascii="Century Gothic" w:hAnsi="Century Gothic"/>
                <w:color w:val="auto"/>
                <w:szCs w:val="18"/>
              </w:rPr>
              <w:t xml:space="preserve">Qualitative analysis of Provider Reports. </w:t>
            </w:r>
          </w:p>
          <w:p w14:paraId="28856C7F" w14:textId="77777777" w:rsidR="001625D7" w:rsidRPr="00321F99" w:rsidRDefault="001625D7" w:rsidP="007C09DF">
            <w:pPr>
              <w:pStyle w:val="TableBody"/>
              <w:spacing w:after="0" w:line="240" w:lineRule="atLeast"/>
              <w:rPr>
                <w:rFonts w:ascii="Century Gothic" w:hAnsi="Century Gothic"/>
                <w:color w:val="auto"/>
                <w:szCs w:val="18"/>
              </w:rPr>
            </w:pPr>
            <w:r w:rsidRPr="00321F99">
              <w:rPr>
                <w:rFonts w:ascii="Century Gothic" w:hAnsi="Century Gothic"/>
                <w:color w:val="auto"/>
                <w:szCs w:val="18"/>
              </w:rPr>
              <w:t xml:space="preserve">Commission of qualitative external independent evaluation. </w:t>
            </w:r>
          </w:p>
        </w:tc>
        <w:tc>
          <w:tcPr>
            <w:tcW w:w="2053" w:type="dxa"/>
            <w:tcMar>
              <w:left w:w="170" w:type="dxa"/>
              <w:right w:w="170" w:type="dxa"/>
            </w:tcMar>
            <w:vAlign w:val="center"/>
          </w:tcPr>
          <w:p w14:paraId="21A00E18" w14:textId="77777777" w:rsidR="001625D7" w:rsidRPr="00321F99" w:rsidRDefault="001625D7" w:rsidP="00766947">
            <w:pPr>
              <w:pStyle w:val="TableBody"/>
              <w:spacing w:before="0" w:after="0" w:line="240" w:lineRule="atLeast"/>
              <w:rPr>
                <w:rFonts w:ascii="Century Gothic" w:hAnsi="Century Gothic"/>
                <w:color w:val="auto"/>
                <w:szCs w:val="18"/>
              </w:rPr>
            </w:pPr>
            <w:r w:rsidRPr="00321F99">
              <w:rPr>
                <w:rFonts w:ascii="Century Gothic" w:hAnsi="Century Gothic" w:cstheme="minorHAnsi"/>
                <w:color w:val="auto"/>
                <w:szCs w:val="18"/>
              </w:rPr>
              <w:t>Youth cultural activities co</w:t>
            </w:r>
            <w:r w:rsidRPr="00321F99">
              <w:rPr>
                <w:rFonts w:ascii="Century Gothic" w:hAnsi="Century Gothic" w:cstheme="minorHAnsi"/>
                <w:color w:val="auto"/>
                <w:szCs w:val="18"/>
              </w:rPr>
              <w:noBreakHyphen/>
              <w:t>designed and commenced in all 12 target locations</w:t>
            </w:r>
          </w:p>
        </w:tc>
        <w:tc>
          <w:tcPr>
            <w:tcW w:w="2054" w:type="dxa"/>
            <w:tcMar>
              <w:left w:w="170" w:type="dxa"/>
              <w:right w:w="170" w:type="dxa"/>
            </w:tcMar>
            <w:vAlign w:val="center"/>
          </w:tcPr>
          <w:p w14:paraId="14496CEA" w14:textId="77777777" w:rsidR="001625D7" w:rsidRPr="00321F99" w:rsidRDefault="001625D7" w:rsidP="00766947">
            <w:pPr>
              <w:pStyle w:val="TableBullet"/>
              <w:numPr>
                <w:ilvl w:val="0"/>
                <w:numId w:val="0"/>
              </w:numPr>
              <w:spacing w:before="0" w:after="0" w:line="240" w:lineRule="atLeast"/>
              <w:rPr>
                <w:rFonts w:ascii="Century Gothic" w:hAnsi="Century Gothic"/>
                <w:color w:val="auto"/>
                <w:szCs w:val="18"/>
              </w:rPr>
            </w:pPr>
            <w:r w:rsidRPr="00321F99">
              <w:rPr>
                <w:rFonts w:ascii="Century Gothic" w:hAnsi="Century Gothic" w:cstheme="minorHAnsi"/>
                <w:color w:val="auto"/>
                <w:szCs w:val="18"/>
              </w:rPr>
              <w:t>Youth cultural activities delivered in all 12 target locations.</w:t>
            </w:r>
          </w:p>
        </w:tc>
        <w:tc>
          <w:tcPr>
            <w:tcW w:w="2053" w:type="dxa"/>
            <w:tcMar>
              <w:left w:w="170" w:type="dxa"/>
              <w:right w:w="170" w:type="dxa"/>
            </w:tcMar>
            <w:vAlign w:val="center"/>
          </w:tcPr>
          <w:p w14:paraId="5FE3F757" w14:textId="77777777" w:rsidR="001625D7" w:rsidRPr="00321F99" w:rsidRDefault="001625D7" w:rsidP="00766947">
            <w:pPr>
              <w:pStyle w:val="TableNumbering"/>
              <w:numPr>
                <w:ilvl w:val="0"/>
                <w:numId w:val="0"/>
              </w:numPr>
              <w:spacing w:before="0" w:after="0" w:line="240" w:lineRule="atLeast"/>
              <w:rPr>
                <w:rFonts w:ascii="Century Gothic" w:hAnsi="Century Gothic"/>
                <w:color w:val="auto"/>
                <w:szCs w:val="18"/>
              </w:rPr>
            </w:pPr>
            <w:r w:rsidRPr="00321F99">
              <w:rPr>
                <w:rFonts w:ascii="Century Gothic" w:hAnsi="Century Gothic" w:cstheme="minorHAnsi"/>
                <w:color w:val="auto"/>
                <w:szCs w:val="18"/>
              </w:rPr>
              <w:t xml:space="preserve">Implementation of youth cultural activities completed in all 12 target locations </w:t>
            </w:r>
            <w:r w:rsidRPr="00321F99">
              <w:rPr>
                <w:rFonts w:ascii="Century Gothic" w:hAnsi="Century Gothic"/>
                <w:color w:val="auto"/>
                <w:szCs w:val="18"/>
              </w:rPr>
              <w:t>and evaluation finalised.</w:t>
            </w:r>
          </w:p>
        </w:tc>
        <w:tc>
          <w:tcPr>
            <w:tcW w:w="2054" w:type="dxa"/>
            <w:tcMar>
              <w:left w:w="170" w:type="dxa"/>
              <w:right w:w="170" w:type="dxa"/>
            </w:tcMar>
            <w:vAlign w:val="center"/>
          </w:tcPr>
          <w:p w14:paraId="4794B67F" w14:textId="77777777" w:rsidR="001625D7" w:rsidRPr="00321F99" w:rsidRDefault="001625D7" w:rsidP="00766947">
            <w:pPr>
              <w:pStyle w:val="TableNumbering"/>
              <w:numPr>
                <w:ilvl w:val="0"/>
                <w:numId w:val="0"/>
              </w:numPr>
              <w:spacing w:before="0" w:after="0" w:line="240" w:lineRule="atLeast"/>
              <w:rPr>
                <w:rFonts w:ascii="Century Gothic" w:hAnsi="Century Gothic" w:cstheme="minorHAnsi"/>
                <w:color w:val="auto"/>
                <w:szCs w:val="18"/>
              </w:rPr>
            </w:pPr>
          </w:p>
        </w:tc>
        <w:tc>
          <w:tcPr>
            <w:tcW w:w="1191" w:type="dxa"/>
            <w:vMerge/>
            <w:tcMar>
              <w:left w:w="170" w:type="dxa"/>
              <w:right w:w="170" w:type="dxa"/>
            </w:tcMar>
            <w:vAlign w:val="center"/>
          </w:tcPr>
          <w:p w14:paraId="2F2A0393" w14:textId="77777777" w:rsidR="001625D7" w:rsidRPr="00321F99" w:rsidRDefault="001625D7" w:rsidP="00766947">
            <w:pPr>
              <w:pStyle w:val="TableNumbering"/>
              <w:numPr>
                <w:ilvl w:val="0"/>
                <w:numId w:val="0"/>
              </w:numPr>
              <w:spacing w:before="0" w:after="0" w:line="240" w:lineRule="atLeast"/>
              <w:jc w:val="center"/>
              <w:rPr>
                <w:rFonts w:ascii="Century Gothic" w:hAnsi="Century Gothic" w:cstheme="minorHAnsi"/>
                <w:color w:val="auto"/>
                <w:szCs w:val="18"/>
              </w:rPr>
            </w:pPr>
          </w:p>
        </w:tc>
      </w:tr>
      <w:tr w:rsidR="001625D7" w:rsidRPr="008C6E24" w14:paraId="4F9F5D42" w14:textId="77777777" w:rsidTr="00D747F7">
        <w:trPr>
          <w:trHeight w:val="2291"/>
        </w:trPr>
        <w:tc>
          <w:tcPr>
            <w:tcW w:w="2891" w:type="dxa"/>
            <w:vMerge w:val="restart"/>
            <w:tcMar>
              <w:left w:w="170" w:type="dxa"/>
              <w:right w:w="170" w:type="dxa"/>
            </w:tcMar>
            <w:vAlign w:val="center"/>
          </w:tcPr>
          <w:p w14:paraId="6A83F4EA" w14:textId="77777777" w:rsidR="001625D7" w:rsidRPr="00321F99" w:rsidRDefault="001625D7" w:rsidP="00525B45">
            <w:pPr>
              <w:spacing w:before="0" w:after="0" w:line="240" w:lineRule="atLeast"/>
              <w:rPr>
                <w:rFonts w:ascii="Century Gothic" w:hAnsi="Century Gothic"/>
                <w:b/>
                <w:color w:val="auto"/>
                <w:sz w:val="18"/>
                <w:szCs w:val="18"/>
              </w:rPr>
            </w:pPr>
            <w:r w:rsidRPr="00321F99">
              <w:rPr>
                <w:rFonts w:ascii="Century Gothic" w:hAnsi="Century Gothic"/>
                <w:b/>
                <w:color w:val="auto"/>
                <w:sz w:val="18"/>
                <w:szCs w:val="18"/>
                <w:u w:val="single"/>
              </w:rPr>
              <w:t xml:space="preserve">Activity </w:t>
            </w:r>
            <w:r w:rsidRPr="00321F99">
              <w:rPr>
                <w:rFonts w:ascii="Century Gothic" w:hAnsi="Century Gothic"/>
                <w:b/>
                <w:iCs/>
                <w:color w:val="auto"/>
                <w:sz w:val="18"/>
                <w:szCs w:val="18"/>
                <w:u w:val="single"/>
              </w:rPr>
              <w:t>7</w:t>
            </w:r>
            <w:r w:rsidRPr="00321F99">
              <w:rPr>
                <w:rFonts w:ascii="Century Gothic" w:hAnsi="Century Gothic"/>
                <w:b/>
                <w:color w:val="auto"/>
                <w:sz w:val="18"/>
                <w:szCs w:val="18"/>
              </w:rPr>
              <w:t xml:space="preserve"> </w:t>
            </w:r>
          </w:p>
          <w:p w14:paraId="6357954A" w14:textId="77777777" w:rsidR="001625D7" w:rsidRPr="00321F99" w:rsidRDefault="001625D7" w:rsidP="00525B45">
            <w:pPr>
              <w:spacing w:before="0" w:after="0" w:line="240" w:lineRule="atLeast"/>
              <w:rPr>
                <w:rFonts w:ascii="Century Gothic" w:hAnsi="Century Gothic"/>
                <w:b/>
                <w:iCs/>
                <w:color w:val="auto"/>
                <w:sz w:val="18"/>
                <w:szCs w:val="18"/>
              </w:rPr>
            </w:pPr>
            <w:r w:rsidRPr="00321F99">
              <w:rPr>
                <w:rFonts w:ascii="Century Gothic" w:hAnsi="Century Gothic"/>
                <w:b/>
                <w:color w:val="auto"/>
                <w:sz w:val="18"/>
                <w:szCs w:val="18"/>
              </w:rPr>
              <w:t>Enhancing regional governance and local decision-making.</w:t>
            </w:r>
          </w:p>
        </w:tc>
        <w:tc>
          <w:tcPr>
            <w:tcW w:w="3798" w:type="dxa"/>
            <w:shd w:val="clear" w:color="auto" w:fill="auto"/>
            <w:tcMar>
              <w:left w:w="170" w:type="dxa"/>
              <w:right w:w="170" w:type="dxa"/>
            </w:tcMar>
            <w:vAlign w:val="center"/>
          </w:tcPr>
          <w:p w14:paraId="32072162" w14:textId="77777777" w:rsidR="001625D7" w:rsidRPr="00321F99" w:rsidRDefault="001625D7" w:rsidP="00921B82">
            <w:pPr>
              <w:spacing w:before="0" w:after="0" w:line="240" w:lineRule="atLeast"/>
              <w:rPr>
                <w:rFonts w:ascii="Century Gothic" w:hAnsi="Century Gothic" w:cs="Century Gothic"/>
                <w:color w:val="auto"/>
                <w:sz w:val="18"/>
                <w:szCs w:val="18"/>
              </w:rPr>
            </w:pPr>
            <w:r w:rsidRPr="00321F99">
              <w:rPr>
                <w:rFonts w:ascii="Century Gothic" w:hAnsi="Century Gothic"/>
                <w:color w:val="auto"/>
                <w:sz w:val="18"/>
                <w:szCs w:val="18"/>
              </w:rPr>
              <w:t>7.1 Participated in state and territory local decision making processes.</w:t>
            </w:r>
          </w:p>
        </w:tc>
        <w:tc>
          <w:tcPr>
            <w:tcW w:w="2665" w:type="dxa"/>
            <w:shd w:val="clear" w:color="auto" w:fill="auto"/>
            <w:tcMar>
              <w:left w:w="170" w:type="dxa"/>
              <w:right w:w="170" w:type="dxa"/>
            </w:tcMar>
            <w:vAlign w:val="center"/>
          </w:tcPr>
          <w:p w14:paraId="56987CD9" w14:textId="77777777" w:rsidR="001625D7" w:rsidRPr="00321F99" w:rsidRDefault="001625D7" w:rsidP="00525B45">
            <w:pPr>
              <w:pStyle w:val="TableBody"/>
              <w:spacing w:before="0" w:after="0" w:line="240" w:lineRule="atLeast"/>
              <w:rPr>
                <w:rFonts w:ascii="Century Gothic" w:hAnsi="Century Gothic" w:cstheme="minorHAnsi"/>
                <w:color w:val="auto"/>
                <w:szCs w:val="18"/>
              </w:rPr>
            </w:pPr>
            <w:r w:rsidRPr="00321F99">
              <w:rPr>
                <w:rFonts w:ascii="Century Gothic" w:hAnsi="Century Gothic"/>
                <w:color w:val="auto"/>
                <w:szCs w:val="18"/>
              </w:rPr>
              <w:t>7.1.1 Formal participation in active local decision making (LDM) processes</w:t>
            </w:r>
            <w:r w:rsidRPr="00321F99">
              <w:rPr>
                <w:rFonts w:ascii="Century Gothic" w:eastAsia="Times New Roman" w:hAnsi="Century Gothic" w:cs="Calibri"/>
                <w:color w:val="auto"/>
                <w:szCs w:val="18"/>
                <w:lang w:eastAsia="en-AU"/>
              </w:rPr>
              <w:t>.</w:t>
            </w:r>
          </w:p>
        </w:tc>
        <w:tc>
          <w:tcPr>
            <w:tcW w:w="2438" w:type="dxa"/>
            <w:shd w:val="clear" w:color="auto" w:fill="auto"/>
            <w:tcMar>
              <w:left w:w="170" w:type="dxa"/>
              <w:right w:w="170" w:type="dxa"/>
            </w:tcMar>
            <w:vAlign w:val="center"/>
          </w:tcPr>
          <w:p w14:paraId="32FA7F47" w14:textId="77777777" w:rsidR="001625D7" w:rsidRPr="00321F99" w:rsidRDefault="001625D7" w:rsidP="00525B45">
            <w:pPr>
              <w:pStyle w:val="TableBody"/>
              <w:spacing w:before="0" w:after="0" w:line="240" w:lineRule="atLeast"/>
              <w:rPr>
                <w:rFonts w:ascii="Century Gothic" w:hAnsi="Century Gothic"/>
                <w:color w:val="auto"/>
                <w:szCs w:val="18"/>
              </w:rPr>
            </w:pPr>
            <w:r w:rsidRPr="00321F99">
              <w:rPr>
                <w:rFonts w:ascii="Century Gothic" w:hAnsi="Century Gothic" w:cstheme="minorHAnsi"/>
                <w:color w:val="auto"/>
                <w:szCs w:val="18"/>
              </w:rPr>
              <w:t>Quantitative assessment of participation data.</w:t>
            </w:r>
          </w:p>
        </w:tc>
        <w:tc>
          <w:tcPr>
            <w:tcW w:w="2053" w:type="dxa"/>
            <w:shd w:val="clear" w:color="auto" w:fill="auto"/>
            <w:tcMar>
              <w:left w:w="170" w:type="dxa"/>
              <w:right w:w="170" w:type="dxa"/>
            </w:tcMar>
            <w:vAlign w:val="center"/>
          </w:tcPr>
          <w:p w14:paraId="4EF19697" w14:textId="77777777" w:rsidR="001625D7" w:rsidRPr="00321F99" w:rsidRDefault="001625D7" w:rsidP="00525B45">
            <w:pPr>
              <w:pStyle w:val="TableBody"/>
              <w:spacing w:before="0" w:after="0" w:line="240" w:lineRule="atLeast"/>
              <w:rPr>
                <w:rFonts w:ascii="Century Gothic" w:hAnsi="Century Gothic" w:cstheme="minorHAnsi"/>
                <w:color w:val="auto"/>
                <w:szCs w:val="18"/>
              </w:rPr>
            </w:pPr>
            <w:r w:rsidRPr="00321F99">
              <w:rPr>
                <w:rFonts w:ascii="Century Gothic" w:hAnsi="Century Gothic" w:cstheme="minorHAnsi"/>
                <w:color w:val="auto"/>
                <w:szCs w:val="18"/>
              </w:rPr>
              <w:t>NIAA to formally participate in 85 per cent of LDM</w:t>
            </w:r>
            <w:r w:rsidRPr="00321F99">
              <w:rPr>
                <w:rFonts w:ascii="Century Gothic" w:hAnsi="Century Gothic"/>
                <w:color w:val="auto"/>
                <w:szCs w:val="18"/>
              </w:rPr>
              <w:t xml:space="preserve"> </w:t>
            </w:r>
            <w:r w:rsidRPr="00321F99">
              <w:rPr>
                <w:rFonts w:ascii="Century Gothic" w:hAnsi="Century Gothic" w:cstheme="minorHAnsi"/>
                <w:color w:val="auto"/>
                <w:szCs w:val="18"/>
              </w:rPr>
              <w:t>sites, where NIAA has been invited to contribute.</w:t>
            </w:r>
          </w:p>
        </w:tc>
        <w:tc>
          <w:tcPr>
            <w:tcW w:w="2054" w:type="dxa"/>
            <w:shd w:val="clear" w:color="auto" w:fill="auto"/>
            <w:tcMar>
              <w:left w:w="170" w:type="dxa"/>
              <w:right w:w="170" w:type="dxa"/>
            </w:tcMar>
            <w:vAlign w:val="center"/>
          </w:tcPr>
          <w:p w14:paraId="252B09DB" w14:textId="77777777" w:rsidR="001625D7" w:rsidRPr="00321F99" w:rsidRDefault="001625D7" w:rsidP="00525B45">
            <w:pPr>
              <w:pStyle w:val="TableBullet"/>
              <w:spacing w:before="0" w:after="0" w:line="240" w:lineRule="atLeast"/>
              <w:ind w:left="0"/>
              <w:rPr>
                <w:rFonts w:ascii="Century Gothic" w:eastAsia="Calibri" w:hAnsi="Century Gothic" w:cs="Calibri"/>
                <w:color w:val="auto"/>
                <w:szCs w:val="18"/>
              </w:rPr>
            </w:pPr>
            <w:r w:rsidRPr="00321F99">
              <w:rPr>
                <w:rFonts w:ascii="Century Gothic" w:hAnsi="Century Gothic" w:cstheme="minorHAnsi"/>
                <w:color w:val="auto"/>
                <w:szCs w:val="18"/>
              </w:rPr>
              <w:t>NIAA to formally participate in 90 per cent of LDM</w:t>
            </w:r>
            <w:r w:rsidRPr="00321F99">
              <w:rPr>
                <w:rFonts w:ascii="Century Gothic" w:hAnsi="Century Gothic"/>
                <w:color w:val="auto"/>
                <w:szCs w:val="18"/>
              </w:rPr>
              <w:t xml:space="preserve"> </w:t>
            </w:r>
            <w:r w:rsidRPr="00321F99">
              <w:rPr>
                <w:rFonts w:ascii="Century Gothic" w:hAnsi="Century Gothic" w:cstheme="minorHAnsi"/>
                <w:color w:val="auto"/>
                <w:szCs w:val="18"/>
              </w:rPr>
              <w:t>sites, where NIAA has been invited to contribute.</w:t>
            </w:r>
          </w:p>
        </w:tc>
        <w:tc>
          <w:tcPr>
            <w:tcW w:w="2053" w:type="dxa"/>
            <w:shd w:val="clear" w:color="auto" w:fill="auto"/>
            <w:tcMar>
              <w:left w:w="170" w:type="dxa"/>
              <w:right w:w="170" w:type="dxa"/>
            </w:tcMar>
            <w:vAlign w:val="center"/>
          </w:tcPr>
          <w:p w14:paraId="7F25D8B7" w14:textId="77777777" w:rsidR="001625D7" w:rsidRPr="00321F99" w:rsidRDefault="001625D7" w:rsidP="001625D7">
            <w:pPr>
              <w:pStyle w:val="TableNumbering"/>
              <w:spacing w:before="0" w:after="0" w:line="240" w:lineRule="atLeast"/>
              <w:ind w:left="0" w:hanging="397"/>
              <w:rPr>
                <w:rFonts w:ascii="Century Gothic" w:eastAsia="Calibri" w:hAnsi="Century Gothic" w:cs="Calibri"/>
                <w:color w:val="auto"/>
                <w:szCs w:val="18"/>
              </w:rPr>
            </w:pPr>
            <w:r w:rsidRPr="00321F99">
              <w:rPr>
                <w:rFonts w:ascii="Century Gothic" w:hAnsi="Century Gothic" w:cstheme="minorHAnsi"/>
                <w:color w:val="auto"/>
                <w:szCs w:val="18"/>
              </w:rPr>
              <w:t>NIAA to formally participate in 100 per cent of LDM</w:t>
            </w:r>
            <w:r w:rsidRPr="00321F99">
              <w:rPr>
                <w:rFonts w:ascii="Century Gothic" w:hAnsi="Century Gothic"/>
                <w:color w:val="auto"/>
                <w:szCs w:val="18"/>
              </w:rPr>
              <w:t xml:space="preserve"> </w:t>
            </w:r>
            <w:r w:rsidRPr="00321F99">
              <w:rPr>
                <w:rFonts w:ascii="Century Gothic" w:hAnsi="Century Gothic" w:cstheme="minorHAnsi"/>
                <w:color w:val="auto"/>
                <w:szCs w:val="18"/>
              </w:rPr>
              <w:t>sites, where NIAA has been invited to contribute.</w:t>
            </w:r>
          </w:p>
        </w:tc>
        <w:tc>
          <w:tcPr>
            <w:tcW w:w="2054" w:type="dxa"/>
            <w:shd w:val="clear" w:color="auto" w:fill="auto"/>
            <w:tcMar>
              <w:left w:w="170" w:type="dxa"/>
              <w:right w:w="170" w:type="dxa"/>
            </w:tcMar>
            <w:vAlign w:val="center"/>
          </w:tcPr>
          <w:p w14:paraId="69F7F397" w14:textId="77777777" w:rsidR="001625D7" w:rsidRPr="00321F99" w:rsidRDefault="001625D7" w:rsidP="001625D7">
            <w:pPr>
              <w:pStyle w:val="TableNumbering"/>
              <w:spacing w:before="0" w:after="0" w:line="240" w:lineRule="atLeast"/>
              <w:ind w:left="0" w:hanging="397"/>
              <w:rPr>
                <w:rFonts w:ascii="Century Gothic" w:hAnsi="Century Gothic" w:cstheme="minorHAnsi"/>
                <w:color w:val="auto"/>
                <w:szCs w:val="18"/>
              </w:rPr>
            </w:pPr>
            <w:r w:rsidRPr="00321F99">
              <w:rPr>
                <w:rFonts w:ascii="Century Gothic" w:hAnsi="Century Gothic" w:cstheme="minorHAnsi"/>
                <w:color w:val="auto"/>
                <w:szCs w:val="18"/>
              </w:rPr>
              <w:t>NIAA to formally participate in 100 per cent of LDM</w:t>
            </w:r>
            <w:r w:rsidRPr="00321F99">
              <w:rPr>
                <w:rFonts w:ascii="Century Gothic" w:hAnsi="Century Gothic"/>
                <w:color w:val="auto"/>
                <w:szCs w:val="18"/>
              </w:rPr>
              <w:t xml:space="preserve"> </w:t>
            </w:r>
            <w:r w:rsidRPr="00321F99">
              <w:rPr>
                <w:rFonts w:ascii="Century Gothic" w:hAnsi="Century Gothic" w:cstheme="minorHAnsi"/>
                <w:color w:val="auto"/>
                <w:szCs w:val="18"/>
              </w:rPr>
              <w:t>sites, where NIAA has been invited to contribute.</w:t>
            </w:r>
          </w:p>
        </w:tc>
        <w:tc>
          <w:tcPr>
            <w:tcW w:w="1191" w:type="dxa"/>
            <w:vMerge w:val="restart"/>
            <w:tcMar>
              <w:left w:w="170" w:type="dxa"/>
              <w:right w:w="170" w:type="dxa"/>
            </w:tcMar>
            <w:vAlign w:val="center"/>
          </w:tcPr>
          <w:p w14:paraId="6848E5A8" w14:textId="77777777" w:rsidR="001625D7" w:rsidRPr="00321F99" w:rsidRDefault="001625D7" w:rsidP="00525B45">
            <w:pPr>
              <w:pStyle w:val="TableNumbering"/>
              <w:numPr>
                <w:ilvl w:val="0"/>
                <w:numId w:val="0"/>
              </w:numPr>
              <w:spacing w:before="0" w:after="0" w:line="240" w:lineRule="atLeast"/>
              <w:jc w:val="center"/>
              <w:rPr>
                <w:rFonts w:ascii="Century Gothic" w:hAnsi="Century Gothic" w:cstheme="minorHAnsi"/>
                <w:color w:val="auto"/>
                <w:szCs w:val="18"/>
              </w:rPr>
            </w:pPr>
            <w:r w:rsidRPr="00321F99">
              <w:rPr>
                <w:rFonts w:ascii="Century Gothic" w:hAnsi="Century Gothic"/>
                <w:color w:val="auto"/>
                <w:szCs w:val="18"/>
                <w:lang w:eastAsia="en-AU"/>
              </w:rPr>
              <w:t>Program 1.5</w:t>
            </w:r>
          </w:p>
        </w:tc>
      </w:tr>
      <w:tr w:rsidR="001625D7" w:rsidRPr="008C6E24" w14:paraId="4CC271D8" w14:textId="77777777" w:rsidTr="00D747F7">
        <w:trPr>
          <w:trHeight w:val="2399"/>
        </w:trPr>
        <w:tc>
          <w:tcPr>
            <w:tcW w:w="2891" w:type="dxa"/>
            <w:vMerge/>
            <w:tcMar>
              <w:left w:w="170" w:type="dxa"/>
              <w:right w:w="170" w:type="dxa"/>
            </w:tcMar>
            <w:vAlign w:val="center"/>
          </w:tcPr>
          <w:p w14:paraId="2FC99727" w14:textId="77777777" w:rsidR="001625D7" w:rsidRPr="00321F99" w:rsidRDefault="001625D7" w:rsidP="00525B45">
            <w:pPr>
              <w:spacing w:before="0" w:after="0" w:line="240" w:lineRule="atLeast"/>
              <w:rPr>
                <w:rFonts w:ascii="Century Gothic" w:hAnsi="Century Gothic"/>
                <w:b/>
                <w:color w:val="auto"/>
                <w:sz w:val="18"/>
                <w:szCs w:val="18"/>
                <w:lang w:eastAsia="en-AU"/>
              </w:rPr>
            </w:pPr>
          </w:p>
        </w:tc>
        <w:tc>
          <w:tcPr>
            <w:tcW w:w="3798" w:type="dxa"/>
            <w:tcMar>
              <w:left w:w="170" w:type="dxa"/>
              <w:right w:w="170" w:type="dxa"/>
            </w:tcMar>
            <w:vAlign w:val="center"/>
          </w:tcPr>
          <w:p w14:paraId="63B87567" w14:textId="77777777" w:rsidR="001625D7" w:rsidRPr="00321F99" w:rsidRDefault="001625D7" w:rsidP="00525B45">
            <w:pPr>
              <w:pStyle w:val="TableBody"/>
              <w:spacing w:before="0" w:after="0" w:line="240" w:lineRule="atLeast"/>
              <w:rPr>
                <w:rFonts w:ascii="Century Gothic" w:hAnsi="Century Gothic"/>
                <w:color w:val="auto"/>
                <w:szCs w:val="18"/>
                <w:lang w:eastAsia="en-AU"/>
              </w:rPr>
            </w:pPr>
            <w:r w:rsidRPr="00321F99">
              <w:rPr>
                <w:rFonts w:ascii="Century Gothic" w:hAnsi="Century Gothic"/>
                <w:color w:val="auto"/>
                <w:szCs w:val="18"/>
              </w:rPr>
              <w:t>7.2 Improved partnerships with communities through place based practice.</w:t>
            </w:r>
          </w:p>
        </w:tc>
        <w:tc>
          <w:tcPr>
            <w:tcW w:w="2665" w:type="dxa"/>
            <w:tcMar>
              <w:left w:w="170" w:type="dxa"/>
              <w:right w:w="170" w:type="dxa"/>
            </w:tcMar>
            <w:vAlign w:val="center"/>
          </w:tcPr>
          <w:p w14:paraId="367CE023" w14:textId="77777777" w:rsidR="001625D7" w:rsidRPr="00321F99" w:rsidRDefault="001625D7" w:rsidP="00525B45">
            <w:pPr>
              <w:pStyle w:val="TableBody"/>
              <w:spacing w:before="0" w:after="0" w:line="240" w:lineRule="atLeast"/>
              <w:rPr>
                <w:rFonts w:ascii="Century Gothic" w:eastAsia="Calibri" w:hAnsi="Century Gothic" w:cs="Calibri"/>
                <w:color w:val="auto"/>
                <w:szCs w:val="18"/>
              </w:rPr>
            </w:pPr>
            <w:r w:rsidRPr="00321F99">
              <w:rPr>
                <w:rFonts w:ascii="Century Gothic" w:hAnsi="Century Gothic"/>
                <w:color w:val="auto"/>
                <w:szCs w:val="18"/>
              </w:rPr>
              <w:t xml:space="preserve">7.2.1 Development of Place Based Practice Implementation Plans for identified sites in partnership with communities. </w:t>
            </w:r>
          </w:p>
        </w:tc>
        <w:tc>
          <w:tcPr>
            <w:tcW w:w="2438" w:type="dxa"/>
            <w:tcMar>
              <w:left w:w="170" w:type="dxa"/>
              <w:right w:w="170" w:type="dxa"/>
            </w:tcMar>
            <w:vAlign w:val="center"/>
          </w:tcPr>
          <w:p w14:paraId="6FAF71E2" w14:textId="77777777" w:rsidR="001625D7" w:rsidRPr="00321F99" w:rsidRDefault="001625D7" w:rsidP="00525B45">
            <w:pPr>
              <w:pStyle w:val="TableBody"/>
              <w:spacing w:before="0" w:after="0" w:line="240" w:lineRule="atLeast"/>
              <w:rPr>
                <w:rFonts w:ascii="Century Gothic" w:eastAsia="Calibri" w:hAnsi="Century Gothic" w:cs="Calibri"/>
                <w:color w:val="auto"/>
                <w:szCs w:val="18"/>
              </w:rPr>
            </w:pPr>
            <w:r w:rsidRPr="00321F99">
              <w:rPr>
                <w:rFonts w:ascii="Century Gothic" w:hAnsi="Century Gothic"/>
                <w:color w:val="auto"/>
                <w:szCs w:val="18"/>
              </w:rPr>
              <w:t xml:space="preserve">Quantitative assessment of plans implemented </w:t>
            </w:r>
            <w:r w:rsidRPr="00321F99">
              <w:rPr>
                <w:rFonts w:ascii="Century Gothic" w:hAnsi="Century Gothic"/>
                <w:color w:val="auto"/>
                <w:szCs w:val="18"/>
                <w:lang w:eastAsia="en-AU"/>
              </w:rPr>
              <w:t>and qualitative assessment based on case studies from selected sites.</w:t>
            </w:r>
          </w:p>
        </w:tc>
        <w:tc>
          <w:tcPr>
            <w:tcW w:w="2053" w:type="dxa"/>
            <w:tcMar>
              <w:left w:w="170" w:type="dxa"/>
              <w:right w:w="170" w:type="dxa"/>
            </w:tcMar>
            <w:vAlign w:val="center"/>
          </w:tcPr>
          <w:p w14:paraId="38B0DCC5" w14:textId="77777777" w:rsidR="001625D7" w:rsidRPr="00321F99" w:rsidRDefault="001625D7" w:rsidP="00525B45">
            <w:pPr>
              <w:pStyle w:val="TableBody"/>
              <w:spacing w:before="0" w:after="0" w:line="240" w:lineRule="atLeast"/>
              <w:rPr>
                <w:rFonts w:ascii="Century Gothic" w:hAnsi="Century Gothic"/>
                <w:color w:val="auto"/>
                <w:szCs w:val="18"/>
                <w:lang w:eastAsia="en-AU"/>
              </w:rPr>
            </w:pPr>
            <w:r w:rsidRPr="00321F99">
              <w:rPr>
                <w:rFonts w:ascii="Century Gothic" w:hAnsi="Century Gothic"/>
                <w:color w:val="auto"/>
                <w:szCs w:val="18"/>
                <w:lang w:eastAsia="en-AU"/>
              </w:rPr>
              <w:t>50 per cent of plans developed for identified Place Based Practice sites.</w:t>
            </w:r>
          </w:p>
        </w:tc>
        <w:tc>
          <w:tcPr>
            <w:tcW w:w="2054" w:type="dxa"/>
            <w:tcMar>
              <w:left w:w="170" w:type="dxa"/>
              <w:right w:w="170" w:type="dxa"/>
            </w:tcMar>
            <w:vAlign w:val="center"/>
          </w:tcPr>
          <w:p w14:paraId="74123A2B" w14:textId="77777777" w:rsidR="001625D7" w:rsidRPr="00321F99" w:rsidRDefault="001625D7" w:rsidP="00525B45">
            <w:pPr>
              <w:pStyle w:val="TableBullet"/>
              <w:numPr>
                <w:ilvl w:val="0"/>
                <w:numId w:val="0"/>
              </w:numPr>
              <w:spacing w:before="0" w:after="0" w:line="240" w:lineRule="atLeast"/>
              <w:rPr>
                <w:rFonts w:ascii="Century Gothic" w:eastAsia="Calibri" w:hAnsi="Century Gothic" w:cs="Calibri"/>
                <w:color w:val="auto"/>
                <w:szCs w:val="18"/>
              </w:rPr>
            </w:pPr>
            <w:r w:rsidRPr="00321F99">
              <w:rPr>
                <w:rFonts w:ascii="Century Gothic" w:hAnsi="Century Gothic"/>
                <w:color w:val="auto"/>
                <w:szCs w:val="18"/>
                <w:lang w:eastAsia="en-AU"/>
              </w:rPr>
              <w:t>100 per cent of plans developed for identified Place Based Practice sites.</w:t>
            </w:r>
          </w:p>
        </w:tc>
        <w:tc>
          <w:tcPr>
            <w:tcW w:w="2053" w:type="dxa"/>
            <w:tcMar>
              <w:left w:w="170" w:type="dxa"/>
              <w:right w:w="170" w:type="dxa"/>
            </w:tcMar>
            <w:vAlign w:val="center"/>
          </w:tcPr>
          <w:p w14:paraId="7A4E8432" w14:textId="77777777" w:rsidR="001625D7" w:rsidRPr="00321F99" w:rsidRDefault="001625D7" w:rsidP="00525B45">
            <w:pPr>
              <w:pStyle w:val="TableNumbering"/>
              <w:numPr>
                <w:ilvl w:val="0"/>
                <w:numId w:val="0"/>
              </w:numPr>
              <w:spacing w:before="0" w:after="0" w:line="240" w:lineRule="atLeast"/>
              <w:rPr>
                <w:rFonts w:ascii="Century Gothic" w:eastAsia="Calibri" w:hAnsi="Century Gothic" w:cs="Calibri"/>
                <w:color w:val="auto"/>
                <w:szCs w:val="18"/>
              </w:rPr>
            </w:pPr>
            <w:r w:rsidRPr="00321F99">
              <w:rPr>
                <w:rFonts w:ascii="Century Gothic" w:hAnsi="Century Gothic"/>
                <w:color w:val="auto"/>
                <w:szCs w:val="18"/>
                <w:lang w:eastAsia="en-AU"/>
              </w:rPr>
              <w:t>50 per cent of plans developed for identified Place Based Practice sites (phase two).</w:t>
            </w:r>
          </w:p>
        </w:tc>
        <w:tc>
          <w:tcPr>
            <w:tcW w:w="2054" w:type="dxa"/>
            <w:tcMar>
              <w:left w:w="170" w:type="dxa"/>
              <w:right w:w="170" w:type="dxa"/>
            </w:tcMar>
            <w:vAlign w:val="center"/>
          </w:tcPr>
          <w:p w14:paraId="313266AE" w14:textId="77777777" w:rsidR="001625D7" w:rsidRPr="00321F99" w:rsidRDefault="001625D7" w:rsidP="00525B45">
            <w:pPr>
              <w:pStyle w:val="TableNumbering"/>
              <w:numPr>
                <w:ilvl w:val="0"/>
                <w:numId w:val="0"/>
              </w:numPr>
              <w:spacing w:before="0" w:after="0" w:line="240" w:lineRule="atLeast"/>
              <w:rPr>
                <w:rFonts w:ascii="Century Gothic" w:hAnsi="Century Gothic"/>
                <w:color w:val="auto"/>
                <w:szCs w:val="18"/>
                <w:lang w:eastAsia="en-AU"/>
              </w:rPr>
            </w:pPr>
            <w:r w:rsidRPr="00321F99">
              <w:rPr>
                <w:rFonts w:ascii="Century Gothic" w:hAnsi="Century Gothic"/>
                <w:color w:val="auto"/>
                <w:szCs w:val="18"/>
                <w:lang w:eastAsia="en-AU"/>
              </w:rPr>
              <w:t>100 per cent of plans developed for identified Place Based Practice sites</w:t>
            </w:r>
          </w:p>
          <w:p w14:paraId="7599E611" w14:textId="77777777" w:rsidR="001625D7" w:rsidRPr="00321F99" w:rsidRDefault="001625D7" w:rsidP="00525B45">
            <w:pPr>
              <w:pStyle w:val="TableNumbering"/>
              <w:numPr>
                <w:ilvl w:val="0"/>
                <w:numId w:val="0"/>
              </w:numPr>
              <w:spacing w:before="0" w:after="0" w:line="240" w:lineRule="atLeast"/>
              <w:rPr>
                <w:rFonts w:ascii="Century Gothic" w:eastAsia="Calibri" w:hAnsi="Century Gothic" w:cs="Calibri"/>
                <w:color w:val="auto"/>
                <w:szCs w:val="18"/>
              </w:rPr>
            </w:pPr>
            <w:r w:rsidRPr="00321F99">
              <w:rPr>
                <w:rFonts w:ascii="Century Gothic" w:eastAsia="Calibri" w:hAnsi="Century Gothic" w:cs="Calibri"/>
                <w:color w:val="auto"/>
                <w:szCs w:val="18"/>
              </w:rPr>
              <w:t>(phase two).</w:t>
            </w:r>
          </w:p>
        </w:tc>
        <w:tc>
          <w:tcPr>
            <w:tcW w:w="1191" w:type="dxa"/>
            <w:vMerge/>
            <w:tcMar>
              <w:left w:w="170" w:type="dxa"/>
              <w:right w:w="170" w:type="dxa"/>
            </w:tcMar>
            <w:vAlign w:val="center"/>
          </w:tcPr>
          <w:p w14:paraId="2C1C179B" w14:textId="77777777" w:rsidR="001625D7" w:rsidRPr="00321F99" w:rsidRDefault="001625D7" w:rsidP="00525B45">
            <w:pPr>
              <w:pStyle w:val="TableNumbering"/>
              <w:numPr>
                <w:ilvl w:val="0"/>
                <w:numId w:val="0"/>
              </w:numPr>
              <w:spacing w:before="0" w:after="0" w:line="240" w:lineRule="atLeast"/>
              <w:jc w:val="center"/>
              <w:rPr>
                <w:rFonts w:ascii="Century Gothic" w:hAnsi="Century Gothic"/>
                <w:color w:val="auto"/>
                <w:szCs w:val="18"/>
                <w:lang w:eastAsia="en-AU"/>
              </w:rPr>
            </w:pPr>
          </w:p>
        </w:tc>
      </w:tr>
      <w:tr w:rsidR="001625D7" w:rsidRPr="004E5A7E" w14:paraId="71DBEB7B" w14:textId="77777777" w:rsidTr="00D747F7">
        <w:trPr>
          <w:trHeight w:val="350"/>
        </w:trPr>
        <w:tc>
          <w:tcPr>
            <w:tcW w:w="2891" w:type="dxa"/>
            <w:tcMar>
              <w:left w:w="170" w:type="dxa"/>
              <w:right w:w="170" w:type="dxa"/>
            </w:tcMar>
            <w:vAlign w:val="center"/>
          </w:tcPr>
          <w:p w14:paraId="5A9651D2" w14:textId="77777777" w:rsidR="001625D7" w:rsidRPr="00321F99" w:rsidRDefault="001625D7" w:rsidP="00A42487">
            <w:pPr>
              <w:spacing w:after="0" w:line="240" w:lineRule="atLeast"/>
              <w:rPr>
                <w:rFonts w:ascii="Century Gothic" w:hAnsi="Century Gothic"/>
                <w:b/>
                <w:color w:val="auto"/>
                <w:sz w:val="18"/>
                <w:szCs w:val="18"/>
                <w:u w:val="single"/>
              </w:rPr>
            </w:pPr>
            <w:r w:rsidRPr="00321F99">
              <w:rPr>
                <w:rFonts w:ascii="Century Gothic" w:hAnsi="Century Gothic"/>
                <w:b/>
                <w:color w:val="auto"/>
                <w:sz w:val="18"/>
                <w:szCs w:val="18"/>
                <w:u w:val="single"/>
              </w:rPr>
              <w:t>Activity 8</w:t>
            </w:r>
          </w:p>
          <w:p w14:paraId="53CDC3C6" w14:textId="77777777" w:rsidR="001625D7" w:rsidRPr="00321F99" w:rsidRDefault="001625D7" w:rsidP="00A42487">
            <w:pPr>
              <w:spacing w:after="0" w:line="240" w:lineRule="atLeast"/>
              <w:rPr>
                <w:rFonts w:ascii="Century Gothic" w:hAnsi="Century Gothic"/>
                <w:b/>
                <w:color w:val="auto"/>
                <w:sz w:val="18"/>
                <w:szCs w:val="18"/>
              </w:rPr>
            </w:pPr>
            <w:r w:rsidRPr="00321F99">
              <w:rPr>
                <w:rFonts w:ascii="Century Gothic" w:hAnsi="Century Gothic"/>
                <w:b/>
                <w:color w:val="auto"/>
                <w:sz w:val="18"/>
                <w:szCs w:val="18"/>
              </w:rPr>
              <w:t>Delivering the Indigenous Advancement Strategy (IAS) in partnership with Indigenous communities.</w:t>
            </w:r>
          </w:p>
        </w:tc>
        <w:tc>
          <w:tcPr>
            <w:tcW w:w="3798" w:type="dxa"/>
            <w:shd w:val="clear" w:color="auto" w:fill="auto"/>
            <w:tcMar>
              <w:left w:w="170" w:type="dxa"/>
              <w:right w:w="170" w:type="dxa"/>
            </w:tcMar>
            <w:vAlign w:val="center"/>
          </w:tcPr>
          <w:p w14:paraId="17DC5EA5" w14:textId="77777777" w:rsidR="001625D7" w:rsidRPr="00321F99" w:rsidRDefault="001625D7" w:rsidP="00A42487">
            <w:pPr>
              <w:spacing w:after="0" w:line="240" w:lineRule="atLeast"/>
              <w:rPr>
                <w:rFonts w:ascii="Century Gothic" w:eastAsia="Times New Roman" w:hAnsi="Century Gothic" w:cs="Arial"/>
                <w:color w:val="auto"/>
                <w:sz w:val="18"/>
                <w:szCs w:val="18"/>
                <w:lang w:eastAsia="en-AU"/>
              </w:rPr>
            </w:pPr>
            <w:r w:rsidRPr="00321F99">
              <w:rPr>
                <w:rFonts w:ascii="Century Gothic" w:hAnsi="Century Gothic" w:cstheme="minorHAnsi"/>
                <w:color w:val="auto"/>
                <w:sz w:val="18"/>
                <w:szCs w:val="18"/>
              </w:rPr>
              <w:t>8.1 Improved results for Indigenous Australians by supporting the effective delivery of services and programs under the IAS.</w:t>
            </w:r>
          </w:p>
        </w:tc>
        <w:tc>
          <w:tcPr>
            <w:tcW w:w="2665" w:type="dxa"/>
            <w:shd w:val="clear" w:color="auto" w:fill="auto"/>
            <w:tcMar>
              <w:left w:w="170" w:type="dxa"/>
              <w:right w:w="170" w:type="dxa"/>
            </w:tcMar>
            <w:vAlign w:val="center"/>
          </w:tcPr>
          <w:p w14:paraId="7C27A000" w14:textId="77777777" w:rsidR="001625D7" w:rsidRPr="00321F99" w:rsidRDefault="001625D7" w:rsidP="00F75FC7">
            <w:pPr>
              <w:pStyle w:val="TableBody"/>
              <w:spacing w:before="0" w:after="0" w:line="240" w:lineRule="atLeast"/>
              <w:rPr>
                <w:rFonts w:ascii="Century Gothic" w:hAnsi="Century Gothic"/>
                <w:color w:val="auto"/>
                <w:szCs w:val="18"/>
              </w:rPr>
            </w:pPr>
            <w:r w:rsidRPr="00321F99">
              <w:rPr>
                <w:rFonts w:ascii="Century Gothic" w:hAnsi="Century Gothic"/>
                <w:color w:val="auto"/>
                <w:szCs w:val="18"/>
              </w:rPr>
              <w:t>8.1.1 Proportion of IAS Program activities that are assessed by NIAA Agreement Managers as having core service delivery elements which meet or exceed requirements.</w:t>
            </w:r>
          </w:p>
        </w:tc>
        <w:tc>
          <w:tcPr>
            <w:tcW w:w="2438" w:type="dxa"/>
            <w:shd w:val="clear" w:color="auto" w:fill="auto"/>
            <w:tcMar>
              <w:left w:w="170" w:type="dxa"/>
              <w:right w:w="170" w:type="dxa"/>
            </w:tcMar>
            <w:vAlign w:val="center"/>
          </w:tcPr>
          <w:p w14:paraId="17322BD2" w14:textId="77777777" w:rsidR="001625D7" w:rsidRPr="00321F99" w:rsidRDefault="001625D7" w:rsidP="00A42487">
            <w:pPr>
              <w:pStyle w:val="TableBody"/>
              <w:spacing w:before="0" w:after="0" w:line="240" w:lineRule="atLeast"/>
              <w:rPr>
                <w:rFonts w:ascii="Century Gothic" w:hAnsi="Century Gothic"/>
                <w:color w:val="auto"/>
                <w:szCs w:val="18"/>
              </w:rPr>
            </w:pPr>
            <w:r w:rsidRPr="00321F99">
              <w:rPr>
                <w:rFonts w:ascii="Century Gothic" w:hAnsi="Century Gothic"/>
                <w:color w:val="auto"/>
                <w:szCs w:val="18"/>
              </w:rPr>
              <w:t>Quantitative</w:t>
            </w:r>
            <w:r w:rsidRPr="00321F99">
              <w:rPr>
                <w:rFonts w:ascii="Century Gothic" w:hAnsi="Century Gothic" w:cstheme="minorHAnsi"/>
                <w:color w:val="auto"/>
                <w:szCs w:val="18"/>
              </w:rPr>
              <w:t xml:space="preserve"> assessment of IAS core service delivery KPIs</w:t>
            </w:r>
          </w:p>
        </w:tc>
        <w:tc>
          <w:tcPr>
            <w:tcW w:w="2053" w:type="dxa"/>
            <w:shd w:val="clear" w:color="auto" w:fill="auto"/>
            <w:tcMar>
              <w:left w:w="170" w:type="dxa"/>
              <w:right w:w="170" w:type="dxa"/>
            </w:tcMar>
            <w:vAlign w:val="center"/>
          </w:tcPr>
          <w:p w14:paraId="7AC7C8AA" w14:textId="77777777" w:rsidR="001625D7" w:rsidRPr="00321F99" w:rsidRDefault="001625D7" w:rsidP="00A42487">
            <w:pPr>
              <w:pStyle w:val="TableBody"/>
              <w:spacing w:after="0" w:line="240" w:lineRule="atLeast"/>
              <w:rPr>
                <w:rFonts w:ascii="Century Gothic" w:hAnsi="Century Gothic" w:cstheme="minorHAnsi"/>
                <w:color w:val="auto"/>
                <w:szCs w:val="18"/>
              </w:rPr>
            </w:pPr>
            <w:r w:rsidRPr="00321F99">
              <w:rPr>
                <w:rFonts w:ascii="Century Gothic" w:hAnsi="Century Gothic" w:cstheme="minorHAnsi"/>
                <w:color w:val="auto"/>
                <w:szCs w:val="18"/>
              </w:rPr>
              <w:t xml:space="preserve">90 per cent </w:t>
            </w:r>
            <w:r w:rsidRPr="00321F99">
              <w:rPr>
                <w:rFonts w:ascii="Century Gothic" w:hAnsi="Century Gothic"/>
                <w:color w:val="auto"/>
                <w:szCs w:val="18"/>
              </w:rPr>
              <w:t>of IAS activities are assessed as having core service delivery which met or exceeded requirements</w:t>
            </w:r>
          </w:p>
        </w:tc>
        <w:tc>
          <w:tcPr>
            <w:tcW w:w="2054" w:type="dxa"/>
            <w:shd w:val="clear" w:color="auto" w:fill="auto"/>
            <w:tcMar>
              <w:left w:w="170" w:type="dxa"/>
              <w:right w:w="170" w:type="dxa"/>
            </w:tcMar>
            <w:vAlign w:val="center"/>
          </w:tcPr>
          <w:p w14:paraId="5D6A167F" w14:textId="77777777" w:rsidR="001625D7" w:rsidRPr="00321F99" w:rsidRDefault="001625D7" w:rsidP="00A42487">
            <w:pPr>
              <w:pStyle w:val="TableBullet"/>
              <w:numPr>
                <w:ilvl w:val="0"/>
                <w:numId w:val="0"/>
              </w:numPr>
              <w:spacing w:before="0" w:after="0" w:line="240" w:lineRule="atLeast"/>
              <w:rPr>
                <w:rFonts w:ascii="Century Gothic" w:hAnsi="Century Gothic" w:cstheme="minorHAnsi"/>
                <w:color w:val="auto"/>
                <w:szCs w:val="18"/>
              </w:rPr>
            </w:pPr>
            <w:r w:rsidRPr="00321F99">
              <w:rPr>
                <w:rFonts w:ascii="Century Gothic" w:hAnsi="Century Gothic" w:cstheme="minorHAnsi"/>
                <w:color w:val="auto"/>
                <w:szCs w:val="18"/>
              </w:rPr>
              <w:t xml:space="preserve">90 per cent </w:t>
            </w:r>
            <w:r w:rsidRPr="00321F99">
              <w:rPr>
                <w:rFonts w:ascii="Century Gothic" w:hAnsi="Century Gothic"/>
                <w:color w:val="auto"/>
                <w:szCs w:val="18"/>
              </w:rPr>
              <w:t>of IAS activities are assessed as having core service delivery which met or exceeded requirements.</w:t>
            </w:r>
          </w:p>
        </w:tc>
        <w:tc>
          <w:tcPr>
            <w:tcW w:w="2053" w:type="dxa"/>
            <w:shd w:val="clear" w:color="auto" w:fill="auto"/>
            <w:tcMar>
              <w:left w:w="170" w:type="dxa"/>
              <w:right w:w="170" w:type="dxa"/>
            </w:tcMar>
            <w:vAlign w:val="center"/>
          </w:tcPr>
          <w:p w14:paraId="49EDDFFA" w14:textId="77777777" w:rsidR="001625D7" w:rsidRPr="00321F99" w:rsidRDefault="001625D7" w:rsidP="00A42487">
            <w:pPr>
              <w:pStyle w:val="TableNumbering"/>
              <w:numPr>
                <w:ilvl w:val="0"/>
                <w:numId w:val="0"/>
              </w:numPr>
              <w:spacing w:before="0" w:after="0" w:line="240" w:lineRule="atLeast"/>
              <w:rPr>
                <w:rFonts w:ascii="Century Gothic" w:hAnsi="Century Gothic" w:cstheme="minorHAnsi"/>
                <w:color w:val="auto"/>
                <w:szCs w:val="18"/>
              </w:rPr>
            </w:pPr>
            <w:r w:rsidRPr="00321F99">
              <w:rPr>
                <w:rFonts w:ascii="Century Gothic" w:hAnsi="Century Gothic" w:cstheme="minorHAnsi"/>
                <w:color w:val="auto"/>
                <w:szCs w:val="18"/>
              </w:rPr>
              <w:t xml:space="preserve">90 per cent </w:t>
            </w:r>
            <w:r w:rsidRPr="00321F99">
              <w:rPr>
                <w:rFonts w:ascii="Century Gothic" w:hAnsi="Century Gothic"/>
                <w:color w:val="auto"/>
                <w:szCs w:val="18"/>
              </w:rPr>
              <w:t>of IAS activities are assessed as having core service delivery which met or exceeded requirements.</w:t>
            </w:r>
          </w:p>
        </w:tc>
        <w:tc>
          <w:tcPr>
            <w:tcW w:w="2054" w:type="dxa"/>
            <w:shd w:val="clear" w:color="auto" w:fill="auto"/>
            <w:tcMar>
              <w:left w:w="170" w:type="dxa"/>
              <w:right w:w="170" w:type="dxa"/>
            </w:tcMar>
            <w:vAlign w:val="center"/>
          </w:tcPr>
          <w:p w14:paraId="45B64B7E" w14:textId="77777777" w:rsidR="001625D7" w:rsidRPr="00321F99" w:rsidRDefault="001625D7" w:rsidP="00A42487">
            <w:pPr>
              <w:pStyle w:val="TableNumbering"/>
              <w:numPr>
                <w:ilvl w:val="0"/>
                <w:numId w:val="0"/>
              </w:numPr>
              <w:spacing w:before="0" w:after="0" w:line="240" w:lineRule="atLeast"/>
              <w:rPr>
                <w:rFonts w:ascii="Century Gothic" w:hAnsi="Century Gothic" w:cstheme="minorHAnsi"/>
                <w:color w:val="auto"/>
                <w:szCs w:val="18"/>
              </w:rPr>
            </w:pPr>
            <w:r w:rsidRPr="00321F99">
              <w:rPr>
                <w:rFonts w:ascii="Century Gothic" w:hAnsi="Century Gothic" w:cstheme="minorHAnsi"/>
                <w:color w:val="auto"/>
                <w:szCs w:val="18"/>
              </w:rPr>
              <w:t xml:space="preserve">90 per cent </w:t>
            </w:r>
            <w:r w:rsidRPr="00321F99">
              <w:rPr>
                <w:rFonts w:ascii="Century Gothic" w:hAnsi="Century Gothic"/>
                <w:color w:val="auto"/>
                <w:szCs w:val="18"/>
              </w:rPr>
              <w:t>of IAS activities are assessed as having core service delivery which met or exceeded requirements.</w:t>
            </w:r>
          </w:p>
        </w:tc>
        <w:tc>
          <w:tcPr>
            <w:tcW w:w="1191" w:type="dxa"/>
            <w:tcMar>
              <w:left w:w="170" w:type="dxa"/>
              <w:right w:w="170" w:type="dxa"/>
            </w:tcMar>
            <w:vAlign w:val="center"/>
          </w:tcPr>
          <w:p w14:paraId="7D7AFA29" w14:textId="77777777" w:rsidR="001625D7" w:rsidRPr="00321F99" w:rsidRDefault="001625D7" w:rsidP="00AB7E91">
            <w:pPr>
              <w:pStyle w:val="TableNumbering"/>
              <w:numPr>
                <w:ilvl w:val="0"/>
                <w:numId w:val="0"/>
              </w:numPr>
              <w:spacing w:before="0" w:after="0" w:line="240" w:lineRule="atLeast"/>
              <w:jc w:val="center"/>
              <w:rPr>
                <w:rFonts w:ascii="Century Gothic" w:hAnsi="Century Gothic" w:cstheme="minorHAnsi"/>
                <w:color w:val="auto"/>
                <w:szCs w:val="18"/>
              </w:rPr>
            </w:pPr>
            <w:r w:rsidRPr="00321F99">
              <w:rPr>
                <w:rFonts w:ascii="Century Gothic" w:hAnsi="Century Gothic"/>
                <w:color w:val="auto"/>
                <w:szCs w:val="18"/>
                <w:lang w:eastAsia="en-AU"/>
              </w:rPr>
              <w:t>Programs 1.1 to 1.5</w:t>
            </w:r>
          </w:p>
        </w:tc>
      </w:tr>
      <w:tr w:rsidR="001625D7" w:rsidRPr="008C6E24" w14:paraId="25880F28" w14:textId="77777777" w:rsidTr="00D747F7">
        <w:trPr>
          <w:trHeight w:val="350"/>
        </w:trPr>
        <w:tc>
          <w:tcPr>
            <w:tcW w:w="2891" w:type="dxa"/>
            <w:vMerge w:val="restart"/>
            <w:tcMar>
              <w:left w:w="170" w:type="dxa"/>
              <w:right w:w="170" w:type="dxa"/>
            </w:tcMar>
            <w:vAlign w:val="center"/>
          </w:tcPr>
          <w:p w14:paraId="1CE5BFCD" w14:textId="77777777" w:rsidR="001625D7" w:rsidRPr="00321F99" w:rsidRDefault="001625D7" w:rsidP="00A42487">
            <w:pPr>
              <w:spacing w:before="0" w:after="0" w:line="240" w:lineRule="atLeast"/>
              <w:rPr>
                <w:rFonts w:ascii="Century Gothic" w:hAnsi="Century Gothic"/>
                <w:b/>
                <w:color w:val="auto"/>
                <w:sz w:val="18"/>
                <w:szCs w:val="18"/>
              </w:rPr>
            </w:pPr>
            <w:r w:rsidRPr="00321F99">
              <w:rPr>
                <w:rFonts w:ascii="Century Gothic" w:hAnsi="Century Gothic"/>
                <w:b/>
                <w:color w:val="auto"/>
                <w:sz w:val="18"/>
                <w:szCs w:val="18"/>
                <w:u w:val="single"/>
              </w:rPr>
              <w:t>Activity 9</w:t>
            </w:r>
            <w:r w:rsidRPr="00321F99">
              <w:rPr>
                <w:rFonts w:ascii="Century Gothic" w:hAnsi="Century Gothic"/>
                <w:b/>
                <w:color w:val="auto"/>
                <w:sz w:val="18"/>
                <w:szCs w:val="18"/>
              </w:rPr>
              <w:t xml:space="preserve"> </w:t>
            </w:r>
          </w:p>
          <w:p w14:paraId="34FBE787" w14:textId="77777777" w:rsidR="001625D7" w:rsidRPr="00321F99" w:rsidRDefault="001625D7" w:rsidP="00DA2DC8">
            <w:pPr>
              <w:spacing w:before="0" w:after="0" w:line="240" w:lineRule="atLeast"/>
              <w:rPr>
                <w:rFonts w:ascii="Century Gothic" w:hAnsi="Century Gothic"/>
                <w:b/>
                <w:sz w:val="18"/>
                <w:szCs w:val="18"/>
                <w:lang w:eastAsia="en-AU"/>
              </w:rPr>
            </w:pPr>
            <w:r w:rsidRPr="00321F99">
              <w:rPr>
                <w:rFonts w:ascii="Century Gothic" w:hAnsi="Century Gothic"/>
                <w:b/>
                <w:color w:val="auto"/>
                <w:sz w:val="18"/>
                <w:szCs w:val="18"/>
              </w:rPr>
              <w:t>Undertaking evaluations of National Indigenous Australian Agency programs in line with the IAS Evaluation Framework and incorporating evaluations into policies and programs delivered by the NIAA.</w:t>
            </w:r>
          </w:p>
        </w:tc>
        <w:tc>
          <w:tcPr>
            <w:tcW w:w="3798" w:type="dxa"/>
            <w:shd w:val="clear" w:color="auto" w:fill="auto"/>
            <w:tcMar>
              <w:left w:w="170" w:type="dxa"/>
              <w:right w:w="170" w:type="dxa"/>
            </w:tcMar>
            <w:vAlign w:val="center"/>
          </w:tcPr>
          <w:p w14:paraId="3EEDE788" w14:textId="77777777" w:rsidR="001625D7" w:rsidRPr="00321F99" w:rsidRDefault="001625D7" w:rsidP="00A42487">
            <w:pPr>
              <w:spacing w:before="0" w:after="0" w:line="240" w:lineRule="atLeast"/>
              <w:rPr>
                <w:rFonts w:ascii="Century Gothic" w:eastAsia="Times New Roman" w:hAnsi="Century Gothic" w:cs="Arial"/>
                <w:color w:val="auto"/>
                <w:sz w:val="18"/>
                <w:szCs w:val="18"/>
                <w:lang w:eastAsia="en-AU"/>
              </w:rPr>
            </w:pPr>
            <w:r w:rsidRPr="00321F99">
              <w:rPr>
                <w:rFonts w:ascii="Century Gothic" w:eastAsia="Times New Roman" w:hAnsi="Century Gothic" w:cs="Arial"/>
                <w:color w:val="auto"/>
                <w:sz w:val="18"/>
                <w:szCs w:val="18"/>
                <w:lang w:eastAsia="en-AU"/>
              </w:rPr>
              <w:t>9.1 Evaluation efforts were prioritised based on significance, contribution and policy risk as per the IAS Evaluation Framework</w:t>
            </w:r>
          </w:p>
        </w:tc>
        <w:tc>
          <w:tcPr>
            <w:tcW w:w="2665" w:type="dxa"/>
            <w:shd w:val="clear" w:color="auto" w:fill="auto"/>
            <w:tcMar>
              <w:left w:w="170" w:type="dxa"/>
              <w:right w:w="170" w:type="dxa"/>
            </w:tcMar>
            <w:vAlign w:val="center"/>
          </w:tcPr>
          <w:p w14:paraId="47D81CCE" w14:textId="77777777" w:rsidR="001625D7" w:rsidRPr="00321F99" w:rsidRDefault="001625D7" w:rsidP="00A42487">
            <w:pPr>
              <w:pStyle w:val="TableBody"/>
              <w:spacing w:before="0" w:after="0" w:line="240" w:lineRule="atLeast"/>
              <w:rPr>
                <w:rFonts w:ascii="Century Gothic" w:eastAsia="Calibri" w:hAnsi="Century Gothic" w:cs="Calibri"/>
                <w:color w:val="auto"/>
                <w:szCs w:val="18"/>
              </w:rPr>
            </w:pPr>
            <w:r w:rsidRPr="00321F99">
              <w:rPr>
                <w:rFonts w:ascii="Century Gothic" w:hAnsi="Century Gothic"/>
                <w:color w:val="auto"/>
                <w:szCs w:val="18"/>
              </w:rPr>
              <w:t>9.1.1 Publish an annual evaluation work plan taking into account the prioritisation criteria outlined in the NIAA Evaluation Framework.</w:t>
            </w:r>
          </w:p>
        </w:tc>
        <w:tc>
          <w:tcPr>
            <w:tcW w:w="2438" w:type="dxa"/>
            <w:shd w:val="clear" w:color="auto" w:fill="auto"/>
            <w:tcMar>
              <w:left w:w="170" w:type="dxa"/>
              <w:right w:w="170" w:type="dxa"/>
            </w:tcMar>
            <w:vAlign w:val="center"/>
          </w:tcPr>
          <w:p w14:paraId="48D5E0DA" w14:textId="77777777" w:rsidR="001625D7" w:rsidRPr="00321F99" w:rsidRDefault="001625D7" w:rsidP="00A42487">
            <w:pPr>
              <w:pStyle w:val="TableBody"/>
              <w:spacing w:before="0" w:after="0" w:line="240" w:lineRule="atLeast"/>
              <w:rPr>
                <w:rFonts w:ascii="Century Gothic" w:eastAsia="Calibri" w:hAnsi="Century Gothic" w:cs="Calibri"/>
                <w:szCs w:val="18"/>
              </w:rPr>
            </w:pPr>
            <w:r w:rsidRPr="00321F99">
              <w:rPr>
                <w:rFonts w:ascii="Century Gothic" w:hAnsi="Century Gothic"/>
                <w:color w:val="auto"/>
                <w:szCs w:val="18"/>
              </w:rPr>
              <w:t>Quantitative assessment against timeline.</w:t>
            </w:r>
          </w:p>
        </w:tc>
        <w:tc>
          <w:tcPr>
            <w:tcW w:w="2053" w:type="dxa"/>
            <w:shd w:val="clear" w:color="auto" w:fill="auto"/>
            <w:tcMar>
              <w:left w:w="170" w:type="dxa"/>
              <w:right w:w="170" w:type="dxa"/>
            </w:tcMar>
            <w:vAlign w:val="center"/>
          </w:tcPr>
          <w:p w14:paraId="501FF91D" w14:textId="77777777" w:rsidR="001625D7" w:rsidRPr="00321F99" w:rsidRDefault="001625D7" w:rsidP="00A42487">
            <w:pPr>
              <w:pStyle w:val="TableBody"/>
              <w:spacing w:after="0" w:line="240" w:lineRule="atLeast"/>
              <w:rPr>
                <w:rFonts w:ascii="Century Gothic" w:hAnsi="Century Gothic"/>
                <w:szCs w:val="18"/>
                <w:lang w:eastAsia="en-AU"/>
              </w:rPr>
            </w:pPr>
            <w:r w:rsidRPr="00321F99">
              <w:rPr>
                <w:rFonts w:ascii="Century Gothic" w:hAnsi="Century Gothic" w:cstheme="minorHAnsi"/>
                <w:color w:val="auto"/>
                <w:szCs w:val="18"/>
              </w:rPr>
              <w:t>September 2020</w:t>
            </w:r>
          </w:p>
        </w:tc>
        <w:tc>
          <w:tcPr>
            <w:tcW w:w="2054" w:type="dxa"/>
            <w:shd w:val="clear" w:color="auto" w:fill="auto"/>
            <w:tcMar>
              <w:left w:w="170" w:type="dxa"/>
              <w:right w:w="170" w:type="dxa"/>
            </w:tcMar>
            <w:vAlign w:val="center"/>
          </w:tcPr>
          <w:p w14:paraId="75A4B947" w14:textId="77777777" w:rsidR="001625D7" w:rsidRPr="00321F99" w:rsidRDefault="001625D7" w:rsidP="00A42487">
            <w:pPr>
              <w:pStyle w:val="TableBullet"/>
              <w:numPr>
                <w:ilvl w:val="0"/>
                <w:numId w:val="0"/>
              </w:numPr>
              <w:spacing w:before="0" w:after="0" w:line="240" w:lineRule="atLeast"/>
              <w:rPr>
                <w:rFonts w:ascii="Century Gothic" w:eastAsia="Calibri" w:hAnsi="Century Gothic" w:cs="Calibri"/>
                <w:szCs w:val="18"/>
              </w:rPr>
            </w:pPr>
            <w:r w:rsidRPr="00321F99">
              <w:rPr>
                <w:rFonts w:ascii="Century Gothic" w:hAnsi="Century Gothic" w:cstheme="minorHAnsi"/>
                <w:color w:val="auto"/>
                <w:szCs w:val="18"/>
              </w:rPr>
              <w:t>September 2021</w:t>
            </w:r>
          </w:p>
        </w:tc>
        <w:tc>
          <w:tcPr>
            <w:tcW w:w="2053" w:type="dxa"/>
            <w:shd w:val="clear" w:color="auto" w:fill="auto"/>
            <w:tcMar>
              <w:left w:w="170" w:type="dxa"/>
              <w:right w:w="170" w:type="dxa"/>
            </w:tcMar>
            <w:vAlign w:val="center"/>
          </w:tcPr>
          <w:p w14:paraId="4B64E0A3" w14:textId="77777777" w:rsidR="001625D7" w:rsidRPr="00321F99" w:rsidRDefault="001625D7" w:rsidP="00A42487">
            <w:pPr>
              <w:pStyle w:val="TableNumbering"/>
              <w:numPr>
                <w:ilvl w:val="0"/>
                <w:numId w:val="0"/>
              </w:numPr>
              <w:spacing w:before="0" w:after="0" w:line="240" w:lineRule="atLeast"/>
              <w:rPr>
                <w:rFonts w:ascii="Century Gothic" w:eastAsia="Calibri" w:hAnsi="Century Gothic" w:cs="Calibri"/>
                <w:szCs w:val="18"/>
              </w:rPr>
            </w:pPr>
            <w:r w:rsidRPr="00321F99">
              <w:rPr>
                <w:rFonts w:ascii="Century Gothic" w:hAnsi="Century Gothic" w:cstheme="minorHAnsi"/>
                <w:color w:val="auto"/>
                <w:szCs w:val="18"/>
              </w:rPr>
              <w:t>September 2022</w:t>
            </w:r>
          </w:p>
        </w:tc>
        <w:tc>
          <w:tcPr>
            <w:tcW w:w="2054" w:type="dxa"/>
            <w:shd w:val="clear" w:color="auto" w:fill="auto"/>
            <w:tcMar>
              <w:left w:w="170" w:type="dxa"/>
              <w:right w:w="170" w:type="dxa"/>
            </w:tcMar>
            <w:vAlign w:val="center"/>
          </w:tcPr>
          <w:p w14:paraId="780AB330" w14:textId="77777777" w:rsidR="001625D7" w:rsidRPr="00321F99" w:rsidRDefault="001625D7" w:rsidP="00A42487">
            <w:pPr>
              <w:pStyle w:val="TableNumbering"/>
              <w:numPr>
                <w:ilvl w:val="0"/>
                <w:numId w:val="0"/>
              </w:numPr>
              <w:spacing w:before="0" w:after="0" w:line="240" w:lineRule="atLeast"/>
              <w:rPr>
                <w:rFonts w:ascii="Century Gothic" w:eastAsia="Calibri" w:hAnsi="Century Gothic" w:cs="Calibri"/>
                <w:szCs w:val="18"/>
              </w:rPr>
            </w:pPr>
            <w:r w:rsidRPr="00321F99">
              <w:rPr>
                <w:rFonts w:ascii="Century Gothic" w:hAnsi="Century Gothic" w:cstheme="minorHAnsi"/>
                <w:color w:val="auto"/>
                <w:szCs w:val="18"/>
              </w:rPr>
              <w:t>September 2023</w:t>
            </w:r>
          </w:p>
        </w:tc>
        <w:tc>
          <w:tcPr>
            <w:tcW w:w="1191" w:type="dxa"/>
            <w:vMerge w:val="restart"/>
            <w:tcMar>
              <w:left w:w="170" w:type="dxa"/>
              <w:right w:w="170" w:type="dxa"/>
            </w:tcMar>
            <w:vAlign w:val="center"/>
          </w:tcPr>
          <w:p w14:paraId="4D8940CE" w14:textId="77777777" w:rsidR="001625D7" w:rsidRPr="00321F99" w:rsidRDefault="001625D7" w:rsidP="00A42487">
            <w:pPr>
              <w:pStyle w:val="TableNumbering"/>
              <w:numPr>
                <w:ilvl w:val="0"/>
                <w:numId w:val="0"/>
              </w:numPr>
              <w:spacing w:before="0" w:after="0" w:line="240" w:lineRule="atLeast"/>
              <w:jc w:val="center"/>
              <w:rPr>
                <w:rFonts w:ascii="Century Gothic" w:hAnsi="Century Gothic" w:cstheme="minorHAnsi"/>
                <w:color w:val="auto"/>
                <w:szCs w:val="18"/>
              </w:rPr>
            </w:pPr>
            <w:r w:rsidRPr="00321F99">
              <w:rPr>
                <w:rFonts w:ascii="Century Gothic" w:hAnsi="Century Gothic" w:cstheme="minorHAnsi"/>
                <w:color w:val="auto"/>
                <w:szCs w:val="18"/>
              </w:rPr>
              <w:t>Program 1.6</w:t>
            </w:r>
          </w:p>
        </w:tc>
      </w:tr>
      <w:tr w:rsidR="001625D7" w:rsidRPr="008C6E24" w14:paraId="5F687BA2" w14:textId="77777777" w:rsidTr="00D747F7">
        <w:trPr>
          <w:trHeight w:val="1730"/>
        </w:trPr>
        <w:tc>
          <w:tcPr>
            <w:tcW w:w="2891" w:type="dxa"/>
            <w:vMerge/>
            <w:tcMar>
              <w:left w:w="170" w:type="dxa"/>
              <w:right w:w="170" w:type="dxa"/>
            </w:tcMar>
            <w:vAlign w:val="center"/>
          </w:tcPr>
          <w:p w14:paraId="6FBA2FB8" w14:textId="77777777" w:rsidR="001625D7" w:rsidRPr="005807D2" w:rsidRDefault="001625D7" w:rsidP="00A42487">
            <w:pPr>
              <w:spacing w:before="0" w:after="0" w:line="240" w:lineRule="atLeast"/>
              <w:rPr>
                <w:rFonts w:asciiTheme="majorHAnsi" w:hAnsiTheme="majorHAnsi"/>
                <w:b/>
                <w:sz w:val="18"/>
                <w:szCs w:val="18"/>
                <w:lang w:eastAsia="en-AU"/>
              </w:rPr>
            </w:pPr>
          </w:p>
        </w:tc>
        <w:tc>
          <w:tcPr>
            <w:tcW w:w="3798" w:type="dxa"/>
            <w:shd w:val="clear" w:color="auto" w:fill="auto"/>
            <w:tcMar>
              <w:left w:w="170" w:type="dxa"/>
              <w:right w:w="170" w:type="dxa"/>
            </w:tcMar>
            <w:vAlign w:val="center"/>
          </w:tcPr>
          <w:p w14:paraId="54C59CE7" w14:textId="77777777" w:rsidR="001625D7" w:rsidRPr="005807D2" w:rsidRDefault="001625D7" w:rsidP="00A42487">
            <w:pPr>
              <w:spacing w:before="0" w:after="0" w:line="240" w:lineRule="atLeast"/>
              <w:rPr>
                <w:rFonts w:asciiTheme="majorHAnsi" w:eastAsia="Times New Roman" w:hAnsiTheme="majorHAnsi" w:cs="Arial"/>
                <w:color w:val="auto"/>
                <w:sz w:val="18"/>
                <w:szCs w:val="18"/>
                <w:lang w:eastAsia="en-AU"/>
              </w:rPr>
            </w:pPr>
            <w:r>
              <w:rPr>
                <w:rFonts w:asciiTheme="majorHAnsi" w:eastAsia="Times New Roman" w:hAnsiTheme="majorHAnsi" w:cs="Arial"/>
                <w:color w:val="auto"/>
                <w:sz w:val="18"/>
                <w:szCs w:val="18"/>
                <w:lang w:eastAsia="en-AU"/>
              </w:rPr>
              <w:t>9</w:t>
            </w:r>
            <w:r w:rsidRPr="005807D2">
              <w:rPr>
                <w:rFonts w:asciiTheme="majorHAnsi" w:eastAsia="Times New Roman" w:hAnsiTheme="majorHAnsi" w:cs="Arial"/>
                <w:color w:val="auto"/>
                <w:sz w:val="18"/>
                <w:szCs w:val="18"/>
                <w:lang w:eastAsia="en-AU"/>
              </w:rPr>
              <w:t>.2 Evaluations informed decision making on policy and programs.</w:t>
            </w:r>
          </w:p>
        </w:tc>
        <w:tc>
          <w:tcPr>
            <w:tcW w:w="2665" w:type="dxa"/>
            <w:shd w:val="clear" w:color="auto" w:fill="auto"/>
            <w:tcMar>
              <w:left w:w="170" w:type="dxa"/>
              <w:right w:w="170" w:type="dxa"/>
            </w:tcMar>
            <w:vAlign w:val="center"/>
          </w:tcPr>
          <w:p w14:paraId="3C213BE2" w14:textId="77777777" w:rsidR="001625D7" w:rsidRPr="005807D2" w:rsidRDefault="001625D7" w:rsidP="00A42487">
            <w:pPr>
              <w:pStyle w:val="TableBody"/>
              <w:spacing w:before="0" w:after="0" w:line="240" w:lineRule="atLeast"/>
              <w:rPr>
                <w:rFonts w:asciiTheme="majorHAnsi" w:eastAsia="Calibri" w:hAnsiTheme="majorHAnsi" w:cs="Calibri"/>
                <w:color w:val="auto"/>
                <w:szCs w:val="18"/>
              </w:rPr>
            </w:pPr>
            <w:r>
              <w:rPr>
                <w:rFonts w:asciiTheme="majorHAnsi" w:hAnsiTheme="majorHAnsi"/>
                <w:color w:val="auto"/>
                <w:szCs w:val="18"/>
              </w:rPr>
              <w:t>9</w:t>
            </w:r>
            <w:r w:rsidRPr="005807D2">
              <w:rPr>
                <w:rFonts w:asciiTheme="majorHAnsi" w:hAnsiTheme="majorHAnsi"/>
                <w:color w:val="auto"/>
                <w:szCs w:val="18"/>
              </w:rPr>
              <w:t>.2.1 Proportion of evaluations that contribute to improved policy/program, design and delivery.</w:t>
            </w:r>
          </w:p>
        </w:tc>
        <w:tc>
          <w:tcPr>
            <w:tcW w:w="2438" w:type="dxa"/>
            <w:shd w:val="clear" w:color="auto" w:fill="auto"/>
            <w:tcMar>
              <w:left w:w="170" w:type="dxa"/>
              <w:right w:w="170" w:type="dxa"/>
            </w:tcMar>
            <w:vAlign w:val="center"/>
          </w:tcPr>
          <w:p w14:paraId="62033181" w14:textId="77777777" w:rsidR="001625D7" w:rsidRPr="005807D2" w:rsidRDefault="001625D7" w:rsidP="00A42487">
            <w:pPr>
              <w:pStyle w:val="TableBody"/>
              <w:spacing w:before="0" w:after="0" w:line="240" w:lineRule="auto"/>
              <w:rPr>
                <w:rFonts w:asciiTheme="majorHAnsi" w:eastAsia="Calibri" w:hAnsiTheme="majorHAnsi" w:cs="Calibri"/>
                <w:szCs w:val="18"/>
              </w:rPr>
            </w:pPr>
            <w:r w:rsidRPr="005807D2">
              <w:rPr>
                <w:rFonts w:asciiTheme="majorHAnsi" w:hAnsiTheme="majorHAnsi"/>
                <w:iCs/>
                <w:szCs w:val="18"/>
              </w:rPr>
              <w:t>Qualitative assessment using case studies.</w:t>
            </w:r>
          </w:p>
        </w:tc>
        <w:tc>
          <w:tcPr>
            <w:tcW w:w="2053" w:type="dxa"/>
            <w:shd w:val="clear" w:color="auto" w:fill="auto"/>
            <w:tcMar>
              <w:left w:w="170" w:type="dxa"/>
              <w:right w:w="170" w:type="dxa"/>
            </w:tcMar>
            <w:vAlign w:val="center"/>
          </w:tcPr>
          <w:p w14:paraId="2F8F0AFD" w14:textId="77777777" w:rsidR="001625D7" w:rsidRPr="005807D2" w:rsidRDefault="001625D7" w:rsidP="00A42487">
            <w:pPr>
              <w:pStyle w:val="TableBody"/>
              <w:spacing w:before="0" w:after="0" w:line="240" w:lineRule="atLeast"/>
              <w:rPr>
                <w:rFonts w:asciiTheme="majorHAnsi" w:hAnsiTheme="majorHAnsi"/>
                <w:szCs w:val="18"/>
                <w:lang w:eastAsia="en-AU"/>
              </w:rPr>
            </w:pPr>
            <w:r w:rsidRPr="005807D2">
              <w:rPr>
                <w:rFonts w:asciiTheme="majorHAnsi" w:hAnsiTheme="majorHAnsi" w:cstheme="minorHAnsi"/>
                <w:color w:val="auto"/>
                <w:szCs w:val="18"/>
              </w:rPr>
              <w:t>100 per cent of evaluations contribute to improved policy/program, design and delivery.</w:t>
            </w:r>
          </w:p>
        </w:tc>
        <w:tc>
          <w:tcPr>
            <w:tcW w:w="2054" w:type="dxa"/>
            <w:shd w:val="clear" w:color="auto" w:fill="auto"/>
            <w:tcMar>
              <w:left w:w="170" w:type="dxa"/>
              <w:right w:w="170" w:type="dxa"/>
            </w:tcMar>
            <w:vAlign w:val="center"/>
          </w:tcPr>
          <w:p w14:paraId="1DA55FAF" w14:textId="77777777" w:rsidR="001625D7" w:rsidRPr="005807D2" w:rsidRDefault="001625D7" w:rsidP="00A42487">
            <w:pPr>
              <w:pStyle w:val="TableBullet"/>
              <w:numPr>
                <w:ilvl w:val="0"/>
                <w:numId w:val="0"/>
              </w:numPr>
              <w:spacing w:before="0" w:after="0" w:line="240" w:lineRule="atLeast"/>
              <w:rPr>
                <w:rFonts w:asciiTheme="majorHAnsi" w:eastAsia="Calibri" w:hAnsiTheme="majorHAnsi" w:cs="Calibri"/>
                <w:szCs w:val="18"/>
              </w:rPr>
            </w:pPr>
            <w:r w:rsidRPr="005807D2">
              <w:rPr>
                <w:rFonts w:asciiTheme="majorHAnsi" w:hAnsiTheme="majorHAnsi" w:cstheme="minorHAnsi"/>
                <w:color w:val="auto"/>
                <w:szCs w:val="18"/>
              </w:rPr>
              <w:t>100 per cent of evaluations contribute to improved policy/program, design and delivery.</w:t>
            </w:r>
          </w:p>
        </w:tc>
        <w:tc>
          <w:tcPr>
            <w:tcW w:w="2053" w:type="dxa"/>
            <w:shd w:val="clear" w:color="auto" w:fill="auto"/>
            <w:tcMar>
              <w:left w:w="170" w:type="dxa"/>
              <w:right w:w="170" w:type="dxa"/>
            </w:tcMar>
            <w:vAlign w:val="center"/>
          </w:tcPr>
          <w:p w14:paraId="6C5472E5" w14:textId="77777777" w:rsidR="001625D7" w:rsidRPr="005807D2" w:rsidRDefault="001625D7" w:rsidP="00A42487">
            <w:pPr>
              <w:pStyle w:val="TableNumbering"/>
              <w:numPr>
                <w:ilvl w:val="0"/>
                <w:numId w:val="0"/>
              </w:numPr>
              <w:spacing w:before="0" w:after="0" w:line="240" w:lineRule="atLeast"/>
              <w:rPr>
                <w:rFonts w:asciiTheme="majorHAnsi" w:eastAsia="Calibri" w:hAnsiTheme="majorHAnsi" w:cs="Calibri"/>
                <w:szCs w:val="18"/>
              </w:rPr>
            </w:pPr>
            <w:r w:rsidRPr="005807D2">
              <w:rPr>
                <w:rFonts w:asciiTheme="majorHAnsi" w:hAnsiTheme="majorHAnsi" w:cstheme="minorHAnsi"/>
                <w:color w:val="auto"/>
                <w:szCs w:val="18"/>
              </w:rPr>
              <w:t>100 per cent of evaluations contribute to improved policy/program, design and delivery.</w:t>
            </w:r>
          </w:p>
        </w:tc>
        <w:tc>
          <w:tcPr>
            <w:tcW w:w="2054" w:type="dxa"/>
            <w:shd w:val="clear" w:color="auto" w:fill="auto"/>
            <w:tcMar>
              <w:left w:w="170" w:type="dxa"/>
              <w:right w:w="170" w:type="dxa"/>
            </w:tcMar>
            <w:vAlign w:val="center"/>
          </w:tcPr>
          <w:p w14:paraId="7EC8AF7A" w14:textId="77777777" w:rsidR="001625D7" w:rsidRPr="005807D2" w:rsidRDefault="001625D7" w:rsidP="00A42487">
            <w:pPr>
              <w:pStyle w:val="TableNumbering"/>
              <w:numPr>
                <w:ilvl w:val="0"/>
                <w:numId w:val="0"/>
              </w:numPr>
              <w:spacing w:before="0" w:after="0" w:line="240" w:lineRule="atLeast"/>
              <w:rPr>
                <w:rFonts w:asciiTheme="majorHAnsi" w:eastAsia="Calibri" w:hAnsiTheme="majorHAnsi" w:cs="Calibri"/>
                <w:szCs w:val="18"/>
              </w:rPr>
            </w:pPr>
            <w:r w:rsidRPr="005807D2">
              <w:rPr>
                <w:rFonts w:asciiTheme="majorHAnsi" w:hAnsiTheme="majorHAnsi" w:cstheme="minorHAnsi"/>
                <w:color w:val="auto"/>
                <w:szCs w:val="18"/>
              </w:rPr>
              <w:t>100 per cent of evaluations contribute to improved policy/program, design and delivery.</w:t>
            </w:r>
          </w:p>
        </w:tc>
        <w:tc>
          <w:tcPr>
            <w:tcW w:w="1191" w:type="dxa"/>
            <w:vMerge/>
            <w:tcMar>
              <w:left w:w="170" w:type="dxa"/>
              <w:right w:w="170" w:type="dxa"/>
            </w:tcMar>
            <w:vAlign w:val="center"/>
          </w:tcPr>
          <w:p w14:paraId="7400D7EC" w14:textId="77777777" w:rsidR="001625D7" w:rsidRPr="005807D2" w:rsidRDefault="001625D7" w:rsidP="00A42487">
            <w:pPr>
              <w:pStyle w:val="TableNumbering"/>
              <w:spacing w:before="0" w:after="0" w:line="240" w:lineRule="atLeast"/>
              <w:ind w:left="0" w:firstLine="0"/>
              <w:jc w:val="center"/>
              <w:rPr>
                <w:rFonts w:asciiTheme="majorHAnsi" w:hAnsiTheme="majorHAnsi" w:cstheme="minorHAnsi"/>
                <w:color w:val="auto"/>
                <w:szCs w:val="18"/>
              </w:rPr>
            </w:pPr>
          </w:p>
        </w:tc>
      </w:tr>
      <w:tr w:rsidR="001625D7" w:rsidRPr="00A262BD" w14:paraId="2EDD05F9" w14:textId="77777777" w:rsidTr="00D747F7">
        <w:trPr>
          <w:cnfStyle w:val="010000000000" w:firstRow="0" w:lastRow="1" w:firstColumn="0" w:lastColumn="0" w:oddVBand="0" w:evenVBand="0" w:oddHBand="0" w:evenHBand="0" w:firstRowFirstColumn="0" w:firstRowLastColumn="0" w:lastRowFirstColumn="0" w:lastRowLastColumn="0"/>
          <w:trHeight w:val="1470"/>
        </w:trPr>
        <w:tc>
          <w:tcPr>
            <w:tcW w:w="2891" w:type="dxa"/>
            <w:vMerge/>
            <w:tcMar>
              <w:left w:w="170" w:type="dxa"/>
              <w:right w:w="170" w:type="dxa"/>
            </w:tcMar>
            <w:vAlign w:val="center"/>
          </w:tcPr>
          <w:p w14:paraId="465BDC47" w14:textId="77777777" w:rsidR="001625D7" w:rsidRPr="005807D2" w:rsidRDefault="001625D7" w:rsidP="00A42487">
            <w:pPr>
              <w:spacing w:before="0" w:after="0" w:line="240" w:lineRule="atLeast"/>
              <w:rPr>
                <w:rFonts w:asciiTheme="majorHAnsi" w:hAnsiTheme="majorHAnsi"/>
                <w:b/>
                <w:sz w:val="18"/>
                <w:szCs w:val="18"/>
                <w:lang w:eastAsia="en-AU"/>
              </w:rPr>
            </w:pPr>
          </w:p>
        </w:tc>
        <w:tc>
          <w:tcPr>
            <w:tcW w:w="3798" w:type="dxa"/>
            <w:shd w:val="clear" w:color="auto" w:fill="auto"/>
            <w:tcMar>
              <w:left w:w="170" w:type="dxa"/>
              <w:right w:w="170" w:type="dxa"/>
            </w:tcMar>
            <w:vAlign w:val="center"/>
          </w:tcPr>
          <w:p w14:paraId="4D1E753F" w14:textId="77777777" w:rsidR="001625D7" w:rsidRPr="005807D2" w:rsidRDefault="001625D7" w:rsidP="00A42487">
            <w:pPr>
              <w:spacing w:before="0" w:after="0" w:line="240" w:lineRule="atLeast"/>
              <w:rPr>
                <w:rFonts w:asciiTheme="majorHAnsi" w:eastAsia="Times New Roman" w:hAnsiTheme="majorHAnsi" w:cs="Arial"/>
                <w:color w:val="auto"/>
                <w:sz w:val="18"/>
                <w:szCs w:val="18"/>
                <w:lang w:eastAsia="en-AU"/>
              </w:rPr>
            </w:pPr>
            <w:r>
              <w:rPr>
                <w:rFonts w:asciiTheme="majorHAnsi" w:eastAsia="Times New Roman" w:hAnsiTheme="majorHAnsi" w:cs="Arial"/>
                <w:color w:val="auto"/>
                <w:sz w:val="18"/>
                <w:szCs w:val="18"/>
                <w:lang w:eastAsia="en-AU"/>
              </w:rPr>
              <w:t>9</w:t>
            </w:r>
            <w:r w:rsidRPr="005807D2">
              <w:rPr>
                <w:rFonts w:asciiTheme="majorHAnsi" w:eastAsia="Times New Roman" w:hAnsiTheme="majorHAnsi" w:cs="Arial"/>
                <w:color w:val="auto"/>
                <w:sz w:val="18"/>
                <w:szCs w:val="18"/>
                <w:lang w:eastAsia="en-AU"/>
              </w:rPr>
              <w:t xml:space="preserve">.3 Evaluations were made publically available. </w:t>
            </w:r>
          </w:p>
        </w:tc>
        <w:tc>
          <w:tcPr>
            <w:tcW w:w="2665" w:type="dxa"/>
            <w:shd w:val="clear" w:color="auto" w:fill="auto"/>
            <w:tcMar>
              <w:left w:w="170" w:type="dxa"/>
              <w:right w:w="170" w:type="dxa"/>
            </w:tcMar>
            <w:vAlign w:val="center"/>
          </w:tcPr>
          <w:p w14:paraId="2484C97B" w14:textId="77777777" w:rsidR="001625D7" w:rsidRPr="005807D2" w:rsidRDefault="001625D7" w:rsidP="00A42487">
            <w:pPr>
              <w:pStyle w:val="TableBody"/>
              <w:rPr>
                <w:rFonts w:asciiTheme="majorHAnsi" w:eastAsia="Calibri" w:hAnsiTheme="majorHAnsi" w:cs="Calibri"/>
                <w:color w:val="auto"/>
                <w:szCs w:val="18"/>
              </w:rPr>
            </w:pPr>
            <w:r>
              <w:rPr>
                <w:rFonts w:asciiTheme="majorHAnsi" w:hAnsiTheme="majorHAnsi"/>
                <w:color w:val="auto"/>
                <w:szCs w:val="18"/>
              </w:rPr>
              <w:t>9</w:t>
            </w:r>
            <w:r w:rsidRPr="005807D2">
              <w:rPr>
                <w:rFonts w:asciiTheme="majorHAnsi" w:hAnsiTheme="majorHAnsi"/>
                <w:color w:val="auto"/>
                <w:szCs w:val="18"/>
              </w:rPr>
              <w:t>.3.1 Proportion of completed evaluations or summaries on the Work Plan that are released.</w:t>
            </w:r>
          </w:p>
        </w:tc>
        <w:tc>
          <w:tcPr>
            <w:tcW w:w="2438" w:type="dxa"/>
            <w:shd w:val="clear" w:color="auto" w:fill="auto"/>
            <w:tcMar>
              <w:left w:w="170" w:type="dxa"/>
              <w:right w:w="170" w:type="dxa"/>
            </w:tcMar>
            <w:vAlign w:val="center"/>
          </w:tcPr>
          <w:p w14:paraId="15323420" w14:textId="77777777" w:rsidR="001625D7" w:rsidRPr="005807D2" w:rsidRDefault="001625D7" w:rsidP="00A42487">
            <w:pPr>
              <w:pStyle w:val="TableBody"/>
              <w:spacing w:before="0" w:after="0" w:line="240" w:lineRule="atLeast"/>
              <w:rPr>
                <w:rFonts w:asciiTheme="majorHAnsi" w:eastAsia="Calibri" w:hAnsiTheme="majorHAnsi" w:cs="Calibri"/>
                <w:szCs w:val="18"/>
              </w:rPr>
            </w:pPr>
            <w:r w:rsidRPr="005807D2">
              <w:rPr>
                <w:rFonts w:asciiTheme="majorHAnsi" w:hAnsiTheme="majorHAnsi"/>
                <w:color w:val="auto"/>
                <w:szCs w:val="18"/>
              </w:rPr>
              <w:t>Quantitative assessment of released completed evaluations on the work plan</w:t>
            </w:r>
            <w:r>
              <w:rPr>
                <w:rFonts w:asciiTheme="majorHAnsi" w:hAnsiTheme="majorHAnsi"/>
                <w:color w:val="auto"/>
                <w:szCs w:val="18"/>
              </w:rPr>
              <w:t>.</w:t>
            </w:r>
          </w:p>
        </w:tc>
        <w:tc>
          <w:tcPr>
            <w:tcW w:w="2053" w:type="dxa"/>
            <w:shd w:val="clear" w:color="auto" w:fill="auto"/>
            <w:tcMar>
              <w:left w:w="170" w:type="dxa"/>
              <w:right w:w="170" w:type="dxa"/>
            </w:tcMar>
            <w:vAlign w:val="center"/>
          </w:tcPr>
          <w:p w14:paraId="42066B31" w14:textId="77777777" w:rsidR="001625D7" w:rsidRPr="005807D2" w:rsidRDefault="001625D7" w:rsidP="00A42487">
            <w:pPr>
              <w:pStyle w:val="TableBody"/>
              <w:spacing w:before="0" w:after="0" w:line="240" w:lineRule="atLeast"/>
              <w:rPr>
                <w:rFonts w:asciiTheme="majorHAnsi" w:hAnsiTheme="majorHAnsi"/>
                <w:szCs w:val="18"/>
                <w:lang w:eastAsia="en-AU"/>
              </w:rPr>
            </w:pPr>
            <w:r w:rsidRPr="005807D2">
              <w:rPr>
                <w:rFonts w:asciiTheme="majorHAnsi" w:hAnsiTheme="majorHAnsi" w:cstheme="minorHAnsi"/>
                <w:color w:val="auto"/>
                <w:szCs w:val="18"/>
              </w:rPr>
              <w:t xml:space="preserve">100 per cent of completed evaluations </w:t>
            </w:r>
            <w:r>
              <w:rPr>
                <w:rFonts w:asciiTheme="majorHAnsi" w:hAnsiTheme="majorHAnsi" w:cstheme="minorHAnsi"/>
                <w:color w:val="auto"/>
                <w:szCs w:val="18"/>
              </w:rPr>
              <w:t xml:space="preserve">or summaries </w:t>
            </w:r>
            <w:r w:rsidRPr="005807D2">
              <w:rPr>
                <w:rFonts w:asciiTheme="majorHAnsi" w:hAnsiTheme="majorHAnsi" w:cstheme="minorHAnsi"/>
                <w:color w:val="auto"/>
                <w:szCs w:val="18"/>
              </w:rPr>
              <w:t>on the Work Plan are released.</w:t>
            </w:r>
          </w:p>
        </w:tc>
        <w:tc>
          <w:tcPr>
            <w:tcW w:w="2054" w:type="dxa"/>
            <w:shd w:val="clear" w:color="auto" w:fill="auto"/>
            <w:tcMar>
              <w:left w:w="170" w:type="dxa"/>
              <w:right w:w="170" w:type="dxa"/>
            </w:tcMar>
            <w:vAlign w:val="center"/>
          </w:tcPr>
          <w:p w14:paraId="0B4B2027" w14:textId="77777777" w:rsidR="001625D7" w:rsidRPr="005807D2" w:rsidRDefault="001625D7" w:rsidP="00A42487">
            <w:pPr>
              <w:pStyle w:val="TableBody"/>
              <w:spacing w:before="0" w:after="0" w:line="240" w:lineRule="atLeast"/>
              <w:rPr>
                <w:rFonts w:asciiTheme="majorHAnsi" w:hAnsiTheme="majorHAnsi" w:cstheme="minorHAnsi"/>
                <w:color w:val="auto"/>
                <w:szCs w:val="18"/>
              </w:rPr>
            </w:pPr>
            <w:r w:rsidRPr="005807D2">
              <w:rPr>
                <w:rFonts w:asciiTheme="majorHAnsi" w:hAnsiTheme="majorHAnsi" w:cstheme="minorHAnsi"/>
                <w:color w:val="auto"/>
                <w:szCs w:val="18"/>
              </w:rPr>
              <w:t xml:space="preserve">100 per cent of completed evaluations </w:t>
            </w:r>
            <w:r>
              <w:rPr>
                <w:rFonts w:asciiTheme="majorHAnsi" w:hAnsiTheme="majorHAnsi" w:cstheme="minorHAnsi"/>
                <w:color w:val="auto"/>
                <w:szCs w:val="18"/>
              </w:rPr>
              <w:t xml:space="preserve">or summaries </w:t>
            </w:r>
            <w:r w:rsidRPr="005807D2">
              <w:rPr>
                <w:rFonts w:asciiTheme="majorHAnsi" w:hAnsiTheme="majorHAnsi" w:cstheme="minorHAnsi"/>
                <w:color w:val="auto"/>
                <w:szCs w:val="18"/>
              </w:rPr>
              <w:t>on the Work Plan are released.</w:t>
            </w:r>
          </w:p>
        </w:tc>
        <w:tc>
          <w:tcPr>
            <w:tcW w:w="2053" w:type="dxa"/>
            <w:shd w:val="clear" w:color="auto" w:fill="auto"/>
            <w:tcMar>
              <w:left w:w="170" w:type="dxa"/>
              <w:right w:w="170" w:type="dxa"/>
            </w:tcMar>
            <w:vAlign w:val="center"/>
          </w:tcPr>
          <w:p w14:paraId="5C1D3A7A" w14:textId="77777777" w:rsidR="001625D7" w:rsidRPr="005807D2" w:rsidRDefault="001625D7" w:rsidP="00A42487">
            <w:pPr>
              <w:pStyle w:val="TableBody"/>
              <w:spacing w:before="0" w:after="0" w:line="240" w:lineRule="atLeast"/>
              <w:rPr>
                <w:rFonts w:asciiTheme="majorHAnsi" w:hAnsiTheme="majorHAnsi" w:cstheme="minorHAnsi"/>
                <w:color w:val="auto"/>
                <w:szCs w:val="18"/>
              </w:rPr>
            </w:pPr>
            <w:r w:rsidRPr="005807D2">
              <w:rPr>
                <w:rFonts w:asciiTheme="majorHAnsi" w:hAnsiTheme="majorHAnsi" w:cstheme="minorHAnsi"/>
                <w:color w:val="auto"/>
                <w:szCs w:val="18"/>
              </w:rPr>
              <w:t xml:space="preserve">100 per cent of completed evaluations </w:t>
            </w:r>
            <w:r>
              <w:rPr>
                <w:rFonts w:asciiTheme="majorHAnsi" w:hAnsiTheme="majorHAnsi" w:cstheme="minorHAnsi"/>
                <w:color w:val="auto"/>
                <w:szCs w:val="18"/>
              </w:rPr>
              <w:t xml:space="preserve">or summaries </w:t>
            </w:r>
            <w:r w:rsidRPr="005807D2">
              <w:rPr>
                <w:rFonts w:asciiTheme="majorHAnsi" w:hAnsiTheme="majorHAnsi" w:cstheme="minorHAnsi"/>
                <w:color w:val="auto"/>
                <w:szCs w:val="18"/>
              </w:rPr>
              <w:t>on the Work Plan are released.</w:t>
            </w:r>
          </w:p>
        </w:tc>
        <w:tc>
          <w:tcPr>
            <w:tcW w:w="2054" w:type="dxa"/>
            <w:shd w:val="clear" w:color="auto" w:fill="auto"/>
            <w:tcMar>
              <w:left w:w="170" w:type="dxa"/>
              <w:right w:w="170" w:type="dxa"/>
            </w:tcMar>
            <w:vAlign w:val="center"/>
          </w:tcPr>
          <w:p w14:paraId="68595101" w14:textId="77777777" w:rsidR="001625D7" w:rsidRPr="005807D2" w:rsidRDefault="001625D7" w:rsidP="00A42487">
            <w:pPr>
              <w:pStyle w:val="TableBody"/>
              <w:spacing w:before="0" w:after="0" w:line="240" w:lineRule="atLeast"/>
              <w:rPr>
                <w:rFonts w:asciiTheme="majorHAnsi" w:hAnsiTheme="majorHAnsi" w:cstheme="minorHAnsi"/>
                <w:color w:val="auto"/>
                <w:szCs w:val="18"/>
              </w:rPr>
            </w:pPr>
            <w:r w:rsidRPr="005807D2">
              <w:rPr>
                <w:rFonts w:asciiTheme="majorHAnsi" w:hAnsiTheme="majorHAnsi" w:cstheme="minorHAnsi"/>
                <w:color w:val="auto"/>
                <w:szCs w:val="18"/>
              </w:rPr>
              <w:t xml:space="preserve">100 per cent of completed evaluations </w:t>
            </w:r>
            <w:r>
              <w:rPr>
                <w:rFonts w:asciiTheme="majorHAnsi" w:hAnsiTheme="majorHAnsi" w:cstheme="minorHAnsi"/>
                <w:color w:val="auto"/>
                <w:szCs w:val="18"/>
              </w:rPr>
              <w:t xml:space="preserve">or summaries </w:t>
            </w:r>
            <w:r w:rsidRPr="005807D2">
              <w:rPr>
                <w:rFonts w:asciiTheme="majorHAnsi" w:hAnsiTheme="majorHAnsi" w:cstheme="minorHAnsi"/>
                <w:color w:val="auto"/>
                <w:szCs w:val="18"/>
              </w:rPr>
              <w:t>on the Work Plan are released.</w:t>
            </w:r>
          </w:p>
        </w:tc>
        <w:tc>
          <w:tcPr>
            <w:tcW w:w="1191" w:type="dxa"/>
            <w:vMerge/>
            <w:shd w:val="clear" w:color="auto" w:fill="auto"/>
            <w:tcMar>
              <w:left w:w="170" w:type="dxa"/>
              <w:right w:w="170" w:type="dxa"/>
            </w:tcMar>
            <w:vAlign w:val="center"/>
          </w:tcPr>
          <w:p w14:paraId="458588C7" w14:textId="77777777" w:rsidR="001625D7" w:rsidRPr="005807D2" w:rsidRDefault="001625D7" w:rsidP="00A42487">
            <w:pPr>
              <w:pStyle w:val="TableNumbering"/>
              <w:numPr>
                <w:ilvl w:val="0"/>
                <w:numId w:val="0"/>
              </w:numPr>
              <w:spacing w:before="0" w:after="0" w:line="240" w:lineRule="atLeast"/>
              <w:jc w:val="center"/>
              <w:rPr>
                <w:rFonts w:asciiTheme="majorHAnsi" w:hAnsiTheme="majorHAnsi" w:cstheme="minorHAnsi"/>
                <w:color w:val="auto"/>
                <w:szCs w:val="18"/>
              </w:rPr>
            </w:pPr>
          </w:p>
        </w:tc>
      </w:tr>
    </w:tbl>
    <w:p w14:paraId="5619F516" w14:textId="77777777" w:rsidR="00321F99" w:rsidRDefault="00321F99" w:rsidP="00321F99">
      <w:pPr>
        <w:spacing w:before="480"/>
        <w:rPr>
          <w:rFonts w:ascii="Century Gothic" w:hAnsi="Century Gothic" w:cs="HelveticaNeueLTStd-Roman"/>
          <w:color w:val="E66606"/>
          <w:sz w:val="28"/>
          <w:szCs w:val="32"/>
        </w:rPr>
      </w:pPr>
    </w:p>
    <w:p w14:paraId="1EA8483C" w14:textId="417239A3" w:rsidR="001625D7" w:rsidRPr="00321F99" w:rsidRDefault="001625D7" w:rsidP="00321F99">
      <w:pPr>
        <w:spacing w:before="480"/>
        <w:rPr>
          <w:rFonts w:ascii="Century Gothic" w:hAnsi="Century Gothic" w:cs="HelveticaNeueLTStd-Roman"/>
          <w:color w:val="E66606"/>
          <w:sz w:val="24"/>
          <w:szCs w:val="24"/>
        </w:rPr>
      </w:pPr>
      <w:r w:rsidRPr="00321F99">
        <w:rPr>
          <w:rFonts w:ascii="Century Gothic" w:hAnsi="Century Gothic" w:cs="HelveticaNeueLTStd-Roman"/>
          <w:color w:val="E66606"/>
          <w:sz w:val="24"/>
          <w:szCs w:val="24"/>
        </w:rPr>
        <w:t>Changes to the NIAA Corporate Plan since last year</w:t>
      </w:r>
    </w:p>
    <w:p w14:paraId="38E7F9F1" w14:textId="77777777" w:rsidR="001625D7" w:rsidRPr="00321F99" w:rsidRDefault="001625D7" w:rsidP="00663A8E">
      <w:pPr>
        <w:autoSpaceDE w:val="0"/>
        <w:autoSpaceDN w:val="0"/>
        <w:adjustRightInd w:val="0"/>
        <w:spacing w:after="0" w:line="240" w:lineRule="auto"/>
        <w:rPr>
          <w:rFonts w:ascii="Century Gothic" w:hAnsi="Century Gothic" w:cs="Calibri"/>
          <w:color w:val="000000"/>
        </w:rPr>
      </w:pPr>
      <w:r w:rsidRPr="00321F99">
        <w:rPr>
          <w:rFonts w:ascii="Century Gothic" w:hAnsi="Century Gothic" w:cs="Calibri"/>
          <w:color w:val="000000"/>
        </w:rPr>
        <w:t xml:space="preserve">We have continued to strengthen our planning and reporting to better meet </w:t>
      </w:r>
      <w:r w:rsidRPr="00321F99">
        <w:rPr>
          <w:rFonts w:ascii="Century Gothic" w:hAnsi="Century Gothic" w:cs="Calibri"/>
          <w:i/>
          <w:iCs/>
          <w:color w:val="000000"/>
        </w:rPr>
        <w:t xml:space="preserve">Public Governance, Performance and Accountability Act 2013 </w:t>
      </w:r>
      <w:r w:rsidRPr="00321F99">
        <w:rPr>
          <w:rFonts w:ascii="Century Gothic" w:hAnsi="Century Gothic" w:cs="Calibri"/>
          <w:color w:val="000000"/>
        </w:rPr>
        <w:t>expectations and maintain clear connections between the NIAA Corporate Plan, Portfolio Budget Statements and performance reporting. We have reviewed all performance criterion for clarity, measurability and appropriateness to the purpose. In improving performance measurement, we focused on ensuring that methodologies and data sources are reliable and verifiable and that success will be measured with a mix of qualitative and quantitative metrics.</w:t>
      </w:r>
    </w:p>
    <w:p w14:paraId="366C6BB7" w14:textId="77777777" w:rsidR="001625D7" w:rsidRPr="00321F99" w:rsidRDefault="001625D7" w:rsidP="00663A8E">
      <w:pPr>
        <w:autoSpaceDE w:val="0"/>
        <w:autoSpaceDN w:val="0"/>
        <w:adjustRightInd w:val="0"/>
        <w:spacing w:after="0" w:line="240" w:lineRule="auto"/>
        <w:rPr>
          <w:rFonts w:ascii="Century Gothic" w:hAnsi="Century Gothic" w:cs="Calibri"/>
          <w:color w:val="000000"/>
        </w:rPr>
      </w:pPr>
    </w:p>
    <w:p w14:paraId="786D2B29" w14:textId="77777777" w:rsidR="001625D7" w:rsidRPr="00321F99" w:rsidRDefault="001625D7" w:rsidP="00663A8E">
      <w:pPr>
        <w:autoSpaceDE w:val="0"/>
        <w:autoSpaceDN w:val="0"/>
        <w:adjustRightInd w:val="0"/>
        <w:spacing w:after="0" w:line="240" w:lineRule="auto"/>
        <w:rPr>
          <w:rFonts w:ascii="Century Gothic" w:hAnsi="Century Gothic" w:cs="Calibri"/>
          <w:color w:val="000000"/>
        </w:rPr>
      </w:pPr>
      <w:r w:rsidRPr="00321F99">
        <w:rPr>
          <w:rFonts w:ascii="Century Gothic" w:hAnsi="Century Gothic" w:cs="Calibri"/>
          <w:color w:val="000000"/>
        </w:rPr>
        <w:t xml:space="preserve">Updates to the </w:t>
      </w:r>
      <w:r w:rsidRPr="00321F99">
        <w:rPr>
          <w:rFonts w:ascii="Century Gothic" w:hAnsi="Century Gothic" w:cs="Calibri"/>
          <w:i/>
          <w:iCs/>
          <w:color w:val="000000"/>
        </w:rPr>
        <w:t xml:space="preserve">2020-21 NIAA Corporate Plan </w:t>
      </w:r>
      <w:r w:rsidRPr="00321F99">
        <w:rPr>
          <w:rFonts w:ascii="Century Gothic" w:hAnsi="Century Gothic" w:cs="Calibri"/>
          <w:color w:val="000000"/>
        </w:rPr>
        <w:t>are driven by improvements identified in:</w:t>
      </w:r>
    </w:p>
    <w:p w14:paraId="0F1DC260" w14:textId="77777777" w:rsidR="001625D7" w:rsidRPr="00321F99" w:rsidRDefault="001625D7" w:rsidP="001625D7">
      <w:pPr>
        <w:pStyle w:val="ListParagraph"/>
        <w:numPr>
          <w:ilvl w:val="0"/>
          <w:numId w:val="49"/>
        </w:numPr>
        <w:autoSpaceDE w:val="0"/>
        <w:autoSpaceDN w:val="0"/>
        <w:adjustRightInd w:val="0"/>
        <w:spacing w:after="0" w:line="240" w:lineRule="auto"/>
        <w:rPr>
          <w:rFonts w:ascii="Century Gothic" w:hAnsi="Century Gothic" w:cs="Calibri"/>
          <w:i/>
          <w:iCs/>
          <w:color w:val="000000"/>
        </w:rPr>
      </w:pPr>
      <w:r w:rsidRPr="00321F99">
        <w:rPr>
          <w:rFonts w:ascii="Century Gothic" w:hAnsi="Century Gothic" w:cs="Calibri"/>
          <w:color w:val="000000"/>
        </w:rPr>
        <w:t xml:space="preserve">amendments to the </w:t>
      </w:r>
      <w:r w:rsidRPr="00321F99">
        <w:rPr>
          <w:rFonts w:ascii="Century Gothic" w:hAnsi="Century Gothic" w:cs="Calibri"/>
          <w:i/>
          <w:iCs/>
          <w:color w:val="000000"/>
        </w:rPr>
        <w:t>Public Governance, Performance and Accountability Rule 2014;</w:t>
      </w:r>
    </w:p>
    <w:p w14:paraId="03B6A7BB" w14:textId="77777777" w:rsidR="001625D7" w:rsidRPr="00321F99" w:rsidRDefault="001625D7" w:rsidP="001625D7">
      <w:pPr>
        <w:pStyle w:val="ListParagraph"/>
        <w:numPr>
          <w:ilvl w:val="0"/>
          <w:numId w:val="49"/>
        </w:numPr>
        <w:autoSpaceDE w:val="0"/>
        <w:autoSpaceDN w:val="0"/>
        <w:adjustRightInd w:val="0"/>
        <w:spacing w:after="0" w:line="240" w:lineRule="auto"/>
        <w:rPr>
          <w:rFonts w:ascii="Century Gothic" w:hAnsi="Century Gothic" w:cs="Calibri"/>
          <w:color w:val="000000"/>
        </w:rPr>
      </w:pPr>
      <w:r w:rsidRPr="00321F99">
        <w:rPr>
          <w:rFonts w:ascii="Century Gothic" w:hAnsi="Century Gothic" w:cs="Calibri"/>
          <w:color w:val="000000"/>
        </w:rPr>
        <w:t>feedback received from the Audit and Risk Committee; and</w:t>
      </w:r>
    </w:p>
    <w:p w14:paraId="114D7605" w14:textId="77777777" w:rsidR="001625D7" w:rsidRPr="00321F99" w:rsidRDefault="001625D7" w:rsidP="001625D7">
      <w:pPr>
        <w:pStyle w:val="ListParagraph"/>
        <w:numPr>
          <w:ilvl w:val="0"/>
          <w:numId w:val="49"/>
        </w:numPr>
        <w:autoSpaceDE w:val="0"/>
        <w:autoSpaceDN w:val="0"/>
        <w:adjustRightInd w:val="0"/>
        <w:spacing w:after="0" w:line="240" w:lineRule="auto"/>
        <w:rPr>
          <w:rFonts w:ascii="Century Gothic" w:hAnsi="Century Gothic" w:cs="Calibri"/>
          <w:color w:val="000000"/>
        </w:rPr>
      </w:pPr>
      <w:r w:rsidRPr="00321F99">
        <w:rPr>
          <w:rFonts w:ascii="Century Gothic" w:hAnsi="Century Gothic" w:cs="Calibri"/>
          <w:color w:val="000000"/>
        </w:rPr>
        <w:t xml:space="preserve">feedback in the Australian National Audit Office performance audit </w:t>
      </w:r>
      <w:r w:rsidRPr="00321F99">
        <w:rPr>
          <w:rFonts w:ascii="Century Gothic" w:hAnsi="Century Gothic" w:cs="Calibri"/>
          <w:i/>
          <w:iCs/>
          <w:color w:val="000000"/>
        </w:rPr>
        <w:t>Indigenous Advancement Strategy — Children and Schooling Program and Safety and Wellbeing Program.</w:t>
      </w:r>
    </w:p>
    <w:p w14:paraId="63B5636C" w14:textId="77777777" w:rsidR="001625D7" w:rsidRPr="00321F99" w:rsidRDefault="001625D7" w:rsidP="00663A8E">
      <w:pPr>
        <w:autoSpaceDE w:val="0"/>
        <w:autoSpaceDN w:val="0"/>
        <w:adjustRightInd w:val="0"/>
        <w:spacing w:after="0" w:line="240" w:lineRule="auto"/>
        <w:rPr>
          <w:rFonts w:ascii="Century Gothic" w:hAnsi="Century Gothic" w:cs="Calibri"/>
          <w:color w:val="000000"/>
        </w:rPr>
      </w:pPr>
    </w:p>
    <w:p w14:paraId="5DCCCADA" w14:textId="1477E297" w:rsidR="00147B76" w:rsidRPr="007831E1" w:rsidRDefault="001625D7" w:rsidP="007831E1">
      <w:pPr>
        <w:autoSpaceDE w:val="0"/>
        <w:autoSpaceDN w:val="0"/>
        <w:adjustRightInd w:val="0"/>
        <w:spacing w:after="0" w:line="240" w:lineRule="auto"/>
        <w:rPr>
          <w:rFonts w:ascii="Century Gothic" w:hAnsi="Century Gothic" w:cs="Calibri"/>
          <w:color w:val="000000"/>
        </w:rPr>
      </w:pPr>
      <w:r w:rsidRPr="00321F99">
        <w:rPr>
          <w:rFonts w:ascii="Century Gothic" w:hAnsi="Century Gothic" w:cs="Calibri"/>
          <w:color w:val="000000"/>
        </w:rPr>
        <w:t xml:space="preserve">This has resulted in the inclusion of an enhanced discussion of the organisations and bodies we cooperate with that make a significant contribution to achieving our purpose. The </w:t>
      </w:r>
      <w:r w:rsidRPr="00321F99">
        <w:rPr>
          <w:rFonts w:ascii="Century Gothic" w:hAnsi="Century Gothic" w:cs="Calibri"/>
          <w:i/>
          <w:color w:val="000000"/>
        </w:rPr>
        <w:t>2019–20 NIAA Corporate Plan</w:t>
      </w:r>
      <w:r w:rsidRPr="00321F99">
        <w:rPr>
          <w:rFonts w:ascii="Century Gothic" w:hAnsi="Century Gothic" w:cs="Calibri"/>
          <w:color w:val="000000"/>
        </w:rPr>
        <w:t xml:space="preserve"> established our performance measurement and was focused on a number of output measurements as an initial step. We were intentional in the use of output measures for our first Corporate Plan, looking to build on them in future years. To ensure continued maturity, we have included new qualitative and effectiveness measures in 2020-21. We’ve also mapped the performance information in the Corporate Plan to the Portfolio Budgets Statements, ensuring the “clear read” principle required under the PGPA Rule. It’s our hope that the restructure of how we present our key activities makes it clearer for the reader to understand how they align with our purpose, reflecting a more mature state in NIAA’s implementation of the Comm</w:t>
      </w:r>
      <w:r w:rsidR="007831E1">
        <w:rPr>
          <w:rFonts w:ascii="Century Gothic" w:hAnsi="Century Gothic" w:cs="Calibri"/>
          <w:color w:val="000000"/>
        </w:rPr>
        <w:t>onwealth Performance Framework.</w:t>
      </w:r>
    </w:p>
    <w:sectPr w:rsidR="00147B76" w:rsidRPr="007831E1" w:rsidSect="00304247">
      <w:type w:val="continuous"/>
      <w:pgSz w:w="23811" w:h="16838" w:orient="landscape" w:code="8"/>
      <w:pgMar w:top="851" w:right="1414" w:bottom="851"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2D74D" w14:textId="77777777" w:rsidR="001726E8" w:rsidRDefault="001726E8" w:rsidP="00812CAC">
      <w:pPr>
        <w:spacing w:after="0" w:line="240" w:lineRule="auto"/>
      </w:pPr>
      <w:r>
        <w:separator/>
      </w:r>
    </w:p>
  </w:endnote>
  <w:endnote w:type="continuationSeparator" w:id="0">
    <w:p w14:paraId="7E246B02" w14:textId="77777777" w:rsidR="001726E8" w:rsidRDefault="001726E8" w:rsidP="00812CAC">
      <w:pPr>
        <w:spacing w:after="0" w:line="240" w:lineRule="auto"/>
      </w:pPr>
      <w:r>
        <w:continuationSeparator/>
      </w:r>
    </w:p>
  </w:endnote>
  <w:endnote w:type="continuationNotice" w:id="1">
    <w:p w14:paraId="28A25547" w14:textId="77777777" w:rsidR="001726E8" w:rsidRDefault="001726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NeueLTStd-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1D9A5" w14:textId="3BDA019F" w:rsidR="00561E0D" w:rsidRPr="00812CAC" w:rsidRDefault="00561E0D" w:rsidP="00812CAC">
    <w:pPr>
      <w:pStyle w:val="Footer"/>
      <w:jc w:val="right"/>
      <w:rPr>
        <w:rFonts w:ascii="Century Gothic" w:hAnsi="Century Gothic"/>
        <w:sz w:val="20"/>
      </w:rPr>
    </w:pPr>
    <w:r w:rsidRPr="00812CAC">
      <w:rPr>
        <w:rFonts w:ascii="Century Gothic" w:hAnsi="Century Gothic"/>
        <w:color w:val="7F7F7F" w:themeColor="background1" w:themeShade="7F"/>
        <w:spacing w:val="60"/>
        <w:sz w:val="20"/>
      </w:rPr>
      <w:t>Page</w:t>
    </w:r>
    <w:r w:rsidRPr="00812CAC">
      <w:rPr>
        <w:rFonts w:ascii="Century Gothic" w:hAnsi="Century Gothic"/>
        <w:sz w:val="20"/>
      </w:rPr>
      <w:t xml:space="preserve"> | </w:t>
    </w:r>
    <w:r w:rsidRPr="00812CAC">
      <w:rPr>
        <w:rFonts w:ascii="Century Gothic" w:hAnsi="Century Gothic"/>
        <w:sz w:val="20"/>
      </w:rPr>
      <w:fldChar w:fldCharType="begin"/>
    </w:r>
    <w:r w:rsidRPr="00812CAC">
      <w:rPr>
        <w:rFonts w:ascii="Century Gothic" w:hAnsi="Century Gothic"/>
        <w:sz w:val="20"/>
      </w:rPr>
      <w:instrText xml:space="preserve"> PAGE   \* MERGEFORMAT </w:instrText>
    </w:r>
    <w:r w:rsidRPr="00812CAC">
      <w:rPr>
        <w:rFonts w:ascii="Century Gothic" w:hAnsi="Century Gothic"/>
        <w:sz w:val="20"/>
      </w:rPr>
      <w:fldChar w:fldCharType="separate"/>
    </w:r>
    <w:r w:rsidR="00D50203" w:rsidRPr="00D50203">
      <w:rPr>
        <w:rFonts w:ascii="Century Gothic" w:hAnsi="Century Gothic"/>
        <w:b/>
        <w:bCs/>
        <w:noProof/>
        <w:sz w:val="20"/>
      </w:rPr>
      <w:t>6</w:t>
    </w:r>
    <w:r w:rsidRPr="00812CAC">
      <w:rPr>
        <w:rFonts w:ascii="Century Gothic" w:hAnsi="Century Gothic"/>
        <w:b/>
        <w:bCs/>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CD2F8" w14:textId="47D6B379" w:rsidR="001625D7" w:rsidRPr="00B87E45" w:rsidRDefault="001625D7" w:rsidP="001007B9">
    <w:pPr>
      <w:pStyle w:val="ProtectiveMarking"/>
    </w:pPr>
  </w:p>
  <w:p w14:paraId="4A7654FA" w14:textId="77777777" w:rsidR="001625D7" w:rsidRPr="00A477A0" w:rsidRDefault="001625D7" w:rsidP="00F651C4">
    <w:pPr>
      <w:pStyle w:val="Footerline"/>
      <w:rPr>
        <w:color w:val="44546A" w:themeColor="text2"/>
      </w:rPr>
    </w:pPr>
    <w:r>
      <w:rPr>
        <w:color w:val="44546A" w:themeColor="text2"/>
        <w:lang w:eastAsia="en-AU"/>
      </w:rPr>
      <mc:AlternateContent>
        <mc:Choice Requires="wps">
          <w:drawing>
            <wp:anchor distT="0" distB="0" distL="114300" distR="114300" simplePos="0" relativeHeight="251661312" behindDoc="0" locked="0" layoutInCell="1" allowOverlap="1" wp14:anchorId="75754EC4" wp14:editId="305B9DF4">
              <wp:simplePos x="0" y="0"/>
              <wp:positionH relativeFrom="page">
                <wp:posOffset>537882</wp:posOffset>
              </wp:positionH>
              <wp:positionV relativeFrom="page">
                <wp:posOffset>10075769</wp:posOffset>
              </wp:positionV>
              <wp:extent cx="6480000" cy="0"/>
              <wp:effectExtent l="0" t="19050" r="35560" b="19050"/>
              <wp:wrapNone/>
              <wp:docPr id="194" name="Straight Connector 194"/>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330E90" id="Straight Connector 194"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" strokecolor="#cfcdcd [2894]" strokeweight="2.25pt">
              <v:stroke joinstyle="miter"/>
              <w10:wrap anchorx="page" anchory="page"/>
            </v:line>
          </w:pict>
        </mc:Fallback>
      </mc:AlternateContent>
    </w:r>
    <w:r w:rsidRPr="00A477A0">
      <w:rPr>
        <w:color w:val="44546A" w:themeColor="text2"/>
        <w:lang w:eastAsia="en-AU"/>
      </w:rPr>
      <mc:AlternateContent>
        <mc:Choice Requires="wps">
          <w:drawing>
            <wp:anchor distT="45720" distB="45720" distL="114300" distR="114300" simplePos="0" relativeHeight="251659264" behindDoc="0" locked="1" layoutInCell="1" allowOverlap="1" wp14:anchorId="45C77115" wp14:editId="0F4A0B7F">
              <wp:simplePos x="0" y="0"/>
              <wp:positionH relativeFrom="margin">
                <wp:align>right</wp:align>
              </wp:positionH>
              <wp:positionV relativeFrom="page">
                <wp:align>bottom</wp:align>
              </wp:positionV>
              <wp:extent cx="331200" cy="727200"/>
              <wp:effectExtent l="0" t="0" r="1206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132F3B23" w14:textId="5F460319" w:rsidR="001625D7" w:rsidRPr="00F97B14" w:rsidRDefault="001625D7" w:rsidP="00281E3E">
                          <w:pPr>
                            <w:pStyle w:val="Footer"/>
                            <w:jc w:val="right"/>
                            <w:rPr>
                              <w:color w:val="5B9BD5" w:themeColor="accent1"/>
                            </w:rPr>
                          </w:pPr>
                          <w:r w:rsidRPr="00F97B14">
                            <w:rPr>
                              <w:color w:val="5B9BD5" w:themeColor="accent1"/>
                            </w:rPr>
                            <w:fldChar w:fldCharType="begin"/>
                          </w:r>
                          <w:r w:rsidRPr="00F97B14">
                            <w:rPr>
                              <w:color w:val="5B9BD5" w:themeColor="accent1"/>
                            </w:rPr>
                            <w:instrText xml:space="preserve"> PAGE   \* MERGEFORMAT </w:instrText>
                          </w:r>
                          <w:r w:rsidRPr="00F97B14">
                            <w:rPr>
                              <w:color w:val="5B9BD5" w:themeColor="accent1"/>
                            </w:rPr>
                            <w:fldChar w:fldCharType="separate"/>
                          </w:r>
                          <w:r w:rsidR="00D50203">
                            <w:rPr>
                              <w:noProof/>
                              <w:color w:val="5B9BD5" w:themeColor="accent1"/>
                            </w:rPr>
                            <w:t>19</w:t>
                          </w:r>
                          <w:r w:rsidRPr="00F97B14">
                            <w:rPr>
                              <w:color w:val="5B9BD5" w:themeColor="accent1"/>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5C77115" id="_x0000_t202" coordsize="21600,21600" o:spt="202" path="m,l,21600r21600,l21600,xe">
              <v:stroke joinstyle="miter"/>
              <v:path gradientshapeok="t" o:connecttype="rect"/>
            </v:shapetype>
            <v:shape id="Text Box 2" o:spid="_x0000_s1026" type="#_x0000_t202" style="position:absolute;margin-left:-25.1pt;margin-top:0;width:26.1pt;height:57.25pt;z-index:251659264;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" filled="f" stroked="f">
              <v:textbox inset="0,0,0,0">
                <w:txbxContent>
                  <w:p w14:paraId="132F3B23" w14:textId="5F460319" w:rsidR="001625D7" w:rsidRPr="00F97B14" w:rsidRDefault="001625D7" w:rsidP="00281E3E">
                    <w:pPr>
                      <w:pStyle w:val="Footer"/>
                      <w:jc w:val="right"/>
                      <w:rPr>
                        <w:color w:val="5B9BD5" w:themeColor="accent1"/>
                      </w:rPr>
                    </w:pPr>
                    <w:r w:rsidRPr="00F97B14">
                      <w:rPr>
                        <w:color w:val="5B9BD5" w:themeColor="accent1"/>
                      </w:rPr>
                      <w:fldChar w:fldCharType="begin"/>
                    </w:r>
                    <w:r w:rsidRPr="00F97B14">
                      <w:rPr>
                        <w:color w:val="5B9BD5" w:themeColor="accent1"/>
                      </w:rPr>
                      <w:instrText xml:space="preserve"> PAGE   \* MERGEFORMAT </w:instrText>
                    </w:r>
                    <w:r w:rsidRPr="00F97B14">
                      <w:rPr>
                        <w:color w:val="5B9BD5" w:themeColor="accent1"/>
                      </w:rPr>
                      <w:fldChar w:fldCharType="separate"/>
                    </w:r>
                    <w:r w:rsidR="00D50203">
                      <w:rPr>
                        <w:noProof/>
                        <w:color w:val="5B9BD5" w:themeColor="accent1"/>
                      </w:rPr>
                      <w:t>19</w:t>
                    </w:r>
                    <w:r w:rsidRPr="00F97B14">
                      <w:rPr>
                        <w:color w:val="5B9BD5" w:themeColor="accent1"/>
                      </w:rPr>
                      <w:fldChar w:fldCharType="end"/>
                    </w:r>
                  </w:p>
                </w:txbxContent>
              </v:textbox>
              <w10:wrap anchorx="margin" anchory="page"/>
              <w10:anchorlock/>
            </v:shape>
          </w:pict>
        </mc:Fallback>
      </mc:AlternateContent>
    </w:r>
  </w:p>
  <w:p w14:paraId="38A6CF57" w14:textId="77777777" w:rsidR="001625D7" w:rsidRPr="0040648D" w:rsidRDefault="001625D7" w:rsidP="00281E3E">
    <w:pPr>
      <w:pStyle w:val="Footer"/>
      <w:rPr>
        <w:color w:val="5B9BD5" w:themeColor="accent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1779212053"/>
      <w:dataBinding w:xpath="/root[1]/Classification[1]" w:storeItemID="{F533AE62-A212-4B26-92DA-A3B336E8AE06}"/>
      <w:text/>
    </w:sdtPr>
    <w:sdtEndPr/>
    <w:sdtContent>
      <w:p w14:paraId="5D61EC54" w14:textId="77777777" w:rsidR="001625D7" w:rsidRPr="00B87E45" w:rsidRDefault="001625D7" w:rsidP="00917F95">
        <w:pPr>
          <w:pStyle w:val="ProtectiveMarking"/>
        </w:pPr>
        <w:r>
          <w:t>OFFICIAL</w:t>
        </w:r>
      </w:p>
    </w:sdtContent>
  </w:sdt>
  <w:p w14:paraId="10B42CA8" w14:textId="77777777" w:rsidR="001625D7" w:rsidRPr="00F651C4" w:rsidRDefault="001625D7" w:rsidP="00F651C4">
    <w:pPr>
      <w:pStyle w:val="Footerline"/>
    </w:pPr>
    <w:r>
      <w:rPr>
        <w:lang w:eastAsia="en-AU"/>
      </w:rPr>
      <mc:AlternateContent>
        <mc:Choice Requires="wps">
          <w:drawing>
            <wp:anchor distT="0" distB="0" distL="114300" distR="114300" simplePos="0" relativeHeight="251662336" behindDoc="0" locked="0" layoutInCell="1" allowOverlap="1" wp14:anchorId="26A7CAF3" wp14:editId="0E218E84">
              <wp:simplePos x="0" y="0"/>
              <wp:positionH relativeFrom="page">
                <wp:posOffset>540204</wp:posOffset>
              </wp:positionH>
              <wp:positionV relativeFrom="page">
                <wp:posOffset>10119632</wp:posOffset>
              </wp:positionV>
              <wp:extent cx="6480000" cy="0"/>
              <wp:effectExtent l="0" t="19050" r="35560" b="19050"/>
              <wp:wrapNone/>
              <wp:docPr id="39" name="Straight Connector 39"/>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A1E561" id="Straight Connector 39"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42.55pt,796.8pt" to="552.8pt,7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" strokecolor="#cfcdcd [2894]" strokeweight="2.25pt">
              <v:stroke joinstyle="miter"/>
              <w10:wrap anchorx="page" anchory="page"/>
            </v:line>
          </w:pict>
        </mc:Fallback>
      </mc:AlternateContent>
    </w:r>
  </w:p>
  <w:p w14:paraId="6B21F036" w14:textId="77777777" w:rsidR="001625D7" w:rsidRPr="0040648D" w:rsidRDefault="001625D7" w:rsidP="00281E3E">
    <w:pPr>
      <w:pStyle w:val="Footer"/>
      <w:rPr>
        <w:color w:val="5B9BD5" w:themeColor="accent1"/>
      </w:rPr>
    </w:pPr>
    <w:r w:rsidRPr="0040648D">
      <w:rPr>
        <w:noProof/>
        <w:color w:val="5B9BD5" w:themeColor="accent1"/>
        <w:lang w:eastAsia="en-AU"/>
      </w:rPr>
      <mc:AlternateContent>
        <mc:Choice Requires="wps">
          <w:drawing>
            <wp:anchor distT="45720" distB="45720" distL="114300" distR="114300" simplePos="0" relativeHeight="251660288" behindDoc="0" locked="1" layoutInCell="1" allowOverlap="1" wp14:anchorId="3865274F" wp14:editId="1BA1D4DF">
              <wp:simplePos x="0" y="0"/>
              <wp:positionH relativeFrom="margin">
                <wp:align>right</wp:align>
              </wp:positionH>
              <wp:positionV relativeFrom="page">
                <wp:align>bottom</wp:align>
              </wp:positionV>
              <wp:extent cx="331200" cy="727200"/>
              <wp:effectExtent l="0" t="0" r="1206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10908ACD" w14:textId="2FEB201D" w:rsidR="001625D7" w:rsidRPr="00D171A8" w:rsidRDefault="001625D7" w:rsidP="00281E3E">
                          <w:pPr>
                            <w:pStyle w:val="Footer"/>
                            <w:jc w:val="right"/>
                            <w:rPr>
                              <w:b/>
                            </w:rPr>
                          </w:pPr>
                          <w:r w:rsidRPr="00D171A8">
                            <w:rPr>
                              <w:b/>
                            </w:rPr>
                            <w:fldChar w:fldCharType="begin"/>
                          </w:r>
                          <w:r w:rsidRPr="00D171A8">
                            <w:instrText xml:space="preserve"> PAGE   \* MERGEFORMAT </w:instrText>
                          </w:r>
                          <w:r w:rsidRPr="00D171A8">
                            <w:rPr>
                              <w:b/>
                            </w:rPr>
                            <w:fldChar w:fldCharType="separate"/>
                          </w:r>
                          <w:r w:rsidR="00304247">
                            <w:rPr>
                              <w:noProof/>
                            </w:rPr>
                            <w:t>13</w:t>
                          </w:r>
                          <w:r w:rsidRPr="00D171A8">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65274F" id="_x0000_t202" coordsize="21600,21600" o:spt="202" path="m,l,21600r21600,l21600,xe">
              <v:stroke joinstyle="miter"/>
              <v:path gradientshapeok="t" o:connecttype="rect"/>
            </v:shapetype>
            <v:shape id="_x0000_s1027" type="#_x0000_t202" style="position:absolute;margin-left:-25.1pt;margin-top:0;width:26.1pt;height:57.25pt;z-index:251660288;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" filled="f" stroked="f">
              <v:textbox inset="0,0,0,0">
                <w:txbxContent>
                  <w:p w14:paraId="10908ACD" w14:textId="2FEB201D" w:rsidR="001625D7" w:rsidRPr="00D171A8" w:rsidRDefault="001625D7" w:rsidP="00281E3E">
                    <w:pPr>
                      <w:pStyle w:val="Footer"/>
                      <w:jc w:val="right"/>
                      <w:rPr>
                        <w:b/>
                      </w:rPr>
                    </w:pPr>
                    <w:r w:rsidRPr="00D171A8">
                      <w:rPr>
                        <w:b/>
                      </w:rPr>
                      <w:fldChar w:fldCharType="begin"/>
                    </w:r>
                    <w:r w:rsidRPr="00D171A8">
                      <w:instrText xml:space="preserve"> PAGE   \* MERGEFORMAT </w:instrText>
                    </w:r>
                    <w:r w:rsidRPr="00D171A8">
                      <w:rPr>
                        <w:b/>
                      </w:rPr>
                      <w:fldChar w:fldCharType="separate"/>
                    </w:r>
                    <w:r w:rsidR="00304247">
                      <w:rPr>
                        <w:noProof/>
                      </w:rPr>
                      <w:t>13</w:t>
                    </w:r>
                    <w:r w:rsidRPr="00D171A8">
                      <w:rPr>
                        <w:b/>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EC4BF" w14:textId="77777777" w:rsidR="001726E8" w:rsidRDefault="001726E8" w:rsidP="00812CAC">
      <w:pPr>
        <w:spacing w:after="0" w:line="240" w:lineRule="auto"/>
      </w:pPr>
      <w:r>
        <w:separator/>
      </w:r>
    </w:p>
  </w:footnote>
  <w:footnote w:type="continuationSeparator" w:id="0">
    <w:p w14:paraId="65E379CD" w14:textId="77777777" w:rsidR="001726E8" w:rsidRDefault="001726E8" w:rsidP="00812CAC">
      <w:pPr>
        <w:spacing w:after="0" w:line="240" w:lineRule="auto"/>
      </w:pPr>
      <w:r>
        <w:continuationSeparator/>
      </w:r>
    </w:p>
  </w:footnote>
  <w:footnote w:type="continuationNotice" w:id="1">
    <w:p w14:paraId="2AB2A0C7" w14:textId="77777777" w:rsidR="001726E8" w:rsidRDefault="001726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E7327" w14:textId="79F108D9" w:rsidR="00561E0D" w:rsidRPr="00812CAC" w:rsidRDefault="00561E0D">
    <w:pPr>
      <w:pStyle w:val="Header"/>
      <w:rPr>
        <w:rFonts w:ascii="Century Gothic" w:hAnsi="Century Gothic"/>
        <w:sz w:val="20"/>
      </w:rPr>
    </w:pPr>
    <w:r w:rsidRPr="00812CAC">
      <w:rPr>
        <w:rFonts w:ascii="Century Gothic" w:hAnsi="Century Gothic"/>
        <w:sz w:val="20"/>
      </w:rPr>
      <w:t>NIAA 2020-21 Corporate Plan – Content only</w:t>
    </w:r>
  </w:p>
  <w:p w14:paraId="7C22AA72" w14:textId="77777777" w:rsidR="00561E0D" w:rsidRDefault="00561E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BD959" w14:textId="1CF5A33C" w:rsidR="001625D7" w:rsidRDefault="001625D7">
    <w:pPr>
      <w:pStyle w:val="Header"/>
    </w:pPr>
    <w:r>
      <w:rPr>
        <w:noProof/>
        <w:lang w:eastAsia="en-AU"/>
      </w:rPr>
      <w:drawing>
        <wp:anchor distT="0" distB="0" distL="114300" distR="114300" simplePos="0" relativeHeight="251663360" behindDoc="0" locked="1" layoutInCell="1" allowOverlap="1" wp14:anchorId="4C8B7243" wp14:editId="1CAB5F57">
          <wp:simplePos x="0" y="0"/>
          <wp:positionH relativeFrom="margin">
            <wp:align>left</wp:align>
          </wp:positionH>
          <wp:positionV relativeFrom="page">
            <wp:posOffset>628650</wp:posOffset>
          </wp:positionV>
          <wp:extent cx="6480000" cy="186711"/>
          <wp:effectExtent l="0" t="0" r="0" b="3810"/>
          <wp:wrapNone/>
          <wp:docPr id="20" name="Graphic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rcRect l="1617" t="1" b="-2"/>
                  <a:stretch/>
                </pic:blipFill>
                <pic:spPr bwMode="auto">
                  <a:xfrm>
                    <a:off x="0" y="0"/>
                    <a:ext cx="6480000" cy="1867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659C"/>
    <w:multiLevelType w:val="hybridMultilevel"/>
    <w:tmpl w:val="C6B723C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AD6524"/>
    <w:multiLevelType w:val="hybridMultilevel"/>
    <w:tmpl w:val="820C73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7FC7283"/>
    <w:multiLevelType w:val="hybridMultilevel"/>
    <w:tmpl w:val="B8E6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1C08A2"/>
    <w:multiLevelType w:val="hybridMultilevel"/>
    <w:tmpl w:val="A7C0D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F2427D"/>
    <w:multiLevelType w:val="hybridMultilevel"/>
    <w:tmpl w:val="0DAE29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1D55EEA"/>
    <w:multiLevelType w:val="hybridMultilevel"/>
    <w:tmpl w:val="F50EB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F06F3F"/>
    <w:multiLevelType w:val="hybridMultilevel"/>
    <w:tmpl w:val="24926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C17729"/>
    <w:multiLevelType w:val="hybridMultilevel"/>
    <w:tmpl w:val="78748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FA60FC"/>
    <w:multiLevelType w:val="multilevel"/>
    <w:tmpl w:val="E96E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7B6FE5"/>
    <w:multiLevelType w:val="multilevel"/>
    <w:tmpl w:val="D680A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931054"/>
    <w:multiLevelType w:val="hybridMultilevel"/>
    <w:tmpl w:val="562E8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A53FBD"/>
    <w:multiLevelType w:val="hybridMultilevel"/>
    <w:tmpl w:val="DC009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6E4988"/>
    <w:multiLevelType w:val="hybridMultilevel"/>
    <w:tmpl w:val="42FC0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A91734"/>
    <w:multiLevelType w:val="hybridMultilevel"/>
    <w:tmpl w:val="803ACED6"/>
    <w:lvl w:ilvl="0" w:tplc="6CCAF1B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BE0FB4"/>
    <w:multiLevelType w:val="hybridMultilevel"/>
    <w:tmpl w:val="2A763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452A2D"/>
    <w:multiLevelType w:val="hybridMultilevel"/>
    <w:tmpl w:val="6B5C0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7" w15:restartNumberingAfterBreak="0">
    <w:nsid w:val="376F565F"/>
    <w:multiLevelType w:val="multilevel"/>
    <w:tmpl w:val="A0660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4F645E"/>
    <w:multiLevelType w:val="hybridMultilevel"/>
    <w:tmpl w:val="91248AEC"/>
    <w:lvl w:ilvl="0" w:tplc="AE3E2FD4">
      <w:numFmt w:val="bullet"/>
      <w:lvlText w:val="•"/>
      <w:lvlJc w:val="left"/>
      <w:pPr>
        <w:ind w:left="1080" w:hanging="720"/>
      </w:pPr>
      <w:rPr>
        <w:rFonts w:ascii="Century Gothic" w:eastAsiaTheme="minorHAnsi" w:hAnsi="Century Gothic" w:cs="Century 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FB0CFD"/>
    <w:multiLevelType w:val="multilevel"/>
    <w:tmpl w:val="0C705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12549B"/>
    <w:multiLevelType w:val="hybridMultilevel"/>
    <w:tmpl w:val="5406C45C"/>
    <w:lvl w:ilvl="0" w:tplc="6318283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3D2EF0"/>
    <w:multiLevelType w:val="hybridMultilevel"/>
    <w:tmpl w:val="5E68183E"/>
    <w:lvl w:ilvl="0" w:tplc="639A71B0">
      <w:start w:val="1"/>
      <w:numFmt w:val="decimal"/>
      <w:lvlText w:val="%1."/>
      <w:lvlJc w:val="left"/>
      <w:pPr>
        <w:ind w:left="1080" w:hanging="360"/>
      </w:pPr>
      <w:rPr>
        <w:rFonts w:ascii="Century Gothic" w:hAnsi="Century Gothic"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2" w15:restartNumberingAfterBreak="0">
    <w:nsid w:val="41EE0DA1"/>
    <w:multiLevelType w:val="hybridMultilevel"/>
    <w:tmpl w:val="0CBCF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0F77BA"/>
    <w:multiLevelType w:val="hybridMultilevel"/>
    <w:tmpl w:val="F1504B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428D67F0"/>
    <w:multiLevelType w:val="hybridMultilevel"/>
    <w:tmpl w:val="780CD2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86F0F27"/>
    <w:multiLevelType w:val="hybridMultilevel"/>
    <w:tmpl w:val="F7D66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5C7A3C"/>
    <w:multiLevelType w:val="hybridMultilevel"/>
    <w:tmpl w:val="51F47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D07731"/>
    <w:multiLevelType w:val="hybridMultilevel"/>
    <w:tmpl w:val="80780F58"/>
    <w:lvl w:ilvl="0" w:tplc="19F654EE">
      <w:numFmt w:val="bullet"/>
      <w:lvlText w:val="•"/>
      <w:lvlJc w:val="left"/>
      <w:pPr>
        <w:ind w:left="360" w:hanging="360"/>
      </w:pPr>
      <w:rPr>
        <w:rFonts w:ascii="Century Gothic" w:eastAsiaTheme="minorHAnsi" w:hAnsi="Century Gothic" w:cs="Century Gothic"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2ED0A29"/>
    <w:multiLevelType w:val="hybridMultilevel"/>
    <w:tmpl w:val="EE48E1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3924DB8"/>
    <w:multiLevelType w:val="hybridMultilevel"/>
    <w:tmpl w:val="84AA145C"/>
    <w:lvl w:ilvl="0" w:tplc="AE3E2FD4">
      <w:numFmt w:val="bullet"/>
      <w:lvlText w:val="•"/>
      <w:lvlJc w:val="left"/>
      <w:pPr>
        <w:ind w:left="1080" w:hanging="720"/>
      </w:pPr>
      <w:rPr>
        <w:rFonts w:ascii="Century Gothic" w:eastAsiaTheme="minorHAnsi" w:hAnsi="Century Gothic" w:cs="Century 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404172"/>
    <w:multiLevelType w:val="multilevel"/>
    <w:tmpl w:val="F8300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EF07A9"/>
    <w:multiLevelType w:val="multilevel"/>
    <w:tmpl w:val="1B364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554524"/>
    <w:multiLevelType w:val="hybridMultilevel"/>
    <w:tmpl w:val="DB1A290A"/>
    <w:lvl w:ilvl="0" w:tplc="096E0922">
      <w:start w:val="1"/>
      <w:numFmt w:val="decimal"/>
      <w:lvlText w:val="%1."/>
      <w:lvlJc w:val="left"/>
      <w:pPr>
        <w:ind w:left="0" w:firstLine="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E122D0C"/>
    <w:multiLevelType w:val="hybridMultilevel"/>
    <w:tmpl w:val="AD26F6A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4"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5" w15:restartNumberingAfterBreak="0">
    <w:nsid w:val="5FD0684A"/>
    <w:multiLevelType w:val="hybridMultilevel"/>
    <w:tmpl w:val="D3DE7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153688A"/>
    <w:multiLevelType w:val="hybridMultilevel"/>
    <w:tmpl w:val="91AE3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82669E"/>
    <w:multiLevelType w:val="hybridMultilevel"/>
    <w:tmpl w:val="0742E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68706F8"/>
    <w:multiLevelType w:val="hybridMultilevel"/>
    <w:tmpl w:val="87C88B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73D658B"/>
    <w:multiLevelType w:val="hybridMultilevel"/>
    <w:tmpl w:val="A72CE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A9B0512"/>
    <w:multiLevelType w:val="hybridMultilevel"/>
    <w:tmpl w:val="6FFA5FA8"/>
    <w:lvl w:ilvl="0" w:tplc="0F627C3E">
      <w:start w:val="1"/>
      <w:numFmt w:val="bullet"/>
      <w:lvlText w:val="•"/>
      <w:lvlJc w:val="left"/>
      <w:pPr>
        <w:tabs>
          <w:tab w:val="num" w:pos="720"/>
        </w:tabs>
        <w:ind w:left="720" w:hanging="360"/>
      </w:pPr>
      <w:rPr>
        <w:rFonts w:ascii="Arial" w:hAnsi="Arial" w:hint="default"/>
      </w:rPr>
    </w:lvl>
    <w:lvl w:ilvl="1" w:tplc="CA9C6EF8" w:tentative="1">
      <w:start w:val="1"/>
      <w:numFmt w:val="bullet"/>
      <w:lvlText w:val="•"/>
      <w:lvlJc w:val="left"/>
      <w:pPr>
        <w:tabs>
          <w:tab w:val="num" w:pos="1440"/>
        </w:tabs>
        <w:ind w:left="1440" w:hanging="360"/>
      </w:pPr>
      <w:rPr>
        <w:rFonts w:ascii="Arial" w:hAnsi="Arial" w:hint="default"/>
      </w:rPr>
    </w:lvl>
    <w:lvl w:ilvl="2" w:tplc="9BC8D152" w:tentative="1">
      <w:start w:val="1"/>
      <w:numFmt w:val="bullet"/>
      <w:lvlText w:val="•"/>
      <w:lvlJc w:val="left"/>
      <w:pPr>
        <w:tabs>
          <w:tab w:val="num" w:pos="2160"/>
        </w:tabs>
        <w:ind w:left="2160" w:hanging="360"/>
      </w:pPr>
      <w:rPr>
        <w:rFonts w:ascii="Arial" w:hAnsi="Arial" w:hint="default"/>
      </w:rPr>
    </w:lvl>
    <w:lvl w:ilvl="3" w:tplc="BCE2A880" w:tentative="1">
      <w:start w:val="1"/>
      <w:numFmt w:val="bullet"/>
      <w:lvlText w:val="•"/>
      <w:lvlJc w:val="left"/>
      <w:pPr>
        <w:tabs>
          <w:tab w:val="num" w:pos="2880"/>
        </w:tabs>
        <w:ind w:left="2880" w:hanging="360"/>
      </w:pPr>
      <w:rPr>
        <w:rFonts w:ascii="Arial" w:hAnsi="Arial" w:hint="default"/>
      </w:rPr>
    </w:lvl>
    <w:lvl w:ilvl="4" w:tplc="BAE0D578" w:tentative="1">
      <w:start w:val="1"/>
      <w:numFmt w:val="bullet"/>
      <w:lvlText w:val="•"/>
      <w:lvlJc w:val="left"/>
      <w:pPr>
        <w:tabs>
          <w:tab w:val="num" w:pos="3600"/>
        </w:tabs>
        <w:ind w:left="3600" w:hanging="360"/>
      </w:pPr>
      <w:rPr>
        <w:rFonts w:ascii="Arial" w:hAnsi="Arial" w:hint="default"/>
      </w:rPr>
    </w:lvl>
    <w:lvl w:ilvl="5" w:tplc="F872F75A" w:tentative="1">
      <w:start w:val="1"/>
      <w:numFmt w:val="bullet"/>
      <w:lvlText w:val="•"/>
      <w:lvlJc w:val="left"/>
      <w:pPr>
        <w:tabs>
          <w:tab w:val="num" w:pos="4320"/>
        </w:tabs>
        <w:ind w:left="4320" w:hanging="360"/>
      </w:pPr>
      <w:rPr>
        <w:rFonts w:ascii="Arial" w:hAnsi="Arial" w:hint="default"/>
      </w:rPr>
    </w:lvl>
    <w:lvl w:ilvl="6" w:tplc="01686E94" w:tentative="1">
      <w:start w:val="1"/>
      <w:numFmt w:val="bullet"/>
      <w:lvlText w:val="•"/>
      <w:lvlJc w:val="left"/>
      <w:pPr>
        <w:tabs>
          <w:tab w:val="num" w:pos="5040"/>
        </w:tabs>
        <w:ind w:left="5040" w:hanging="360"/>
      </w:pPr>
      <w:rPr>
        <w:rFonts w:ascii="Arial" w:hAnsi="Arial" w:hint="default"/>
      </w:rPr>
    </w:lvl>
    <w:lvl w:ilvl="7" w:tplc="871CBF48" w:tentative="1">
      <w:start w:val="1"/>
      <w:numFmt w:val="bullet"/>
      <w:lvlText w:val="•"/>
      <w:lvlJc w:val="left"/>
      <w:pPr>
        <w:tabs>
          <w:tab w:val="num" w:pos="5760"/>
        </w:tabs>
        <w:ind w:left="5760" w:hanging="360"/>
      </w:pPr>
      <w:rPr>
        <w:rFonts w:ascii="Arial" w:hAnsi="Arial" w:hint="default"/>
      </w:rPr>
    </w:lvl>
    <w:lvl w:ilvl="8" w:tplc="C994ED6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C5F3FEE"/>
    <w:multiLevelType w:val="hybridMultilevel"/>
    <w:tmpl w:val="7D4C6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0146F2D"/>
    <w:multiLevelType w:val="multilevel"/>
    <w:tmpl w:val="AF82C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1D36962"/>
    <w:multiLevelType w:val="hybridMultilevel"/>
    <w:tmpl w:val="667C175E"/>
    <w:lvl w:ilvl="0" w:tplc="AE3E2FD4">
      <w:numFmt w:val="bullet"/>
      <w:lvlText w:val="•"/>
      <w:lvlJc w:val="left"/>
      <w:pPr>
        <w:ind w:left="1080" w:hanging="720"/>
      </w:pPr>
      <w:rPr>
        <w:rFonts w:ascii="Century Gothic" w:eastAsiaTheme="minorHAnsi" w:hAnsi="Century Gothic" w:cs="Century 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2A16B13"/>
    <w:multiLevelType w:val="hybridMultilevel"/>
    <w:tmpl w:val="17381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6033413"/>
    <w:multiLevelType w:val="hybridMultilevel"/>
    <w:tmpl w:val="B26C56B8"/>
    <w:lvl w:ilvl="0" w:tplc="6FDE2F3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AB957D6"/>
    <w:multiLevelType w:val="hybridMultilevel"/>
    <w:tmpl w:val="E4205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4"/>
  </w:num>
  <w:num w:numId="2">
    <w:abstractNumId w:val="18"/>
  </w:num>
  <w:num w:numId="3">
    <w:abstractNumId w:val="29"/>
  </w:num>
  <w:num w:numId="4">
    <w:abstractNumId w:val="43"/>
  </w:num>
  <w:num w:numId="5">
    <w:abstractNumId w:val="38"/>
  </w:num>
  <w:num w:numId="6">
    <w:abstractNumId w:val="0"/>
  </w:num>
  <w:num w:numId="7">
    <w:abstractNumId w:val="23"/>
  </w:num>
  <w:num w:numId="8">
    <w:abstractNumId w:val="4"/>
  </w:num>
  <w:num w:numId="9">
    <w:abstractNumId w:val="14"/>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16"/>
  </w:num>
  <w:num w:numId="13">
    <w:abstractNumId w:val="40"/>
  </w:num>
  <w:num w:numId="14">
    <w:abstractNumId w:val="35"/>
  </w:num>
  <w:num w:numId="15">
    <w:abstractNumId w:val="39"/>
  </w:num>
  <w:num w:numId="16">
    <w:abstractNumId w:val="27"/>
  </w:num>
  <w:num w:numId="17">
    <w:abstractNumId w:val="24"/>
  </w:num>
  <w:num w:numId="18">
    <w:abstractNumId w:val="32"/>
  </w:num>
  <w:num w:numId="19">
    <w:abstractNumId w:val="12"/>
  </w:num>
  <w:num w:numId="20">
    <w:abstractNumId w:val="10"/>
  </w:num>
  <w:num w:numId="21">
    <w:abstractNumId w:val="30"/>
    <w:lvlOverride w:ilvl="0">
      <w:startOverride w:val="1"/>
    </w:lvlOverride>
  </w:num>
  <w:num w:numId="22">
    <w:abstractNumId w:val="31"/>
    <w:lvlOverride w:ilvl="0">
      <w:startOverride w:val="1"/>
    </w:lvlOverride>
  </w:num>
  <w:num w:numId="23">
    <w:abstractNumId w:val="17"/>
    <w:lvlOverride w:ilvl="0">
      <w:startOverride w:val="1"/>
    </w:lvlOverride>
  </w:num>
  <w:num w:numId="24">
    <w:abstractNumId w:val="19"/>
    <w:lvlOverride w:ilvl="0">
      <w:startOverride w:val="1"/>
    </w:lvlOverride>
  </w:num>
  <w:num w:numId="25">
    <w:abstractNumId w:val="42"/>
    <w:lvlOverride w:ilvl="0">
      <w:startOverride w:val="2"/>
    </w:lvlOverride>
  </w:num>
  <w:num w:numId="26">
    <w:abstractNumId w:val="8"/>
    <w:lvlOverride w:ilvl="0">
      <w:startOverride w:val="1"/>
    </w:lvlOverride>
  </w:num>
  <w:num w:numId="27">
    <w:abstractNumId w:val="6"/>
  </w:num>
  <w:num w:numId="28">
    <w:abstractNumId w:val="36"/>
  </w:num>
  <w:num w:numId="29">
    <w:abstractNumId w:val="3"/>
  </w:num>
  <w:num w:numId="30">
    <w:abstractNumId w:val="41"/>
  </w:num>
  <w:num w:numId="31">
    <w:abstractNumId w:val="2"/>
  </w:num>
  <w:num w:numId="32">
    <w:abstractNumId w:val="5"/>
  </w:num>
  <w:num w:numId="33">
    <w:abstractNumId w:val="22"/>
  </w:num>
  <w:num w:numId="34">
    <w:abstractNumId w:val="26"/>
  </w:num>
  <w:num w:numId="35">
    <w:abstractNumId w:val="13"/>
  </w:num>
  <w:num w:numId="36">
    <w:abstractNumId w:val="9"/>
  </w:num>
  <w:num w:numId="37">
    <w:abstractNumId w:val="25"/>
  </w:num>
  <w:num w:numId="38">
    <w:abstractNumId w:val="45"/>
  </w:num>
  <w:num w:numId="39">
    <w:abstractNumId w:val="12"/>
  </w:num>
  <w:num w:numId="40">
    <w:abstractNumId w:val="10"/>
  </w:num>
  <w:num w:numId="41">
    <w:abstractNumId w:val="20"/>
  </w:num>
  <w:num w:numId="42">
    <w:abstractNumId w:val="15"/>
  </w:num>
  <w:num w:numId="43">
    <w:abstractNumId w:val="1"/>
  </w:num>
  <w:num w:numId="44">
    <w:abstractNumId w:val="46"/>
  </w:num>
  <w:num w:numId="45">
    <w:abstractNumId w:val="33"/>
  </w:num>
  <w:num w:numId="46">
    <w:abstractNumId w:val="7"/>
  </w:num>
  <w:num w:numId="47">
    <w:abstractNumId w:val="37"/>
  </w:num>
  <w:num w:numId="48">
    <w:abstractNumId w:val="11"/>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52D"/>
    <w:rsid w:val="00005DF2"/>
    <w:rsid w:val="0001080F"/>
    <w:rsid w:val="00015053"/>
    <w:rsid w:val="000268E5"/>
    <w:rsid w:val="00026D4C"/>
    <w:rsid w:val="00031DC6"/>
    <w:rsid w:val="000343A4"/>
    <w:rsid w:val="00036066"/>
    <w:rsid w:val="00037ECE"/>
    <w:rsid w:val="00044F44"/>
    <w:rsid w:val="00046D19"/>
    <w:rsid w:val="0004752D"/>
    <w:rsid w:val="00047CD0"/>
    <w:rsid w:val="00056F25"/>
    <w:rsid w:val="000632C7"/>
    <w:rsid w:val="000659B9"/>
    <w:rsid w:val="00075264"/>
    <w:rsid w:val="0008613C"/>
    <w:rsid w:val="00087716"/>
    <w:rsid w:val="000878E7"/>
    <w:rsid w:val="00091CA2"/>
    <w:rsid w:val="000B09EF"/>
    <w:rsid w:val="000B0FC5"/>
    <w:rsid w:val="000B3626"/>
    <w:rsid w:val="000B54BC"/>
    <w:rsid w:val="000B73F8"/>
    <w:rsid w:val="000C1910"/>
    <w:rsid w:val="000C6A9E"/>
    <w:rsid w:val="000C7033"/>
    <w:rsid w:val="000D6A2E"/>
    <w:rsid w:val="000E2294"/>
    <w:rsid w:val="000E2E7C"/>
    <w:rsid w:val="000E567F"/>
    <w:rsid w:val="001042C8"/>
    <w:rsid w:val="00105DE2"/>
    <w:rsid w:val="00106351"/>
    <w:rsid w:val="0011388E"/>
    <w:rsid w:val="001360BF"/>
    <w:rsid w:val="001409ED"/>
    <w:rsid w:val="001461E7"/>
    <w:rsid w:val="00147B76"/>
    <w:rsid w:val="00150462"/>
    <w:rsid w:val="001619F7"/>
    <w:rsid w:val="001625D7"/>
    <w:rsid w:val="00163378"/>
    <w:rsid w:val="00163861"/>
    <w:rsid w:val="00163DC0"/>
    <w:rsid w:val="0016759F"/>
    <w:rsid w:val="001726E8"/>
    <w:rsid w:val="001770C3"/>
    <w:rsid w:val="00181678"/>
    <w:rsid w:val="00187B60"/>
    <w:rsid w:val="0019028F"/>
    <w:rsid w:val="00192FBE"/>
    <w:rsid w:val="0019615A"/>
    <w:rsid w:val="001A5279"/>
    <w:rsid w:val="001B505E"/>
    <w:rsid w:val="001C656F"/>
    <w:rsid w:val="001D62F5"/>
    <w:rsid w:val="001E2B76"/>
    <w:rsid w:val="001E5EE9"/>
    <w:rsid w:val="001E6EEC"/>
    <w:rsid w:val="001F45E6"/>
    <w:rsid w:val="002010F5"/>
    <w:rsid w:val="00207549"/>
    <w:rsid w:val="0021545B"/>
    <w:rsid w:val="0021705D"/>
    <w:rsid w:val="00220A7E"/>
    <w:rsid w:val="002217A8"/>
    <w:rsid w:val="00222CAB"/>
    <w:rsid w:val="0022533F"/>
    <w:rsid w:val="002256A2"/>
    <w:rsid w:val="00237194"/>
    <w:rsid w:val="00252B3E"/>
    <w:rsid w:val="002561C6"/>
    <w:rsid w:val="002566A4"/>
    <w:rsid w:val="00262F80"/>
    <w:rsid w:val="002639FE"/>
    <w:rsid w:val="00270E32"/>
    <w:rsid w:val="00273481"/>
    <w:rsid w:val="00282DBD"/>
    <w:rsid w:val="00284F5A"/>
    <w:rsid w:val="00293561"/>
    <w:rsid w:val="00293EC2"/>
    <w:rsid w:val="00295DE4"/>
    <w:rsid w:val="002967DB"/>
    <w:rsid w:val="00297B9D"/>
    <w:rsid w:val="002A529A"/>
    <w:rsid w:val="002A6118"/>
    <w:rsid w:val="002A61AC"/>
    <w:rsid w:val="002B0D7E"/>
    <w:rsid w:val="002B5622"/>
    <w:rsid w:val="002C1704"/>
    <w:rsid w:val="002C5D31"/>
    <w:rsid w:val="002C7881"/>
    <w:rsid w:val="002D1372"/>
    <w:rsid w:val="002D2EA6"/>
    <w:rsid w:val="002E17EA"/>
    <w:rsid w:val="002E4C7C"/>
    <w:rsid w:val="002E4F56"/>
    <w:rsid w:val="002E7DC5"/>
    <w:rsid w:val="00302144"/>
    <w:rsid w:val="00304148"/>
    <w:rsid w:val="00304247"/>
    <w:rsid w:val="0030481F"/>
    <w:rsid w:val="00305F99"/>
    <w:rsid w:val="0031432D"/>
    <w:rsid w:val="00317DA5"/>
    <w:rsid w:val="00321F99"/>
    <w:rsid w:val="0032498C"/>
    <w:rsid w:val="00325A46"/>
    <w:rsid w:val="00330C4F"/>
    <w:rsid w:val="00335BB9"/>
    <w:rsid w:val="00337FEB"/>
    <w:rsid w:val="0035316D"/>
    <w:rsid w:val="00354897"/>
    <w:rsid w:val="00372818"/>
    <w:rsid w:val="00380CEA"/>
    <w:rsid w:val="00383971"/>
    <w:rsid w:val="00390DEA"/>
    <w:rsid w:val="00392C44"/>
    <w:rsid w:val="00394DFD"/>
    <w:rsid w:val="003A369E"/>
    <w:rsid w:val="003A441C"/>
    <w:rsid w:val="003A6C7E"/>
    <w:rsid w:val="003B1C64"/>
    <w:rsid w:val="003B2C7F"/>
    <w:rsid w:val="003B48E6"/>
    <w:rsid w:val="003C0F8F"/>
    <w:rsid w:val="003D07B6"/>
    <w:rsid w:val="003E2E0C"/>
    <w:rsid w:val="003F15A4"/>
    <w:rsid w:val="003F4513"/>
    <w:rsid w:val="00403023"/>
    <w:rsid w:val="00404B5C"/>
    <w:rsid w:val="00423DB8"/>
    <w:rsid w:val="00427915"/>
    <w:rsid w:val="00431043"/>
    <w:rsid w:val="00431DD4"/>
    <w:rsid w:val="00432A4A"/>
    <w:rsid w:val="00440D32"/>
    <w:rsid w:val="00441E07"/>
    <w:rsid w:val="004520F7"/>
    <w:rsid w:val="0045410E"/>
    <w:rsid w:val="0046580A"/>
    <w:rsid w:val="00472727"/>
    <w:rsid w:val="0047532B"/>
    <w:rsid w:val="00481725"/>
    <w:rsid w:val="00482B15"/>
    <w:rsid w:val="004830E8"/>
    <w:rsid w:val="004A1887"/>
    <w:rsid w:val="004A3F03"/>
    <w:rsid w:val="004A709D"/>
    <w:rsid w:val="004B226E"/>
    <w:rsid w:val="004B3EB9"/>
    <w:rsid w:val="004C04CE"/>
    <w:rsid w:val="004C2F29"/>
    <w:rsid w:val="004C3CDB"/>
    <w:rsid w:val="004C61E5"/>
    <w:rsid w:val="004C69FB"/>
    <w:rsid w:val="004D0B4C"/>
    <w:rsid w:val="004D0BA0"/>
    <w:rsid w:val="004D1912"/>
    <w:rsid w:val="004D6E8D"/>
    <w:rsid w:val="004E1C31"/>
    <w:rsid w:val="004E2F9F"/>
    <w:rsid w:val="004F3E09"/>
    <w:rsid w:val="004F6676"/>
    <w:rsid w:val="00502E93"/>
    <w:rsid w:val="005141B9"/>
    <w:rsid w:val="005212D1"/>
    <w:rsid w:val="0052303C"/>
    <w:rsid w:val="00524DB7"/>
    <w:rsid w:val="0053080D"/>
    <w:rsid w:val="00533250"/>
    <w:rsid w:val="005414EE"/>
    <w:rsid w:val="005415C3"/>
    <w:rsid w:val="005446DB"/>
    <w:rsid w:val="00553302"/>
    <w:rsid w:val="00555500"/>
    <w:rsid w:val="00561E0D"/>
    <w:rsid w:val="00562DA8"/>
    <w:rsid w:val="00565C2F"/>
    <w:rsid w:val="00574752"/>
    <w:rsid w:val="0057627E"/>
    <w:rsid w:val="00580271"/>
    <w:rsid w:val="005810AD"/>
    <w:rsid w:val="005921DA"/>
    <w:rsid w:val="005A1C54"/>
    <w:rsid w:val="005B3B9E"/>
    <w:rsid w:val="005B7510"/>
    <w:rsid w:val="005C0153"/>
    <w:rsid w:val="005C1643"/>
    <w:rsid w:val="005C7397"/>
    <w:rsid w:val="005D214A"/>
    <w:rsid w:val="005D3AB2"/>
    <w:rsid w:val="005D3F1F"/>
    <w:rsid w:val="005D6C9B"/>
    <w:rsid w:val="005E0B4B"/>
    <w:rsid w:val="005E1AB5"/>
    <w:rsid w:val="005E2C00"/>
    <w:rsid w:val="005E3926"/>
    <w:rsid w:val="005E7975"/>
    <w:rsid w:val="005F4A8E"/>
    <w:rsid w:val="00612971"/>
    <w:rsid w:val="00617226"/>
    <w:rsid w:val="00621D61"/>
    <w:rsid w:val="00623DF4"/>
    <w:rsid w:val="0062649D"/>
    <w:rsid w:val="00630D94"/>
    <w:rsid w:val="006315AE"/>
    <w:rsid w:val="006406A0"/>
    <w:rsid w:val="00641A1D"/>
    <w:rsid w:val="006544CB"/>
    <w:rsid w:val="00654F2A"/>
    <w:rsid w:val="00655D86"/>
    <w:rsid w:val="006574EA"/>
    <w:rsid w:val="00663C12"/>
    <w:rsid w:val="006642C5"/>
    <w:rsid w:val="0066505F"/>
    <w:rsid w:val="00677E58"/>
    <w:rsid w:val="00681C94"/>
    <w:rsid w:val="00681FA8"/>
    <w:rsid w:val="00685ADB"/>
    <w:rsid w:val="00692250"/>
    <w:rsid w:val="0069346B"/>
    <w:rsid w:val="00693D99"/>
    <w:rsid w:val="00696940"/>
    <w:rsid w:val="006B0F8D"/>
    <w:rsid w:val="006B7914"/>
    <w:rsid w:val="006C1CF9"/>
    <w:rsid w:val="006C4036"/>
    <w:rsid w:val="006C415A"/>
    <w:rsid w:val="006C5A9D"/>
    <w:rsid w:val="006D375E"/>
    <w:rsid w:val="006E5F49"/>
    <w:rsid w:val="006E73D6"/>
    <w:rsid w:val="006F026E"/>
    <w:rsid w:val="006F4F7A"/>
    <w:rsid w:val="007046DA"/>
    <w:rsid w:val="00706AB2"/>
    <w:rsid w:val="00707973"/>
    <w:rsid w:val="00713011"/>
    <w:rsid w:val="007154D7"/>
    <w:rsid w:val="007173EE"/>
    <w:rsid w:val="00721025"/>
    <w:rsid w:val="00723708"/>
    <w:rsid w:val="00732CA5"/>
    <w:rsid w:val="00734FDE"/>
    <w:rsid w:val="00735E07"/>
    <w:rsid w:val="00746B27"/>
    <w:rsid w:val="0075073D"/>
    <w:rsid w:val="00755638"/>
    <w:rsid w:val="007642F4"/>
    <w:rsid w:val="00766046"/>
    <w:rsid w:val="007755A7"/>
    <w:rsid w:val="007770C5"/>
    <w:rsid w:val="007831E1"/>
    <w:rsid w:val="0078488A"/>
    <w:rsid w:val="00785ACA"/>
    <w:rsid w:val="00792508"/>
    <w:rsid w:val="00795C11"/>
    <w:rsid w:val="007974A0"/>
    <w:rsid w:val="00797E31"/>
    <w:rsid w:val="007A762E"/>
    <w:rsid w:val="007B16E1"/>
    <w:rsid w:val="007B6FD2"/>
    <w:rsid w:val="007B7915"/>
    <w:rsid w:val="007C0BF9"/>
    <w:rsid w:val="007C1380"/>
    <w:rsid w:val="007C18C8"/>
    <w:rsid w:val="007C4F25"/>
    <w:rsid w:val="007C5780"/>
    <w:rsid w:val="007C5EC3"/>
    <w:rsid w:val="007D0060"/>
    <w:rsid w:val="007E6C68"/>
    <w:rsid w:val="007F188B"/>
    <w:rsid w:val="007F466E"/>
    <w:rsid w:val="007F7537"/>
    <w:rsid w:val="007F7BBB"/>
    <w:rsid w:val="00804449"/>
    <w:rsid w:val="0081030B"/>
    <w:rsid w:val="00812CAC"/>
    <w:rsid w:val="0081680A"/>
    <w:rsid w:val="00820022"/>
    <w:rsid w:val="00820DCB"/>
    <w:rsid w:val="008268ED"/>
    <w:rsid w:val="0083064A"/>
    <w:rsid w:val="00830BCD"/>
    <w:rsid w:val="008311AB"/>
    <w:rsid w:val="00840018"/>
    <w:rsid w:val="00840C5C"/>
    <w:rsid w:val="00847385"/>
    <w:rsid w:val="0085088B"/>
    <w:rsid w:val="00852919"/>
    <w:rsid w:val="008539D0"/>
    <w:rsid w:val="00854749"/>
    <w:rsid w:val="008559B7"/>
    <w:rsid w:val="008805C8"/>
    <w:rsid w:val="00884554"/>
    <w:rsid w:val="00887515"/>
    <w:rsid w:val="00891025"/>
    <w:rsid w:val="008914F7"/>
    <w:rsid w:val="00895B6C"/>
    <w:rsid w:val="008A2968"/>
    <w:rsid w:val="008B0417"/>
    <w:rsid w:val="008B4553"/>
    <w:rsid w:val="008B5A28"/>
    <w:rsid w:val="008C5873"/>
    <w:rsid w:val="008C7263"/>
    <w:rsid w:val="008E4027"/>
    <w:rsid w:val="008E6483"/>
    <w:rsid w:val="008E735D"/>
    <w:rsid w:val="008F2C8B"/>
    <w:rsid w:val="0090779A"/>
    <w:rsid w:val="00912253"/>
    <w:rsid w:val="00931F9E"/>
    <w:rsid w:val="00935D43"/>
    <w:rsid w:val="009402EB"/>
    <w:rsid w:val="00943B76"/>
    <w:rsid w:val="009450E4"/>
    <w:rsid w:val="00950A94"/>
    <w:rsid w:val="00951284"/>
    <w:rsid w:val="00962365"/>
    <w:rsid w:val="00965908"/>
    <w:rsid w:val="00967742"/>
    <w:rsid w:val="009701A8"/>
    <w:rsid w:val="00970975"/>
    <w:rsid w:val="00972B61"/>
    <w:rsid w:val="00973034"/>
    <w:rsid w:val="00976A20"/>
    <w:rsid w:val="00984F71"/>
    <w:rsid w:val="00991959"/>
    <w:rsid w:val="009939D4"/>
    <w:rsid w:val="009976D2"/>
    <w:rsid w:val="009A2D1C"/>
    <w:rsid w:val="009A5DC1"/>
    <w:rsid w:val="009B4213"/>
    <w:rsid w:val="009B5E03"/>
    <w:rsid w:val="009B6DDA"/>
    <w:rsid w:val="009C03C5"/>
    <w:rsid w:val="009C058A"/>
    <w:rsid w:val="009C27E2"/>
    <w:rsid w:val="009C678A"/>
    <w:rsid w:val="009C69F0"/>
    <w:rsid w:val="009C6FC4"/>
    <w:rsid w:val="009D7D05"/>
    <w:rsid w:val="009E2CEE"/>
    <w:rsid w:val="009E3FC8"/>
    <w:rsid w:val="009E6F87"/>
    <w:rsid w:val="009F20AE"/>
    <w:rsid w:val="009F5903"/>
    <w:rsid w:val="009F633F"/>
    <w:rsid w:val="00A1171D"/>
    <w:rsid w:val="00A1485E"/>
    <w:rsid w:val="00A250E3"/>
    <w:rsid w:val="00A3259E"/>
    <w:rsid w:val="00A341A4"/>
    <w:rsid w:val="00A35962"/>
    <w:rsid w:val="00A3674B"/>
    <w:rsid w:val="00A452EA"/>
    <w:rsid w:val="00A51F42"/>
    <w:rsid w:val="00A549F8"/>
    <w:rsid w:val="00A54F7B"/>
    <w:rsid w:val="00A62F39"/>
    <w:rsid w:val="00A639B4"/>
    <w:rsid w:val="00A903FE"/>
    <w:rsid w:val="00A90C43"/>
    <w:rsid w:val="00AA2073"/>
    <w:rsid w:val="00AA47FE"/>
    <w:rsid w:val="00AB1ABB"/>
    <w:rsid w:val="00AB3EAF"/>
    <w:rsid w:val="00AB5717"/>
    <w:rsid w:val="00AB79E3"/>
    <w:rsid w:val="00AC11DA"/>
    <w:rsid w:val="00AC4D5D"/>
    <w:rsid w:val="00AD2F05"/>
    <w:rsid w:val="00AD5708"/>
    <w:rsid w:val="00AE3C34"/>
    <w:rsid w:val="00B000C9"/>
    <w:rsid w:val="00B11657"/>
    <w:rsid w:val="00B13A14"/>
    <w:rsid w:val="00B14A34"/>
    <w:rsid w:val="00B14EC2"/>
    <w:rsid w:val="00B172ED"/>
    <w:rsid w:val="00B347B2"/>
    <w:rsid w:val="00B50029"/>
    <w:rsid w:val="00B53B34"/>
    <w:rsid w:val="00B545F0"/>
    <w:rsid w:val="00B57E9E"/>
    <w:rsid w:val="00B635F9"/>
    <w:rsid w:val="00B64012"/>
    <w:rsid w:val="00B7156B"/>
    <w:rsid w:val="00B81890"/>
    <w:rsid w:val="00B900A7"/>
    <w:rsid w:val="00B955DF"/>
    <w:rsid w:val="00BA00A7"/>
    <w:rsid w:val="00BA014F"/>
    <w:rsid w:val="00BA34FE"/>
    <w:rsid w:val="00BA3863"/>
    <w:rsid w:val="00BA5F42"/>
    <w:rsid w:val="00BB5FDD"/>
    <w:rsid w:val="00BB61DF"/>
    <w:rsid w:val="00BC2877"/>
    <w:rsid w:val="00BC6C6C"/>
    <w:rsid w:val="00BD0EA8"/>
    <w:rsid w:val="00BD3505"/>
    <w:rsid w:val="00BE0FD7"/>
    <w:rsid w:val="00BE4F2C"/>
    <w:rsid w:val="00BF1B6C"/>
    <w:rsid w:val="00BF223C"/>
    <w:rsid w:val="00BF78BF"/>
    <w:rsid w:val="00BF7A08"/>
    <w:rsid w:val="00C0526E"/>
    <w:rsid w:val="00C137A3"/>
    <w:rsid w:val="00C170A7"/>
    <w:rsid w:val="00C20701"/>
    <w:rsid w:val="00C2181A"/>
    <w:rsid w:val="00C21883"/>
    <w:rsid w:val="00C23ED6"/>
    <w:rsid w:val="00C31604"/>
    <w:rsid w:val="00C33909"/>
    <w:rsid w:val="00C33951"/>
    <w:rsid w:val="00C41B67"/>
    <w:rsid w:val="00C428BD"/>
    <w:rsid w:val="00C43583"/>
    <w:rsid w:val="00C45492"/>
    <w:rsid w:val="00C553CE"/>
    <w:rsid w:val="00C5682C"/>
    <w:rsid w:val="00C6074D"/>
    <w:rsid w:val="00C60B26"/>
    <w:rsid w:val="00C70053"/>
    <w:rsid w:val="00C804CC"/>
    <w:rsid w:val="00C83106"/>
    <w:rsid w:val="00C84A64"/>
    <w:rsid w:val="00C915A3"/>
    <w:rsid w:val="00CA014D"/>
    <w:rsid w:val="00CA0E0F"/>
    <w:rsid w:val="00CB14B3"/>
    <w:rsid w:val="00CB34B2"/>
    <w:rsid w:val="00CB3CB8"/>
    <w:rsid w:val="00CB5BA4"/>
    <w:rsid w:val="00CC4789"/>
    <w:rsid w:val="00CC652D"/>
    <w:rsid w:val="00CD5990"/>
    <w:rsid w:val="00CE094C"/>
    <w:rsid w:val="00CE22E1"/>
    <w:rsid w:val="00CE6A33"/>
    <w:rsid w:val="00CF03BE"/>
    <w:rsid w:val="00CF13D8"/>
    <w:rsid w:val="00CF589F"/>
    <w:rsid w:val="00CF79D8"/>
    <w:rsid w:val="00D004F6"/>
    <w:rsid w:val="00D02ABF"/>
    <w:rsid w:val="00D02EB8"/>
    <w:rsid w:val="00D02ED0"/>
    <w:rsid w:val="00D06B09"/>
    <w:rsid w:val="00D07417"/>
    <w:rsid w:val="00D12731"/>
    <w:rsid w:val="00D15E34"/>
    <w:rsid w:val="00D31339"/>
    <w:rsid w:val="00D31579"/>
    <w:rsid w:val="00D31E31"/>
    <w:rsid w:val="00D35095"/>
    <w:rsid w:val="00D37097"/>
    <w:rsid w:val="00D37D56"/>
    <w:rsid w:val="00D40234"/>
    <w:rsid w:val="00D43193"/>
    <w:rsid w:val="00D47A51"/>
    <w:rsid w:val="00D50203"/>
    <w:rsid w:val="00D70C71"/>
    <w:rsid w:val="00D7188C"/>
    <w:rsid w:val="00D71FAB"/>
    <w:rsid w:val="00D85D9A"/>
    <w:rsid w:val="00D87745"/>
    <w:rsid w:val="00D94239"/>
    <w:rsid w:val="00DA16BF"/>
    <w:rsid w:val="00DA184C"/>
    <w:rsid w:val="00DA52FD"/>
    <w:rsid w:val="00DC68C9"/>
    <w:rsid w:val="00DD3251"/>
    <w:rsid w:val="00DD4514"/>
    <w:rsid w:val="00DE10F8"/>
    <w:rsid w:val="00DE160D"/>
    <w:rsid w:val="00DE677D"/>
    <w:rsid w:val="00DE7D85"/>
    <w:rsid w:val="00DF1554"/>
    <w:rsid w:val="00DF7191"/>
    <w:rsid w:val="00E004F6"/>
    <w:rsid w:val="00E02BC9"/>
    <w:rsid w:val="00E06F17"/>
    <w:rsid w:val="00E07F4F"/>
    <w:rsid w:val="00E12ACE"/>
    <w:rsid w:val="00E15C0B"/>
    <w:rsid w:val="00E21414"/>
    <w:rsid w:val="00E24E0A"/>
    <w:rsid w:val="00E31065"/>
    <w:rsid w:val="00E361D5"/>
    <w:rsid w:val="00E426D0"/>
    <w:rsid w:val="00E519EF"/>
    <w:rsid w:val="00E52B98"/>
    <w:rsid w:val="00E53A32"/>
    <w:rsid w:val="00E542B4"/>
    <w:rsid w:val="00E552E9"/>
    <w:rsid w:val="00E608F8"/>
    <w:rsid w:val="00E67D6C"/>
    <w:rsid w:val="00E71738"/>
    <w:rsid w:val="00E7489B"/>
    <w:rsid w:val="00E80102"/>
    <w:rsid w:val="00E871D6"/>
    <w:rsid w:val="00E8762F"/>
    <w:rsid w:val="00E900B2"/>
    <w:rsid w:val="00E95AE3"/>
    <w:rsid w:val="00E96DFE"/>
    <w:rsid w:val="00EA2A6A"/>
    <w:rsid w:val="00EB4B34"/>
    <w:rsid w:val="00EC56CD"/>
    <w:rsid w:val="00ED2906"/>
    <w:rsid w:val="00ED689F"/>
    <w:rsid w:val="00EE1143"/>
    <w:rsid w:val="00EF6D54"/>
    <w:rsid w:val="00F0030D"/>
    <w:rsid w:val="00F17E2E"/>
    <w:rsid w:val="00F20DAF"/>
    <w:rsid w:val="00F23BEC"/>
    <w:rsid w:val="00F25A44"/>
    <w:rsid w:val="00F3114D"/>
    <w:rsid w:val="00F3553F"/>
    <w:rsid w:val="00F3560F"/>
    <w:rsid w:val="00F46861"/>
    <w:rsid w:val="00F527E8"/>
    <w:rsid w:val="00F53724"/>
    <w:rsid w:val="00F630B5"/>
    <w:rsid w:val="00F71A85"/>
    <w:rsid w:val="00F77B2C"/>
    <w:rsid w:val="00F814BE"/>
    <w:rsid w:val="00F8601C"/>
    <w:rsid w:val="00F87F26"/>
    <w:rsid w:val="00F95BA5"/>
    <w:rsid w:val="00FA3C4D"/>
    <w:rsid w:val="00FA4B6D"/>
    <w:rsid w:val="00FA5DEC"/>
    <w:rsid w:val="00FB2117"/>
    <w:rsid w:val="00FC768F"/>
    <w:rsid w:val="00FD1359"/>
    <w:rsid w:val="00FD78CD"/>
    <w:rsid w:val="00FE1C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9A837"/>
  <w15:chartTrackingRefBased/>
  <w15:docId w15:val="{A9EC6E49-6954-47A5-9478-3E45BC74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Normal"/>
    <w:link w:val="Heading1Char"/>
    <w:uiPriority w:val="9"/>
    <w:qFormat/>
    <w:rsid w:val="00BD3505"/>
    <w:pPr>
      <w:spacing w:after="120" w:line="361" w:lineRule="atLeast"/>
      <w:outlineLvl w:val="0"/>
    </w:pPr>
    <w:rPr>
      <w:rFonts w:cstheme="minorBidi"/>
      <w:b/>
      <w:color w:val="58A28B"/>
      <w:sz w:val="32"/>
      <w:szCs w:val="22"/>
    </w:rPr>
  </w:style>
  <w:style w:type="paragraph" w:styleId="Heading2">
    <w:name w:val="heading 2"/>
    <w:basedOn w:val="Heading1"/>
    <w:next w:val="Normal"/>
    <w:link w:val="Heading2Char"/>
    <w:uiPriority w:val="9"/>
    <w:unhideWhenUsed/>
    <w:qFormat/>
    <w:rsid w:val="00321F99"/>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652D"/>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Pa4">
    <w:name w:val="Pa4"/>
    <w:basedOn w:val="Default"/>
    <w:next w:val="Default"/>
    <w:uiPriority w:val="99"/>
    <w:rsid w:val="00CC652D"/>
    <w:pPr>
      <w:spacing w:line="361" w:lineRule="atLeast"/>
    </w:pPr>
    <w:rPr>
      <w:rFonts w:cstheme="minorBidi"/>
      <w:color w:val="auto"/>
    </w:rPr>
  </w:style>
  <w:style w:type="paragraph" w:styleId="BodyText">
    <w:name w:val="Body Text"/>
    <w:basedOn w:val="Normal"/>
    <w:link w:val="BodyTextChar"/>
    <w:unhideWhenUsed/>
    <w:qFormat/>
    <w:rsid w:val="00CC652D"/>
    <w:pPr>
      <w:suppressAutoHyphens/>
      <w:spacing w:before="120" w:after="60" w:line="260" w:lineRule="atLeast"/>
    </w:pPr>
    <w:rPr>
      <w:color w:val="44546A" w:themeColor="text2"/>
      <w:lang w:val="en-GB"/>
    </w:rPr>
  </w:style>
  <w:style w:type="character" w:customStyle="1" w:styleId="BodyTextChar">
    <w:name w:val="Body Text Char"/>
    <w:basedOn w:val="DefaultParagraphFont"/>
    <w:link w:val="BodyText"/>
    <w:rsid w:val="00CC652D"/>
    <w:rPr>
      <w:color w:val="44546A" w:themeColor="text2"/>
      <w:lang w:val="en-GB"/>
    </w:rPr>
  </w:style>
  <w:style w:type="paragraph" w:styleId="BalloonText">
    <w:name w:val="Balloon Text"/>
    <w:basedOn w:val="Normal"/>
    <w:link w:val="BalloonTextChar"/>
    <w:uiPriority w:val="99"/>
    <w:semiHidden/>
    <w:unhideWhenUsed/>
    <w:rsid w:val="00392C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C44"/>
    <w:rPr>
      <w:rFonts w:ascii="Segoe UI" w:hAnsi="Segoe UI" w:cs="Segoe UI"/>
      <w:sz w:val="18"/>
      <w:szCs w:val="18"/>
    </w:rPr>
  </w:style>
  <w:style w:type="character" w:styleId="CommentReference">
    <w:name w:val="annotation reference"/>
    <w:basedOn w:val="DefaultParagraphFont"/>
    <w:uiPriority w:val="99"/>
    <w:semiHidden/>
    <w:unhideWhenUsed/>
    <w:rsid w:val="00C2181A"/>
    <w:rPr>
      <w:sz w:val="16"/>
      <w:szCs w:val="16"/>
    </w:rPr>
  </w:style>
  <w:style w:type="paragraph" w:styleId="CommentText">
    <w:name w:val="annotation text"/>
    <w:basedOn w:val="Normal"/>
    <w:link w:val="CommentTextChar"/>
    <w:uiPriority w:val="99"/>
    <w:semiHidden/>
    <w:unhideWhenUsed/>
    <w:rsid w:val="00C2181A"/>
    <w:pPr>
      <w:spacing w:line="240" w:lineRule="auto"/>
    </w:pPr>
    <w:rPr>
      <w:sz w:val="20"/>
      <w:szCs w:val="20"/>
    </w:rPr>
  </w:style>
  <w:style w:type="character" w:customStyle="1" w:styleId="CommentTextChar">
    <w:name w:val="Comment Text Char"/>
    <w:basedOn w:val="DefaultParagraphFont"/>
    <w:link w:val="CommentText"/>
    <w:uiPriority w:val="99"/>
    <w:semiHidden/>
    <w:rsid w:val="00C2181A"/>
    <w:rPr>
      <w:sz w:val="20"/>
      <w:szCs w:val="20"/>
    </w:rPr>
  </w:style>
  <w:style w:type="paragraph" w:styleId="CommentSubject">
    <w:name w:val="annotation subject"/>
    <w:basedOn w:val="CommentText"/>
    <w:next w:val="CommentText"/>
    <w:link w:val="CommentSubjectChar"/>
    <w:uiPriority w:val="99"/>
    <w:semiHidden/>
    <w:unhideWhenUsed/>
    <w:rsid w:val="00C2181A"/>
    <w:rPr>
      <w:b/>
      <w:bCs/>
    </w:rPr>
  </w:style>
  <w:style w:type="character" w:customStyle="1" w:styleId="CommentSubjectChar">
    <w:name w:val="Comment Subject Char"/>
    <w:basedOn w:val="CommentTextChar"/>
    <w:link w:val="CommentSubject"/>
    <w:uiPriority w:val="99"/>
    <w:semiHidden/>
    <w:rsid w:val="00C2181A"/>
    <w:rPr>
      <w:b/>
      <w:bCs/>
      <w:sz w:val="20"/>
      <w:szCs w:val="20"/>
    </w:rPr>
  </w:style>
  <w:style w:type="paragraph" w:styleId="ListParagraph">
    <w:name w:val="List Paragraph"/>
    <w:aliases w:val="Bullet point,Recommendation,List Paragraph1,List Paragraph11,List Paragraph2,Dot pt,F5 List Paragraph,No Spacing1,List Paragraph Char Char Char,Indicator Text,Numbered Para 1,Bullet 1,List Paragraph12,Bullet Points,MAIN CONTENT,FooterText"/>
    <w:basedOn w:val="Normal"/>
    <w:link w:val="ListParagraphChar"/>
    <w:uiPriority w:val="34"/>
    <w:qFormat/>
    <w:rsid w:val="00E53A32"/>
    <w:pPr>
      <w:ind w:left="720"/>
      <w:contextualSpacing/>
    </w:pPr>
  </w:style>
  <w:style w:type="table" w:customStyle="1" w:styleId="TableGrid1">
    <w:name w:val="Table Grid1"/>
    <w:basedOn w:val="TableNormal"/>
    <w:next w:val="TableGrid"/>
    <w:uiPriority w:val="39"/>
    <w:rsid w:val="00E53A32"/>
    <w:pPr>
      <w:spacing w:after="0" w:line="240" w:lineRule="auto"/>
    </w:pPr>
    <w:rPr>
      <w:color w:val="262626" w:themeColor="text1" w:themeTint="D9"/>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Recommendation Char,List Paragraph1 Char,List Paragraph11 Char,List Paragraph2 Char,Dot pt Char,F5 List Paragraph Char,No Spacing1 Char,List Paragraph Char Char Char Char,Indicator Text Char,Numbered Para 1 Char"/>
    <w:basedOn w:val="DefaultParagraphFont"/>
    <w:link w:val="ListParagraph"/>
    <w:uiPriority w:val="34"/>
    <w:qFormat/>
    <w:locked/>
    <w:rsid w:val="00E53A32"/>
  </w:style>
  <w:style w:type="table" w:styleId="TableGrid">
    <w:name w:val="Table Grid"/>
    <w:basedOn w:val="TableNormal"/>
    <w:uiPriority w:val="39"/>
    <w:rsid w:val="00E53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Default"/>
    <w:next w:val="Default"/>
    <w:uiPriority w:val="99"/>
    <w:rsid w:val="00A903FE"/>
    <w:pPr>
      <w:spacing w:line="481" w:lineRule="atLeast"/>
    </w:pPr>
    <w:rPr>
      <w:rFonts w:cstheme="minorBidi"/>
      <w:color w:val="auto"/>
    </w:rPr>
  </w:style>
  <w:style w:type="paragraph" w:customStyle="1" w:styleId="Pa25">
    <w:name w:val="Pa25"/>
    <w:basedOn w:val="Default"/>
    <w:next w:val="Default"/>
    <w:uiPriority w:val="99"/>
    <w:rsid w:val="00A903FE"/>
    <w:pPr>
      <w:spacing w:line="701" w:lineRule="atLeast"/>
    </w:pPr>
    <w:rPr>
      <w:rFonts w:cstheme="minorBidi"/>
      <w:color w:val="auto"/>
    </w:rPr>
  </w:style>
  <w:style w:type="paragraph" w:customStyle="1" w:styleId="Pa33">
    <w:name w:val="Pa33"/>
    <w:basedOn w:val="Default"/>
    <w:next w:val="Default"/>
    <w:uiPriority w:val="99"/>
    <w:rsid w:val="00A903FE"/>
    <w:pPr>
      <w:spacing w:line="381" w:lineRule="atLeast"/>
    </w:pPr>
    <w:rPr>
      <w:rFonts w:cstheme="minorBidi"/>
      <w:color w:val="auto"/>
    </w:rPr>
  </w:style>
  <w:style w:type="paragraph" w:customStyle="1" w:styleId="Pa30">
    <w:name w:val="Pa30"/>
    <w:basedOn w:val="Default"/>
    <w:next w:val="Default"/>
    <w:uiPriority w:val="99"/>
    <w:rsid w:val="007974A0"/>
    <w:pPr>
      <w:spacing w:line="381" w:lineRule="atLeast"/>
    </w:pPr>
    <w:rPr>
      <w:rFonts w:cstheme="minorBidi"/>
      <w:color w:val="auto"/>
    </w:rPr>
  </w:style>
  <w:style w:type="character" w:styleId="Emphasis">
    <w:name w:val="Emphasis"/>
    <w:basedOn w:val="DefaultParagraphFont"/>
    <w:uiPriority w:val="20"/>
    <w:qFormat/>
    <w:rsid w:val="00423DB8"/>
    <w:rPr>
      <w:i/>
      <w:iCs/>
    </w:rPr>
  </w:style>
  <w:style w:type="table" w:customStyle="1" w:styleId="NIAADefaultTableStyle">
    <w:name w:val="NIAA Default Table Style"/>
    <w:basedOn w:val="TableNormal"/>
    <w:uiPriority w:val="99"/>
    <w:rsid w:val="00CB34B2"/>
    <w:pPr>
      <w:spacing w:before="60" w:after="60" w:line="264" w:lineRule="auto"/>
    </w:pPr>
    <w:rPr>
      <w:color w:val="262626" w:themeColor="text1" w:themeTint="D9"/>
      <w:sz w:val="18"/>
      <w:szCs w:val="20"/>
    </w:rPr>
    <w:tblPr>
      <w:tblStyleRowBandSize w:val="1"/>
      <w:tblBorders>
        <w:bottom w:val="single" w:sz="18" w:space="0" w:color="E7E6E6" w:themeColor="background2"/>
        <w:insideH w:val="single" w:sz="4" w:space="0" w:color="E7E6E6"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E7E6E6"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customStyle="1" w:styleId="TableBullet">
    <w:name w:val="Table Bullet"/>
    <w:basedOn w:val="ListParagraph"/>
    <w:uiPriority w:val="11"/>
    <w:qFormat/>
    <w:rsid w:val="00CB34B2"/>
    <w:pPr>
      <w:numPr>
        <w:numId w:val="11"/>
      </w:numPr>
      <w:spacing w:before="40" w:after="40" w:line="240" w:lineRule="auto"/>
      <w:contextualSpacing w:val="0"/>
    </w:pPr>
    <w:rPr>
      <w:color w:val="262626" w:themeColor="text1" w:themeTint="D9"/>
      <w:sz w:val="18"/>
      <w:szCs w:val="20"/>
    </w:rPr>
  </w:style>
  <w:style w:type="paragraph" w:customStyle="1" w:styleId="TableNumbering">
    <w:name w:val="Table Numbering"/>
    <w:uiPriority w:val="11"/>
    <w:qFormat/>
    <w:rsid w:val="00CB34B2"/>
    <w:pPr>
      <w:numPr>
        <w:numId w:val="12"/>
      </w:numPr>
      <w:spacing w:before="40" w:after="40" w:line="240" w:lineRule="auto"/>
      <w:ind w:left="284" w:hanging="284"/>
    </w:pPr>
    <w:rPr>
      <w:color w:val="262626" w:themeColor="text1" w:themeTint="D9"/>
      <w:sz w:val="18"/>
      <w:szCs w:val="20"/>
    </w:rPr>
  </w:style>
  <w:style w:type="paragraph" w:styleId="Revision">
    <w:name w:val="Revision"/>
    <w:hidden/>
    <w:uiPriority w:val="99"/>
    <w:semiHidden/>
    <w:rsid w:val="00D37097"/>
    <w:pPr>
      <w:spacing w:after="0" w:line="240" w:lineRule="auto"/>
    </w:pPr>
  </w:style>
  <w:style w:type="paragraph" w:styleId="NormalWeb">
    <w:name w:val="Normal (Web)"/>
    <w:basedOn w:val="Normal"/>
    <w:uiPriority w:val="99"/>
    <w:unhideWhenUsed/>
    <w:rsid w:val="00E361D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E07F4F"/>
    <w:rPr>
      <w:color w:val="0000FF"/>
      <w:u w:val="single"/>
    </w:rPr>
  </w:style>
  <w:style w:type="paragraph" w:styleId="NoSpacing">
    <w:name w:val="No Spacing"/>
    <w:uiPriority w:val="1"/>
    <w:qFormat/>
    <w:rsid w:val="00BF1B6C"/>
    <w:pPr>
      <w:spacing w:after="0" w:line="240" w:lineRule="auto"/>
    </w:pPr>
  </w:style>
  <w:style w:type="character" w:customStyle="1" w:styleId="Heading1Char">
    <w:name w:val="Heading 1 Char"/>
    <w:basedOn w:val="DefaultParagraphFont"/>
    <w:link w:val="Heading1"/>
    <w:uiPriority w:val="9"/>
    <w:rsid w:val="00BD3505"/>
    <w:rPr>
      <w:rFonts w:ascii="Century Gothic" w:hAnsi="Century Gothic"/>
      <w:b/>
      <w:color w:val="58A28B"/>
      <w:sz w:val="32"/>
    </w:rPr>
  </w:style>
  <w:style w:type="paragraph" w:styleId="TOCHeading">
    <w:name w:val="TOC Heading"/>
    <w:basedOn w:val="Heading1"/>
    <w:next w:val="Normal"/>
    <w:uiPriority w:val="39"/>
    <w:unhideWhenUsed/>
    <w:qFormat/>
    <w:rsid w:val="00147B76"/>
    <w:pPr>
      <w:outlineLvl w:val="9"/>
    </w:pPr>
    <w:rPr>
      <w:lang w:val="en-US"/>
    </w:rPr>
  </w:style>
  <w:style w:type="paragraph" w:styleId="TOC1">
    <w:name w:val="toc 1"/>
    <w:basedOn w:val="Normal"/>
    <w:next w:val="Normal"/>
    <w:autoRedefine/>
    <w:uiPriority w:val="39"/>
    <w:unhideWhenUsed/>
    <w:rsid w:val="006406A0"/>
    <w:pPr>
      <w:tabs>
        <w:tab w:val="right" w:leader="dot" w:pos="13948"/>
      </w:tabs>
      <w:spacing w:after="100"/>
    </w:pPr>
  </w:style>
  <w:style w:type="paragraph" w:styleId="Header">
    <w:name w:val="header"/>
    <w:basedOn w:val="Normal"/>
    <w:link w:val="HeaderChar"/>
    <w:uiPriority w:val="99"/>
    <w:unhideWhenUsed/>
    <w:rsid w:val="00812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2CAC"/>
  </w:style>
  <w:style w:type="paragraph" w:styleId="Footer">
    <w:name w:val="footer"/>
    <w:basedOn w:val="Normal"/>
    <w:link w:val="FooterChar"/>
    <w:uiPriority w:val="99"/>
    <w:unhideWhenUsed/>
    <w:rsid w:val="00812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CAC"/>
  </w:style>
  <w:style w:type="character" w:styleId="Strong">
    <w:name w:val="Strong"/>
    <w:basedOn w:val="DefaultParagraphFont"/>
    <w:uiPriority w:val="22"/>
    <w:qFormat/>
    <w:rsid w:val="00BD3505"/>
    <w:rPr>
      <w:b/>
      <w:bCs/>
    </w:rPr>
  </w:style>
  <w:style w:type="character" w:customStyle="1" w:styleId="A4">
    <w:name w:val="A4"/>
    <w:uiPriority w:val="99"/>
    <w:rsid w:val="00BD3505"/>
    <w:rPr>
      <w:rFonts w:cs="Century Gothic"/>
      <w:color w:val="0288C7"/>
      <w:sz w:val="26"/>
      <w:szCs w:val="26"/>
      <w:u w:val="single"/>
    </w:rPr>
  </w:style>
  <w:style w:type="paragraph" w:styleId="TOC2">
    <w:name w:val="toc 2"/>
    <w:basedOn w:val="Normal"/>
    <w:next w:val="Normal"/>
    <w:autoRedefine/>
    <w:uiPriority w:val="39"/>
    <w:unhideWhenUsed/>
    <w:rsid w:val="006406A0"/>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6406A0"/>
    <w:pPr>
      <w:spacing w:after="100"/>
      <w:ind w:left="440"/>
    </w:pPr>
    <w:rPr>
      <w:rFonts w:eastAsiaTheme="minorEastAsia" w:cs="Times New Roman"/>
      <w:lang w:val="en-US"/>
    </w:rPr>
  </w:style>
  <w:style w:type="paragraph" w:customStyle="1" w:styleId="TableBody">
    <w:name w:val="Table Body"/>
    <w:basedOn w:val="Normal"/>
    <w:uiPriority w:val="11"/>
    <w:qFormat/>
    <w:rsid w:val="001625D7"/>
    <w:pPr>
      <w:spacing w:before="40" w:after="40" w:line="264" w:lineRule="auto"/>
    </w:pPr>
    <w:rPr>
      <w:color w:val="262626" w:themeColor="text1" w:themeTint="D9"/>
      <w:sz w:val="18"/>
      <w:szCs w:val="20"/>
    </w:rPr>
  </w:style>
  <w:style w:type="paragraph" w:customStyle="1" w:styleId="TableHeading">
    <w:name w:val="Table Heading"/>
    <w:basedOn w:val="Normal"/>
    <w:uiPriority w:val="11"/>
    <w:qFormat/>
    <w:rsid w:val="001625D7"/>
    <w:pPr>
      <w:spacing w:after="120" w:line="264" w:lineRule="auto"/>
    </w:pPr>
    <w:rPr>
      <w:rFonts w:asciiTheme="majorHAnsi" w:hAnsiTheme="majorHAnsi"/>
      <w:bCs/>
      <w:color w:val="FFFFFF" w:themeColor="background1"/>
      <w:sz w:val="18"/>
      <w:szCs w:val="20"/>
    </w:rPr>
  </w:style>
  <w:style w:type="paragraph" w:customStyle="1" w:styleId="ProtectiveMarking">
    <w:name w:val="Protective Marking"/>
    <w:basedOn w:val="Normal"/>
    <w:uiPriority w:val="13"/>
    <w:rsid w:val="001625D7"/>
    <w:pPr>
      <w:spacing w:after="0" w:line="240" w:lineRule="auto"/>
      <w:jc w:val="center"/>
    </w:pPr>
    <w:rPr>
      <w:rFonts w:asciiTheme="majorHAnsi" w:hAnsiTheme="majorHAnsi"/>
      <w:caps/>
      <w:noProof/>
      <w:color w:val="CD1719"/>
      <w:sz w:val="16"/>
      <w:szCs w:val="20"/>
    </w:rPr>
  </w:style>
  <w:style w:type="table" w:customStyle="1" w:styleId="NIAATableStyle2">
    <w:name w:val="NIAA Table Style 2"/>
    <w:basedOn w:val="TableNormal"/>
    <w:uiPriority w:val="99"/>
    <w:rsid w:val="001625D7"/>
    <w:pPr>
      <w:spacing w:before="60" w:after="60" w:line="264" w:lineRule="auto"/>
    </w:pPr>
    <w:rPr>
      <w:color w:val="262626" w:themeColor="text1" w:themeTint="D9"/>
      <w:sz w:val="20"/>
      <w:szCs w:val="20"/>
    </w:rPr>
    <w:tblPr>
      <w:tblStyleRowBandSize w:val="1"/>
      <w:tblBorders>
        <w:top w:val="single" w:sz="4" w:space="0" w:color="EEF4FA" w:themeColor="accent1" w:themeTint="1A"/>
        <w:left w:val="single" w:sz="4" w:space="0" w:color="EEF4FA" w:themeColor="accent1" w:themeTint="1A"/>
        <w:bottom w:val="single" w:sz="18" w:space="0" w:color="D0CECE" w:themeColor="background2" w:themeShade="E6"/>
        <w:right w:val="single" w:sz="4" w:space="0" w:color="EEF4FA" w:themeColor="accent1" w:themeTint="1A"/>
        <w:insideH w:val="single" w:sz="4" w:space="0" w:color="EEF4FA" w:themeColor="accent1" w:themeTint="1A"/>
        <w:insideV w:val="single" w:sz="4" w:space="0" w:color="EEF4FA"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D0CECE" w:themeFill="background2" w:themeFillShade="E6"/>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customStyle="1" w:styleId="Footerline">
    <w:name w:val="Footer line"/>
    <w:uiPriority w:val="11"/>
    <w:semiHidden/>
    <w:rsid w:val="001625D7"/>
    <w:pPr>
      <w:spacing w:before="20" w:after="240" w:line="264" w:lineRule="auto"/>
    </w:pPr>
    <w:rPr>
      <w:caps/>
      <w:noProof/>
      <w:color w:val="5B9BD5" w:themeColor="accent1"/>
      <w:sz w:val="20"/>
      <w:szCs w:val="20"/>
    </w:rPr>
  </w:style>
  <w:style w:type="character" w:customStyle="1" w:styleId="Heading2Char">
    <w:name w:val="Heading 2 Char"/>
    <w:basedOn w:val="DefaultParagraphFont"/>
    <w:link w:val="Heading2"/>
    <w:uiPriority w:val="9"/>
    <w:rsid w:val="00321F99"/>
    <w:rPr>
      <w:rFonts w:ascii="Century Gothic" w:hAnsi="Century Gothic"/>
      <w:b/>
      <w:color w:val="58A28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4765">
      <w:bodyDiv w:val="1"/>
      <w:marLeft w:val="0"/>
      <w:marRight w:val="0"/>
      <w:marTop w:val="0"/>
      <w:marBottom w:val="0"/>
      <w:divBdr>
        <w:top w:val="none" w:sz="0" w:space="0" w:color="auto"/>
        <w:left w:val="none" w:sz="0" w:space="0" w:color="auto"/>
        <w:bottom w:val="none" w:sz="0" w:space="0" w:color="auto"/>
        <w:right w:val="none" w:sz="0" w:space="0" w:color="auto"/>
      </w:divBdr>
      <w:divsChild>
        <w:div w:id="1998728228">
          <w:marLeft w:val="0"/>
          <w:marRight w:val="0"/>
          <w:marTop w:val="0"/>
          <w:marBottom w:val="0"/>
          <w:divBdr>
            <w:top w:val="none" w:sz="0" w:space="0" w:color="auto"/>
            <w:left w:val="none" w:sz="0" w:space="0" w:color="auto"/>
            <w:bottom w:val="none" w:sz="0" w:space="0" w:color="auto"/>
            <w:right w:val="none" w:sz="0" w:space="0" w:color="auto"/>
          </w:divBdr>
          <w:divsChild>
            <w:div w:id="1253858110">
              <w:marLeft w:val="0"/>
              <w:marRight w:val="0"/>
              <w:marTop w:val="0"/>
              <w:marBottom w:val="0"/>
              <w:divBdr>
                <w:top w:val="none" w:sz="0" w:space="0" w:color="auto"/>
                <w:left w:val="none" w:sz="0" w:space="0" w:color="auto"/>
                <w:bottom w:val="none" w:sz="0" w:space="0" w:color="auto"/>
                <w:right w:val="none" w:sz="0" w:space="0" w:color="auto"/>
              </w:divBdr>
              <w:divsChild>
                <w:div w:id="748356827">
                  <w:marLeft w:val="0"/>
                  <w:marRight w:val="0"/>
                  <w:marTop w:val="0"/>
                  <w:marBottom w:val="0"/>
                  <w:divBdr>
                    <w:top w:val="none" w:sz="0" w:space="0" w:color="auto"/>
                    <w:left w:val="none" w:sz="0" w:space="0" w:color="auto"/>
                    <w:bottom w:val="none" w:sz="0" w:space="0" w:color="auto"/>
                    <w:right w:val="none" w:sz="0" w:space="0" w:color="auto"/>
                  </w:divBdr>
                  <w:divsChild>
                    <w:div w:id="712194423">
                      <w:marLeft w:val="0"/>
                      <w:marRight w:val="0"/>
                      <w:marTop w:val="0"/>
                      <w:marBottom w:val="0"/>
                      <w:divBdr>
                        <w:top w:val="none" w:sz="0" w:space="0" w:color="auto"/>
                        <w:left w:val="none" w:sz="0" w:space="0" w:color="auto"/>
                        <w:bottom w:val="none" w:sz="0" w:space="0" w:color="auto"/>
                        <w:right w:val="none" w:sz="0" w:space="0" w:color="auto"/>
                      </w:divBdr>
                      <w:divsChild>
                        <w:div w:id="1725333120">
                          <w:marLeft w:val="0"/>
                          <w:marRight w:val="0"/>
                          <w:marTop w:val="0"/>
                          <w:marBottom w:val="0"/>
                          <w:divBdr>
                            <w:top w:val="none" w:sz="0" w:space="0" w:color="auto"/>
                            <w:left w:val="none" w:sz="0" w:space="0" w:color="auto"/>
                            <w:bottom w:val="none" w:sz="0" w:space="0" w:color="auto"/>
                            <w:right w:val="none" w:sz="0" w:space="0" w:color="auto"/>
                          </w:divBdr>
                          <w:divsChild>
                            <w:div w:id="1850173503">
                              <w:marLeft w:val="0"/>
                              <w:marRight w:val="0"/>
                              <w:marTop w:val="0"/>
                              <w:marBottom w:val="0"/>
                              <w:divBdr>
                                <w:top w:val="none" w:sz="0" w:space="0" w:color="auto"/>
                                <w:left w:val="none" w:sz="0" w:space="0" w:color="auto"/>
                                <w:bottom w:val="none" w:sz="0" w:space="0" w:color="auto"/>
                                <w:right w:val="none" w:sz="0" w:space="0" w:color="auto"/>
                              </w:divBdr>
                              <w:divsChild>
                                <w:div w:id="136899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34410">
      <w:bodyDiv w:val="1"/>
      <w:marLeft w:val="0"/>
      <w:marRight w:val="0"/>
      <w:marTop w:val="0"/>
      <w:marBottom w:val="0"/>
      <w:divBdr>
        <w:top w:val="none" w:sz="0" w:space="0" w:color="auto"/>
        <w:left w:val="none" w:sz="0" w:space="0" w:color="auto"/>
        <w:bottom w:val="none" w:sz="0" w:space="0" w:color="auto"/>
        <w:right w:val="none" w:sz="0" w:space="0" w:color="auto"/>
      </w:divBdr>
    </w:div>
    <w:div w:id="173494688">
      <w:bodyDiv w:val="1"/>
      <w:marLeft w:val="0"/>
      <w:marRight w:val="0"/>
      <w:marTop w:val="0"/>
      <w:marBottom w:val="0"/>
      <w:divBdr>
        <w:top w:val="none" w:sz="0" w:space="0" w:color="auto"/>
        <w:left w:val="none" w:sz="0" w:space="0" w:color="auto"/>
        <w:bottom w:val="none" w:sz="0" w:space="0" w:color="auto"/>
        <w:right w:val="none" w:sz="0" w:space="0" w:color="auto"/>
      </w:divBdr>
    </w:div>
    <w:div w:id="173956827">
      <w:bodyDiv w:val="1"/>
      <w:marLeft w:val="0"/>
      <w:marRight w:val="0"/>
      <w:marTop w:val="0"/>
      <w:marBottom w:val="0"/>
      <w:divBdr>
        <w:top w:val="none" w:sz="0" w:space="0" w:color="auto"/>
        <w:left w:val="none" w:sz="0" w:space="0" w:color="auto"/>
        <w:bottom w:val="none" w:sz="0" w:space="0" w:color="auto"/>
        <w:right w:val="none" w:sz="0" w:space="0" w:color="auto"/>
      </w:divBdr>
    </w:div>
    <w:div w:id="380249617">
      <w:bodyDiv w:val="1"/>
      <w:marLeft w:val="0"/>
      <w:marRight w:val="0"/>
      <w:marTop w:val="0"/>
      <w:marBottom w:val="0"/>
      <w:divBdr>
        <w:top w:val="none" w:sz="0" w:space="0" w:color="auto"/>
        <w:left w:val="none" w:sz="0" w:space="0" w:color="auto"/>
        <w:bottom w:val="none" w:sz="0" w:space="0" w:color="auto"/>
        <w:right w:val="none" w:sz="0" w:space="0" w:color="auto"/>
      </w:divBdr>
    </w:div>
    <w:div w:id="435292902">
      <w:bodyDiv w:val="1"/>
      <w:marLeft w:val="0"/>
      <w:marRight w:val="0"/>
      <w:marTop w:val="0"/>
      <w:marBottom w:val="0"/>
      <w:divBdr>
        <w:top w:val="none" w:sz="0" w:space="0" w:color="auto"/>
        <w:left w:val="none" w:sz="0" w:space="0" w:color="auto"/>
        <w:bottom w:val="none" w:sz="0" w:space="0" w:color="auto"/>
        <w:right w:val="none" w:sz="0" w:space="0" w:color="auto"/>
      </w:divBdr>
    </w:div>
    <w:div w:id="480579850">
      <w:bodyDiv w:val="1"/>
      <w:marLeft w:val="0"/>
      <w:marRight w:val="0"/>
      <w:marTop w:val="0"/>
      <w:marBottom w:val="0"/>
      <w:divBdr>
        <w:top w:val="none" w:sz="0" w:space="0" w:color="auto"/>
        <w:left w:val="none" w:sz="0" w:space="0" w:color="auto"/>
        <w:bottom w:val="none" w:sz="0" w:space="0" w:color="auto"/>
        <w:right w:val="none" w:sz="0" w:space="0" w:color="auto"/>
      </w:divBdr>
    </w:div>
    <w:div w:id="630284381">
      <w:bodyDiv w:val="1"/>
      <w:marLeft w:val="0"/>
      <w:marRight w:val="0"/>
      <w:marTop w:val="0"/>
      <w:marBottom w:val="0"/>
      <w:divBdr>
        <w:top w:val="none" w:sz="0" w:space="0" w:color="auto"/>
        <w:left w:val="none" w:sz="0" w:space="0" w:color="auto"/>
        <w:bottom w:val="none" w:sz="0" w:space="0" w:color="auto"/>
        <w:right w:val="none" w:sz="0" w:space="0" w:color="auto"/>
      </w:divBdr>
    </w:div>
    <w:div w:id="648754597">
      <w:bodyDiv w:val="1"/>
      <w:marLeft w:val="0"/>
      <w:marRight w:val="0"/>
      <w:marTop w:val="0"/>
      <w:marBottom w:val="0"/>
      <w:divBdr>
        <w:top w:val="none" w:sz="0" w:space="0" w:color="auto"/>
        <w:left w:val="none" w:sz="0" w:space="0" w:color="auto"/>
        <w:bottom w:val="none" w:sz="0" w:space="0" w:color="auto"/>
        <w:right w:val="none" w:sz="0" w:space="0" w:color="auto"/>
      </w:divBdr>
    </w:div>
    <w:div w:id="670261184">
      <w:bodyDiv w:val="1"/>
      <w:marLeft w:val="0"/>
      <w:marRight w:val="0"/>
      <w:marTop w:val="0"/>
      <w:marBottom w:val="0"/>
      <w:divBdr>
        <w:top w:val="none" w:sz="0" w:space="0" w:color="auto"/>
        <w:left w:val="none" w:sz="0" w:space="0" w:color="auto"/>
        <w:bottom w:val="none" w:sz="0" w:space="0" w:color="auto"/>
        <w:right w:val="none" w:sz="0" w:space="0" w:color="auto"/>
      </w:divBdr>
    </w:div>
    <w:div w:id="882205916">
      <w:bodyDiv w:val="1"/>
      <w:marLeft w:val="0"/>
      <w:marRight w:val="0"/>
      <w:marTop w:val="0"/>
      <w:marBottom w:val="0"/>
      <w:divBdr>
        <w:top w:val="none" w:sz="0" w:space="0" w:color="auto"/>
        <w:left w:val="none" w:sz="0" w:space="0" w:color="auto"/>
        <w:bottom w:val="none" w:sz="0" w:space="0" w:color="auto"/>
        <w:right w:val="none" w:sz="0" w:space="0" w:color="auto"/>
      </w:divBdr>
    </w:div>
    <w:div w:id="891619114">
      <w:bodyDiv w:val="1"/>
      <w:marLeft w:val="0"/>
      <w:marRight w:val="0"/>
      <w:marTop w:val="0"/>
      <w:marBottom w:val="0"/>
      <w:divBdr>
        <w:top w:val="none" w:sz="0" w:space="0" w:color="auto"/>
        <w:left w:val="none" w:sz="0" w:space="0" w:color="auto"/>
        <w:bottom w:val="none" w:sz="0" w:space="0" w:color="auto"/>
        <w:right w:val="none" w:sz="0" w:space="0" w:color="auto"/>
      </w:divBdr>
    </w:div>
    <w:div w:id="896432692">
      <w:bodyDiv w:val="1"/>
      <w:marLeft w:val="0"/>
      <w:marRight w:val="0"/>
      <w:marTop w:val="0"/>
      <w:marBottom w:val="0"/>
      <w:divBdr>
        <w:top w:val="none" w:sz="0" w:space="0" w:color="auto"/>
        <w:left w:val="none" w:sz="0" w:space="0" w:color="auto"/>
        <w:bottom w:val="none" w:sz="0" w:space="0" w:color="auto"/>
        <w:right w:val="none" w:sz="0" w:space="0" w:color="auto"/>
      </w:divBdr>
    </w:div>
    <w:div w:id="949048753">
      <w:bodyDiv w:val="1"/>
      <w:marLeft w:val="0"/>
      <w:marRight w:val="0"/>
      <w:marTop w:val="0"/>
      <w:marBottom w:val="0"/>
      <w:divBdr>
        <w:top w:val="none" w:sz="0" w:space="0" w:color="auto"/>
        <w:left w:val="none" w:sz="0" w:space="0" w:color="auto"/>
        <w:bottom w:val="none" w:sz="0" w:space="0" w:color="auto"/>
        <w:right w:val="none" w:sz="0" w:space="0" w:color="auto"/>
      </w:divBdr>
    </w:div>
    <w:div w:id="994379198">
      <w:bodyDiv w:val="1"/>
      <w:marLeft w:val="0"/>
      <w:marRight w:val="0"/>
      <w:marTop w:val="0"/>
      <w:marBottom w:val="0"/>
      <w:divBdr>
        <w:top w:val="none" w:sz="0" w:space="0" w:color="auto"/>
        <w:left w:val="none" w:sz="0" w:space="0" w:color="auto"/>
        <w:bottom w:val="none" w:sz="0" w:space="0" w:color="auto"/>
        <w:right w:val="none" w:sz="0" w:space="0" w:color="auto"/>
      </w:divBdr>
    </w:div>
    <w:div w:id="1015301401">
      <w:bodyDiv w:val="1"/>
      <w:marLeft w:val="0"/>
      <w:marRight w:val="0"/>
      <w:marTop w:val="0"/>
      <w:marBottom w:val="0"/>
      <w:divBdr>
        <w:top w:val="none" w:sz="0" w:space="0" w:color="auto"/>
        <w:left w:val="none" w:sz="0" w:space="0" w:color="auto"/>
        <w:bottom w:val="none" w:sz="0" w:space="0" w:color="auto"/>
        <w:right w:val="none" w:sz="0" w:space="0" w:color="auto"/>
      </w:divBdr>
    </w:div>
    <w:div w:id="1185092758">
      <w:bodyDiv w:val="1"/>
      <w:marLeft w:val="0"/>
      <w:marRight w:val="0"/>
      <w:marTop w:val="0"/>
      <w:marBottom w:val="0"/>
      <w:divBdr>
        <w:top w:val="none" w:sz="0" w:space="0" w:color="auto"/>
        <w:left w:val="none" w:sz="0" w:space="0" w:color="auto"/>
        <w:bottom w:val="none" w:sz="0" w:space="0" w:color="auto"/>
        <w:right w:val="none" w:sz="0" w:space="0" w:color="auto"/>
      </w:divBdr>
    </w:div>
    <w:div w:id="1220819198">
      <w:bodyDiv w:val="1"/>
      <w:marLeft w:val="0"/>
      <w:marRight w:val="0"/>
      <w:marTop w:val="0"/>
      <w:marBottom w:val="0"/>
      <w:divBdr>
        <w:top w:val="none" w:sz="0" w:space="0" w:color="auto"/>
        <w:left w:val="none" w:sz="0" w:space="0" w:color="auto"/>
        <w:bottom w:val="none" w:sz="0" w:space="0" w:color="auto"/>
        <w:right w:val="none" w:sz="0" w:space="0" w:color="auto"/>
      </w:divBdr>
    </w:div>
    <w:div w:id="1326932379">
      <w:bodyDiv w:val="1"/>
      <w:marLeft w:val="0"/>
      <w:marRight w:val="0"/>
      <w:marTop w:val="0"/>
      <w:marBottom w:val="0"/>
      <w:divBdr>
        <w:top w:val="none" w:sz="0" w:space="0" w:color="auto"/>
        <w:left w:val="none" w:sz="0" w:space="0" w:color="auto"/>
        <w:bottom w:val="none" w:sz="0" w:space="0" w:color="auto"/>
        <w:right w:val="none" w:sz="0" w:space="0" w:color="auto"/>
      </w:divBdr>
    </w:div>
    <w:div w:id="1347443938">
      <w:bodyDiv w:val="1"/>
      <w:marLeft w:val="0"/>
      <w:marRight w:val="0"/>
      <w:marTop w:val="0"/>
      <w:marBottom w:val="0"/>
      <w:divBdr>
        <w:top w:val="none" w:sz="0" w:space="0" w:color="auto"/>
        <w:left w:val="none" w:sz="0" w:space="0" w:color="auto"/>
        <w:bottom w:val="none" w:sz="0" w:space="0" w:color="auto"/>
        <w:right w:val="none" w:sz="0" w:space="0" w:color="auto"/>
      </w:divBdr>
    </w:div>
    <w:div w:id="1369335596">
      <w:bodyDiv w:val="1"/>
      <w:marLeft w:val="0"/>
      <w:marRight w:val="0"/>
      <w:marTop w:val="0"/>
      <w:marBottom w:val="0"/>
      <w:divBdr>
        <w:top w:val="none" w:sz="0" w:space="0" w:color="auto"/>
        <w:left w:val="none" w:sz="0" w:space="0" w:color="auto"/>
        <w:bottom w:val="none" w:sz="0" w:space="0" w:color="auto"/>
        <w:right w:val="none" w:sz="0" w:space="0" w:color="auto"/>
      </w:divBdr>
      <w:divsChild>
        <w:div w:id="822162037">
          <w:marLeft w:val="274"/>
          <w:marRight w:val="0"/>
          <w:marTop w:val="0"/>
          <w:marBottom w:val="0"/>
          <w:divBdr>
            <w:top w:val="none" w:sz="0" w:space="0" w:color="auto"/>
            <w:left w:val="none" w:sz="0" w:space="0" w:color="auto"/>
            <w:bottom w:val="none" w:sz="0" w:space="0" w:color="auto"/>
            <w:right w:val="none" w:sz="0" w:space="0" w:color="auto"/>
          </w:divBdr>
        </w:div>
      </w:divsChild>
    </w:div>
    <w:div w:id="1386837908">
      <w:bodyDiv w:val="1"/>
      <w:marLeft w:val="0"/>
      <w:marRight w:val="0"/>
      <w:marTop w:val="0"/>
      <w:marBottom w:val="0"/>
      <w:divBdr>
        <w:top w:val="none" w:sz="0" w:space="0" w:color="auto"/>
        <w:left w:val="none" w:sz="0" w:space="0" w:color="auto"/>
        <w:bottom w:val="none" w:sz="0" w:space="0" w:color="auto"/>
        <w:right w:val="none" w:sz="0" w:space="0" w:color="auto"/>
      </w:divBdr>
    </w:div>
    <w:div w:id="1428303476">
      <w:bodyDiv w:val="1"/>
      <w:marLeft w:val="0"/>
      <w:marRight w:val="0"/>
      <w:marTop w:val="0"/>
      <w:marBottom w:val="0"/>
      <w:divBdr>
        <w:top w:val="none" w:sz="0" w:space="0" w:color="auto"/>
        <w:left w:val="none" w:sz="0" w:space="0" w:color="auto"/>
        <w:bottom w:val="none" w:sz="0" w:space="0" w:color="auto"/>
        <w:right w:val="none" w:sz="0" w:space="0" w:color="auto"/>
      </w:divBdr>
    </w:div>
    <w:div w:id="1463689220">
      <w:bodyDiv w:val="1"/>
      <w:marLeft w:val="0"/>
      <w:marRight w:val="0"/>
      <w:marTop w:val="0"/>
      <w:marBottom w:val="0"/>
      <w:divBdr>
        <w:top w:val="none" w:sz="0" w:space="0" w:color="auto"/>
        <w:left w:val="none" w:sz="0" w:space="0" w:color="auto"/>
        <w:bottom w:val="none" w:sz="0" w:space="0" w:color="auto"/>
        <w:right w:val="none" w:sz="0" w:space="0" w:color="auto"/>
      </w:divBdr>
    </w:div>
    <w:div w:id="1668244030">
      <w:bodyDiv w:val="1"/>
      <w:marLeft w:val="0"/>
      <w:marRight w:val="0"/>
      <w:marTop w:val="0"/>
      <w:marBottom w:val="0"/>
      <w:divBdr>
        <w:top w:val="none" w:sz="0" w:space="0" w:color="auto"/>
        <w:left w:val="none" w:sz="0" w:space="0" w:color="auto"/>
        <w:bottom w:val="none" w:sz="0" w:space="0" w:color="auto"/>
        <w:right w:val="none" w:sz="0" w:space="0" w:color="auto"/>
      </w:divBdr>
    </w:div>
    <w:div w:id="1753088988">
      <w:bodyDiv w:val="1"/>
      <w:marLeft w:val="0"/>
      <w:marRight w:val="0"/>
      <w:marTop w:val="0"/>
      <w:marBottom w:val="0"/>
      <w:divBdr>
        <w:top w:val="none" w:sz="0" w:space="0" w:color="auto"/>
        <w:left w:val="none" w:sz="0" w:space="0" w:color="auto"/>
        <w:bottom w:val="none" w:sz="0" w:space="0" w:color="auto"/>
        <w:right w:val="none" w:sz="0" w:space="0" w:color="auto"/>
      </w:divBdr>
    </w:div>
    <w:div w:id="1768041191">
      <w:bodyDiv w:val="1"/>
      <w:marLeft w:val="0"/>
      <w:marRight w:val="0"/>
      <w:marTop w:val="0"/>
      <w:marBottom w:val="0"/>
      <w:divBdr>
        <w:top w:val="none" w:sz="0" w:space="0" w:color="auto"/>
        <w:left w:val="none" w:sz="0" w:space="0" w:color="auto"/>
        <w:bottom w:val="none" w:sz="0" w:space="0" w:color="auto"/>
        <w:right w:val="none" w:sz="0" w:space="0" w:color="auto"/>
      </w:divBdr>
    </w:div>
    <w:div w:id="198268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library.pmc.gov.au/wp-content/uploads/ccby.p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 TargetMode="External"/><Relationship Id="rId5" Type="http://schemas.openxmlformats.org/officeDocument/2006/relationships/numbering" Target="numbering.xml"/><Relationship Id="rId15" Type="http://schemas.openxmlformats.org/officeDocument/2006/relationships/image" Target="media/image2.jp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mc.gov.au/cca"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PMCNotes xmlns="166541c0-0594-4e6a-9105-c24d4b6de6f7" xsi:nil="true"/>
    <ShareHubID xmlns="166541c0-0594-4e6a-9105-c24d4b6de6f7">DOC21-12285</ShareHubID>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TaxCatchAll xmlns="166541c0-0594-4e6a-9105-c24d4b6de6f7">
      <Value>62</Value>
      <Value>29</Value>
      <Value>57</Value>
      <Value>56</Value>
    </TaxCatchAll>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Info xmlns="http://schemas.microsoft.com/office/infopath/2007/PartnerControls">
          <TermName xmlns="http://schemas.microsoft.com/office/infopath/2007/PartnerControls">Official</TermName>
          <TermId xmlns="http://schemas.microsoft.com/office/infopath/2007/PartnerControls">f53c1d54-6e59-4b8b-8af5-a00f9baa8e57</TermId>
        </TermInfo>
        <TermInfo xmlns="http://schemas.microsoft.com/office/infopath/2007/PartnerControls">
          <TermName xmlns="http://schemas.microsoft.com/office/infopath/2007/PartnerControls">COVID-19</TermName>
          <TermId xmlns="http://schemas.microsoft.com/office/infopath/2007/PartnerControls">c1da604a-829f-435b-844b-fd97e09d1455</TermId>
        </TermInfo>
      </Terms>
    </hc4a8f51d7584793bcee84017ea96cb3>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A5C40-5AC0-40ED-B066-F57B8C4BAF5C}"/>
</file>

<file path=customXml/itemProps2.xml><?xml version="1.0" encoding="utf-8"?>
<ds:datastoreItem xmlns:ds="http://schemas.openxmlformats.org/officeDocument/2006/customXml" ds:itemID="{6C17476A-D7A7-4D83-AB0A-9BAFA0F3081F}">
  <ds:schemaRefs>
    <ds:schemaRef ds:uri="http://schemas.microsoft.com/sharepoint/v3/contenttype/forms"/>
  </ds:schemaRefs>
</ds:datastoreItem>
</file>

<file path=customXml/itemProps3.xml><?xml version="1.0" encoding="utf-8"?>
<ds:datastoreItem xmlns:ds="http://schemas.openxmlformats.org/officeDocument/2006/customXml" ds:itemID="{7DE801AE-159A-4CFA-89A5-02963A402A38}">
  <ds:schemaRefs>
    <ds:schemaRef ds:uri="http://schemas.microsoft.com/office/2006/metadata/properties"/>
    <ds:schemaRef ds:uri="http://schemas.microsoft.com/office/infopath/2007/PartnerControls"/>
    <ds:schemaRef ds:uri="685f9fda-bd71-4433-b331-92feb9553089"/>
    <ds:schemaRef ds:uri="bada4a64-e241-4d83-b067-ab14064f9744"/>
  </ds:schemaRefs>
</ds:datastoreItem>
</file>

<file path=customXml/itemProps4.xml><?xml version="1.0" encoding="utf-8"?>
<ds:datastoreItem xmlns:ds="http://schemas.openxmlformats.org/officeDocument/2006/customXml" ds:itemID="{62E93A2B-1D63-4D8A-87E3-B5344FF70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6173</Words>
  <Characters>35187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NIAA 2020-21 Corporate Plan</vt:lpstr>
    </vt:vector>
  </TitlesOfParts>
  <Company>Department of the Prime Minister and Cabinet</Company>
  <LinksUpToDate>false</LinksUpToDate>
  <CharactersWithSpaces>41278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NIAA 2020-21 Corporate Plan</dc:title>
  <dc:subject/>
  <dc:creator>National Indigenous Australians Agency</dc:creator>
  <cp:keywords/>
  <dc:description/>
  <cp:lastModifiedBy>Lipapis, Anastasia</cp:lastModifiedBy>
  <cp:revision>6</cp:revision>
  <dcterms:created xsi:type="dcterms:W3CDTF">2020-12-21T04:30:00Z</dcterms:created>
  <dcterms:modified xsi:type="dcterms:W3CDTF">2020-12-21T05:18:00Z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29;#Training|2f396fb6-baad-479d-8254-1550153bbe31;#56;#Official|f53c1d54-6e59-4b8b-8af5-a00f9baa8e57;#62;#COVID-19|c1da604a-829f-435b-844b-fd97e09d1455</vt:lpwstr>
  </property>
  <property fmtid="{D5CDD505-2E9C-101B-9397-08002B2CF9AE}" pid="4" name="HPRMSecurityLevel">
    <vt:lpwstr>57;#OFFICIAL|11463c70-78df-4e3b-b0ff-f66cd3cb26ec</vt:lpwstr>
  </property>
  <property fmtid="{D5CDD505-2E9C-101B-9397-08002B2CF9AE}" pid="5" name="HPRMSecurityCaveat">
    <vt:lpwstr/>
  </property>
  <property fmtid="{D5CDD505-2E9C-101B-9397-08002B2CF9AE}" pid="6" name="PMC.ESearch.TagGeneratedTime">
    <vt:lpwstr>2021-01-18T17:02:37</vt:lpwstr>
  </property>
</Properties>
</file>