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785A0" w14:textId="241444FF" w:rsidR="00DC469F" w:rsidRDefault="008D6166" w:rsidP="00A66145">
      <w:pPr>
        <w:pStyle w:val="CoverTitle"/>
      </w:pPr>
      <w:bookmarkStart w:id="0" w:name="_GoBack"/>
      <w:bookmarkEnd w:id="0"/>
      <w:r w:rsidRPr="008D6166">
        <w:rPr>
          <w:lang w:eastAsia="en-AU"/>
        </w:rPr>
        <w:drawing>
          <wp:anchor distT="0" distB="0" distL="114300" distR="114300" simplePos="0" relativeHeight="251572736" behindDoc="1" locked="0" layoutInCell="1" allowOverlap="1" wp14:anchorId="3BDC3FF4" wp14:editId="0B8E56C6">
            <wp:simplePos x="535577" y="-8425543"/>
            <wp:positionH relativeFrom="page">
              <wp:align>left</wp:align>
            </wp:positionH>
            <wp:positionV relativeFrom="page">
              <wp:align>top</wp:align>
            </wp:positionV>
            <wp:extent cx="7559999" cy="10685647"/>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olicy Cove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margin">
              <wp14:pctWidth>0</wp14:pctWidth>
            </wp14:sizeRelH>
            <wp14:sizeRelV relativeFrom="margin">
              <wp14:pctHeight>0</wp14:pctHeight>
            </wp14:sizeRelV>
          </wp:anchor>
        </w:drawing>
      </w:r>
      <w:r w:rsidR="00DE1077">
        <w:t xml:space="preserve">Exposure Draft of the </w:t>
      </w:r>
      <w:r w:rsidR="00A06F40">
        <w:t>Corporations (Aboriginal and Torres Strait Islander) Amendment Bill 2021</w:t>
      </w:r>
    </w:p>
    <w:p w14:paraId="6D024BA1" w14:textId="5382CFC6" w:rsidR="00071EBB" w:rsidRPr="00AC7AF8" w:rsidRDefault="00A9081F" w:rsidP="00071EBB">
      <w:pPr>
        <w:pStyle w:val="CoverSubtitle"/>
      </w:pPr>
      <w:r>
        <w:t>Submission</w:t>
      </w:r>
      <w:r w:rsidR="0047481F">
        <w:t xml:space="preserve"> </w:t>
      </w:r>
      <w:r w:rsidR="00450B8C">
        <w:t>to the National Indigenous Australians Agency</w:t>
      </w:r>
    </w:p>
    <w:p w14:paraId="05DE2D5C" w14:textId="2B73E82D" w:rsidR="0031321A" w:rsidRPr="00A66145" w:rsidRDefault="0031321A" w:rsidP="00A66145">
      <w:pPr>
        <w:pStyle w:val="CoverAuthor"/>
      </w:pPr>
    </w:p>
    <w:p w14:paraId="377EDAEB" w14:textId="77777777" w:rsidR="008D6166" w:rsidRPr="008D6166" w:rsidRDefault="00CD0B23" w:rsidP="00A66145">
      <w:pPr>
        <w:pStyle w:val="CoverSubtitle"/>
        <w:sectPr w:rsidR="008D6166" w:rsidRPr="008D6166" w:rsidSect="00CD0B23">
          <w:footerReference w:type="even" r:id="rId12"/>
          <w:footerReference w:type="default" r:id="rId13"/>
          <w:footerReference w:type="first" r:id="rId14"/>
          <w:pgSz w:w="11900" w:h="16840"/>
          <w:pgMar w:top="4253" w:right="3969" w:bottom="1418" w:left="1134" w:header="709" w:footer="567" w:gutter="0"/>
          <w:cols w:space="708"/>
          <w:docGrid w:linePitch="360"/>
        </w:sectPr>
      </w:pPr>
      <w:r>
        <w:rPr>
          <w:noProof/>
          <w:lang w:eastAsia="en-AU"/>
        </w:rPr>
        <mc:AlternateContent>
          <mc:Choice Requires="wps">
            <w:drawing>
              <wp:anchor distT="0" distB="0" distL="114300" distR="114300" simplePos="0" relativeHeight="251602432" behindDoc="0" locked="0" layoutInCell="1" allowOverlap="1" wp14:anchorId="6EA3A951" wp14:editId="17A37BE5">
                <wp:simplePos x="0" y="0"/>
                <wp:positionH relativeFrom="page">
                  <wp:posOffset>720090</wp:posOffset>
                </wp:positionH>
                <wp:positionV relativeFrom="page">
                  <wp:posOffset>9792970</wp:posOffset>
                </wp:positionV>
                <wp:extent cx="1800000" cy="900000"/>
                <wp:effectExtent l="0" t="0" r="3810" b="1905"/>
                <wp:wrapNone/>
                <wp:docPr id="5" name="Text Box 5"/>
                <wp:cNvGraphicFramePr/>
                <a:graphic xmlns:a="http://schemas.openxmlformats.org/drawingml/2006/main">
                  <a:graphicData uri="http://schemas.microsoft.com/office/word/2010/wordprocessingShape">
                    <wps:wsp>
                      <wps:cNvSpPr txBox="1"/>
                      <wps:spPr>
                        <a:xfrm>
                          <a:off x="0" y="0"/>
                          <a:ext cx="1800000" cy="900000"/>
                        </a:xfrm>
                        <a:prstGeom prst="rect">
                          <a:avLst/>
                        </a:prstGeom>
                        <a:noFill/>
                        <a:ln w="6350">
                          <a:noFill/>
                        </a:ln>
                      </wps:spPr>
                      <wps:txbx>
                        <w:txbxContent>
                          <w:p w14:paraId="13547D58" w14:textId="728EFBAA" w:rsidR="007A64A1" w:rsidRPr="00CD0B23" w:rsidRDefault="00450B8C" w:rsidP="009653B8">
                            <w:pPr>
                              <w:pStyle w:val="CoverDate"/>
                            </w:pPr>
                            <w:r>
                              <w:t>August</w:t>
                            </w:r>
                            <w:r w:rsidR="00866077">
                              <w:t xml:space="preserve"> 2021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A3A951" id="_x0000_t202" coordsize="21600,21600" o:spt="202" path="m,l,21600r21600,l21600,xe">
                <v:stroke joinstyle="miter"/>
                <v:path gradientshapeok="t" o:connecttype="rect"/>
              </v:shapetype>
              <v:shape id="Text Box 5" o:spid="_x0000_s1026" type="#_x0000_t202" style="position:absolute;margin-left:56.7pt;margin-top:771.1pt;width:141.75pt;height:70.8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" filled="f" stroked="f" strokeweight=".5pt">
                <v:textbox inset="0,0,0,0">
                  <w:txbxContent>
                    <w:p w14:paraId="13547D58" w14:textId="728EFBAA" w:rsidR="007A64A1" w:rsidRPr="00CD0B23" w:rsidRDefault="00450B8C" w:rsidP="009653B8">
                      <w:pPr>
                        <w:pStyle w:val="CoverDate"/>
                      </w:pPr>
                      <w:r>
                        <w:t>August</w:t>
                      </w:r>
                      <w:r w:rsidR="00866077">
                        <w:t xml:space="preserve"> 2021</w:t>
                      </w:r>
                    </w:p>
                  </w:txbxContent>
                </v:textbox>
                <w10:wrap anchorx="page" anchory="page"/>
              </v:shape>
            </w:pict>
          </mc:Fallback>
        </mc:AlternateContent>
      </w:r>
    </w:p>
    <w:p w14:paraId="7D5D0321" w14:textId="0AFEF1A1" w:rsidR="00D451F9" w:rsidRDefault="008E0C25" w:rsidP="001E4CBA">
      <w:pPr>
        <w:pStyle w:val="Heading1"/>
      </w:pPr>
      <w:bookmarkStart w:id="1" w:name="_Toc79406773"/>
      <w:r>
        <w:lastRenderedPageBreak/>
        <w:t xml:space="preserve">Recommended </w:t>
      </w:r>
      <w:r w:rsidR="00D451F9">
        <w:t>Citation</w:t>
      </w:r>
      <w:bookmarkEnd w:id="1"/>
    </w:p>
    <w:p w14:paraId="744E16AD" w14:textId="2E8318EC" w:rsidR="00D451F9" w:rsidRDefault="00CC7F12" w:rsidP="00B2120B">
      <w:pPr>
        <w:jc w:val="both"/>
      </w:pPr>
      <w:r>
        <w:t>Tangentyere Council Aboriginal Corporation.</w:t>
      </w:r>
      <w:r w:rsidR="00D451F9" w:rsidRPr="00366AEF">
        <w:t xml:space="preserve"> (20</w:t>
      </w:r>
      <w:r w:rsidR="00D451F9">
        <w:t>2</w:t>
      </w:r>
      <w:r w:rsidR="00866077">
        <w:t>1</w:t>
      </w:r>
      <w:r w:rsidR="00D451F9" w:rsidRPr="00366AEF">
        <w:t>)</w:t>
      </w:r>
      <w:r w:rsidR="00D451F9">
        <w:t>.</w:t>
      </w:r>
      <w:r w:rsidR="00D451F9" w:rsidRPr="00366AEF">
        <w:t xml:space="preserve"> </w:t>
      </w:r>
      <w:r w:rsidR="00186953">
        <w:t xml:space="preserve">Submission to the National Indigenous Australians Agency, </w:t>
      </w:r>
      <w:r w:rsidR="00DE1077">
        <w:t xml:space="preserve">Exposure Draft of the </w:t>
      </w:r>
      <w:r>
        <w:t>Corporations (Aboriginal and Torres Strait Islander</w:t>
      </w:r>
      <w:r w:rsidR="00BE0D4B">
        <w:t>) Amendment Bill 2021</w:t>
      </w:r>
      <w:r w:rsidR="00B2120B">
        <w:t xml:space="preserve">. </w:t>
      </w:r>
      <w:r w:rsidR="00D451F9">
        <w:t>Alice Springs, NT: Tangentyere Council Aboriginal Corporation.</w:t>
      </w:r>
    </w:p>
    <w:sdt>
      <w:sdtPr>
        <w:rPr>
          <w:bCs w:val="0"/>
          <w:color w:val="413832" w:themeColor="text1"/>
          <w:sz w:val="21"/>
          <w:szCs w:val="21"/>
          <w:lang w:val="en-AU"/>
        </w:rPr>
        <w:id w:val="448659453"/>
        <w:docPartObj>
          <w:docPartGallery w:val="Table of Contents"/>
          <w:docPartUnique/>
        </w:docPartObj>
      </w:sdtPr>
      <w:sdtEndPr>
        <w:rPr>
          <w:noProof/>
        </w:rPr>
      </w:sdtEndPr>
      <w:sdtContent>
        <w:p w14:paraId="72C8D744" w14:textId="77777777" w:rsidR="00D451F9" w:rsidRPr="00CD0B23" w:rsidRDefault="00D451F9" w:rsidP="00D451F9">
          <w:pPr>
            <w:pStyle w:val="TOCHeading"/>
          </w:pPr>
          <w:r>
            <w:t>Contents</w:t>
          </w:r>
        </w:p>
        <w:p w14:paraId="1D815024" w14:textId="5DD01CB0" w:rsidR="00486815" w:rsidRDefault="00D451F9">
          <w:pPr>
            <w:pStyle w:val="TOC1"/>
            <w:tabs>
              <w:tab w:val="right" w:leader="dot" w:pos="9622"/>
            </w:tabs>
            <w:rPr>
              <w:rFonts w:eastAsiaTheme="minorEastAsia" w:cstheme="minorBidi"/>
              <w:bCs w:val="0"/>
              <w:noProof/>
              <w:color w:val="auto"/>
              <w:sz w:val="22"/>
              <w:szCs w:val="22"/>
              <w:lang w:eastAsia="en-AU"/>
            </w:rPr>
          </w:pPr>
          <w:r>
            <w:rPr>
              <w:bCs w:val="0"/>
              <w:sz w:val="18"/>
            </w:rPr>
            <w:fldChar w:fldCharType="begin"/>
          </w:r>
          <w:r>
            <w:rPr>
              <w:bCs w:val="0"/>
              <w:sz w:val="18"/>
            </w:rPr>
            <w:instrText xml:space="preserve"> TOC \o "1-2" \h \z \u </w:instrText>
          </w:r>
          <w:r>
            <w:rPr>
              <w:bCs w:val="0"/>
              <w:sz w:val="18"/>
            </w:rPr>
            <w:fldChar w:fldCharType="separate"/>
          </w:r>
          <w:hyperlink w:anchor="_Toc79406773" w:history="1">
            <w:r w:rsidR="00486815" w:rsidRPr="00A47EBD">
              <w:rPr>
                <w:rStyle w:val="Hyperlink"/>
                <w:noProof/>
              </w:rPr>
              <w:t>Recommended Citation</w:t>
            </w:r>
            <w:r w:rsidR="00486815">
              <w:rPr>
                <w:noProof/>
                <w:webHidden/>
              </w:rPr>
              <w:tab/>
            </w:r>
            <w:r w:rsidR="00486815">
              <w:rPr>
                <w:noProof/>
                <w:webHidden/>
              </w:rPr>
              <w:fldChar w:fldCharType="begin"/>
            </w:r>
            <w:r w:rsidR="00486815">
              <w:rPr>
                <w:noProof/>
                <w:webHidden/>
              </w:rPr>
              <w:instrText xml:space="preserve"> PAGEREF _Toc79406773 \h </w:instrText>
            </w:r>
            <w:r w:rsidR="00486815">
              <w:rPr>
                <w:noProof/>
                <w:webHidden/>
              </w:rPr>
            </w:r>
            <w:r w:rsidR="00486815">
              <w:rPr>
                <w:noProof/>
                <w:webHidden/>
              </w:rPr>
              <w:fldChar w:fldCharType="separate"/>
            </w:r>
            <w:r w:rsidR="00486815">
              <w:rPr>
                <w:noProof/>
                <w:webHidden/>
              </w:rPr>
              <w:t>2</w:t>
            </w:r>
            <w:r w:rsidR="00486815">
              <w:rPr>
                <w:noProof/>
                <w:webHidden/>
              </w:rPr>
              <w:fldChar w:fldCharType="end"/>
            </w:r>
          </w:hyperlink>
        </w:p>
        <w:p w14:paraId="04EC4721" w14:textId="0748A949" w:rsidR="00486815" w:rsidRDefault="00A90B58">
          <w:pPr>
            <w:pStyle w:val="TOC1"/>
            <w:tabs>
              <w:tab w:val="right" w:leader="dot" w:pos="9622"/>
            </w:tabs>
            <w:rPr>
              <w:rFonts w:eastAsiaTheme="minorEastAsia" w:cstheme="minorBidi"/>
              <w:bCs w:val="0"/>
              <w:noProof/>
              <w:color w:val="auto"/>
              <w:sz w:val="22"/>
              <w:szCs w:val="22"/>
              <w:lang w:eastAsia="en-AU"/>
            </w:rPr>
          </w:pPr>
          <w:hyperlink w:anchor="_Toc79406774" w:history="1">
            <w:r w:rsidR="00486815" w:rsidRPr="00A47EBD">
              <w:rPr>
                <w:rStyle w:val="Hyperlink"/>
                <w:rFonts w:asciiTheme="majorHAnsi" w:hAnsiTheme="majorHAnsi" w:cstheme="majorHAnsi"/>
                <w:noProof/>
              </w:rPr>
              <w:t>Introduction</w:t>
            </w:r>
            <w:r w:rsidR="00486815">
              <w:rPr>
                <w:noProof/>
                <w:webHidden/>
              </w:rPr>
              <w:tab/>
            </w:r>
            <w:r w:rsidR="00486815">
              <w:rPr>
                <w:noProof/>
                <w:webHidden/>
              </w:rPr>
              <w:fldChar w:fldCharType="begin"/>
            </w:r>
            <w:r w:rsidR="00486815">
              <w:rPr>
                <w:noProof/>
                <w:webHidden/>
              </w:rPr>
              <w:instrText xml:space="preserve"> PAGEREF _Toc79406774 \h </w:instrText>
            </w:r>
            <w:r w:rsidR="00486815">
              <w:rPr>
                <w:noProof/>
                <w:webHidden/>
              </w:rPr>
            </w:r>
            <w:r w:rsidR="00486815">
              <w:rPr>
                <w:noProof/>
                <w:webHidden/>
              </w:rPr>
              <w:fldChar w:fldCharType="separate"/>
            </w:r>
            <w:r w:rsidR="00486815">
              <w:rPr>
                <w:noProof/>
                <w:webHidden/>
              </w:rPr>
              <w:t>3</w:t>
            </w:r>
            <w:r w:rsidR="00486815">
              <w:rPr>
                <w:noProof/>
                <w:webHidden/>
              </w:rPr>
              <w:fldChar w:fldCharType="end"/>
            </w:r>
          </w:hyperlink>
        </w:p>
        <w:p w14:paraId="77716C7D" w14:textId="394E24E9" w:rsidR="00486815" w:rsidRDefault="00A90B58">
          <w:pPr>
            <w:pStyle w:val="TOC1"/>
            <w:tabs>
              <w:tab w:val="right" w:leader="dot" w:pos="9622"/>
            </w:tabs>
            <w:rPr>
              <w:rFonts w:eastAsiaTheme="minorEastAsia" w:cstheme="minorBidi"/>
              <w:bCs w:val="0"/>
              <w:noProof/>
              <w:color w:val="auto"/>
              <w:sz w:val="22"/>
              <w:szCs w:val="22"/>
              <w:lang w:eastAsia="en-AU"/>
            </w:rPr>
          </w:pPr>
          <w:hyperlink w:anchor="_Toc79406775" w:history="1">
            <w:r w:rsidR="00486815" w:rsidRPr="00A47EBD">
              <w:rPr>
                <w:rStyle w:val="Hyperlink"/>
                <w:rFonts w:asciiTheme="majorHAnsi" w:hAnsiTheme="majorHAnsi" w:cstheme="majorHAnsi"/>
                <w:noProof/>
              </w:rPr>
              <w:t>Background</w:t>
            </w:r>
            <w:r w:rsidR="00486815">
              <w:rPr>
                <w:noProof/>
                <w:webHidden/>
              </w:rPr>
              <w:tab/>
            </w:r>
            <w:r w:rsidR="00486815">
              <w:rPr>
                <w:noProof/>
                <w:webHidden/>
              </w:rPr>
              <w:fldChar w:fldCharType="begin"/>
            </w:r>
            <w:r w:rsidR="00486815">
              <w:rPr>
                <w:noProof/>
                <w:webHidden/>
              </w:rPr>
              <w:instrText xml:space="preserve"> PAGEREF _Toc79406775 \h </w:instrText>
            </w:r>
            <w:r w:rsidR="00486815">
              <w:rPr>
                <w:noProof/>
                <w:webHidden/>
              </w:rPr>
            </w:r>
            <w:r w:rsidR="00486815">
              <w:rPr>
                <w:noProof/>
                <w:webHidden/>
              </w:rPr>
              <w:fldChar w:fldCharType="separate"/>
            </w:r>
            <w:r w:rsidR="00486815">
              <w:rPr>
                <w:noProof/>
                <w:webHidden/>
              </w:rPr>
              <w:t>4</w:t>
            </w:r>
            <w:r w:rsidR="00486815">
              <w:rPr>
                <w:noProof/>
                <w:webHidden/>
              </w:rPr>
              <w:fldChar w:fldCharType="end"/>
            </w:r>
          </w:hyperlink>
        </w:p>
        <w:p w14:paraId="555BFDC1" w14:textId="20522109" w:rsidR="00486815" w:rsidRDefault="00A90B58">
          <w:pPr>
            <w:pStyle w:val="TOC2"/>
            <w:tabs>
              <w:tab w:val="left" w:pos="660"/>
              <w:tab w:val="right" w:leader="dot" w:pos="9622"/>
            </w:tabs>
            <w:rPr>
              <w:rFonts w:eastAsiaTheme="minorEastAsia" w:cstheme="minorBidi"/>
              <w:iCs w:val="0"/>
              <w:noProof/>
              <w:color w:val="auto"/>
              <w:sz w:val="22"/>
              <w:szCs w:val="22"/>
              <w:lang w:eastAsia="en-AU"/>
            </w:rPr>
          </w:pPr>
          <w:hyperlink w:anchor="_Toc79406776" w:history="1">
            <w:r w:rsidR="00486815" w:rsidRPr="00A47EBD">
              <w:rPr>
                <w:rStyle w:val="Hyperlink"/>
                <w:rFonts w:eastAsia="Times New Roman"/>
                <w:noProof/>
                <w:lang w:eastAsia="en-AU"/>
              </w:rPr>
              <w:t>1.</w:t>
            </w:r>
            <w:r w:rsidR="00486815">
              <w:rPr>
                <w:rFonts w:eastAsiaTheme="minorEastAsia" w:cstheme="minorBidi"/>
                <w:iCs w:val="0"/>
                <w:noProof/>
                <w:color w:val="auto"/>
                <w:sz w:val="22"/>
                <w:szCs w:val="22"/>
                <w:lang w:eastAsia="en-AU"/>
              </w:rPr>
              <w:tab/>
            </w:r>
            <w:r w:rsidR="00486815" w:rsidRPr="00A47EBD">
              <w:rPr>
                <w:rStyle w:val="Hyperlink"/>
                <w:rFonts w:eastAsia="Times New Roman"/>
                <w:noProof/>
                <w:lang w:eastAsia="en-AU"/>
              </w:rPr>
              <w:t>Tangentyere Council Aboriginal Corporation</w:t>
            </w:r>
            <w:r w:rsidR="00486815">
              <w:rPr>
                <w:noProof/>
                <w:webHidden/>
              </w:rPr>
              <w:tab/>
            </w:r>
            <w:r w:rsidR="00486815">
              <w:rPr>
                <w:noProof/>
                <w:webHidden/>
              </w:rPr>
              <w:fldChar w:fldCharType="begin"/>
            </w:r>
            <w:r w:rsidR="00486815">
              <w:rPr>
                <w:noProof/>
                <w:webHidden/>
              </w:rPr>
              <w:instrText xml:space="preserve"> PAGEREF _Toc79406776 \h </w:instrText>
            </w:r>
            <w:r w:rsidR="00486815">
              <w:rPr>
                <w:noProof/>
                <w:webHidden/>
              </w:rPr>
            </w:r>
            <w:r w:rsidR="00486815">
              <w:rPr>
                <w:noProof/>
                <w:webHidden/>
              </w:rPr>
              <w:fldChar w:fldCharType="separate"/>
            </w:r>
            <w:r w:rsidR="00486815">
              <w:rPr>
                <w:noProof/>
                <w:webHidden/>
              </w:rPr>
              <w:t>4</w:t>
            </w:r>
            <w:r w:rsidR="00486815">
              <w:rPr>
                <w:noProof/>
                <w:webHidden/>
              </w:rPr>
              <w:fldChar w:fldCharType="end"/>
            </w:r>
          </w:hyperlink>
        </w:p>
        <w:p w14:paraId="4522C92D" w14:textId="785A26BB" w:rsidR="00486815" w:rsidRDefault="00A90B58">
          <w:pPr>
            <w:pStyle w:val="TOC2"/>
            <w:tabs>
              <w:tab w:val="left" w:pos="660"/>
              <w:tab w:val="right" w:leader="dot" w:pos="9622"/>
            </w:tabs>
            <w:rPr>
              <w:rFonts w:eastAsiaTheme="minorEastAsia" w:cstheme="minorBidi"/>
              <w:iCs w:val="0"/>
              <w:noProof/>
              <w:color w:val="auto"/>
              <w:sz w:val="22"/>
              <w:szCs w:val="22"/>
              <w:lang w:eastAsia="en-AU"/>
            </w:rPr>
          </w:pPr>
          <w:hyperlink w:anchor="_Toc79406777" w:history="1">
            <w:r w:rsidR="00486815" w:rsidRPr="00A47EBD">
              <w:rPr>
                <w:rStyle w:val="Hyperlink"/>
                <w:rFonts w:eastAsia="Times New Roman"/>
                <w:noProof/>
                <w:lang w:eastAsia="en-AU"/>
              </w:rPr>
              <w:t>2.</w:t>
            </w:r>
            <w:r w:rsidR="00486815">
              <w:rPr>
                <w:rFonts w:eastAsiaTheme="minorEastAsia" w:cstheme="minorBidi"/>
                <w:iCs w:val="0"/>
                <w:noProof/>
                <w:color w:val="auto"/>
                <w:sz w:val="22"/>
                <w:szCs w:val="22"/>
                <w:lang w:eastAsia="en-AU"/>
              </w:rPr>
              <w:tab/>
            </w:r>
            <w:r w:rsidR="00486815" w:rsidRPr="00A47EBD">
              <w:rPr>
                <w:rStyle w:val="Hyperlink"/>
                <w:rFonts w:eastAsia="Times New Roman"/>
                <w:noProof/>
                <w:lang w:eastAsia="en-AU"/>
              </w:rPr>
              <w:t>Languages</w:t>
            </w:r>
            <w:r w:rsidR="00486815">
              <w:rPr>
                <w:noProof/>
                <w:webHidden/>
              </w:rPr>
              <w:tab/>
            </w:r>
            <w:r w:rsidR="00486815">
              <w:rPr>
                <w:noProof/>
                <w:webHidden/>
              </w:rPr>
              <w:fldChar w:fldCharType="begin"/>
            </w:r>
            <w:r w:rsidR="00486815">
              <w:rPr>
                <w:noProof/>
                <w:webHidden/>
              </w:rPr>
              <w:instrText xml:space="preserve"> PAGEREF _Toc79406777 \h </w:instrText>
            </w:r>
            <w:r w:rsidR="00486815">
              <w:rPr>
                <w:noProof/>
                <w:webHidden/>
              </w:rPr>
            </w:r>
            <w:r w:rsidR="00486815">
              <w:rPr>
                <w:noProof/>
                <w:webHidden/>
              </w:rPr>
              <w:fldChar w:fldCharType="separate"/>
            </w:r>
            <w:r w:rsidR="00486815">
              <w:rPr>
                <w:noProof/>
                <w:webHidden/>
              </w:rPr>
              <w:t>5</w:t>
            </w:r>
            <w:r w:rsidR="00486815">
              <w:rPr>
                <w:noProof/>
                <w:webHidden/>
              </w:rPr>
              <w:fldChar w:fldCharType="end"/>
            </w:r>
          </w:hyperlink>
        </w:p>
        <w:p w14:paraId="628CAB0C" w14:textId="0A889A71" w:rsidR="00486815" w:rsidRDefault="00A90B58">
          <w:pPr>
            <w:pStyle w:val="TOC2"/>
            <w:tabs>
              <w:tab w:val="left" w:pos="660"/>
              <w:tab w:val="right" w:leader="dot" w:pos="9622"/>
            </w:tabs>
            <w:rPr>
              <w:rFonts w:eastAsiaTheme="minorEastAsia" w:cstheme="minorBidi"/>
              <w:iCs w:val="0"/>
              <w:noProof/>
              <w:color w:val="auto"/>
              <w:sz w:val="22"/>
              <w:szCs w:val="22"/>
              <w:lang w:eastAsia="en-AU"/>
            </w:rPr>
          </w:pPr>
          <w:hyperlink w:anchor="_Toc79406778" w:history="1">
            <w:r w:rsidR="00486815" w:rsidRPr="00A47EBD">
              <w:rPr>
                <w:rStyle w:val="Hyperlink"/>
                <w:rFonts w:eastAsia="Times New Roman"/>
                <w:noProof/>
                <w:lang w:eastAsia="en-AU"/>
              </w:rPr>
              <w:t>3.</w:t>
            </w:r>
            <w:r w:rsidR="00486815">
              <w:rPr>
                <w:rFonts w:eastAsiaTheme="minorEastAsia" w:cstheme="minorBidi"/>
                <w:iCs w:val="0"/>
                <w:noProof/>
                <w:color w:val="auto"/>
                <w:sz w:val="22"/>
                <w:szCs w:val="22"/>
                <w:lang w:eastAsia="en-AU"/>
              </w:rPr>
              <w:tab/>
            </w:r>
            <w:r w:rsidR="00486815" w:rsidRPr="00A47EBD">
              <w:rPr>
                <w:rStyle w:val="Hyperlink"/>
                <w:rFonts w:eastAsia="Times New Roman"/>
                <w:noProof/>
                <w:lang w:eastAsia="en-AU"/>
              </w:rPr>
              <w:t>Local Decision-Making</w:t>
            </w:r>
            <w:r w:rsidR="00486815">
              <w:rPr>
                <w:noProof/>
                <w:webHidden/>
              </w:rPr>
              <w:tab/>
            </w:r>
            <w:r w:rsidR="00486815">
              <w:rPr>
                <w:noProof/>
                <w:webHidden/>
              </w:rPr>
              <w:fldChar w:fldCharType="begin"/>
            </w:r>
            <w:r w:rsidR="00486815">
              <w:rPr>
                <w:noProof/>
                <w:webHidden/>
              </w:rPr>
              <w:instrText xml:space="preserve"> PAGEREF _Toc79406778 \h </w:instrText>
            </w:r>
            <w:r w:rsidR="00486815">
              <w:rPr>
                <w:noProof/>
                <w:webHidden/>
              </w:rPr>
            </w:r>
            <w:r w:rsidR="00486815">
              <w:rPr>
                <w:noProof/>
                <w:webHidden/>
              </w:rPr>
              <w:fldChar w:fldCharType="separate"/>
            </w:r>
            <w:r w:rsidR="00486815">
              <w:rPr>
                <w:noProof/>
                <w:webHidden/>
              </w:rPr>
              <w:t>5</w:t>
            </w:r>
            <w:r w:rsidR="00486815">
              <w:rPr>
                <w:noProof/>
                <w:webHidden/>
              </w:rPr>
              <w:fldChar w:fldCharType="end"/>
            </w:r>
          </w:hyperlink>
        </w:p>
        <w:p w14:paraId="498AD42F" w14:textId="3C8CFAD6" w:rsidR="00486815" w:rsidRDefault="00A90B58">
          <w:pPr>
            <w:pStyle w:val="TOC2"/>
            <w:tabs>
              <w:tab w:val="left" w:pos="660"/>
              <w:tab w:val="right" w:leader="dot" w:pos="9622"/>
            </w:tabs>
            <w:rPr>
              <w:rFonts w:eastAsiaTheme="minorEastAsia" w:cstheme="minorBidi"/>
              <w:iCs w:val="0"/>
              <w:noProof/>
              <w:color w:val="auto"/>
              <w:sz w:val="22"/>
              <w:szCs w:val="22"/>
              <w:lang w:eastAsia="en-AU"/>
            </w:rPr>
          </w:pPr>
          <w:hyperlink w:anchor="_Toc79406779" w:history="1">
            <w:r w:rsidR="00486815" w:rsidRPr="00A47EBD">
              <w:rPr>
                <w:rStyle w:val="Hyperlink"/>
                <w:rFonts w:eastAsia="Times New Roman"/>
                <w:noProof/>
                <w:lang w:eastAsia="en-AU"/>
              </w:rPr>
              <w:t>4.</w:t>
            </w:r>
            <w:r w:rsidR="00486815">
              <w:rPr>
                <w:rFonts w:eastAsiaTheme="minorEastAsia" w:cstheme="minorBidi"/>
                <w:iCs w:val="0"/>
                <w:noProof/>
                <w:color w:val="auto"/>
                <w:sz w:val="22"/>
                <w:szCs w:val="22"/>
                <w:lang w:eastAsia="en-AU"/>
              </w:rPr>
              <w:tab/>
            </w:r>
            <w:r w:rsidR="00486815" w:rsidRPr="00A47EBD">
              <w:rPr>
                <w:rStyle w:val="Hyperlink"/>
                <w:rFonts w:eastAsia="Times New Roman"/>
                <w:noProof/>
                <w:lang w:eastAsia="en-AU"/>
              </w:rPr>
              <w:t>Town Camp Wellness Framework</w:t>
            </w:r>
            <w:r w:rsidR="00486815">
              <w:rPr>
                <w:noProof/>
                <w:webHidden/>
              </w:rPr>
              <w:tab/>
            </w:r>
            <w:r w:rsidR="00486815">
              <w:rPr>
                <w:noProof/>
                <w:webHidden/>
              </w:rPr>
              <w:fldChar w:fldCharType="begin"/>
            </w:r>
            <w:r w:rsidR="00486815">
              <w:rPr>
                <w:noProof/>
                <w:webHidden/>
              </w:rPr>
              <w:instrText xml:space="preserve"> PAGEREF _Toc79406779 \h </w:instrText>
            </w:r>
            <w:r w:rsidR="00486815">
              <w:rPr>
                <w:noProof/>
                <w:webHidden/>
              </w:rPr>
            </w:r>
            <w:r w:rsidR="00486815">
              <w:rPr>
                <w:noProof/>
                <w:webHidden/>
              </w:rPr>
              <w:fldChar w:fldCharType="separate"/>
            </w:r>
            <w:r w:rsidR="00486815">
              <w:rPr>
                <w:noProof/>
                <w:webHidden/>
              </w:rPr>
              <w:t>6</w:t>
            </w:r>
            <w:r w:rsidR="00486815">
              <w:rPr>
                <w:noProof/>
                <w:webHidden/>
              </w:rPr>
              <w:fldChar w:fldCharType="end"/>
            </w:r>
          </w:hyperlink>
        </w:p>
        <w:p w14:paraId="6DFAED55" w14:textId="34D53C47" w:rsidR="00486815" w:rsidRDefault="00A90B58">
          <w:pPr>
            <w:pStyle w:val="TOC1"/>
            <w:tabs>
              <w:tab w:val="right" w:leader="dot" w:pos="9622"/>
            </w:tabs>
            <w:rPr>
              <w:rFonts w:eastAsiaTheme="minorEastAsia" w:cstheme="minorBidi"/>
              <w:bCs w:val="0"/>
              <w:noProof/>
              <w:color w:val="auto"/>
              <w:sz w:val="22"/>
              <w:szCs w:val="22"/>
              <w:lang w:eastAsia="en-AU"/>
            </w:rPr>
          </w:pPr>
          <w:hyperlink w:anchor="_Toc79406780" w:history="1">
            <w:r w:rsidR="00486815" w:rsidRPr="00A47EBD">
              <w:rPr>
                <w:rStyle w:val="Hyperlink"/>
                <w:rFonts w:asciiTheme="majorHAnsi" w:hAnsiTheme="majorHAnsi" w:cstheme="majorHAnsi"/>
                <w:noProof/>
              </w:rPr>
              <w:t>Specific Feedback</w:t>
            </w:r>
            <w:r w:rsidR="00486815">
              <w:rPr>
                <w:noProof/>
                <w:webHidden/>
              </w:rPr>
              <w:tab/>
            </w:r>
            <w:r w:rsidR="00486815">
              <w:rPr>
                <w:noProof/>
                <w:webHidden/>
              </w:rPr>
              <w:fldChar w:fldCharType="begin"/>
            </w:r>
            <w:r w:rsidR="00486815">
              <w:rPr>
                <w:noProof/>
                <w:webHidden/>
              </w:rPr>
              <w:instrText xml:space="preserve"> PAGEREF _Toc79406780 \h </w:instrText>
            </w:r>
            <w:r w:rsidR="00486815">
              <w:rPr>
                <w:noProof/>
                <w:webHidden/>
              </w:rPr>
            </w:r>
            <w:r w:rsidR="00486815">
              <w:rPr>
                <w:noProof/>
                <w:webHidden/>
              </w:rPr>
              <w:fldChar w:fldCharType="separate"/>
            </w:r>
            <w:r w:rsidR="00486815">
              <w:rPr>
                <w:noProof/>
                <w:webHidden/>
              </w:rPr>
              <w:t>7</w:t>
            </w:r>
            <w:r w:rsidR="00486815">
              <w:rPr>
                <w:noProof/>
                <w:webHidden/>
              </w:rPr>
              <w:fldChar w:fldCharType="end"/>
            </w:r>
          </w:hyperlink>
        </w:p>
        <w:p w14:paraId="4E6FC30D" w14:textId="4FCFC1CD" w:rsidR="00486815" w:rsidRDefault="00A90B58">
          <w:pPr>
            <w:pStyle w:val="TOC2"/>
            <w:tabs>
              <w:tab w:val="left" w:pos="660"/>
              <w:tab w:val="right" w:leader="dot" w:pos="9622"/>
            </w:tabs>
            <w:rPr>
              <w:rFonts w:eastAsiaTheme="minorEastAsia" w:cstheme="minorBidi"/>
              <w:iCs w:val="0"/>
              <w:noProof/>
              <w:color w:val="auto"/>
              <w:sz w:val="22"/>
              <w:szCs w:val="22"/>
              <w:lang w:eastAsia="en-AU"/>
            </w:rPr>
          </w:pPr>
          <w:hyperlink w:anchor="_Toc79406781" w:history="1">
            <w:r w:rsidR="00486815" w:rsidRPr="00A47EBD">
              <w:rPr>
                <w:rStyle w:val="Hyperlink"/>
                <w:rFonts w:eastAsia="Times New Roman"/>
                <w:noProof/>
                <w:lang w:eastAsia="en-AU"/>
              </w:rPr>
              <w:t>1.</w:t>
            </w:r>
            <w:r w:rsidR="00486815">
              <w:rPr>
                <w:rFonts w:eastAsiaTheme="minorEastAsia" w:cstheme="minorBidi"/>
                <w:iCs w:val="0"/>
                <w:noProof/>
                <w:color w:val="auto"/>
                <w:sz w:val="22"/>
                <w:szCs w:val="22"/>
                <w:lang w:eastAsia="en-AU"/>
              </w:rPr>
              <w:tab/>
            </w:r>
            <w:r w:rsidR="00486815" w:rsidRPr="00A47EBD">
              <w:rPr>
                <w:rStyle w:val="Hyperlink"/>
                <w:rFonts w:eastAsia="Times New Roman"/>
                <w:noProof/>
                <w:lang w:eastAsia="en-AU"/>
              </w:rPr>
              <w:t>Contacting Members Via Email and Phone</w:t>
            </w:r>
            <w:r w:rsidR="00486815">
              <w:rPr>
                <w:noProof/>
                <w:webHidden/>
              </w:rPr>
              <w:tab/>
            </w:r>
            <w:r w:rsidR="00486815">
              <w:rPr>
                <w:noProof/>
                <w:webHidden/>
              </w:rPr>
              <w:fldChar w:fldCharType="begin"/>
            </w:r>
            <w:r w:rsidR="00486815">
              <w:rPr>
                <w:noProof/>
                <w:webHidden/>
              </w:rPr>
              <w:instrText xml:space="preserve"> PAGEREF _Toc79406781 \h </w:instrText>
            </w:r>
            <w:r w:rsidR="00486815">
              <w:rPr>
                <w:noProof/>
                <w:webHidden/>
              </w:rPr>
            </w:r>
            <w:r w:rsidR="00486815">
              <w:rPr>
                <w:noProof/>
                <w:webHidden/>
              </w:rPr>
              <w:fldChar w:fldCharType="separate"/>
            </w:r>
            <w:r w:rsidR="00486815">
              <w:rPr>
                <w:noProof/>
                <w:webHidden/>
              </w:rPr>
              <w:t>7</w:t>
            </w:r>
            <w:r w:rsidR="00486815">
              <w:rPr>
                <w:noProof/>
                <w:webHidden/>
              </w:rPr>
              <w:fldChar w:fldCharType="end"/>
            </w:r>
          </w:hyperlink>
        </w:p>
        <w:p w14:paraId="309A963A" w14:textId="22985E6E" w:rsidR="00486815" w:rsidRDefault="00A90B58">
          <w:pPr>
            <w:pStyle w:val="TOC2"/>
            <w:tabs>
              <w:tab w:val="left" w:pos="660"/>
              <w:tab w:val="right" w:leader="dot" w:pos="9622"/>
            </w:tabs>
            <w:rPr>
              <w:rFonts w:eastAsiaTheme="minorEastAsia" w:cstheme="minorBidi"/>
              <w:iCs w:val="0"/>
              <w:noProof/>
              <w:color w:val="auto"/>
              <w:sz w:val="22"/>
              <w:szCs w:val="22"/>
              <w:lang w:eastAsia="en-AU"/>
            </w:rPr>
          </w:pPr>
          <w:hyperlink w:anchor="_Toc79406782" w:history="1">
            <w:r w:rsidR="00486815" w:rsidRPr="00A47EBD">
              <w:rPr>
                <w:rStyle w:val="Hyperlink"/>
                <w:rFonts w:eastAsia="Times New Roman"/>
                <w:noProof/>
                <w:lang w:eastAsia="en-AU"/>
              </w:rPr>
              <w:t>2.</w:t>
            </w:r>
            <w:r w:rsidR="00486815">
              <w:rPr>
                <w:rFonts w:eastAsiaTheme="minorEastAsia" w:cstheme="minorBidi"/>
                <w:iCs w:val="0"/>
                <w:noProof/>
                <w:color w:val="auto"/>
                <w:sz w:val="22"/>
                <w:szCs w:val="22"/>
                <w:lang w:eastAsia="en-AU"/>
              </w:rPr>
              <w:tab/>
            </w:r>
            <w:r w:rsidR="00486815" w:rsidRPr="00A47EBD">
              <w:rPr>
                <w:rStyle w:val="Hyperlink"/>
                <w:rFonts w:eastAsia="Times New Roman"/>
                <w:noProof/>
                <w:lang w:eastAsia="en-AU"/>
              </w:rPr>
              <w:t>COVID-19 Measures</w:t>
            </w:r>
            <w:r w:rsidR="00486815">
              <w:rPr>
                <w:noProof/>
                <w:webHidden/>
              </w:rPr>
              <w:tab/>
            </w:r>
            <w:r w:rsidR="00486815">
              <w:rPr>
                <w:noProof/>
                <w:webHidden/>
              </w:rPr>
              <w:fldChar w:fldCharType="begin"/>
            </w:r>
            <w:r w:rsidR="00486815">
              <w:rPr>
                <w:noProof/>
                <w:webHidden/>
              </w:rPr>
              <w:instrText xml:space="preserve"> PAGEREF _Toc79406782 \h </w:instrText>
            </w:r>
            <w:r w:rsidR="00486815">
              <w:rPr>
                <w:noProof/>
                <w:webHidden/>
              </w:rPr>
            </w:r>
            <w:r w:rsidR="00486815">
              <w:rPr>
                <w:noProof/>
                <w:webHidden/>
              </w:rPr>
              <w:fldChar w:fldCharType="separate"/>
            </w:r>
            <w:r w:rsidR="00486815">
              <w:rPr>
                <w:noProof/>
                <w:webHidden/>
              </w:rPr>
              <w:t>9</w:t>
            </w:r>
            <w:r w:rsidR="00486815">
              <w:rPr>
                <w:noProof/>
                <w:webHidden/>
              </w:rPr>
              <w:fldChar w:fldCharType="end"/>
            </w:r>
          </w:hyperlink>
        </w:p>
        <w:p w14:paraId="3581F401" w14:textId="5FE75178" w:rsidR="00486815" w:rsidRDefault="00A90B58">
          <w:pPr>
            <w:pStyle w:val="TOC2"/>
            <w:tabs>
              <w:tab w:val="left" w:pos="660"/>
              <w:tab w:val="right" w:leader="dot" w:pos="9622"/>
            </w:tabs>
            <w:rPr>
              <w:rFonts w:eastAsiaTheme="minorEastAsia" w:cstheme="minorBidi"/>
              <w:iCs w:val="0"/>
              <w:noProof/>
              <w:color w:val="auto"/>
              <w:sz w:val="22"/>
              <w:szCs w:val="22"/>
              <w:lang w:eastAsia="en-AU"/>
            </w:rPr>
          </w:pPr>
          <w:hyperlink w:anchor="_Toc79406783" w:history="1">
            <w:r w:rsidR="00486815" w:rsidRPr="00A47EBD">
              <w:rPr>
                <w:rStyle w:val="Hyperlink"/>
                <w:rFonts w:eastAsia="Times New Roman"/>
                <w:noProof/>
                <w:lang w:eastAsia="en-AU"/>
              </w:rPr>
              <w:t>3.</w:t>
            </w:r>
            <w:r w:rsidR="00486815">
              <w:rPr>
                <w:rFonts w:eastAsiaTheme="minorEastAsia" w:cstheme="minorBidi"/>
                <w:iCs w:val="0"/>
                <w:noProof/>
                <w:color w:val="auto"/>
                <w:sz w:val="22"/>
                <w:szCs w:val="22"/>
                <w:lang w:eastAsia="en-AU"/>
              </w:rPr>
              <w:tab/>
            </w:r>
            <w:r w:rsidR="00486815" w:rsidRPr="00A47EBD">
              <w:rPr>
                <w:rStyle w:val="Hyperlink"/>
                <w:rFonts w:eastAsia="Times New Roman"/>
                <w:noProof/>
                <w:lang w:eastAsia="en-AU"/>
              </w:rPr>
              <w:t>Special Measure for the Advancement of Beneficiaries</w:t>
            </w:r>
            <w:r w:rsidR="00486815">
              <w:rPr>
                <w:noProof/>
                <w:webHidden/>
              </w:rPr>
              <w:tab/>
            </w:r>
            <w:r w:rsidR="00486815">
              <w:rPr>
                <w:noProof/>
                <w:webHidden/>
              </w:rPr>
              <w:fldChar w:fldCharType="begin"/>
            </w:r>
            <w:r w:rsidR="00486815">
              <w:rPr>
                <w:noProof/>
                <w:webHidden/>
              </w:rPr>
              <w:instrText xml:space="preserve"> PAGEREF _Toc79406783 \h </w:instrText>
            </w:r>
            <w:r w:rsidR="00486815">
              <w:rPr>
                <w:noProof/>
                <w:webHidden/>
              </w:rPr>
            </w:r>
            <w:r w:rsidR="00486815">
              <w:rPr>
                <w:noProof/>
                <w:webHidden/>
              </w:rPr>
              <w:fldChar w:fldCharType="separate"/>
            </w:r>
            <w:r w:rsidR="00486815">
              <w:rPr>
                <w:noProof/>
                <w:webHidden/>
              </w:rPr>
              <w:t>10</w:t>
            </w:r>
            <w:r w:rsidR="00486815">
              <w:rPr>
                <w:noProof/>
                <w:webHidden/>
              </w:rPr>
              <w:fldChar w:fldCharType="end"/>
            </w:r>
          </w:hyperlink>
        </w:p>
        <w:p w14:paraId="557AA866" w14:textId="44D97AD9" w:rsidR="00486815" w:rsidRDefault="00A90B58">
          <w:pPr>
            <w:pStyle w:val="TOC2"/>
            <w:tabs>
              <w:tab w:val="left" w:pos="660"/>
              <w:tab w:val="right" w:leader="dot" w:pos="9622"/>
            </w:tabs>
            <w:rPr>
              <w:rFonts w:eastAsiaTheme="minorEastAsia" w:cstheme="minorBidi"/>
              <w:iCs w:val="0"/>
              <w:noProof/>
              <w:color w:val="auto"/>
              <w:sz w:val="22"/>
              <w:szCs w:val="22"/>
              <w:lang w:eastAsia="en-AU"/>
            </w:rPr>
          </w:pPr>
          <w:hyperlink w:anchor="_Toc79406784" w:history="1">
            <w:r w:rsidR="00486815" w:rsidRPr="00A47EBD">
              <w:rPr>
                <w:rStyle w:val="Hyperlink"/>
                <w:rFonts w:eastAsia="Times New Roman"/>
                <w:noProof/>
                <w:lang w:eastAsia="en-AU"/>
              </w:rPr>
              <w:t>5.</w:t>
            </w:r>
            <w:r w:rsidR="00486815">
              <w:rPr>
                <w:rFonts w:eastAsiaTheme="minorEastAsia" w:cstheme="minorBidi"/>
                <w:iCs w:val="0"/>
                <w:noProof/>
                <w:color w:val="auto"/>
                <w:sz w:val="22"/>
                <w:szCs w:val="22"/>
                <w:lang w:eastAsia="en-AU"/>
              </w:rPr>
              <w:tab/>
            </w:r>
            <w:r w:rsidR="00486815" w:rsidRPr="00A47EBD">
              <w:rPr>
                <w:rStyle w:val="Hyperlink"/>
                <w:rFonts w:eastAsia="Times New Roman"/>
                <w:noProof/>
                <w:lang w:eastAsia="en-AU"/>
              </w:rPr>
              <w:t>Review of the Act</w:t>
            </w:r>
            <w:r w:rsidR="00486815">
              <w:rPr>
                <w:noProof/>
                <w:webHidden/>
              </w:rPr>
              <w:tab/>
            </w:r>
            <w:r w:rsidR="00486815">
              <w:rPr>
                <w:noProof/>
                <w:webHidden/>
              </w:rPr>
              <w:fldChar w:fldCharType="begin"/>
            </w:r>
            <w:r w:rsidR="00486815">
              <w:rPr>
                <w:noProof/>
                <w:webHidden/>
              </w:rPr>
              <w:instrText xml:space="preserve"> PAGEREF _Toc79406784 \h </w:instrText>
            </w:r>
            <w:r w:rsidR="00486815">
              <w:rPr>
                <w:noProof/>
                <w:webHidden/>
              </w:rPr>
            </w:r>
            <w:r w:rsidR="00486815">
              <w:rPr>
                <w:noProof/>
                <w:webHidden/>
              </w:rPr>
              <w:fldChar w:fldCharType="separate"/>
            </w:r>
            <w:r w:rsidR="00486815">
              <w:rPr>
                <w:noProof/>
                <w:webHidden/>
              </w:rPr>
              <w:t>10</w:t>
            </w:r>
            <w:r w:rsidR="00486815">
              <w:rPr>
                <w:noProof/>
                <w:webHidden/>
              </w:rPr>
              <w:fldChar w:fldCharType="end"/>
            </w:r>
          </w:hyperlink>
        </w:p>
        <w:p w14:paraId="5D9B2952" w14:textId="045C34C8" w:rsidR="00486815" w:rsidRDefault="00A90B58">
          <w:pPr>
            <w:pStyle w:val="TOC2"/>
            <w:tabs>
              <w:tab w:val="left" w:pos="660"/>
              <w:tab w:val="right" w:leader="dot" w:pos="9622"/>
            </w:tabs>
            <w:rPr>
              <w:rFonts w:eastAsiaTheme="minorEastAsia" w:cstheme="minorBidi"/>
              <w:iCs w:val="0"/>
              <w:noProof/>
              <w:color w:val="auto"/>
              <w:sz w:val="22"/>
              <w:szCs w:val="22"/>
              <w:lang w:eastAsia="en-AU"/>
            </w:rPr>
          </w:pPr>
          <w:hyperlink w:anchor="_Toc79406785" w:history="1">
            <w:r w:rsidR="00486815" w:rsidRPr="00A47EBD">
              <w:rPr>
                <w:rStyle w:val="Hyperlink"/>
                <w:rFonts w:eastAsia="Times New Roman"/>
                <w:noProof/>
                <w:lang w:eastAsia="en-AU"/>
              </w:rPr>
              <w:t>6.</w:t>
            </w:r>
            <w:r w:rsidR="00486815">
              <w:rPr>
                <w:rFonts w:eastAsiaTheme="minorEastAsia" w:cstheme="minorBidi"/>
                <w:iCs w:val="0"/>
                <w:noProof/>
                <w:color w:val="auto"/>
                <w:sz w:val="22"/>
                <w:szCs w:val="22"/>
                <w:lang w:eastAsia="en-AU"/>
              </w:rPr>
              <w:tab/>
            </w:r>
            <w:r w:rsidR="00486815" w:rsidRPr="00A47EBD">
              <w:rPr>
                <w:rStyle w:val="Hyperlink"/>
                <w:rFonts w:eastAsia="Times New Roman"/>
                <w:noProof/>
                <w:lang w:eastAsia="en-AU"/>
              </w:rPr>
              <w:t>Avoiding Double Standards</w:t>
            </w:r>
            <w:r w:rsidR="00486815">
              <w:rPr>
                <w:noProof/>
                <w:webHidden/>
              </w:rPr>
              <w:tab/>
            </w:r>
            <w:r w:rsidR="00486815">
              <w:rPr>
                <w:noProof/>
                <w:webHidden/>
              </w:rPr>
              <w:fldChar w:fldCharType="begin"/>
            </w:r>
            <w:r w:rsidR="00486815">
              <w:rPr>
                <w:noProof/>
                <w:webHidden/>
              </w:rPr>
              <w:instrText xml:space="preserve"> PAGEREF _Toc79406785 \h </w:instrText>
            </w:r>
            <w:r w:rsidR="00486815">
              <w:rPr>
                <w:noProof/>
                <w:webHidden/>
              </w:rPr>
            </w:r>
            <w:r w:rsidR="00486815">
              <w:rPr>
                <w:noProof/>
                <w:webHidden/>
              </w:rPr>
              <w:fldChar w:fldCharType="separate"/>
            </w:r>
            <w:r w:rsidR="00486815">
              <w:rPr>
                <w:noProof/>
                <w:webHidden/>
              </w:rPr>
              <w:t>11</w:t>
            </w:r>
            <w:r w:rsidR="00486815">
              <w:rPr>
                <w:noProof/>
                <w:webHidden/>
              </w:rPr>
              <w:fldChar w:fldCharType="end"/>
            </w:r>
          </w:hyperlink>
        </w:p>
        <w:p w14:paraId="248D0795" w14:textId="48862E51" w:rsidR="00486815" w:rsidRDefault="00A90B58">
          <w:pPr>
            <w:pStyle w:val="TOC2"/>
            <w:tabs>
              <w:tab w:val="left" w:pos="660"/>
              <w:tab w:val="right" w:leader="dot" w:pos="9622"/>
            </w:tabs>
            <w:rPr>
              <w:rFonts w:eastAsiaTheme="minorEastAsia" w:cstheme="minorBidi"/>
              <w:iCs w:val="0"/>
              <w:noProof/>
              <w:color w:val="auto"/>
              <w:sz w:val="22"/>
              <w:szCs w:val="22"/>
              <w:lang w:eastAsia="en-AU"/>
            </w:rPr>
          </w:pPr>
          <w:hyperlink w:anchor="_Toc79406786" w:history="1">
            <w:r w:rsidR="00486815" w:rsidRPr="00A47EBD">
              <w:rPr>
                <w:rStyle w:val="Hyperlink"/>
                <w:rFonts w:eastAsia="Times New Roman"/>
                <w:noProof/>
                <w:lang w:eastAsia="en-AU"/>
              </w:rPr>
              <w:t>7.</w:t>
            </w:r>
            <w:r w:rsidR="00486815">
              <w:rPr>
                <w:rFonts w:eastAsiaTheme="minorEastAsia" w:cstheme="minorBidi"/>
                <w:iCs w:val="0"/>
                <w:noProof/>
                <w:color w:val="auto"/>
                <w:sz w:val="22"/>
                <w:szCs w:val="22"/>
                <w:lang w:eastAsia="en-AU"/>
              </w:rPr>
              <w:tab/>
            </w:r>
            <w:r w:rsidR="00486815" w:rsidRPr="00A47EBD">
              <w:rPr>
                <w:rStyle w:val="Hyperlink"/>
                <w:rFonts w:eastAsia="Times New Roman"/>
                <w:noProof/>
                <w:lang w:eastAsia="en-AU"/>
              </w:rPr>
              <w:t>Conclusion</w:t>
            </w:r>
            <w:r w:rsidR="00486815">
              <w:rPr>
                <w:noProof/>
                <w:webHidden/>
              </w:rPr>
              <w:tab/>
            </w:r>
            <w:r w:rsidR="00486815">
              <w:rPr>
                <w:noProof/>
                <w:webHidden/>
              </w:rPr>
              <w:fldChar w:fldCharType="begin"/>
            </w:r>
            <w:r w:rsidR="00486815">
              <w:rPr>
                <w:noProof/>
                <w:webHidden/>
              </w:rPr>
              <w:instrText xml:space="preserve"> PAGEREF _Toc79406786 \h </w:instrText>
            </w:r>
            <w:r w:rsidR="00486815">
              <w:rPr>
                <w:noProof/>
                <w:webHidden/>
              </w:rPr>
            </w:r>
            <w:r w:rsidR="00486815">
              <w:rPr>
                <w:noProof/>
                <w:webHidden/>
              </w:rPr>
              <w:fldChar w:fldCharType="separate"/>
            </w:r>
            <w:r w:rsidR="00486815">
              <w:rPr>
                <w:noProof/>
                <w:webHidden/>
              </w:rPr>
              <w:t>11</w:t>
            </w:r>
            <w:r w:rsidR="00486815">
              <w:rPr>
                <w:noProof/>
                <w:webHidden/>
              </w:rPr>
              <w:fldChar w:fldCharType="end"/>
            </w:r>
          </w:hyperlink>
        </w:p>
        <w:p w14:paraId="51689BF8" w14:textId="20C7F8C1" w:rsidR="00486815" w:rsidRDefault="00A90B58">
          <w:pPr>
            <w:pStyle w:val="TOC2"/>
            <w:tabs>
              <w:tab w:val="left" w:pos="660"/>
              <w:tab w:val="right" w:leader="dot" w:pos="9622"/>
            </w:tabs>
            <w:rPr>
              <w:rFonts w:eastAsiaTheme="minorEastAsia" w:cstheme="minorBidi"/>
              <w:iCs w:val="0"/>
              <w:noProof/>
              <w:color w:val="auto"/>
              <w:sz w:val="22"/>
              <w:szCs w:val="22"/>
              <w:lang w:eastAsia="en-AU"/>
            </w:rPr>
          </w:pPr>
          <w:hyperlink w:anchor="_Toc79406787" w:history="1">
            <w:r w:rsidR="00486815" w:rsidRPr="00A47EBD">
              <w:rPr>
                <w:rStyle w:val="Hyperlink"/>
                <w:rFonts w:eastAsia="Times New Roman"/>
                <w:noProof/>
                <w:lang w:eastAsia="en-AU"/>
              </w:rPr>
              <w:t>8.</w:t>
            </w:r>
            <w:r w:rsidR="00486815">
              <w:rPr>
                <w:rFonts w:eastAsiaTheme="minorEastAsia" w:cstheme="minorBidi"/>
                <w:iCs w:val="0"/>
                <w:noProof/>
                <w:color w:val="auto"/>
                <w:sz w:val="22"/>
                <w:szCs w:val="22"/>
                <w:lang w:eastAsia="en-AU"/>
              </w:rPr>
              <w:tab/>
            </w:r>
            <w:r w:rsidR="00486815" w:rsidRPr="00A47EBD">
              <w:rPr>
                <w:rStyle w:val="Hyperlink"/>
                <w:rFonts w:eastAsia="Times New Roman"/>
                <w:noProof/>
                <w:lang w:eastAsia="en-AU"/>
              </w:rPr>
              <w:t>References</w:t>
            </w:r>
            <w:r w:rsidR="00486815">
              <w:rPr>
                <w:noProof/>
                <w:webHidden/>
              </w:rPr>
              <w:tab/>
            </w:r>
            <w:r w:rsidR="00486815">
              <w:rPr>
                <w:noProof/>
                <w:webHidden/>
              </w:rPr>
              <w:fldChar w:fldCharType="begin"/>
            </w:r>
            <w:r w:rsidR="00486815">
              <w:rPr>
                <w:noProof/>
                <w:webHidden/>
              </w:rPr>
              <w:instrText xml:space="preserve"> PAGEREF _Toc79406787 \h </w:instrText>
            </w:r>
            <w:r w:rsidR="00486815">
              <w:rPr>
                <w:noProof/>
                <w:webHidden/>
              </w:rPr>
            </w:r>
            <w:r w:rsidR="00486815">
              <w:rPr>
                <w:noProof/>
                <w:webHidden/>
              </w:rPr>
              <w:fldChar w:fldCharType="separate"/>
            </w:r>
            <w:r w:rsidR="00486815">
              <w:rPr>
                <w:noProof/>
                <w:webHidden/>
              </w:rPr>
              <w:t>12</w:t>
            </w:r>
            <w:r w:rsidR="00486815">
              <w:rPr>
                <w:noProof/>
                <w:webHidden/>
              </w:rPr>
              <w:fldChar w:fldCharType="end"/>
            </w:r>
          </w:hyperlink>
        </w:p>
        <w:p w14:paraId="7BD15DE2" w14:textId="353465D1" w:rsidR="00D451F9" w:rsidRDefault="00D451F9" w:rsidP="00753E51">
          <w:pPr>
            <w:spacing w:before="0" w:after="160" w:line="286" w:lineRule="auto"/>
            <w:rPr>
              <w:noProof/>
            </w:rPr>
          </w:pPr>
          <w:r>
            <w:rPr>
              <w:rFonts w:cstheme="minorHAnsi"/>
              <w:bCs/>
              <w:sz w:val="18"/>
              <w:szCs w:val="20"/>
            </w:rPr>
            <w:fldChar w:fldCharType="end"/>
          </w:r>
        </w:p>
      </w:sdtContent>
    </w:sdt>
    <w:p w14:paraId="2A0B91BA" w14:textId="77777777" w:rsidR="00D451F9" w:rsidRDefault="00D451F9" w:rsidP="009653B8">
      <w:pPr>
        <w:sectPr w:rsidR="00D451F9" w:rsidSect="009653B8">
          <w:footerReference w:type="first" r:id="rId15"/>
          <w:pgSz w:w="11900" w:h="16840"/>
          <w:pgMar w:top="851" w:right="1134" w:bottom="1418" w:left="1134" w:header="709" w:footer="624" w:gutter="0"/>
          <w:cols w:space="708"/>
          <w:docGrid w:linePitch="360"/>
        </w:sectPr>
      </w:pPr>
    </w:p>
    <w:p w14:paraId="18E25255" w14:textId="5A78EE45" w:rsidR="00B70060" w:rsidRPr="006C6174" w:rsidRDefault="003A258F" w:rsidP="001E4CBA">
      <w:pPr>
        <w:pStyle w:val="Heading1"/>
        <w:spacing w:after="160" w:line="286" w:lineRule="exact"/>
        <w:jc w:val="both"/>
        <w:rPr>
          <w:rFonts w:asciiTheme="majorHAnsi" w:hAnsiTheme="majorHAnsi" w:cstheme="majorHAnsi"/>
        </w:rPr>
      </w:pPr>
      <w:bookmarkStart w:id="2" w:name="_Toc79406774"/>
      <w:r>
        <w:rPr>
          <w:rFonts w:asciiTheme="majorHAnsi" w:hAnsiTheme="majorHAnsi" w:cstheme="majorHAnsi"/>
        </w:rPr>
        <w:lastRenderedPageBreak/>
        <w:t>Introduct</w:t>
      </w:r>
      <w:r w:rsidR="001E4CBA">
        <w:rPr>
          <w:rFonts w:asciiTheme="majorHAnsi" w:hAnsiTheme="majorHAnsi" w:cstheme="majorHAnsi"/>
        </w:rPr>
        <w:t>ion</w:t>
      </w:r>
      <w:bookmarkEnd w:id="2"/>
    </w:p>
    <w:p w14:paraId="21AA9D0A" w14:textId="2E316361" w:rsidR="00AE1D0F" w:rsidRPr="003A258F" w:rsidRDefault="00B921AE" w:rsidP="003A258F">
      <w:pPr>
        <w:pStyle w:val="IntroParagraph"/>
        <w:spacing w:before="0" w:after="160" w:line="286" w:lineRule="exact"/>
        <w:jc w:val="both"/>
        <w:rPr>
          <w:rFonts w:cstheme="minorHAnsi"/>
          <w:color w:val="D25622"/>
          <w:sz w:val="21"/>
          <w:szCs w:val="21"/>
        </w:rPr>
      </w:pPr>
      <w:r w:rsidRPr="003A258F">
        <w:rPr>
          <w:rFonts w:cstheme="minorHAnsi"/>
          <w:color w:val="D25622"/>
          <w:sz w:val="21"/>
          <w:szCs w:val="21"/>
        </w:rPr>
        <w:t xml:space="preserve">Tangentyere Council </w:t>
      </w:r>
      <w:r w:rsidR="00772421" w:rsidRPr="003A258F">
        <w:rPr>
          <w:rFonts w:cstheme="minorHAnsi"/>
          <w:color w:val="D25622"/>
          <w:sz w:val="21"/>
          <w:szCs w:val="21"/>
        </w:rPr>
        <w:t>Aboriginal Corporation</w:t>
      </w:r>
      <w:r w:rsidR="000408B1" w:rsidRPr="003A258F">
        <w:rPr>
          <w:rFonts w:cstheme="minorHAnsi"/>
          <w:color w:val="D25622"/>
          <w:sz w:val="21"/>
          <w:szCs w:val="21"/>
        </w:rPr>
        <w:t xml:space="preserve"> (TCAC)</w:t>
      </w:r>
      <w:r w:rsidR="00772421" w:rsidRPr="003A258F">
        <w:rPr>
          <w:rFonts w:cstheme="minorHAnsi"/>
          <w:color w:val="D25622"/>
          <w:sz w:val="21"/>
          <w:szCs w:val="21"/>
        </w:rPr>
        <w:t xml:space="preserve"> </w:t>
      </w:r>
      <w:r w:rsidR="009B17D2" w:rsidRPr="003A258F">
        <w:rPr>
          <w:rFonts w:cstheme="minorHAnsi"/>
          <w:color w:val="D25622"/>
          <w:sz w:val="21"/>
          <w:szCs w:val="21"/>
        </w:rPr>
        <w:t xml:space="preserve">welcomes the opportunity to </w:t>
      </w:r>
      <w:r w:rsidR="003A258F" w:rsidRPr="003A258F">
        <w:rPr>
          <w:rFonts w:cstheme="minorHAnsi"/>
          <w:color w:val="D25622"/>
          <w:sz w:val="21"/>
          <w:szCs w:val="21"/>
        </w:rPr>
        <w:t xml:space="preserve">make </w:t>
      </w:r>
      <w:r w:rsidR="00AE1D0F" w:rsidRPr="003A258F">
        <w:rPr>
          <w:sz w:val="21"/>
          <w:szCs w:val="21"/>
        </w:rPr>
        <w:t>a submission in response to the Exposure Draft for the CATSI Amendment Bill (Exposure Draft). If passed, the Bill will amend the Corporations (Aboriginal and Torres Strait Islander) Act 2006 (CATSI Act). We understand the proposed changes contained in the Exposure Draft implement 64 of the 72 recommendations from the CATSI Act Review Final Report (Final Report) published in February 2021 following a review of the CATSI Act undertaken in 2019-2020</w:t>
      </w:r>
      <w:r w:rsidR="009E1BD5" w:rsidRPr="003A258F">
        <w:rPr>
          <w:sz w:val="21"/>
          <w:szCs w:val="21"/>
        </w:rPr>
        <w:t>.</w:t>
      </w:r>
    </w:p>
    <w:p w14:paraId="10847F19" w14:textId="5F971AE0" w:rsidR="00B84049" w:rsidRPr="003A258F" w:rsidRDefault="00B84049" w:rsidP="003A258F">
      <w:pPr>
        <w:pStyle w:val="ListNumber"/>
        <w:numPr>
          <w:ilvl w:val="0"/>
          <w:numId w:val="0"/>
        </w:numPr>
        <w:spacing w:after="160" w:line="286" w:lineRule="exact"/>
        <w:jc w:val="both"/>
        <w:rPr>
          <w:sz w:val="21"/>
          <w:szCs w:val="21"/>
        </w:rPr>
      </w:pPr>
      <w:r w:rsidRPr="003A258F">
        <w:rPr>
          <w:sz w:val="21"/>
          <w:szCs w:val="21"/>
        </w:rPr>
        <w:t>The CATSI Act commenced on 1 July 2007</w:t>
      </w:r>
      <w:r w:rsidR="003A258F">
        <w:rPr>
          <w:sz w:val="21"/>
          <w:szCs w:val="21"/>
        </w:rPr>
        <w:t>. It is our understanding that it</w:t>
      </w:r>
      <w:r w:rsidRPr="003A258F">
        <w:rPr>
          <w:sz w:val="21"/>
          <w:szCs w:val="21"/>
        </w:rPr>
        <w:t xml:space="preserve"> was introduced in response to a need to overcome the rigidity of corporation design, to achieve simplicity and to improve accountability for Aboriginal </w:t>
      </w:r>
      <w:r w:rsidR="003A258F">
        <w:rPr>
          <w:sz w:val="21"/>
          <w:szCs w:val="21"/>
        </w:rPr>
        <w:t>C</w:t>
      </w:r>
      <w:r w:rsidRPr="003A258F">
        <w:rPr>
          <w:sz w:val="21"/>
          <w:szCs w:val="21"/>
        </w:rPr>
        <w:t>orporations.</w:t>
      </w:r>
    </w:p>
    <w:p w14:paraId="460C8D2A" w14:textId="64C0D7F3" w:rsidR="00B84049" w:rsidRPr="003A258F" w:rsidRDefault="00B84049" w:rsidP="003A258F">
      <w:pPr>
        <w:pStyle w:val="ListNumber"/>
        <w:numPr>
          <w:ilvl w:val="0"/>
          <w:numId w:val="0"/>
        </w:numPr>
        <w:spacing w:after="160" w:line="286" w:lineRule="exact"/>
        <w:jc w:val="both"/>
        <w:rPr>
          <w:sz w:val="21"/>
          <w:szCs w:val="21"/>
        </w:rPr>
      </w:pPr>
      <w:r w:rsidRPr="003A258F">
        <w:rPr>
          <w:sz w:val="21"/>
          <w:szCs w:val="21"/>
        </w:rPr>
        <w:t xml:space="preserve">The Act was designed to make it easier for Aboriginal and Torres Strait Islander people to form and manage corporations, </w:t>
      </w:r>
      <w:r w:rsidR="003A258F" w:rsidRPr="003A258F">
        <w:rPr>
          <w:sz w:val="21"/>
          <w:szCs w:val="21"/>
        </w:rPr>
        <w:t>support,</w:t>
      </w:r>
      <w:r w:rsidRPr="003A258F">
        <w:rPr>
          <w:sz w:val="21"/>
          <w:szCs w:val="21"/>
        </w:rPr>
        <w:t xml:space="preserve"> and regulate corporations in a way that is tailored to the corporation’s circumstances (such as remoteness, capacity, and culture) and meet the requirements of special statutory regimes. </w:t>
      </w:r>
    </w:p>
    <w:p w14:paraId="6A906F1A" w14:textId="2A60DCC7" w:rsidR="00B84049" w:rsidRPr="003A258F" w:rsidRDefault="00B84049" w:rsidP="003A258F">
      <w:pPr>
        <w:pStyle w:val="ListNumber"/>
        <w:numPr>
          <w:ilvl w:val="0"/>
          <w:numId w:val="0"/>
        </w:numPr>
        <w:spacing w:after="160" w:line="286" w:lineRule="exact"/>
        <w:jc w:val="both"/>
        <w:rPr>
          <w:sz w:val="21"/>
          <w:szCs w:val="21"/>
        </w:rPr>
      </w:pPr>
      <w:r w:rsidRPr="003A258F">
        <w:rPr>
          <w:sz w:val="21"/>
          <w:szCs w:val="21"/>
        </w:rPr>
        <w:t xml:space="preserve">For </w:t>
      </w:r>
      <w:r w:rsidR="003A258F">
        <w:rPr>
          <w:sz w:val="21"/>
          <w:szCs w:val="21"/>
        </w:rPr>
        <w:t>Aboriginal Corporations</w:t>
      </w:r>
      <w:r w:rsidRPr="003A258F">
        <w:rPr>
          <w:sz w:val="21"/>
          <w:szCs w:val="21"/>
        </w:rPr>
        <w:t xml:space="preserve"> to utilise their assets and realise their aims, the CATSI Act must be</w:t>
      </w:r>
      <w:r w:rsidR="003A258F">
        <w:rPr>
          <w:sz w:val="21"/>
          <w:szCs w:val="21"/>
        </w:rPr>
        <w:t xml:space="preserve"> appropriately</w:t>
      </w:r>
      <w:r w:rsidRPr="003A258F">
        <w:rPr>
          <w:sz w:val="21"/>
          <w:szCs w:val="21"/>
        </w:rPr>
        <w:t xml:space="preserve"> aligned with modern corporate governance standards and corporations established under other legislative schemes, while also providing a legal framework which takes account of the special challenges faced by Aboriginal and Torres Strait Islander peoples and organisations. </w:t>
      </w:r>
    </w:p>
    <w:p w14:paraId="42033966" w14:textId="097B1757" w:rsidR="00B84049" w:rsidRPr="003A258F" w:rsidRDefault="00B84049" w:rsidP="003A258F">
      <w:pPr>
        <w:pStyle w:val="ListNumber"/>
        <w:numPr>
          <w:ilvl w:val="0"/>
          <w:numId w:val="0"/>
        </w:numPr>
        <w:spacing w:after="160" w:line="286" w:lineRule="exact"/>
        <w:jc w:val="both"/>
        <w:rPr>
          <w:sz w:val="21"/>
          <w:szCs w:val="21"/>
        </w:rPr>
      </w:pPr>
      <w:r w:rsidRPr="003A258F">
        <w:rPr>
          <w:sz w:val="21"/>
          <w:szCs w:val="21"/>
        </w:rPr>
        <w:t xml:space="preserve">Our submission is limited to certain issues raised by the Final Report and Exposure Draft about which </w:t>
      </w:r>
      <w:r w:rsidR="003A258F">
        <w:rPr>
          <w:sz w:val="21"/>
          <w:szCs w:val="21"/>
        </w:rPr>
        <w:t>TCAC</w:t>
      </w:r>
      <w:r w:rsidRPr="003A258F">
        <w:rPr>
          <w:sz w:val="21"/>
          <w:szCs w:val="21"/>
        </w:rPr>
        <w:t xml:space="preserve"> can make a meaningful contribution based on our knowledge, </w:t>
      </w:r>
      <w:r w:rsidR="003A258F" w:rsidRPr="003A258F">
        <w:rPr>
          <w:sz w:val="21"/>
          <w:szCs w:val="21"/>
        </w:rPr>
        <w:t>experience,</w:t>
      </w:r>
      <w:r w:rsidRPr="003A258F">
        <w:rPr>
          <w:sz w:val="21"/>
          <w:szCs w:val="21"/>
        </w:rPr>
        <w:t xml:space="preserve"> and expertise in the time available. These include the following: </w:t>
      </w:r>
    </w:p>
    <w:p w14:paraId="10BDC8B0" w14:textId="4C303547" w:rsidR="00B84049" w:rsidRPr="005940EE" w:rsidRDefault="00B84049" w:rsidP="003B5E55">
      <w:pPr>
        <w:pStyle w:val="Heading3"/>
        <w:numPr>
          <w:ilvl w:val="1"/>
          <w:numId w:val="8"/>
        </w:numPr>
        <w:spacing w:before="0" w:after="160" w:line="286" w:lineRule="exact"/>
        <w:jc w:val="both"/>
        <w:rPr>
          <w:b w:val="0"/>
          <w:color w:val="auto"/>
        </w:rPr>
      </w:pPr>
      <w:r w:rsidRPr="005940EE">
        <w:rPr>
          <w:b w:val="0"/>
          <w:color w:val="auto"/>
        </w:rPr>
        <w:t xml:space="preserve">Requirements to record and maintain a register of member contact phone numbers and email addresses (recommended in Part 3 of the Final Report) could have the effect of diverting resources away from </w:t>
      </w:r>
      <w:r w:rsidR="003A258F" w:rsidRPr="005940EE">
        <w:rPr>
          <w:b w:val="0"/>
          <w:color w:val="auto"/>
        </w:rPr>
        <w:t>our</w:t>
      </w:r>
      <w:r w:rsidRPr="005940EE">
        <w:rPr>
          <w:b w:val="0"/>
          <w:color w:val="auto"/>
        </w:rPr>
        <w:t xml:space="preserve"> core purpose and fail to reflect the needs of our member base, many of whom travel regularly to remote areas and have limited phone or internet </w:t>
      </w:r>
      <w:r w:rsidR="003A258F" w:rsidRPr="005940EE">
        <w:rPr>
          <w:b w:val="0"/>
          <w:color w:val="auto"/>
        </w:rPr>
        <w:t>access.</w:t>
      </w:r>
      <w:r w:rsidRPr="005940EE">
        <w:rPr>
          <w:b w:val="0"/>
          <w:color w:val="auto"/>
        </w:rPr>
        <w:t xml:space="preserve"> </w:t>
      </w:r>
    </w:p>
    <w:p w14:paraId="5BC8B81D" w14:textId="18875DFC" w:rsidR="00B84049" w:rsidRPr="005940EE" w:rsidRDefault="00B84049" w:rsidP="003B5E55">
      <w:pPr>
        <w:pStyle w:val="Heading3"/>
        <w:numPr>
          <w:ilvl w:val="1"/>
          <w:numId w:val="8"/>
        </w:numPr>
        <w:spacing w:before="0" w:after="160" w:line="286" w:lineRule="exact"/>
        <w:jc w:val="both"/>
        <w:rPr>
          <w:b w:val="0"/>
          <w:color w:val="auto"/>
        </w:rPr>
      </w:pPr>
      <w:r w:rsidRPr="005940EE">
        <w:rPr>
          <w:b w:val="0"/>
          <w:color w:val="auto"/>
        </w:rPr>
        <w:t xml:space="preserve">Amendments to the provisions around cancellation of membership </w:t>
      </w:r>
      <w:r w:rsidRPr="005940EE">
        <w:rPr>
          <w:b w:val="0"/>
          <w:color w:val="auto"/>
          <w:lang w:eastAsia="en-AU"/>
        </w:rPr>
        <w:t xml:space="preserve">could create an expectation of swift connection and communication for </w:t>
      </w:r>
      <w:r w:rsidR="003A258F" w:rsidRPr="005940EE">
        <w:rPr>
          <w:b w:val="0"/>
          <w:color w:val="auto"/>
          <w:lang w:eastAsia="en-AU"/>
        </w:rPr>
        <w:t>our</w:t>
      </w:r>
      <w:r w:rsidRPr="005940EE">
        <w:rPr>
          <w:b w:val="0"/>
          <w:color w:val="auto"/>
          <w:lang w:eastAsia="en-AU"/>
        </w:rPr>
        <w:t xml:space="preserve"> members, which could in turn disadvantage members without the resources or capacity to use electronic communication methods</w:t>
      </w:r>
      <w:r w:rsidR="003A258F" w:rsidRPr="005940EE">
        <w:rPr>
          <w:b w:val="0"/>
          <w:color w:val="auto"/>
          <w:lang w:eastAsia="en-AU"/>
        </w:rPr>
        <w:t>.</w:t>
      </w:r>
    </w:p>
    <w:p w14:paraId="3E4C28DF" w14:textId="103D0980" w:rsidR="00B84049" w:rsidRPr="005940EE" w:rsidRDefault="00B84049" w:rsidP="003B5E55">
      <w:pPr>
        <w:pStyle w:val="Heading3"/>
        <w:numPr>
          <w:ilvl w:val="1"/>
          <w:numId w:val="8"/>
        </w:numPr>
        <w:spacing w:before="0" w:after="160" w:line="286" w:lineRule="exact"/>
        <w:jc w:val="both"/>
        <w:rPr>
          <w:b w:val="0"/>
          <w:color w:val="auto"/>
        </w:rPr>
      </w:pPr>
      <w:r w:rsidRPr="005940EE">
        <w:rPr>
          <w:b w:val="0"/>
          <w:color w:val="auto"/>
        </w:rPr>
        <w:t xml:space="preserve">We are concerned that some of the provisions of the CATSI Act create obligations on Aboriginal Corporations regulated by the CATSI Act (CATSI corporations) that do not exist to advance those </w:t>
      </w:r>
      <w:r w:rsidR="003A258F" w:rsidRPr="005940EE">
        <w:rPr>
          <w:b w:val="0"/>
          <w:color w:val="auto"/>
        </w:rPr>
        <w:t>corporations but</w:t>
      </w:r>
      <w:r w:rsidRPr="005940EE">
        <w:rPr>
          <w:b w:val="0"/>
          <w:color w:val="auto"/>
        </w:rPr>
        <w:t xml:space="preserve"> impose additional burdens or rules on them that do not apply to non-Indigenous corporations. We consider it vital that close attention be paid to ensuring that any amendments to the CATSI act meet the requirements of a special measure and operate to meaningfully support CATSI corporations. </w:t>
      </w:r>
    </w:p>
    <w:p w14:paraId="5318461D" w14:textId="7DB5351E" w:rsidR="00B84049" w:rsidRPr="005940EE" w:rsidRDefault="00B84049" w:rsidP="003B5E55">
      <w:pPr>
        <w:pStyle w:val="Heading3"/>
        <w:numPr>
          <w:ilvl w:val="1"/>
          <w:numId w:val="8"/>
        </w:numPr>
        <w:spacing w:before="0" w:after="160" w:line="286" w:lineRule="exact"/>
        <w:jc w:val="both"/>
        <w:rPr>
          <w:b w:val="0"/>
          <w:color w:val="auto"/>
        </w:rPr>
      </w:pPr>
      <w:r w:rsidRPr="005940EE">
        <w:rPr>
          <w:b w:val="0"/>
          <w:color w:val="auto"/>
        </w:rPr>
        <w:t xml:space="preserve">Any amendments to the CATSI Act, and any reviews of the Act in future, should be undertaken in partnership with relevant Aboriginal and Torres Strait Islander representative leadership.  </w:t>
      </w:r>
    </w:p>
    <w:p w14:paraId="52C3EBBF" w14:textId="77777777" w:rsidR="00B84049" w:rsidRPr="003A258F" w:rsidRDefault="00B84049" w:rsidP="003A258F">
      <w:pPr>
        <w:pStyle w:val="ListNumber"/>
        <w:numPr>
          <w:ilvl w:val="0"/>
          <w:numId w:val="0"/>
        </w:numPr>
        <w:spacing w:after="160" w:line="286" w:lineRule="exact"/>
        <w:jc w:val="both"/>
        <w:rPr>
          <w:sz w:val="21"/>
          <w:szCs w:val="21"/>
        </w:rPr>
      </w:pPr>
      <w:r w:rsidRPr="003A258F">
        <w:rPr>
          <w:sz w:val="21"/>
          <w:szCs w:val="21"/>
        </w:rPr>
        <w:t xml:space="preserve">We note that interested parties have only been given one month to make submission on the Exposure Draft. We submitted a request to the National Indigenous Australians Agency (NIAA) for an extension of time to provide a submission and our request was denied. </w:t>
      </w:r>
    </w:p>
    <w:p w14:paraId="4137F200" w14:textId="7658804D" w:rsidR="00B84049" w:rsidRPr="003A258F" w:rsidRDefault="00B84049" w:rsidP="003A258F">
      <w:pPr>
        <w:pStyle w:val="ListNumber"/>
        <w:numPr>
          <w:ilvl w:val="0"/>
          <w:numId w:val="0"/>
        </w:numPr>
        <w:spacing w:after="160" w:line="286" w:lineRule="exact"/>
        <w:jc w:val="both"/>
        <w:rPr>
          <w:sz w:val="21"/>
          <w:szCs w:val="21"/>
        </w:rPr>
      </w:pPr>
      <w:r w:rsidRPr="003A258F">
        <w:rPr>
          <w:sz w:val="21"/>
          <w:szCs w:val="21"/>
        </w:rPr>
        <w:t>Consequently, we have not had time to provide the detailed feedback we would have liked to provide on the 72 recommendations in the Final Report and the proposed amendments in the Exposure Draft, noting it contains 329 amendments in total. We would welcome the opportunity to participate in consultations and provide further feedback as submissions are considered and draft legislation is further developed.</w:t>
      </w:r>
    </w:p>
    <w:p w14:paraId="1261F314" w14:textId="77777777" w:rsidR="00AE1D0F" w:rsidRPr="00927E88" w:rsidRDefault="00AE1D0F" w:rsidP="00B921AE">
      <w:pPr>
        <w:pStyle w:val="IntroParagraph"/>
        <w:spacing w:before="0" w:after="160" w:line="286" w:lineRule="exact"/>
        <w:jc w:val="both"/>
        <w:rPr>
          <w:rFonts w:cstheme="minorHAnsi"/>
          <w:bCs/>
          <w:color w:val="D25622"/>
          <w:sz w:val="21"/>
          <w:szCs w:val="21"/>
        </w:rPr>
      </w:pPr>
    </w:p>
    <w:p w14:paraId="607FA30B" w14:textId="63594E14" w:rsidR="003A550F" w:rsidRDefault="00147117" w:rsidP="0031682A">
      <w:pPr>
        <w:pStyle w:val="Heading1"/>
        <w:spacing w:after="160" w:line="286" w:lineRule="exact"/>
        <w:jc w:val="both"/>
        <w:rPr>
          <w:rFonts w:asciiTheme="majorHAnsi" w:hAnsiTheme="majorHAnsi" w:cstheme="majorHAnsi"/>
        </w:rPr>
      </w:pPr>
      <w:bookmarkStart w:id="3" w:name="_Toc79406775"/>
      <w:r>
        <w:rPr>
          <w:rFonts w:asciiTheme="majorHAnsi" w:hAnsiTheme="majorHAnsi" w:cstheme="majorHAnsi"/>
        </w:rPr>
        <w:t>Background</w:t>
      </w:r>
      <w:bookmarkEnd w:id="3"/>
    </w:p>
    <w:p w14:paraId="7079F9E7" w14:textId="37442FA7" w:rsidR="00E53121" w:rsidRDefault="00E53121" w:rsidP="003B5E55">
      <w:pPr>
        <w:pStyle w:val="Heading2"/>
        <w:numPr>
          <w:ilvl w:val="0"/>
          <w:numId w:val="9"/>
        </w:numPr>
        <w:ind w:left="340" w:hanging="340"/>
        <w:jc w:val="both"/>
        <w:rPr>
          <w:rFonts w:eastAsia="Times New Roman"/>
          <w:lang w:eastAsia="en-AU"/>
        </w:rPr>
      </w:pPr>
      <w:bookmarkStart w:id="4" w:name="_Toc79406776"/>
      <w:r>
        <w:rPr>
          <w:rFonts w:eastAsia="Times New Roman"/>
          <w:lang w:eastAsia="en-AU"/>
        </w:rPr>
        <w:t>Tangentyere Council Aboriginal Corporation</w:t>
      </w:r>
      <w:bookmarkEnd w:id="4"/>
    </w:p>
    <w:p w14:paraId="74154EB9" w14:textId="77777777" w:rsidR="00E53121" w:rsidRPr="00E53121" w:rsidRDefault="00E53121" w:rsidP="00E53121"/>
    <w:p w14:paraId="2196767C" w14:textId="59498318" w:rsidR="0089026F" w:rsidRPr="000F147C" w:rsidRDefault="0089026F" w:rsidP="000F147C">
      <w:pPr>
        <w:pStyle w:val="IntroParagraph"/>
        <w:spacing w:before="0" w:after="160" w:line="286" w:lineRule="exact"/>
        <w:jc w:val="both"/>
        <w:rPr>
          <w:sz w:val="21"/>
          <w:szCs w:val="21"/>
        </w:rPr>
      </w:pPr>
      <w:r w:rsidRPr="000F147C">
        <w:rPr>
          <w:sz w:val="21"/>
          <w:szCs w:val="21"/>
        </w:rPr>
        <w:t>TCAC is an Aboriginal Community Controlled Organisation (ACCO) delivering human services for the benefit of Aboriginal people from Alice Springs, its Town Camps and Central Australia.</w:t>
      </w:r>
    </w:p>
    <w:p w14:paraId="244C434C" w14:textId="55C3C30C" w:rsidR="0089026F" w:rsidRPr="00C91BF2" w:rsidRDefault="0089026F" w:rsidP="00C91BF2">
      <w:pPr>
        <w:pStyle w:val="IntroParagraph"/>
        <w:spacing w:before="0" w:after="160" w:line="286" w:lineRule="exact"/>
        <w:jc w:val="both"/>
        <w:rPr>
          <w:rFonts w:asciiTheme="majorHAnsi" w:hAnsiTheme="majorHAnsi" w:cstheme="majorHAnsi"/>
          <w:color w:val="auto"/>
          <w:sz w:val="21"/>
          <w:szCs w:val="21"/>
        </w:rPr>
      </w:pPr>
      <w:r w:rsidRPr="00C91BF2">
        <w:rPr>
          <w:rFonts w:asciiTheme="majorHAnsi" w:hAnsiTheme="majorHAnsi" w:cstheme="majorHAnsi"/>
          <w:color w:val="auto"/>
          <w:sz w:val="21"/>
          <w:szCs w:val="21"/>
        </w:rPr>
        <w:t>TCAC has 16 Town Camp Corporate Members, over 600 Individual Members and provides services to more than 10,000 people from a region that covers approximately 873,894 km</w:t>
      </w:r>
      <w:r w:rsidRPr="00C91BF2">
        <w:rPr>
          <w:rFonts w:asciiTheme="majorHAnsi" w:hAnsiTheme="majorHAnsi" w:cstheme="majorHAnsi"/>
          <w:color w:val="auto"/>
          <w:sz w:val="21"/>
          <w:szCs w:val="21"/>
          <w:vertAlign w:val="superscript"/>
        </w:rPr>
        <w:t>2</w:t>
      </w:r>
      <w:r w:rsidRPr="00C91BF2">
        <w:rPr>
          <w:rFonts w:asciiTheme="majorHAnsi" w:hAnsiTheme="majorHAnsi" w:cstheme="majorHAnsi"/>
          <w:color w:val="auto"/>
          <w:sz w:val="21"/>
          <w:szCs w:val="21"/>
        </w:rPr>
        <w:t>.</w:t>
      </w:r>
    </w:p>
    <w:p w14:paraId="2142BFFE" w14:textId="2A320D7C" w:rsidR="00EB213A" w:rsidRDefault="00EB213A" w:rsidP="00C91BF2">
      <w:pPr>
        <w:tabs>
          <w:tab w:val="left" w:pos="7938"/>
        </w:tabs>
        <w:spacing w:before="0" w:after="160" w:line="286" w:lineRule="exact"/>
        <w:jc w:val="both"/>
        <w:rPr>
          <w:rFonts w:asciiTheme="majorHAnsi" w:hAnsiTheme="majorHAnsi" w:cstheme="majorHAnsi"/>
          <w:color w:val="auto"/>
        </w:rPr>
      </w:pPr>
      <w:r w:rsidRPr="00C91BF2">
        <w:rPr>
          <w:rFonts w:asciiTheme="majorHAnsi" w:hAnsiTheme="majorHAnsi" w:cstheme="majorHAnsi"/>
          <w:color w:val="auto"/>
        </w:rPr>
        <w:t>The TCAC Board of Directors (BoD) is composed of the elected Presidents of the 11 Town Camp Associations and 5 Aboriginal Corporations.</w:t>
      </w:r>
    </w:p>
    <w:p w14:paraId="5D3C1D65" w14:textId="08676C5E" w:rsidR="003573A6" w:rsidRPr="00C91BF2" w:rsidRDefault="003573A6" w:rsidP="00C91BF2">
      <w:pPr>
        <w:tabs>
          <w:tab w:val="left" w:pos="7938"/>
        </w:tabs>
        <w:spacing w:before="0" w:after="160" w:line="286" w:lineRule="exact"/>
        <w:jc w:val="both"/>
        <w:rPr>
          <w:rFonts w:asciiTheme="majorHAnsi" w:hAnsiTheme="majorHAnsi" w:cstheme="majorHAnsi"/>
          <w:color w:val="auto"/>
        </w:rPr>
      </w:pPr>
      <w:r w:rsidRPr="00C91BF2">
        <w:rPr>
          <w:rFonts w:asciiTheme="majorHAnsi" w:hAnsiTheme="majorHAnsi" w:cstheme="majorHAnsi"/>
          <w:color w:val="auto"/>
        </w:rPr>
        <w:t>TCAC was formed to assist Town Campers to gain legal tenure and to obtain water, electricity, and housing. From 1979 until December 2009 TCAC operated as an Aboriginal Community Controlled Housing Organisation (ACCHO) and service provider.</w:t>
      </w:r>
    </w:p>
    <w:p w14:paraId="5F22F643" w14:textId="02B4FF42" w:rsidR="008E582A" w:rsidRPr="00C91BF2" w:rsidRDefault="00C91BF2" w:rsidP="00C91BF2">
      <w:pPr>
        <w:tabs>
          <w:tab w:val="left" w:pos="567"/>
          <w:tab w:val="left" w:pos="851"/>
          <w:tab w:val="left" w:pos="1560"/>
          <w:tab w:val="left" w:pos="10773"/>
        </w:tabs>
        <w:spacing w:before="0" w:after="160" w:line="286" w:lineRule="exact"/>
        <w:jc w:val="both"/>
        <w:rPr>
          <w:rFonts w:asciiTheme="majorHAnsi" w:hAnsiTheme="majorHAnsi" w:cstheme="majorHAnsi"/>
          <w:color w:val="000000"/>
        </w:rPr>
      </w:pPr>
      <w:r w:rsidRPr="00C91BF2">
        <w:rPr>
          <w:rFonts w:asciiTheme="majorHAnsi" w:hAnsiTheme="majorHAnsi" w:cstheme="majorHAnsi"/>
          <w:color w:val="000000"/>
        </w:rPr>
        <w:t xml:space="preserve">Between 1979 and August 2015 </w:t>
      </w:r>
      <w:r>
        <w:rPr>
          <w:rFonts w:asciiTheme="majorHAnsi" w:hAnsiTheme="majorHAnsi" w:cstheme="majorHAnsi"/>
          <w:color w:val="000000"/>
        </w:rPr>
        <w:t xml:space="preserve">TCAC </w:t>
      </w:r>
      <w:r w:rsidRPr="00C91BF2">
        <w:rPr>
          <w:rFonts w:asciiTheme="majorHAnsi" w:hAnsiTheme="majorHAnsi" w:cstheme="majorHAnsi"/>
          <w:color w:val="000000"/>
        </w:rPr>
        <w:t xml:space="preserve">was incorporated under the Associations Act (2008). To comply with the requirement for Indigenous Organisations to be incorporated under the Corporations (Aboriginal and Torres Strait Islander) Act 2006 (CATSI) to receive Indigenous Advancement Strategy funding </w:t>
      </w:r>
      <w:r>
        <w:rPr>
          <w:rFonts w:asciiTheme="majorHAnsi" w:hAnsiTheme="majorHAnsi" w:cstheme="majorHAnsi"/>
          <w:color w:val="000000"/>
        </w:rPr>
        <w:t>over</w:t>
      </w:r>
      <w:r w:rsidRPr="00C91BF2">
        <w:rPr>
          <w:rFonts w:asciiTheme="majorHAnsi" w:hAnsiTheme="majorHAnsi" w:cstheme="majorHAnsi"/>
          <w:color w:val="000000"/>
        </w:rPr>
        <w:t xml:space="preserve"> $500,000, </w:t>
      </w:r>
      <w:r>
        <w:rPr>
          <w:rFonts w:asciiTheme="majorHAnsi" w:hAnsiTheme="majorHAnsi" w:cstheme="majorHAnsi"/>
          <w:color w:val="000000"/>
        </w:rPr>
        <w:t>TCAC</w:t>
      </w:r>
      <w:r w:rsidRPr="00C91BF2">
        <w:rPr>
          <w:rFonts w:asciiTheme="majorHAnsi" w:hAnsiTheme="majorHAnsi" w:cstheme="majorHAnsi"/>
          <w:color w:val="000000"/>
        </w:rPr>
        <w:t xml:space="preserve"> transferred incorporation to the CATSI Act</w:t>
      </w:r>
      <w:r>
        <w:rPr>
          <w:rFonts w:asciiTheme="majorHAnsi" w:hAnsiTheme="majorHAnsi" w:cstheme="majorHAnsi"/>
          <w:color w:val="000000"/>
        </w:rPr>
        <w:t xml:space="preserve"> in August 201</w:t>
      </w:r>
      <w:r w:rsidR="003573A6">
        <w:rPr>
          <w:rFonts w:asciiTheme="majorHAnsi" w:hAnsiTheme="majorHAnsi" w:cstheme="majorHAnsi"/>
          <w:color w:val="000000"/>
        </w:rPr>
        <w:t>5.</w:t>
      </w:r>
    </w:p>
    <w:p w14:paraId="1DA8FAF0" w14:textId="373C30B3" w:rsidR="00EB213A" w:rsidRDefault="00EB213A" w:rsidP="00C91BF2">
      <w:pPr>
        <w:tabs>
          <w:tab w:val="left" w:pos="7938"/>
        </w:tabs>
        <w:spacing w:before="0" w:after="160" w:line="286" w:lineRule="exact"/>
        <w:jc w:val="both"/>
        <w:rPr>
          <w:rFonts w:asciiTheme="majorHAnsi" w:hAnsiTheme="majorHAnsi" w:cstheme="majorHAnsi"/>
          <w:color w:val="auto"/>
        </w:rPr>
      </w:pPr>
      <w:r w:rsidRPr="00C91BF2">
        <w:rPr>
          <w:rFonts w:asciiTheme="majorHAnsi" w:hAnsiTheme="majorHAnsi" w:cstheme="majorHAnsi"/>
          <w:color w:val="auto"/>
        </w:rPr>
        <w:t>In 2009, 11 Town Camp Housing Associations and 3 Town Camp Aboriginal Corporations executed Tripartite Alice Springs Living Area Subleases with the Executive Director of Township Leasing (EDTL) on behalf of the Commonwealth and the CEO of Housing on behalf of the Territory. The EDTL then entered a Housing Management Agreement (</w:t>
      </w:r>
      <w:r w:rsidR="003233E0" w:rsidRPr="00C91BF2">
        <w:rPr>
          <w:rFonts w:asciiTheme="majorHAnsi" w:hAnsiTheme="majorHAnsi" w:cstheme="majorHAnsi"/>
          <w:color w:val="auto"/>
        </w:rPr>
        <w:t>Sublease</w:t>
      </w:r>
      <w:r w:rsidRPr="00C91BF2">
        <w:rPr>
          <w:rFonts w:asciiTheme="majorHAnsi" w:hAnsiTheme="majorHAnsi" w:cstheme="majorHAnsi"/>
          <w:color w:val="auto"/>
        </w:rPr>
        <w:t xml:space="preserve">) with the </w:t>
      </w:r>
      <w:r w:rsidR="008614BF" w:rsidRPr="00C91BF2">
        <w:rPr>
          <w:rFonts w:asciiTheme="majorHAnsi" w:hAnsiTheme="majorHAnsi" w:cstheme="majorHAnsi"/>
          <w:color w:val="auto"/>
        </w:rPr>
        <w:t>CEO of Housing (NT)</w:t>
      </w:r>
      <w:r w:rsidRPr="00C91BF2">
        <w:rPr>
          <w:rFonts w:asciiTheme="majorHAnsi" w:hAnsiTheme="majorHAnsi" w:cstheme="majorHAnsi"/>
          <w:color w:val="auto"/>
        </w:rPr>
        <w:t xml:space="preserve"> making the Department of </w:t>
      </w:r>
      <w:r w:rsidR="008614BF" w:rsidRPr="00C91BF2">
        <w:rPr>
          <w:rFonts w:asciiTheme="majorHAnsi" w:hAnsiTheme="majorHAnsi" w:cstheme="majorHAnsi"/>
          <w:color w:val="auto"/>
        </w:rPr>
        <w:t>Territory Families, Housing and Communities</w:t>
      </w:r>
      <w:r w:rsidR="000F147C" w:rsidRPr="00C91BF2">
        <w:rPr>
          <w:rFonts w:asciiTheme="majorHAnsi" w:hAnsiTheme="majorHAnsi" w:cstheme="majorHAnsi"/>
          <w:color w:val="auto"/>
        </w:rPr>
        <w:t xml:space="preserve"> (DTFHC</w:t>
      </w:r>
      <w:r w:rsidRPr="00C91BF2">
        <w:rPr>
          <w:rFonts w:asciiTheme="majorHAnsi" w:hAnsiTheme="majorHAnsi" w:cstheme="majorHAnsi"/>
          <w:color w:val="auto"/>
        </w:rPr>
        <w:t>) the Housing Authority for the Town Camps.</w:t>
      </w:r>
      <w:r w:rsidR="003233E0" w:rsidRPr="00C91BF2">
        <w:rPr>
          <w:rFonts w:asciiTheme="majorHAnsi" w:hAnsiTheme="majorHAnsi" w:cstheme="majorHAnsi"/>
          <w:color w:val="auto"/>
        </w:rPr>
        <w:t xml:space="preserve"> </w:t>
      </w:r>
      <w:r w:rsidRPr="00C91BF2">
        <w:rPr>
          <w:rFonts w:asciiTheme="majorHAnsi" w:hAnsiTheme="majorHAnsi" w:cstheme="majorHAnsi"/>
          <w:color w:val="auto"/>
        </w:rPr>
        <w:t xml:space="preserve">Despite the changed leasing arrangements, TCAC and its Corporate Members; subsidiary and related parties retain an active role in </w:t>
      </w:r>
      <w:r w:rsidR="003233E0" w:rsidRPr="00C91BF2">
        <w:rPr>
          <w:rFonts w:asciiTheme="majorHAnsi" w:hAnsiTheme="majorHAnsi" w:cstheme="majorHAnsi"/>
          <w:color w:val="auto"/>
        </w:rPr>
        <w:t>Town Camp Housing Management.</w:t>
      </w:r>
    </w:p>
    <w:p w14:paraId="632AD639" w14:textId="546EE3A9" w:rsidR="00E53121" w:rsidRPr="00C91BF2" w:rsidRDefault="003573A6" w:rsidP="00C91BF2">
      <w:pPr>
        <w:tabs>
          <w:tab w:val="left" w:pos="7938"/>
        </w:tabs>
        <w:spacing w:before="0" w:after="160" w:line="286" w:lineRule="exact"/>
        <w:jc w:val="both"/>
        <w:rPr>
          <w:rFonts w:asciiTheme="majorHAnsi" w:hAnsiTheme="majorHAnsi" w:cstheme="majorHAnsi"/>
          <w:color w:val="auto"/>
        </w:rPr>
      </w:pPr>
      <w:r w:rsidRPr="00C91BF2">
        <w:rPr>
          <w:rFonts w:asciiTheme="majorHAnsi" w:hAnsiTheme="majorHAnsi" w:cstheme="majorHAnsi"/>
          <w:color w:val="auto"/>
        </w:rPr>
        <w:t>The work undertaken by TCAC is aligned with action on the social, environmental, and behavioural determinants of health and wellbeing. Programs delivered throughout Central Australia include: (1) Child Protection and Wellbeing; (2) Children and Schooling; (3) Community Safety; (4) Alcohol and Other Drugs; (5) Tenancy Support; (6) Employment; (7) Aged and Disabled; (8) Chronic Disease Care Coordination; (9) Family Violence Prevention; (10) Housing Maintenance; (11) Municipal and Essential Services; (12) Construction and (15) Art and Culture.</w:t>
      </w:r>
    </w:p>
    <w:p w14:paraId="6FE2723D" w14:textId="6571BBEE" w:rsidR="003233E0" w:rsidRDefault="003233E0" w:rsidP="00C91BF2">
      <w:pPr>
        <w:tabs>
          <w:tab w:val="left" w:pos="7938"/>
        </w:tabs>
        <w:spacing w:before="0" w:after="160" w:line="286" w:lineRule="exact"/>
        <w:jc w:val="both"/>
        <w:rPr>
          <w:rFonts w:asciiTheme="majorHAnsi" w:hAnsiTheme="majorHAnsi" w:cstheme="majorHAnsi"/>
          <w:color w:val="auto"/>
        </w:rPr>
      </w:pPr>
      <w:r w:rsidRPr="00C91BF2">
        <w:rPr>
          <w:rFonts w:asciiTheme="majorHAnsi" w:hAnsiTheme="majorHAnsi" w:cstheme="majorHAnsi"/>
          <w:color w:val="auto"/>
        </w:rPr>
        <w:t>TCAC is committed to the employment and capacity development of Aboriginal people. 55% of the TCAC workforce of 273 people is Aboriginal.</w:t>
      </w:r>
    </w:p>
    <w:p w14:paraId="574391DF" w14:textId="6D95B0B8" w:rsidR="000878A3" w:rsidRDefault="000878A3" w:rsidP="00C91BF2">
      <w:pPr>
        <w:tabs>
          <w:tab w:val="left" w:pos="7938"/>
        </w:tabs>
        <w:spacing w:before="0" w:after="160" w:line="286" w:lineRule="exact"/>
        <w:jc w:val="both"/>
        <w:rPr>
          <w:rFonts w:asciiTheme="majorHAnsi" w:hAnsiTheme="majorHAnsi" w:cstheme="majorHAnsi"/>
          <w:color w:val="auto"/>
        </w:rPr>
      </w:pPr>
      <w:r>
        <w:rPr>
          <w:rFonts w:asciiTheme="majorHAnsi" w:hAnsiTheme="majorHAnsi" w:cstheme="majorHAnsi"/>
          <w:color w:val="auto"/>
        </w:rPr>
        <w:br w:type="page"/>
      </w:r>
    </w:p>
    <w:p w14:paraId="762A661C" w14:textId="77777777" w:rsidR="00630318" w:rsidRDefault="00630318" w:rsidP="003B5E55">
      <w:pPr>
        <w:pStyle w:val="Heading2"/>
        <w:numPr>
          <w:ilvl w:val="0"/>
          <w:numId w:val="9"/>
        </w:numPr>
        <w:ind w:left="340" w:hanging="340"/>
        <w:jc w:val="both"/>
        <w:rPr>
          <w:rFonts w:eastAsia="Times New Roman"/>
          <w:lang w:eastAsia="en-AU"/>
        </w:rPr>
      </w:pPr>
      <w:bookmarkStart w:id="5" w:name="_Toc48572219"/>
      <w:bookmarkStart w:id="6" w:name="_Toc79406777"/>
      <w:bookmarkStart w:id="7" w:name="_Toc48572220"/>
      <w:r>
        <w:rPr>
          <w:rFonts w:eastAsia="Times New Roman"/>
          <w:lang w:eastAsia="en-AU"/>
        </w:rPr>
        <w:lastRenderedPageBreak/>
        <w:t>Languages</w:t>
      </w:r>
      <w:bookmarkEnd w:id="5"/>
      <w:bookmarkEnd w:id="6"/>
    </w:p>
    <w:p w14:paraId="539C3D9A" w14:textId="77777777" w:rsidR="00630318" w:rsidRPr="00DF02CE" w:rsidRDefault="00630318" w:rsidP="00630318">
      <w:pPr>
        <w:jc w:val="both"/>
      </w:pPr>
    </w:p>
    <w:p w14:paraId="2BF4197C" w14:textId="77777777" w:rsidR="00630318" w:rsidRDefault="00630318" w:rsidP="00630318">
      <w:pPr>
        <w:pStyle w:val="IntroParagraph"/>
        <w:spacing w:before="0" w:after="160" w:line="286" w:lineRule="exact"/>
        <w:jc w:val="both"/>
        <w:rPr>
          <w:rFonts w:cstheme="minorHAnsi"/>
          <w:sz w:val="22"/>
          <w:szCs w:val="22"/>
        </w:rPr>
      </w:pPr>
      <w:r w:rsidRPr="00E809D7">
        <w:rPr>
          <w:rFonts w:cstheme="minorHAnsi"/>
          <w:sz w:val="22"/>
          <w:szCs w:val="22"/>
        </w:rPr>
        <w:t>T</w:t>
      </w:r>
      <w:r>
        <w:rPr>
          <w:rFonts w:cstheme="minorHAnsi"/>
          <w:sz w:val="22"/>
          <w:szCs w:val="22"/>
        </w:rPr>
        <w:t>he residents of the Alice Springs Town Camps are multilingual. For most residents, English is not their first language.</w:t>
      </w:r>
    </w:p>
    <w:p w14:paraId="4E826A09" w14:textId="77777777" w:rsidR="00630318" w:rsidRPr="00E809D7" w:rsidRDefault="00630318" w:rsidP="00630318">
      <w:pPr>
        <w:pStyle w:val="IntroParagraph"/>
        <w:spacing w:before="0" w:after="160" w:line="286" w:lineRule="exact"/>
        <w:jc w:val="both"/>
        <w:rPr>
          <w:rFonts w:cstheme="minorHAnsi"/>
          <w:sz w:val="22"/>
          <w:szCs w:val="22"/>
        </w:rPr>
      </w:pPr>
      <w:r w:rsidRPr="00E809D7">
        <w:rPr>
          <w:rFonts w:cstheme="minorHAnsi"/>
          <w:color w:val="auto"/>
          <w:sz w:val="22"/>
          <w:szCs w:val="22"/>
        </w:rPr>
        <w:t>T</w:t>
      </w:r>
      <w:r>
        <w:rPr>
          <w:rFonts w:cstheme="minorHAnsi"/>
          <w:color w:val="auto"/>
          <w:sz w:val="22"/>
          <w:szCs w:val="22"/>
        </w:rPr>
        <w:t>he following table outlines the languages spoken on the Alice Springs Town Camps.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908"/>
        <w:gridCol w:w="5585"/>
      </w:tblGrid>
      <w:tr w:rsidR="00630318" w:rsidRPr="000E5620" w14:paraId="031011B9" w14:textId="77777777" w:rsidTr="00CE7392">
        <w:trPr>
          <w:trHeight w:val="300"/>
        </w:trPr>
        <w:tc>
          <w:tcPr>
            <w:tcW w:w="2005" w:type="dxa"/>
            <w:shd w:val="clear" w:color="000000" w:fill="D9D9D9"/>
            <w:noWrap/>
            <w:vAlign w:val="center"/>
            <w:hideMark/>
          </w:tcPr>
          <w:p w14:paraId="7C2AB9C0"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Name</w:t>
            </w:r>
          </w:p>
        </w:tc>
        <w:tc>
          <w:tcPr>
            <w:tcW w:w="1908" w:type="dxa"/>
            <w:shd w:val="clear" w:color="000000" w:fill="D9D9D9"/>
            <w:noWrap/>
            <w:vAlign w:val="center"/>
            <w:hideMark/>
          </w:tcPr>
          <w:p w14:paraId="0E24FCD4"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Alias</w:t>
            </w:r>
          </w:p>
        </w:tc>
        <w:tc>
          <w:tcPr>
            <w:tcW w:w="5585" w:type="dxa"/>
            <w:shd w:val="clear" w:color="000000" w:fill="D9D9D9"/>
            <w:noWrap/>
            <w:vAlign w:val="center"/>
          </w:tcPr>
          <w:p w14:paraId="3C041114"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257EFF">
              <w:rPr>
                <w:rFonts w:asciiTheme="majorHAnsi" w:eastAsia="Times New Roman" w:hAnsiTheme="majorHAnsi" w:cstheme="majorHAnsi"/>
                <w:color w:val="000000"/>
                <w:lang w:eastAsia="en-AU"/>
              </w:rPr>
              <w:t>Languages</w:t>
            </w:r>
          </w:p>
        </w:tc>
      </w:tr>
      <w:tr w:rsidR="00630318" w:rsidRPr="000E5620" w14:paraId="72930661" w14:textId="77777777" w:rsidTr="00CE7392">
        <w:trPr>
          <w:trHeight w:val="300"/>
        </w:trPr>
        <w:tc>
          <w:tcPr>
            <w:tcW w:w="2005" w:type="dxa"/>
            <w:shd w:val="clear" w:color="000000" w:fill="FFFFFF"/>
            <w:noWrap/>
            <w:vAlign w:val="center"/>
            <w:hideMark/>
          </w:tcPr>
          <w:p w14:paraId="1A849770"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Akngwertnarre</w:t>
            </w:r>
          </w:p>
        </w:tc>
        <w:tc>
          <w:tcPr>
            <w:tcW w:w="1908" w:type="dxa"/>
            <w:shd w:val="clear" w:color="000000" w:fill="FFFFFF"/>
            <w:noWrap/>
            <w:vAlign w:val="center"/>
            <w:hideMark/>
          </w:tcPr>
          <w:p w14:paraId="6BB26420"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Morris Soak</w:t>
            </w:r>
          </w:p>
        </w:tc>
        <w:tc>
          <w:tcPr>
            <w:tcW w:w="5585" w:type="dxa"/>
            <w:shd w:val="clear" w:color="auto" w:fill="auto"/>
            <w:noWrap/>
            <w:vAlign w:val="center"/>
          </w:tcPr>
          <w:p w14:paraId="35B8188F"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Warlpiri</w:t>
            </w:r>
          </w:p>
        </w:tc>
      </w:tr>
      <w:tr w:rsidR="00630318" w:rsidRPr="000E5620" w14:paraId="415844DD" w14:textId="77777777" w:rsidTr="00CE7392">
        <w:trPr>
          <w:trHeight w:val="300"/>
        </w:trPr>
        <w:tc>
          <w:tcPr>
            <w:tcW w:w="2005" w:type="dxa"/>
            <w:shd w:val="clear" w:color="000000" w:fill="FFFFFF"/>
            <w:noWrap/>
            <w:vAlign w:val="center"/>
            <w:hideMark/>
          </w:tcPr>
          <w:p w14:paraId="0D68AEAD"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Anthelk-Ewlpaye</w:t>
            </w:r>
          </w:p>
        </w:tc>
        <w:tc>
          <w:tcPr>
            <w:tcW w:w="1908" w:type="dxa"/>
            <w:shd w:val="clear" w:color="000000" w:fill="FFFFFF"/>
            <w:noWrap/>
            <w:vAlign w:val="center"/>
            <w:hideMark/>
          </w:tcPr>
          <w:p w14:paraId="0401EB02"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Charles Creek</w:t>
            </w:r>
          </w:p>
        </w:tc>
        <w:tc>
          <w:tcPr>
            <w:tcW w:w="5585" w:type="dxa"/>
            <w:shd w:val="clear" w:color="auto" w:fill="auto"/>
            <w:noWrap/>
            <w:vAlign w:val="center"/>
          </w:tcPr>
          <w:p w14:paraId="58A15C21"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Anmatyerr</w:t>
            </w:r>
          </w:p>
        </w:tc>
      </w:tr>
      <w:tr w:rsidR="00630318" w:rsidRPr="000E5620" w14:paraId="3DA570DA" w14:textId="77777777" w:rsidTr="00CE7392">
        <w:trPr>
          <w:trHeight w:val="300"/>
        </w:trPr>
        <w:tc>
          <w:tcPr>
            <w:tcW w:w="2005" w:type="dxa"/>
            <w:shd w:val="clear" w:color="000000" w:fill="FFFFFF"/>
            <w:noWrap/>
            <w:vAlign w:val="center"/>
          </w:tcPr>
          <w:p w14:paraId="7256BB2F"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Lhenpe Artnwe</w:t>
            </w:r>
          </w:p>
        </w:tc>
        <w:tc>
          <w:tcPr>
            <w:tcW w:w="1908" w:type="dxa"/>
            <w:shd w:val="clear" w:color="000000" w:fill="FFFFFF"/>
            <w:noWrap/>
            <w:vAlign w:val="center"/>
          </w:tcPr>
          <w:p w14:paraId="0457DF4E"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Hoppys</w:t>
            </w:r>
          </w:p>
        </w:tc>
        <w:tc>
          <w:tcPr>
            <w:tcW w:w="5585" w:type="dxa"/>
            <w:shd w:val="clear" w:color="auto" w:fill="auto"/>
            <w:noWrap/>
            <w:vAlign w:val="center"/>
          </w:tcPr>
          <w:p w14:paraId="3A1E7619"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Pertame, Luritja, Anmatyerr</w:t>
            </w:r>
          </w:p>
        </w:tc>
      </w:tr>
      <w:tr w:rsidR="00630318" w:rsidRPr="000E5620" w14:paraId="61DF347B" w14:textId="77777777" w:rsidTr="00CE7392">
        <w:trPr>
          <w:trHeight w:val="300"/>
        </w:trPr>
        <w:tc>
          <w:tcPr>
            <w:tcW w:w="2005" w:type="dxa"/>
            <w:shd w:val="clear" w:color="000000" w:fill="FFFFFF"/>
            <w:noWrap/>
            <w:vAlign w:val="center"/>
            <w:hideMark/>
          </w:tcPr>
          <w:p w14:paraId="0EE737E3"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Anthepe</w:t>
            </w:r>
          </w:p>
        </w:tc>
        <w:tc>
          <w:tcPr>
            <w:tcW w:w="1908" w:type="dxa"/>
            <w:shd w:val="clear" w:color="000000" w:fill="FFFFFF"/>
            <w:noWrap/>
            <w:vAlign w:val="center"/>
            <w:hideMark/>
          </w:tcPr>
          <w:p w14:paraId="5757A707"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Drive In</w:t>
            </w:r>
          </w:p>
        </w:tc>
        <w:tc>
          <w:tcPr>
            <w:tcW w:w="5585" w:type="dxa"/>
            <w:shd w:val="clear" w:color="auto" w:fill="auto"/>
            <w:noWrap/>
            <w:vAlign w:val="center"/>
          </w:tcPr>
          <w:p w14:paraId="58AF8DC9"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Warlpiri, Luritja, Pitjantjatjara</w:t>
            </w:r>
          </w:p>
        </w:tc>
      </w:tr>
      <w:tr w:rsidR="00630318" w:rsidRPr="000E5620" w14:paraId="0618F93A" w14:textId="77777777" w:rsidTr="00CE7392">
        <w:trPr>
          <w:trHeight w:val="300"/>
        </w:trPr>
        <w:tc>
          <w:tcPr>
            <w:tcW w:w="2005" w:type="dxa"/>
            <w:shd w:val="clear" w:color="000000" w:fill="FFFFFF"/>
            <w:noWrap/>
            <w:vAlign w:val="center"/>
            <w:hideMark/>
          </w:tcPr>
          <w:p w14:paraId="4AED3211"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 xml:space="preserve">Aper-Alwerrknge </w:t>
            </w:r>
          </w:p>
        </w:tc>
        <w:tc>
          <w:tcPr>
            <w:tcW w:w="1908" w:type="dxa"/>
            <w:shd w:val="clear" w:color="000000" w:fill="FFFFFF"/>
            <w:noWrap/>
            <w:vAlign w:val="center"/>
            <w:hideMark/>
          </w:tcPr>
          <w:p w14:paraId="08A698C9"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Palmers</w:t>
            </w:r>
          </w:p>
        </w:tc>
        <w:tc>
          <w:tcPr>
            <w:tcW w:w="5585" w:type="dxa"/>
            <w:shd w:val="clear" w:color="auto" w:fill="auto"/>
            <w:noWrap/>
            <w:vAlign w:val="center"/>
          </w:tcPr>
          <w:p w14:paraId="7A400BFE"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w:t>
            </w:r>
          </w:p>
        </w:tc>
      </w:tr>
      <w:tr w:rsidR="00630318" w:rsidRPr="000E5620" w14:paraId="2242CB1E" w14:textId="77777777" w:rsidTr="00CE7392">
        <w:trPr>
          <w:trHeight w:val="300"/>
        </w:trPr>
        <w:tc>
          <w:tcPr>
            <w:tcW w:w="2005" w:type="dxa"/>
            <w:shd w:val="clear" w:color="000000" w:fill="FFFFFF"/>
            <w:noWrap/>
            <w:vAlign w:val="center"/>
            <w:hideMark/>
          </w:tcPr>
          <w:p w14:paraId="071DD38E"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 xml:space="preserve">Ewyenper-Atwatye </w:t>
            </w:r>
          </w:p>
        </w:tc>
        <w:tc>
          <w:tcPr>
            <w:tcW w:w="1908" w:type="dxa"/>
            <w:shd w:val="clear" w:color="000000" w:fill="FFFFFF"/>
            <w:noWrap/>
            <w:vAlign w:val="center"/>
            <w:hideMark/>
          </w:tcPr>
          <w:p w14:paraId="1E49ABE1"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Hidden Valley</w:t>
            </w:r>
          </w:p>
        </w:tc>
        <w:tc>
          <w:tcPr>
            <w:tcW w:w="5585" w:type="dxa"/>
            <w:shd w:val="clear" w:color="auto" w:fill="auto"/>
            <w:noWrap/>
            <w:vAlign w:val="center"/>
          </w:tcPr>
          <w:p w14:paraId="0B53A08C"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Warlpiri</w:t>
            </w:r>
          </w:p>
        </w:tc>
      </w:tr>
      <w:tr w:rsidR="00630318" w:rsidRPr="000E5620" w14:paraId="62A4EFC8" w14:textId="77777777" w:rsidTr="00CE7392">
        <w:trPr>
          <w:trHeight w:val="300"/>
        </w:trPr>
        <w:tc>
          <w:tcPr>
            <w:tcW w:w="2005" w:type="dxa"/>
            <w:shd w:val="clear" w:color="000000" w:fill="FFFFFF"/>
            <w:noWrap/>
            <w:vAlign w:val="center"/>
            <w:hideMark/>
          </w:tcPr>
          <w:p w14:paraId="7776F079"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Ilparpa</w:t>
            </w:r>
          </w:p>
        </w:tc>
        <w:tc>
          <w:tcPr>
            <w:tcW w:w="1908" w:type="dxa"/>
            <w:shd w:val="clear" w:color="000000" w:fill="FFFFFF"/>
            <w:noWrap/>
            <w:vAlign w:val="center"/>
            <w:hideMark/>
          </w:tcPr>
          <w:p w14:paraId="28F4431A"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Ilparpa</w:t>
            </w:r>
          </w:p>
        </w:tc>
        <w:tc>
          <w:tcPr>
            <w:tcW w:w="5585" w:type="dxa"/>
            <w:shd w:val="clear" w:color="auto" w:fill="auto"/>
            <w:noWrap/>
            <w:vAlign w:val="center"/>
          </w:tcPr>
          <w:p w14:paraId="3DBEFAB6"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Pertame, Luritja</w:t>
            </w:r>
          </w:p>
        </w:tc>
      </w:tr>
      <w:tr w:rsidR="00630318" w:rsidRPr="000E5620" w14:paraId="773F0503" w14:textId="77777777" w:rsidTr="00CE7392">
        <w:trPr>
          <w:trHeight w:val="300"/>
        </w:trPr>
        <w:tc>
          <w:tcPr>
            <w:tcW w:w="2005" w:type="dxa"/>
            <w:shd w:val="clear" w:color="000000" w:fill="FFFFFF"/>
            <w:noWrap/>
            <w:vAlign w:val="center"/>
            <w:hideMark/>
          </w:tcPr>
          <w:p w14:paraId="6C8FB96C"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Ilperle Tyathe</w:t>
            </w:r>
          </w:p>
        </w:tc>
        <w:tc>
          <w:tcPr>
            <w:tcW w:w="1908" w:type="dxa"/>
            <w:shd w:val="clear" w:color="000000" w:fill="FFFFFF"/>
            <w:noWrap/>
            <w:vAlign w:val="center"/>
            <w:hideMark/>
          </w:tcPr>
          <w:p w14:paraId="60C96868"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Warlpiri</w:t>
            </w:r>
          </w:p>
        </w:tc>
        <w:tc>
          <w:tcPr>
            <w:tcW w:w="5585" w:type="dxa"/>
            <w:shd w:val="clear" w:color="auto" w:fill="auto"/>
            <w:noWrap/>
            <w:vAlign w:val="center"/>
          </w:tcPr>
          <w:p w14:paraId="29B74782"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Warlpiri</w:t>
            </w:r>
          </w:p>
        </w:tc>
      </w:tr>
      <w:tr w:rsidR="00630318" w:rsidRPr="000E5620" w14:paraId="18DB0943" w14:textId="77777777" w:rsidTr="00CE7392">
        <w:trPr>
          <w:trHeight w:val="300"/>
        </w:trPr>
        <w:tc>
          <w:tcPr>
            <w:tcW w:w="2005" w:type="dxa"/>
            <w:shd w:val="clear" w:color="000000" w:fill="FFFFFF"/>
            <w:noWrap/>
            <w:vAlign w:val="center"/>
            <w:hideMark/>
          </w:tcPr>
          <w:p w14:paraId="47B04C89"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Ilyperenye</w:t>
            </w:r>
          </w:p>
        </w:tc>
        <w:tc>
          <w:tcPr>
            <w:tcW w:w="1908" w:type="dxa"/>
            <w:shd w:val="clear" w:color="000000" w:fill="FFFFFF"/>
            <w:noWrap/>
            <w:vAlign w:val="center"/>
            <w:hideMark/>
          </w:tcPr>
          <w:p w14:paraId="5174F4C4"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Old Timers</w:t>
            </w:r>
          </w:p>
        </w:tc>
        <w:tc>
          <w:tcPr>
            <w:tcW w:w="5585" w:type="dxa"/>
            <w:shd w:val="clear" w:color="auto" w:fill="auto"/>
            <w:noWrap/>
            <w:vAlign w:val="center"/>
          </w:tcPr>
          <w:p w14:paraId="0EDEEA9C"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Warlpiri, Luritja, Pitjantjatjara</w:t>
            </w:r>
          </w:p>
        </w:tc>
      </w:tr>
      <w:tr w:rsidR="00630318" w:rsidRPr="000E5620" w14:paraId="04C9FA42" w14:textId="77777777" w:rsidTr="00CE7392">
        <w:trPr>
          <w:trHeight w:val="300"/>
        </w:trPr>
        <w:tc>
          <w:tcPr>
            <w:tcW w:w="2005" w:type="dxa"/>
            <w:shd w:val="clear" w:color="000000" w:fill="FFFFFF"/>
            <w:noWrap/>
            <w:vAlign w:val="center"/>
            <w:hideMark/>
          </w:tcPr>
          <w:p w14:paraId="25FF17B9"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Inarlenge</w:t>
            </w:r>
          </w:p>
        </w:tc>
        <w:tc>
          <w:tcPr>
            <w:tcW w:w="1908" w:type="dxa"/>
            <w:shd w:val="clear" w:color="000000" w:fill="FFFFFF"/>
            <w:noWrap/>
            <w:vAlign w:val="center"/>
            <w:hideMark/>
          </w:tcPr>
          <w:p w14:paraId="463DD984"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Little Sisters</w:t>
            </w:r>
          </w:p>
        </w:tc>
        <w:tc>
          <w:tcPr>
            <w:tcW w:w="5585" w:type="dxa"/>
            <w:shd w:val="clear" w:color="auto" w:fill="auto"/>
            <w:noWrap/>
            <w:vAlign w:val="center"/>
          </w:tcPr>
          <w:p w14:paraId="4DCE7777"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Warlpiri, Luritja, Pitjantjatjara</w:t>
            </w:r>
          </w:p>
        </w:tc>
      </w:tr>
      <w:tr w:rsidR="00630318" w:rsidRPr="000E5620" w14:paraId="594F5D18" w14:textId="77777777" w:rsidTr="00CE7392">
        <w:trPr>
          <w:trHeight w:val="300"/>
        </w:trPr>
        <w:tc>
          <w:tcPr>
            <w:tcW w:w="2005" w:type="dxa"/>
            <w:shd w:val="clear" w:color="000000" w:fill="FFFFFF"/>
            <w:noWrap/>
            <w:vAlign w:val="center"/>
            <w:hideMark/>
          </w:tcPr>
          <w:p w14:paraId="53926A47"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Irrkerlantye</w:t>
            </w:r>
          </w:p>
        </w:tc>
        <w:tc>
          <w:tcPr>
            <w:tcW w:w="1908" w:type="dxa"/>
            <w:shd w:val="clear" w:color="000000" w:fill="FFFFFF"/>
            <w:noWrap/>
            <w:vAlign w:val="center"/>
            <w:hideMark/>
          </w:tcPr>
          <w:p w14:paraId="3303F764"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White Gate</w:t>
            </w:r>
          </w:p>
        </w:tc>
        <w:tc>
          <w:tcPr>
            <w:tcW w:w="5585" w:type="dxa"/>
            <w:shd w:val="clear" w:color="auto" w:fill="auto"/>
            <w:noWrap/>
            <w:vAlign w:val="center"/>
          </w:tcPr>
          <w:p w14:paraId="3A3689C0"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w:t>
            </w:r>
          </w:p>
        </w:tc>
      </w:tr>
      <w:tr w:rsidR="00630318" w:rsidRPr="000E5620" w14:paraId="6B2A0E13" w14:textId="77777777" w:rsidTr="00CE7392">
        <w:trPr>
          <w:trHeight w:val="300"/>
        </w:trPr>
        <w:tc>
          <w:tcPr>
            <w:tcW w:w="2005" w:type="dxa"/>
            <w:shd w:val="clear" w:color="000000" w:fill="FFFFFF"/>
            <w:noWrap/>
            <w:vAlign w:val="center"/>
            <w:hideMark/>
          </w:tcPr>
          <w:p w14:paraId="54B35375"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Karnte</w:t>
            </w:r>
          </w:p>
        </w:tc>
        <w:tc>
          <w:tcPr>
            <w:tcW w:w="1908" w:type="dxa"/>
            <w:shd w:val="clear" w:color="000000" w:fill="FFFFFF"/>
            <w:noWrap/>
            <w:vAlign w:val="center"/>
            <w:hideMark/>
          </w:tcPr>
          <w:p w14:paraId="7E95A55D"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Karnte</w:t>
            </w:r>
          </w:p>
        </w:tc>
        <w:tc>
          <w:tcPr>
            <w:tcW w:w="5585" w:type="dxa"/>
            <w:shd w:val="clear" w:color="auto" w:fill="auto"/>
            <w:noWrap/>
            <w:vAlign w:val="center"/>
          </w:tcPr>
          <w:p w14:paraId="4DF5D646"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Luritja, Pitjantjatjara</w:t>
            </w:r>
          </w:p>
        </w:tc>
      </w:tr>
      <w:tr w:rsidR="00630318" w:rsidRPr="000E5620" w14:paraId="2F9A7F64" w14:textId="77777777" w:rsidTr="00CE7392">
        <w:trPr>
          <w:trHeight w:val="300"/>
        </w:trPr>
        <w:tc>
          <w:tcPr>
            <w:tcW w:w="2005" w:type="dxa"/>
            <w:shd w:val="clear" w:color="000000" w:fill="FFFFFF"/>
            <w:noWrap/>
            <w:vAlign w:val="center"/>
            <w:hideMark/>
          </w:tcPr>
          <w:p w14:paraId="476AD627"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Mount Nancy</w:t>
            </w:r>
          </w:p>
        </w:tc>
        <w:tc>
          <w:tcPr>
            <w:tcW w:w="1908" w:type="dxa"/>
            <w:shd w:val="clear" w:color="000000" w:fill="FFFFFF"/>
            <w:noWrap/>
            <w:vAlign w:val="center"/>
            <w:hideMark/>
          </w:tcPr>
          <w:p w14:paraId="68A67BB2"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Mount Nancy</w:t>
            </w:r>
          </w:p>
        </w:tc>
        <w:tc>
          <w:tcPr>
            <w:tcW w:w="5585" w:type="dxa"/>
            <w:shd w:val="clear" w:color="auto" w:fill="auto"/>
            <w:noWrap/>
            <w:vAlign w:val="center"/>
          </w:tcPr>
          <w:p w14:paraId="55E43A39"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Kaytetye, Anmatyerr, Alyawarr</w:t>
            </w:r>
          </w:p>
        </w:tc>
      </w:tr>
      <w:tr w:rsidR="00630318" w:rsidRPr="000E5620" w14:paraId="68C4B089" w14:textId="77777777" w:rsidTr="00CE7392">
        <w:trPr>
          <w:trHeight w:val="300"/>
        </w:trPr>
        <w:tc>
          <w:tcPr>
            <w:tcW w:w="2005" w:type="dxa"/>
            <w:shd w:val="clear" w:color="000000" w:fill="FFFFFF"/>
            <w:noWrap/>
            <w:vAlign w:val="center"/>
          </w:tcPr>
          <w:p w14:paraId="5515DB45"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Itwiyethwenge</w:t>
            </w:r>
          </w:p>
        </w:tc>
        <w:tc>
          <w:tcPr>
            <w:tcW w:w="1908" w:type="dxa"/>
            <w:shd w:val="clear" w:color="000000" w:fill="FFFFFF"/>
            <w:noWrap/>
            <w:vAlign w:val="center"/>
          </w:tcPr>
          <w:p w14:paraId="4289CBE5"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Basso's Farm</w:t>
            </w:r>
          </w:p>
        </w:tc>
        <w:tc>
          <w:tcPr>
            <w:tcW w:w="5585" w:type="dxa"/>
            <w:shd w:val="clear" w:color="auto" w:fill="auto"/>
            <w:noWrap/>
            <w:vAlign w:val="center"/>
          </w:tcPr>
          <w:p w14:paraId="3B5FE443"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Kaytetye, Anmatyerr, Alyawarr</w:t>
            </w:r>
          </w:p>
        </w:tc>
      </w:tr>
      <w:tr w:rsidR="00630318" w:rsidRPr="000E5620" w14:paraId="17B35E9E" w14:textId="77777777" w:rsidTr="00CE7392">
        <w:trPr>
          <w:trHeight w:val="300"/>
        </w:trPr>
        <w:tc>
          <w:tcPr>
            <w:tcW w:w="2005" w:type="dxa"/>
            <w:shd w:val="clear" w:color="000000" w:fill="FFFFFF"/>
            <w:noWrap/>
            <w:vAlign w:val="center"/>
            <w:hideMark/>
          </w:tcPr>
          <w:p w14:paraId="5CB55B93"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Mpwetyerre</w:t>
            </w:r>
          </w:p>
        </w:tc>
        <w:tc>
          <w:tcPr>
            <w:tcW w:w="1908" w:type="dxa"/>
            <w:shd w:val="clear" w:color="000000" w:fill="FFFFFF"/>
            <w:noWrap/>
            <w:vAlign w:val="center"/>
            <w:hideMark/>
          </w:tcPr>
          <w:p w14:paraId="3486EE25"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Abbotts Camp</w:t>
            </w:r>
          </w:p>
        </w:tc>
        <w:tc>
          <w:tcPr>
            <w:tcW w:w="5585" w:type="dxa"/>
            <w:shd w:val="clear" w:color="auto" w:fill="auto"/>
            <w:noWrap/>
            <w:vAlign w:val="center"/>
          </w:tcPr>
          <w:p w14:paraId="376ACFD1"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Warlpiri, Luritja, Pitjantjatjara, Warumungu</w:t>
            </w:r>
          </w:p>
        </w:tc>
      </w:tr>
      <w:tr w:rsidR="00630318" w:rsidRPr="000E5620" w14:paraId="3223D9FA" w14:textId="77777777" w:rsidTr="00CE7392">
        <w:trPr>
          <w:trHeight w:val="300"/>
        </w:trPr>
        <w:tc>
          <w:tcPr>
            <w:tcW w:w="2005" w:type="dxa"/>
            <w:shd w:val="clear" w:color="000000" w:fill="FFFFFF"/>
            <w:noWrap/>
            <w:vAlign w:val="center"/>
            <w:hideMark/>
          </w:tcPr>
          <w:p w14:paraId="57419722"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Nyewente</w:t>
            </w:r>
          </w:p>
        </w:tc>
        <w:tc>
          <w:tcPr>
            <w:tcW w:w="1908" w:type="dxa"/>
            <w:shd w:val="clear" w:color="000000" w:fill="FFFFFF"/>
            <w:noWrap/>
            <w:vAlign w:val="center"/>
            <w:hideMark/>
          </w:tcPr>
          <w:p w14:paraId="0A4FD4FD"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Trucking Yards</w:t>
            </w:r>
          </w:p>
        </w:tc>
        <w:tc>
          <w:tcPr>
            <w:tcW w:w="5585" w:type="dxa"/>
            <w:shd w:val="clear" w:color="auto" w:fill="auto"/>
            <w:noWrap/>
            <w:vAlign w:val="center"/>
          </w:tcPr>
          <w:p w14:paraId="33AA9506"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Luritja</w:t>
            </w:r>
          </w:p>
        </w:tc>
      </w:tr>
      <w:tr w:rsidR="00630318" w:rsidRPr="000E5620" w14:paraId="2B38F219" w14:textId="77777777" w:rsidTr="00CE7392">
        <w:trPr>
          <w:trHeight w:val="300"/>
        </w:trPr>
        <w:tc>
          <w:tcPr>
            <w:tcW w:w="2005" w:type="dxa"/>
            <w:shd w:val="clear" w:color="000000" w:fill="FFFFFF"/>
            <w:noWrap/>
            <w:vAlign w:val="center"/>
            <w:hideMark/>
          </w:tcPr>
          <w:p w14:paraId="246E1AA6"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Yarrenyty Arltere</w:t>
            </w:r>
          </w:p>
        </w:tc>
        <w:tc>
          <w:tcPr>
            <w:tcW w:w="1908" w:type="dxa"/>
            <w:shd w:val="clear" w:color="000000" w:fill="FFFFFF"/>
            <w:noWrap/>
            <w:vAlign w:val="center"/>
            <w:hideMark/>
          </w:tcPr>
          <w:p w14:paraId="2F010914" w14:textId="77777777" w:rsidR="00630318" w:rsidRPr="000E5620" w:rsidRDefault="00630318" w:rsidP="00CE7392">
            <w:pPr>
              <w:spacing w:before="0" w:after="160" w:line="286" w:lineRule="exact"/>
              <w:jc w:val="both"/>
              <w:rPr>
                <w:rFonts w:asciiTheme="majorHAnsi" w:eastAsia="Times New Roman" w:hAnsiTheme="majorHAnsi" w:cstheme="majorHAnsi"/>
                <w:color w:val="000000"/>
                <w:lang w:eastAsia="en-AU"/>
              </w:rPr>
            </w:pPr>
            <w:r w:rsidRPr="000E5620">
              <w:rPr>
                <w:rFonts w:asciiTheme="majorHAnsi" w:eastAsia="Times New Roman" w:hAnsiTheme="majorHAnsi" w:cstheme="majorHAnsi"/>
                <w:color w:val="000000"/>
                <w:lang w:eastAsia="en-AU"/>
              </w:rPr>
              <w:t>Larapinta Valley</w:t>
            </w:r>
          </w:p>
        </w:tc>
        <w:tc>
          <w:tcPr>
            <w:tcW w:w="5585" w:type="dxa"/>
            <w:shd w:val="clear" w:color="auto" w:fill="auto"/>
            <w:noWrap/>
            <w:vAlign w:val="center"/>
          </w:tcPr>
          <w:p w14:paraId="55C615A3" w14:textId="77777777" w:rsidR="00630318" w:rsidRPr="00257EFF" w:rsidRDefault="00630318" w:rsidP="00CE7392">
            <w:pPr>
              <w:spacing w:before="0" w:after="160" w:line="286" w:lineRule="exact"/>
              <w:jc w:val="both"/>
              <w:rPr>
                <w:rFonts w:asciiTheme="majorHAnsi" w:eastAsia="Times New Roman" w:hAnsiTheme="majorHAnsi" w:cstheme="majorHAnsi"/>
                <w:color w:val="000000"/>
                <w:lang w:eastAsia="en-AU"/>
              </w:rPr>
            </w:pPr>
            <w:r w:rsidRPr="00E809D7">
              <w:rPr>
                <w:rFonts w:eastAsia="Times New Roman" w:cstheme="minorHAnsi"/>
                <w:color w:val="000000"/>
                <w:lang w:eastAsia="en-AU"/>
              </w:rPr>
              <w:t>Arrernte, Pertame, Luritja, Pitjantjatjara</w:t>
            </w:r>
          </w:p>
        </w:tc>
      </w:tr>
    </w:tbl>
    <w:p w14:paraId="5F9E4685" w14:textId="25ED1E55" w:rsidR="00AF347E" w:rsidRDefault="00AF347E" w:rsidP="003B5E55">
      <w:pPr>
        <w:pStyle w:val="Heading2"/>
        <w:numPr>
          <w:ilvl w:val="0"/>
          <w:numId w:val="9"/>
        </w:numPr>
        <w:ind w:left="340" w:hanging="340"/>
        <w:jc w:val="both"/>
        <w:rPr>
          <w:rFonts w:eastAsia="Times New Roman"/>
          <w:lang w:eastAsia="en-AU"/>
        </w:rPr>
      </w:pPr>
      <w:bookmarkStart w:id="8" w:name="_Toc79406778"/>
      <w:r>
        <w:rPr>
          <w:rFonts w:eastAsia="Times New Roman"/>
          <w:lang w:eastAsia="en-AU"/>
        </w:rPr>
        <w:t>Local Decision-Making</w:t>
      </w:r>
      <w:bookmarkEnd w:id="7"/>
      <w:bookmarkEnd w:id="8"/>
    </w:p>
    <w:p w14:paraId="56043F12" w14:textId="77777777" w:rsidR="00AF347E" w:rsidRDefault="00AF347E" w:rsidP="00AF347E">
      <w:pPr>
        <w:tabs>
          <w:tab w:val="left" w:pos="7938"/>
        </w:tabs>
        <w:spacing w:before="0"/>
        <w:jc w:val="both"/>
        <w:rPr>
          <w:rFonts w:cstheme="minorHAnsi"/>
          <w:color w:val="auto"/>
          <w:sz w:val="22"/>
          <w:szCs w:val="22"/>
        </w:rPr>
      </w:pPr>
    </w:p>
    <w:p w14:paraId="7BF47ECF" w14:textId="44DA1CE2" w:rsidR="00AF347E" w:rsidRPr="00E809D7" w:rsidRDefault="00F65F68" w:rsidP="00AF347E">
      <w:pPr>
        <w:pStyle w:val="IntroParagraph"/>
        <w:spacing w:before="0" w:after="160" w:line="286" w:lineRule="auto"/>
        <w:jc w:val="both"/>
        <w:rPr>
          <w:rFonts w:cstheme="minorHAnsi"/>
          <w:sz w:val="22"/>
          <w:szCs w:val="22"/>
        </w:rPr>
      </w:pPr>
      <w:r>
        <w:rPr>
          <w:rFonts w:cstheme="minorHAnsi"/>
          <w:sz w:val="22"/>
          <w:szCs w:val="22"/>
        </w:rPr>
        <w:t xml:space="preserve">TCAC and the Territory executed </w:t>
      </w:r>
      <w:r w:rsidR="00130E8B">
        <w:rPr>
          <w:rFonts w:cstheme="minorHAnsi"/>
          <w:sz w:val="22"/>
          <w:szCs w:val="22"/>
        </w:rPr>
        <w:t xml:space="preserve">a Local </w:t>
      </w:r>
      <w:r w:rsidR="0031682A">
        <w:rPr>
          <w:rFonts w:cstheme="minorHAnsi"/>
          <w:sz w:val="22"/>
          <w:szCs w:val="22"/>
        </w:rPr>
        <w:t>Decision-Making</w:t>
      </w:r>
      <w:r w:rsidR="000878A3">
        <w:rPr>
          <w:rFonts w:cstheme="minorHAnsi"/>
          <w:sz w:val="22"/>
          <w:szCs w:val="22"/>
        </w:rPr>
        <w:t xml:space="preserve"> (LDM)</w:t>
      </w:r>
      <w:r w:rsidR="00130E8B">
        <w:rPr>
          <w:rFonts w:cstheme="minorHAnsi"/>
          <w:sz w:val="22"/>
          <w:szCs w:val="22"/>
        </w:rPr>
        <w:t xml:space="preserve"> Agreement in July 2020.</w:t>
      </w:r>
    </w:p>
    <w:p w14:paraId="6DB1D344" w14:textId="58E2AFBC" w:rsidR="00AF347E" w:rsidRDefault="00AF347E" w:rsidP="00AF347E">
      <w:pPr>
        <w:spacing w:before="0" w:after="160" w:line="286" w:lineRule="exact"/>
        <w:jc w:val="both"/>
        <w:rPr>
          <w:rFonts w:cstheme="minorHAnsi"/>
          <w:color w:val="auto"/>
          <w:sz w:val="22"/>
          <w:szCs w:val="22"/>
        </w:rPr>
      </w:pPr>
      <w:r>
        <w:rPr>
          <w:rFonts w:cstheme="minorHAnsi"/>
          <w:color w:val="auto"/>
          <w:sz w:val="22"/>
          <w:szCs w:val="22"/>
        </w:rPr>
        <w:t>LDM is underpinned by the principle of self-determination and places an emphasis on the empowerment of Aboriginal people to determine service delivery models that work best for their community.</w:t>
      </w:r>
    </w:p>
    <w:p w14:paraId="5A02D282" w14:textId="66018977" w:rsidR="00AF347E" w:rsidRDefault="00AF347E" w:rsidP="00AF347E">
      <w:pPr>
        <w:spacing w:before="0" w:after="160" w:line="286" w:lineRule="exact"/>
        <w:jc w:val="both"/>
        <w:rPr>
          <w:rFonts w:cstheme="minorHAnsi"/>
          <w:color w:val="auto"/>
          <w:sz w:val="22"/>
          <w:szCs w:val="22"/>
        </w:rPr>
      </w:pPr>
      <w:r>
        <w:rPr>
          <w:rFonts w:cstheme="minorHAnsi"/>
          <w:color w:val="auto"/>
          <w:sz w:val="22"/>
          <w:szCs w:val="22"/>
        </w:rPr>
        <w:t>The vision agreed to by TCAC and the Territory is that the LDM Agreement is a platform to support the transition to community control of services aligned with the Wellness Domains as defined in the Town Camp Wellness Framework.</w:t>
      </w:r>
    </w:p>
    <w:p w14:paraId="35C371C6" w14:textId="3486B8D7" w:rsidR="00AF347E" w:rsidRDefault="00AF347E" w:rsidP="00AF347E">
      <w:pPr>
        <w:spacing w:before="0" w:after="160" w:line="286" w:lineRule="exact"/>
        <w:jc w:val="both"/>
        <w:rPr>
          <w:rFonts w:cstheme="minorHAnsi"/>
          <w:color w:val="auto"/>
          <w:sz w:val="22"/>
          <w:szCs w:val="22"/>
        </w:rPr>
      </w:pPr>
      <w:r>
        <w:rPr>
          <w:rFonts w:cstheme="minorHAnsi"/>
          <w:color w:val="auto"/>
          <w:sz w:val="22"/>
          <w:szCs w:val="22"/>
        </w:rPr>
        <w:t>The work being undertaken by TCAC to achieve LDM is underpinned by the Town Camp Wellness Framework (described below).</w:t>
      </w:r>
      <w:r w:rsidR="00DC3C32">
        <w:rPr>
          <w:rFonts w:cstheme="minorHAnsi"/>
          <w:color w:val="auto"/>
          <w:sz w:val="22"/>
          <w:szCs w:val="22"/>
        </w:rPr>
        <w:t xml:space="preserve"> </w:t>
      </w:r>
      <w:r w:rsidRPr="00D92055">
        <w:rPr>
          <w:rFonts w:cstheme="minorHAnsi"/>
          <w:color w:val="auto"/>
          <w:sz w:val="22"/>
          <w:szCs w:val="22"/>
        </w:rPr>
        <w:t>A key</w:t>
      </w:r>
      <w:r>
        <w:rPr>
          <w:rFonts w:cstheme="minorHAnsi"/>
          <w:color w:val="auto"/>
          <w:sz w:val="22"/>
          <w:szCs w:val="22"/>
        </w:rPr>
        <w:t xml:space="preserve"> initial</w:t>
      </w:r>
      <w:r w:rsidRPr="00D92055">
        <w:rPr>
          <w:rFonts w:cstheme="minorHAnsi"/>
          <w:color w:val="auto"/>
          <w:sz w:val="22"/>
          <w:szCs w:val="22"/>
        </w:rPr>
        <w:t xml:space="preserve"> focus of the LDM Agreement is to oversee the transition from a Public Housing Model to a Community Housing Model on the Town Camps</w:t>
      </w:r>
      <w:r w:rsidR="00F66B43">
        <w:rPr>
          <w:rFonts w:cstheme="minorHAnsi"/>
          <w:color w:val="auto"/>
          <w:sz w:val="22"/>
          <w:szCs w:val="22"/>
        </w:rPr>
        <w:t xml:space="preserve">. </w:t>
      </w:r>
    </w:p>
    <w:p w14:paraId="1894A8BE" w14:textId="77777777" w:rsidR="00AF347E" w:rsidRDefault="00AF347E" w:rsidP="003B5E55">
      <w:pPr>
        <w:pStyle w:val="Heading2"/>
        <w:numPr>
          <w:ilvl w:val="0"/>
          <w:numId w:val="9"/>
        </w:numPr>
        <w:ind w:left="340" w:hanging="340"/>
        <w:jc w:val="both"/>
        <w:rPr>
          <w:rFonts w:eastAsia="Times New Roman"/>
          <w:lang w:eastAsia="en-AU"/>
        </w:rPr>
      </w:pPr>
      <w:bookmarkStart w:id="9" w:name="_Toc48572221"/>
      <w:bookmarkStart w:id="10" w:name="_Toc79406779"/>
      <w:r>
        <w:rPr>
          <w:rFonts w:eastAsia="Times New Roman"/>
          <w:lang w:eastAsia="en-AU"/>
        </w:rPr>
        <w:lastRenderedPageBreak/>
        <w:t>Town Camp Wellness Framework</w:t>
      </w:r>
      <w:bookmarkEnd w:id="9"/>
      <w:bookmarkEnd w:id="10"/>
    </w:p>
    <w:p w14:paraId="1A1A3CE5" w14:textId="77777777" w:rsidR="00AF347E" w:rsidRDefault="00AF347E" w:rsidP="00AF347E">
      <w:pPr>
        <w:tabs>
          <w:tab w:val="left" w:pos="7938"/>
        </w:tabs>
        <w:spacing w:before="0"/>
        <w:jc w:val="both"/>
        <w:rPr>
          <w:rFonts w:cstheme="minorHAnsi"/>
          <w:color w:val="auto"/>
          <w:sz w:val="22"/>
          <w:szCs w:val="22"/>
        </w:rPr>
      </w:pPr>
    </w:p>
    <w:p w14:paraId="7B9ED5AF" w14:textId="77777777" w:rsidR="00AF347E" w:rsidRDefault="00AF347E" w:rsidP="00AF347E">
      <w:pPr>
        <w:pStyle w:val="IntroParagraph"/>
        <w:spacing w:before="0" w:after="160" w:line="286" w:lineRule="auto"/>
        <w:jc w:val="both"/>
        <w:rPr>
          <w:sz w:val="22"/>
          <w:szCs w:val="22"/>
        </w:rPr>
      </w:pPr>
      <w:r w:rsidRPr="001C074E">
        <w:rPr>
          <w:sz w:val="22"/>
          <w:szCs w:val="22"/>
        </w:rPr>
        <w:t xml:space="preserve">The </w:t>
      </w:r>
      <w:r>
        <w:rPr>
          <w:sz w:val="22"/>
          <w:szCs w:val="22"/>
        </w:rPr>
        <w:t xml:space="preserve">Town Camp </w:t>
      </w:r>
      <w:r w:rsidRPr="001C074E">
        <w:rPr>
          <w:sz w:val="22"/>
          <w:szCs w:val="22"/>
        </w:rPr>
        <w:t xml:space="preserve">Wellness Framework </w:t>
      </w:r>
      <w:r>
        <w:rPr>
          <w:sz w:val="22"/>
          <w:szCs w:val="22"/>
        </w:rPr>
        <w:t>reflects the</w:t>
      </w:r>
      <w:r w:rsidRPr="001C074E">
        <w:rPr>
          <w:sz w:val="22"/>
          <w:szCs w:val="22"/>
        </w:rPr>
        <w:t xml:space="preserve"> overall balance</w:t>
      </w:r>
      <w:r>
        <w:rPr>
          <w:sz w:val="22"/>
          <w:szCs w:val="22"/>
        </w:rPr>
        <w:t xml:space="preserve"> between elements</w:t>
      </w:r>
      <w:r w:rsidRPr="001C074E">
        <w:rPr>
          <w:sz w:val="22"/>
          <w:szCs w:val="22"/>
        </w:rPr>
        <w:t xml:space="preserve"> </w:t>
      </w:r>
      <w:r>
        <w:rPr>
          <w:sz w:val="22"/>
          <w:szCs w:val="22"/>
        </w:rPr>
        <w:t xml:space="preserve">identified by </w:t>
      </w:r>
      <w:r w:rsidRPr="001C074E">
        <w:rPr>
          <w:sz w:val="22"/>
          <w:szCs w:val="22"/>
        </w:rPr>
        <w:t>Town Camp</w:t>
      </w:r>
      <w:r>
        <w:rPr>
          <w:sz w:val="22"/>
          <w:szCs w:val="22"/>
        </w:rPr>
        <w:t>ers.</w:t>
      </w:r>
    </w:p>
    <w:p w14:paraId="17789922" w14:textId="110C09E2" w:rsidR="00AF347E" w:rsidRPr="00932D88" w:rsidRDefault="00AF347E" w:rsidP="00AF347E">
      <w:pPr>
        <w:pStyle w:val="IntroParagraph"/>
        <w:spacing w:before="0" w:after="160" w:line="286" w:lineRule="auto"/>
        <w:jc w:val="both"/>
        <w:rPr>
          <w:color w:val="auto"/>
          <w:sz w:val="22"/>
          <w:szCs w:val="22"/>
        </w:rPr>
      </w:pPr>
      <w:r w:rsidRPr="00932D88">
        <w:rPr>
          <w:color w:val="auto"/>
          <w:sz w:val="22"/>
          <w:szCs w:val="22"/>
        </w:rPr>
        <w:t xml:space="preserve">The balance between elements including identity, country, shelter, knowledge, community, </w:t>
      </w:r>
      <w:r w:rsidR="00130E8B" w:rsidRPr="00932D88">
        <w:rPr>
          <w:color w:val="auto"/>
          <w:sz w:val="22"/>
          <w:szCs w:val="22"/>
        </w:rPr>
        <w:t>healing,</w:t>
      </w:r>
      <w:r w:rsidRPr="00932D88">
        <w:rPr>
          <w:color w:val="auto"/>
          <w:sz w:val="22"/>
          <w:szCs w:val="22"/>
        </w:rPr>
        <w:t xml:space="preserve"> and leadership contributes to outcomes of health and wellness.</w:t>
      </w:r>
    </w:p>
    <w:p w14:paraId="089758E3" w14:textId="77777777" w:rsidR="00AF347E" w:rsidRDefault="00AF347E" w:rsidP="00AF347E">
      <w:pPr>
        <w:pStyle w:val="IntroParagraph"/>
        <w:spacing w:before="0" w:after="160" w:line="286" w:lineRule="auto"/>
        <w:jc w:val="both"/>
        <w:rPr>
          <w:color w:val="auto"/>
          <w:sz w:val="22"/>
          <w:szCs w:val="22"/>
        </w:rPr>
      </w:pPr>
      <w:r>
        <w:rPr>
          <w:color w:val="auto"/>
          <w:sz w:val="22"/>
          <w:szCs w:val="22"/>
        </w:rPr>
        <w:t>This Town Camp Wellness Framework</w:t>
      </w:r>
      <w:r w:rsidRPr="00A266EF">
        <w:rPr>
          <w:color w:val="auto"/>
          <w:sz w:val="22"/>
          <w:szCs w:val="22"/>
        </w:rPr>
        <w:t xml:space="preserve"> has been developed by Town Campers and is underpinned by the premise that strong wellness of a Town Camp will improve the wellbeing of individuals living there. Physical, social, emotional, cultural values along with work, learning, safety, environment, and access to material basics all impact upon the overall wellness of each Town Camp.</w:t>
      </w:r>
    </w:p>
    <w:p w14:paraId="3139C466" w14:textId="46A99F52" w:rsidR="00AF347E" w:rsidRDefault="00AF347E" w:rsidP="00AF347E">
      <w:pPr>
        <w:pStyle w:val="IntroParagraph"/>
        <w:spacing w:before="0" w:after="160" w:line="286" w:lineRule="auto"/>
        <w:jc w:val="both"/>
        <w:rPr>
          <w:color w:val="auto"/>
          <w:sz w:val="22"/>
          <w:szCs w:val="22"/>
        </w:rPr>
      </w:pPr>
      <w:r>
        <w:rPr>
          <w:color w:val="auto"/>
          <w:sz w:val="22"/>
          <w:szCs w:val="22"/>
        </w:rPr>
        <w:t xml:space="preserve">The Wellness Framework provides an opportunity for community stakeholders to participate in the development of </w:t>
      </w:r>
      <w:r w:rsidRPr="00D71BEC">
        <w:rPr>
          <w:color w:val="auto"/>
          <w:sz w:val="22"/>
          <w:szCs w:val="22"/>
        </w:rPr>
        <w:t>intersectoral response</w:t>
      </w:r>
      <w:r>
        <w:rPr>
          <w:color w:val="auto"/>
          <w:sz w:val="22"/>
          <w:szCs w:val="22"/>
        </w:rPr>
        <w:t xml:space="preserve">s to improve the expression of the social, </w:t>
      </w:r>
      <w:r w:rsidR="0074005F">
        <w:rPr>
          <w:color w:val="auto"/>
          <w:sz w:val="22"/>
          <w:szCs w:val="22"/>
        </w:rPr>
        <w:t>cultural,</w:t>
      </w:r>
      <w:r>
        <w:rPr>
          <w:color w:val="auto"/>
          <w:sz w:val="22"/>
          <w:szCs w:val="22"/>
        </w:rPr>
        <w:t xml:space="preserve"> and environmental determinants of health and wellness.</w:t>
      </w:r>
    </w:p>
    <w:p w14:paraId="10303EEB" w14:textId="454E4FAA" w:rsidR="00AF347E" w:rsidRDefault="00AF347E" w:rsidP="00AF347E">
      <w:pPr>
        <w:pStyle w:val="IntroParagraph"/>
        <w:spacing w:before="0" w:after="160" w:line="286" w:lineRule="auto"/>
        <w:jc w:val="both"/>
        <w:rPr>
          <w:color w:val="auto"/>
          <w:sz w:val="22"/>
          <w:szCs w:val="22"/>
        </w:rPr>
      </w:pPr>
      <w:r w:rsidRPr="00820AD0">
        <w:rPr>
          <w:color w:val="auto"/>
          <w:sz w:val="22"/>
          <w:szCs w:val="22"/>
        </w:rPr>
        <w:t xml:space="preserve">The Town Camp Wellness Framework is </w:t>
      </w:r>
      <w:r w:rsidR="007367C1">
        <w:rPr>
          <w:color w:val="auto"/>
          <w:sz w:val="22"/>
          <w:szCs w:val="22"/>
        </w:rPr>
        <w:t>outlined below:</w:t>
      </w:r>
    </w:p>
    <w:tbl>
      <w:tblPr>
        <w:tblStyle w:val="TableGrid"/>
        <w:tblW w:w="0" w:type="auto"/>
        <w:tblLook w:val="04A0" w:firstRow="1" w:lastRow="0" w:firstColumn="1" w:lastColumn="0" w:noHBand="0" w:noVBand="1"/>
      </w:tblPr>
      <w:tblGrid>
        <w:gridCol w:w="1838"/>
        <w:gridCol w:w="7784"/>
      </w:tblGrid>
      <w:tr w:rsidR="007367C1" w:rsidRPr="00E924EA" w14:paraId="173FA203" w14:textId="77777777" w:rsidTr="00CE7392">
        <w:tc>
          <w:tcPr>
            <w:tcW w:w="9622" w:type="dxa"/>
            <w:gridSpan w:val="2"/>
          </w:tcPr>
          <w:p w14:paraId="55A0DCB3" w14:textId="60696E0B" w:rsidR="007367C1" w:rsidRPr="00E924EA" w:rsidRDefault="007367C1" w:rsidP="00CE7392">
            <w:pPr>
              <w:pStyle w:val="IntroParagraph"/>
              <w:spacing w:before="0" w:after="160" w:line="286" w:lineRule="exact"/>
              <w:jc w:val="both"/>
              <w:rPr>
                <w:color w:val="auto"/>
                <w:sz w:val="21"/>
                <w:szCs w:val="21"/>
              </w:rPr>
            </w:pPr>
            <w:r>
              <w:rPr>
                <w:color w:val="D25622"/>
                <w:sz w:val="21"/>
                <w:szCs w:val="21"/>
              </w:rPr>
              <w:t xml:space="preserve">Figure 1: </w:t>
            </w:r>
            <w:r w:rsidRPr="00A54E12">
              <w:rPr>
                <w:color w:val="D25622"/>
                <w:sz w:val="21"/>
                <w:szCs w:val="21"/>
              </w:rPr>
              <w:t>Town Camp Wellness Framework Domains</w:t>
            </w:r>
          </w:p>
        </w:tc>
      </w:tr>
      <w:tr w:rsidR="007367C1" w:rsidRPr="00E924EA" w14:paraId="7330E0BF" w14:textId="77777777" w:rsidTr="00CE7392">
        <w:tc>
          <w:tcPr>
            <w:tcW w:w="1838" w:type="dxa"/>
          </w:tcPr>
          <w:p w14:paraId="7F36FE8A" w14:textId="77777777" w:rsidR="007367C1" w:rsidRPr="00A54E12" w:rsidRDefault="007367C1" w:rsidP="00CE7392">
            <w:pPr>
              <w:pStyle w:val="IntroParagraph"/>
              <w:spacing w:before="0" w:after="160" w:line="286" w:lineRule="exact"/>
              <w:jc w:val="both"/>
              <w:rPr>
                <w:color w:val="D25622"/>
                <w:sz w:val="21"/>
                <w:szCs w:val="21"/>
              </w:rPr>
            </w:pPr>
            <w:r w:rsidRPr="00A54E12">
              <w:rPr>
                <w:color w:val="D25622"/>
                <w:sz w:val="21"/>
                <w:szCs w:val="21"/>
              </w:rPr>
              <w:t>Shelter</w:t>
            </w:r>
          </w:p>
        </w:tc>
        <w:tc>
          <w:tcPr>
            <w:tcW w:w="7784" w:type="dxa"/>
          </w:tcPr>
          <w:p w14:paraId="7BCFEFD6" w14:textId="77777777" w:rsidR="007367C1" w:rsidRPr="00E924EA" w:rsidRDefault="007367C1" w:rsidP="00CE7392">
            <w:pPr>
              <w:pStyle w:val="IntroParagraph"/>
              <w:spacing w:before="0" w:after="160" w:line="286" w:lineRule="exact"/>
              <w:jc w:val="both"/>
              <w:rPr>
                <w:color w:val="auto"/>
                <w:sz w:val="21"/>
                <w:szCs w:val="21"/>
              </w:rPr>
            </w:pPr>
            <w:r w:rsidRPr="00E924EA">
              <w:rPr>
                <w:color w:val="auto"/>
                <w:sz w:val="21"/>
                <w:szCs w:val="21"/>
              </w:rPr>
              <w:t>Access to basic elements needed to live a ‘normal’ life, including financial and occupational wellness, stable and healthy housing, clean water, clothing, healthy food, etc.</w:t>
            </w:r>
          </w:p>
        </w:tc>
      </w:tr>
      <w:tr w:rsidR="007367C1" w:rsidRPr="00E924EA" w14:paraId="0A0C82BD" w14:textId="77777777" w:rsidTr="00CE7392">
        <w:tc>
          <w:tcPr>
            <w:tcW w:w="1838" w:type="dxa"/>
          </w:tcPr>
          <w:p w14:paraId="352AF0E7" w14:textId="77777777" w:rsidR="007367C1" w:rsidRPr="00E924EA" w:rsidRDefault="007367C1" w:rsidP="00CE7392">
            <w:pPr>
              <w:pStyle w:val="IntroParagraph"/>
              <w:spacing w:before="0" w:after="160" w:line="286" w:lineRule="exact"/>
              <w:jc w:val="both"/>
              <w:rPr>
                <w:sz w:val="21"/>
                <w:szCs w:val="21"/>
              </w:rPr>
            </w:pPr>
            <w:r w:rsidRPr="00E924EA">
              <w:rPr>
                <w:sz w:val="21"/>
                <w:szCs w:val="21"/>
              </w:rPr>
              <w:t>Keeping Country</w:t>
            </w:r>
          </w:p>
        </w:tc>
        <w:tc>
          <w:tcPr>
            <w:tcW w:w="7784" w:type="dxa"/>
          </w:tcPr>
          <w:p w14:paraId="4B68AEF3" w14:textId="77777777" w:rsidR="007367C1" w:rsidRPr="00E924EA" w:rsidRDefault="007367C1" w:rsidP="00CE7392">
            <w:pPr>
              <w:pStyle w:val="IntroParagraph"/>
              <w:spacing w:before="0" w:after="160" w:line="286" w:lineRule="exact"/>
              <w:jc w:val="both"/>
              <w:rPr>
                <w:color w:val="auto"/>
                <w:sz w:val="21"/>
                <w:szCs w:val="21"/>
              </w:rPr>
            </w:pPr>
            <w:r w:rsidRPr="00E924EA">
              <w:rPr>
                <w:color w:val="auto"/>
                <w:sz w:val="21"/>
                <w:szCs w:val="21"/>
              </w:rPr>
              <w:t>Encompasses the interactions between individuals and their ‘habitats’ at a local, community and global level, and includes safety in nature, home, work and the community.</w:t>
            </w:r>
          </w:p>
        </w:tc>
      </w:tr>
      <w:tr w:rsidR="007367C1" w:rsidRPr="00E924EA" w14:paraId="51D51581" w14:textId="77777777" w:rsidTr="00CE7392">
        <w:tc>
          <w:tcPr>
            <w:tcW w:w="1838" w:type="dxa"/>
          </w:tcPr>
          <w:p w14:paraId="1D0033B3" w14:textId="77777777" w:rsidR="007367C1" w:rsidRPr="00E924EA" w:rsidRDefault="007367C1" w:rsidP="00CE7392">
            <w:pPr>
              <w:pStyle w:val="IntroParagraph"/>
              <w:spacing w:before="0" w:after="160" w:line="286" w:lineRule="exact"/>
              <w:jc w:val="both"/>
              <w:rPr>
                <w:sz w:val="21"/>
                <w:szCs w:val="21"/>
              </w:rPr>
            </w:pPr>
            <w:r w:rsidRPr="00E924EA">
              <w:rPr>
                <w:sz w:val="21"/>
                <w:szCs w:val="21"/>
              </w:rPr>
              <w:t>Community</w:t>
            </w:r>
          </w:p>
        </w:tc>
        <w:tc>
          <w:tcPr>
            <w:tcW w:w="7784" w:type="dxa"/>
          </w:tcPr>
          <w:p w14:paraId="2BCC25DB" w14:textId="77777777" w:rsidR="007367C1" w:rsidRPr="00E924EA" w:rsidRDefault="007367C1" w:rsidP="00CE7392">
            <w:pPr>
              <w:pStyle w:val="IntroParagraph"/>
              <w:spacing w:before="0" w:after="160" w:line="286" w:lineRule="exact"/>
              <w:jc w:val="both"/>
              <w:rPr>
                <w:color w:val="auto"/>
                <w:sz w:val="21"/>
                <w:szCs w:val="21"/>
              </w:rPr>
            </w:pPr>
            <w:r w:rsidRPr="00E924EA">
              <w:rPr>
                <w:color w:val="auto"/>
                <w:sz w:val="21"/>
                <w:szCs w:val="21"/>
              </w:rPr>
              <w:t>Embraces positive relationships and connections with families and others and includes love.</w:t>
            </w:r>
          </w:p>
        </w:tc>
      </w:tr>
      <w:tr w:rsidR="007367C1" w:rsidRPr="00E924EA" w14:paraId="6E2BA703" w14:textId="77777777" w:rsidTr="00CE7392">
        <w:tc>
          <w:tcPr>
            <w:tcW w:w="1838" w:type="dxa"/>
          </w:tcPr>
          <w:p w14:paraId="76A6D29F" w14:textId="77777777" w:rsidR="007367C1" w:rsidRPr="00E924EA" w:rsidRDefault="007367C1" w:rsidP="00CE7392">
            <w:pPr>
              <w:pStyle w:val="IntroParagraph"/>
              <w:spacing w:before="0" w:after="160" w:line="286" w:lineRule="exact"/>
              <w:jc w:val="both"/>
              <w:rPr>
                <w:sz w:val="21"/>
                <w:szCs w:val="21"/>
              </w:rPr>
            </w:pPr>
            <w:r w:rsidRPr="00E924EA">
              <w:rPr>
                <w:sz w:val="21"/>
                <w:szCs w:val="21"/>
              </w:rPr>
              <w:t>Healing</w:t>
            </w:r>
          </w:p>
        </w:tc>
        <w:tc>
          <w:tcPr>
            <w:tcW w:w="7784" w:type="dxa"/>
          </w:tcPr>
          <w:p w14:paraId="78EB1904" w14:textId="77777777" w:rsidR="007367C1" w:rsidRPr="00E924EA" w:rsidRDefault="007367C1" w:rsidP="00CE7392">
            <w:pPr>
              <w:pStyle w:val="IntroParagraph"/>
              <w:spacing w:before="0" w:after="160" w:line="286" w:lineRule="exact"/>
              <w:jc w:val="both"/>
              <w:rPr>
                <w:color w:val="auto"/>
                <w:sz w:val="21"/>
                <w:szCs w:val="21"/>
              </w:rPr>
            </w:pPr>
            <w:r w:rsidRPr="00E924EA">
              <w:rPr>
                <w:color w:val="auto"/>
                <w:sz w:val="21"/>
                <w:szCs w:val="21"/>
              </w:rPr>
              <w:t>Having one’s physical, developmental, psychosocial, and mental health needs met to achieve optimal developmental trajectories and opportunities. Includes access to preventative measures and health education as well as access to services to redress emerging health issues.</w:t>
            </w:r>
          </w:p>
        </w:tc>
      </w:tr>
      <w:tr w:rsidR="007367C1" w:rsidRPr="00E924EA" w14:paraId="0FD439F7" w14:textId="77777777" w:rsidTr="00CE7392">
        <w:tc>
          <w:tcPr>
            <w:tcW w:w="1838" w:type="dxa"/>
          </w:tcPr>
          <w:p w14:paraId="1BB301F9" w14:textId="77777777" w:rsidR="007367C1" w:rsidRPr="00E924EA" w:rsidRDefault="007367C1" w:rsidP="00CE7392">
            <w:pPr>
              <w:pStyle w:val="IntroParagraph"/>
              <w:spacing w:before="0" w:after="160" w:line="286" w:lineRule="exact"/>
              <w:jc w:val="both"/>
              <w:rPr>
                <w:sz w:val="21"/>
                <w:szCs w:val="21"/>
              </w:rPr>
            </w:pPr>
            <w:r w:rsidRPr="00E924EA">
              <w:rPr>
                <w:sz w:val="21"/>
                <w:szCs w:val="21"/>
              </w:rPr>
              <w:t>Knowledge</w:t>
            </w:r>
          </w:p>
        </w:tc>
        <w:tc>
          <w:tcPr>
            <w:tcW w:w="7784" w:type="dxa"/>
          </w:tcPr>
          <w:p w14:paraId="3D5F65E1" w14:textId="77777777" w:rsidR="007367C1" w:rsidRPr="00E924EA" w:rsidRDefault="007367C1" w:rsidP="00CE7392">
            <w:pPr>
              <w:pStyle w:val="IntroParagraph"/>
              <w:spacing w:before="0" w:after="160" w:line="286" w:lineRule="exact"/>
              <w:jc w:val="both"/>
              <w:rPr>
                <w:color w:val="auto"/>
                <w:sz w:val="21"/>
                <w:szCs w:val="21"/>
              </w:rPr>
            </w:pPr>
            <w:r w:rsidRPr="00E924EA">
              <w:rPr>
                <w:color w:val="auto"/>
                <w:sz w:val="21"/>
                <w:szCs w:val="21"/>
              </w:rPr>
              <w:t>Formal and informal experiences in the classroom, at home and in community, throughout the course of one’s life, to maximise life opportunities. Includes cognitive and creative pursuits to also enrich one’s capacity to make decisions, problem solve and maintain mental agility.</w:t>
            </w:r>
          </w:p>
        </w:tc>
      </w:tr>
      <w:tr w:rsidR="007367C1" w:rsidRPr="00E924EA" w14:paraId="4E0A212C" w14:textId="77777777" w:rsidTr="00CE7392">
        <w:tc>
          <w:tcPr>
            <w:tcW w:w="1838" w:type="dxa"/>
          </w:tcPr>
          <w:p w14:paraId="5BC0684F" w14:textId="77777777" w:rsidR="007367C1" w:rsidRPr="00E924EA" w:rsidRDefault="007367C1" w:rsidP="00CE7392">
            <w:pPr>
              <w:pStyle w:val="IntroParagraph"/>
              <w:spacing w:before="0" w:after="160" w:line="286" w:lineRule="exact"/>
              <w:jc w:val="both"/>
              <w:rPr>
                <w:sz w:val="21"/>
                <w:szCs w:val="21"/>
              </w:rPr>
            </w:pPr>
            <w:r w:rsidRPr="00E924EA">
              <w:rPr>
                <w:sz w:val="21"/>
                <w:szCs w:val="21"/>
              </w:rPr>
              <w:t>Leadership</w:t>
            </w:r>
          </w:p>
        </w:tc>
        <w:tc>
          <w:tcPr>
            <w:tcW w:w="7784" w:type="dxa"/>
          </w:tcPr>
          <w:p w14:paraId="7F6E85A6" w14:textId="77777777" w:rsidR="007367C1" w:rsidRPr="00E924EA" w:rsidRDefault="007367C1" w:rsidP="00CE7392">
            <w:pPr>
              <w:pStyle w:val="IntroParagraph"/>
              <w:spacing w:before="0" w:after="160" w:line="286" w:lineRule="exact"/>
              <w:jc w:val="both"/>
              <w:rPr>
                <w:color w:val="auto"/>
                <w:sz w:val="21"/>
                <w:szCs w:val="21"/>
              </w:rPr>
            </w:pPr>
            <w:r w:rsidRPr="00E924EA">
              <w:rPr>
                <w:color w:val="auto"/>
                <w:sz w:val="21"/>
                <w:szCs w:val="21"/>
              </w:rPr>
              <w:t>Engagement with peers and community, including governance and decision-making, determining systems, and having a voice and say on matters. Includes access to digital systems and technology for social connections</w:t>
            </w:r>
          </w:p>
        </w:tc>
      </w:tr>
      <w:tr w:rsidR="007367C1" w:rsidRPr="00E924EA" w14:paraId="587DE0D3" w14:textId="77777777" w:rsidTr="00CE7392">
        <w:tc>
          <w:tcPr>
            <w:tcW w:w="1838" w:type="dxa"/>
          </w:tcPr>
          <w:p w14:paraId="75A7762A" w14:textId="77777777" w:rsidR="007367C1" w:rsidRPr="00E924EA" w:rsidRDefault="007367C1" w:rsidP="00CE7392">
            <w:pPr>
              <w:pStyle w:val="IntroParagraph"/>
              <w:spacing w:before="0" w:after="160" w:line="286" w:lineRule="exact"/>
              <w:jc w:val="both"/>
              <w:rPr>
                <w:sz w:val="21"/>
                <w:szCs w:val="21"/>
              </w:rPr>
            </w:pPr>
            <w:r w:rsidRPr="00E924EA">
              <w:rPr>
                <w:sz w:val="21"/>
                <w:szCs w:val="21"/>
              </w:rPr>
              <w:t>Identity</w:t>
            </w:r>
          </w:p>
        </w:tc>
        <w:tc>
          <w:tcPr>
            <w:tcW w:w="7784" w:type="dxa"/>
          </w:tcPr>
          <w:p w14:paraId="346D19A7" w14:textId="77777777" w:rsidR="007367C1" w:rsidRPr="00E924EA" w:rsidRDefault="007367C1" w:rsidP="00CE7392">
            <w:pPr>
              <w:pStyle w:val="IntroParagraph"/>
              <w:spacing w:before="0" w:after="160" w:line="286" w:lineRule="exact"/>
              <w:jc w:val="both"/>
              <w:rPr>
                <w:color w:val="auto"/>
                <w:sz w:val="21"/>
                <w:szCs w:val="21"/>
              </w:rPr>
            </w:pPr>
            <w:r w:rsidRPr="00E924EA">
              <w:rPr>
                <w:color w:val="auto"/>
                <w:sz w:val="21"/>
                <w:szCs w:val="21"/>
              </w:rPr>
              <w:t>A positive sense of self and culture underpins all the other dimensions and is fundamental to overall Town Camp wellbeing. Cultural wellness refers to an ability to both enact one’s own cultural values as well as interact effectively with people from different cultures and work towards eliminating racism and systematic discrimination, whilst spiritual wellness is seeking meaning in existence.</w:t>
            </w:r>
          </w:p>
        </w:tc>
      </w:tr>
    </w:tbl>
    <w:p w14:paraId="6853102F" w14:textId="60AE2FDE" w:rsidR="00DC3C32" w:rsidRDefault="00DC3C32" w:rsidP="00AF347E">
      <w:pPr>
        <w:pStyle w:val="IntroParagraph"/>
        <w:spacing w:before="0" w:after="160" w:line="286" w:lineRule="auto"/>
        <w:jc w:val="both"/>
        <w:rPr>
          <w:color w:val="auto"/>
          <w:sz w:val="22"/>
          <w:szCs w:val="22"/>
        </w:rPr>
      </w:pPr>
      <w:r>
        <w:rPr>
          <w:color w:val="auto"/>
          <w:sz w:val="22"/>
          <w:szCs w:val="22"/>
        </w:rPr>
        <w:br w:type="page"/>
      </w:r>
    </w:p>
    <w:p w14:paraId="7310C811" w14:textId="77777777" w:rsidR="00DC3C32" w:rsidRDefault="00DC3C32" w:rsidP="00DC3C32">
      <w:pPr>
        <w:pStyle w:val="Heading1"/>
        <w:spacing w:after="160" w:line="286" w:lineRule="exact"/>
        <w:jc w:val="both"/>
        <w:rPr>
          <w:rFonts w:asciiTheme="majorHAnsi" w:hAnsiTheme="majorHAnsi" w:cstheme="majorHAnsi"/>
        </w:rPr>
      </w:pPr>
    </w:p>
    <w:p w14:paraId="1918D730" w14:textId="4B9EF6C0" w:rsidR="00CE70DA" w:rsidRDefault="00606D80" w:rsidP="00CE70DA">
      <w:pPr>
        <w:pStyle w:val="Heading1"/>
        <w:spacing w:after="160" w:line="286" w:lineRule="exact"/>
        <w:jc w:val="both"/>
        <w:rPr>
          <w:rFonts w:asciiTheme="majorHAnsi" w:hAnsiTheme="majorHAnsi" w:cstheme="majorHAnsi"/>
        </w:rPr>
      </w:pPr>
      <w:bookmarkStart w:id="11" w:name="_Toc79406780"/>
      <w:r>
        <w:rPr>
          <w:rFonts w:asciiTheme="majorHAnsi" w:hAnsiTheme="majorHAnsi" w:cstheme="majorHAnsi"/>
        </w:rPr>
        <w:t xml:space="preserve">Specific </w:t>
      </w:r>
      <w:r w:rsidR="00DC3C32">
        <w:rPr>
          <w:rFonts w:asciiTheme="majorHAnsi" w:hAnsiTheme="majorHAnsi" w:cstheme="majorHAnsi"/>
        </w:rPr>
        <w:t>Feedback</w:t>
      </w:r>
      <w:bookmarkEnd w:id="11"/>
    </w:p>
    <w:p w14:paraId="6F2C1A4A" w14:textId="374BF3AE" w:rsidR="00606D80" w:rsidRPr="00115754" w:rsidRDefault="004A0549" w:rsidP="003B5E55">
      <w:pPr>
        <w:pStyle w:val="Heading2"/>
        <w:numPr>
          <w:ilvl w:val="0"/>
          <w:numId w:val="10"/>
        </w:numPr>
        <w:spacing w:before="0" w:after="160" w:line="286" w:lineRule="exact"/>
        <w:jc w:val="both"/>
        <w:rPr>
          <w:rFonts w:eastAsia="Times New Roman"/>
          <w:sz w:val="21"/>
          <w:szCs w:val="21"/>
          <w:lang w:eastAsia="en-AU"/>
        </w:rPr>
      </w:pPr>
      <w:bookmarkStart w:id="12" w:name="_Toc79406781"/>
      <w:r w:rsidRPr="00115754">
        <w:rPr>
          <w:rFonts w:eastAsia="Times New Roman"/>
          <w:sz w:val="21"/>
          <w:szCs w:val="21"/>
          <w:lang w:eastAsia="en-AU"/>
        </w:rPr>
        <w:t>Contacting Members Via Email and Phone</w:t>
      </w:r>
      <w:bookmarkEnd w:id="12"/>
    </w:p>
    <w:p w14:paraId="36823E6C" w14:textId="5142670D" w:rsidR="00DD71BE" w:rsidRPr="00EC7AC9" w:rsidRDefault="00CF4AA9" w:rsidP="00EC7AC9">
      <w:pPr>
        <w:pStyle w:val="ListNumber"/>
        <w:numPr>
          <w:ilvl w:val="0"/>
          <w:numId w:val="0"/>
        </w:numPr>
        <w:spacing w:after="160" w:line="286" w:lineRule="exact"/>
        <w:jc w:val="both"/>
        <w:rPr>
          <w:rFonts w:asciiTheme="majorHAnsi" w:hAnsiTheme="majorHAnsi" w:cstheme="majorHAnsi"/>
          <w:sz w:val="21"/>
          <w:szCs w:val="21"/>
        </w:rPr>
      </w:pPr>
      <w:r w:rsidRPr="00EC7AC9">
        <w:rPr>
          <w:rFonts w:asciiTheme="majorHAnsi" w:hAnsiTheme="majorHAnsi" w:cstheme="majorHAnsi"/>
          <w:sz w:val="21"/>
          <w:szCs w:val="21"/>
        </w:rPr>
        <w:t xml:space="preserve">TCAC </w:t>
      </w:r>
      <w:r w:rsidR="008E5457" w:rsidRPr="00EC7AC9">
        <w:rPr>
          <w:rFonts w:asciiTheme="majorHAnsi" w:hAnsiTheme="majorHAnsi" w:cstheme="majorHAnsi"/>
          <w:sz w:val="21"/>
          <w:szCs w:val="21"/>
        </w:rPr>
        <w:t>has over</w:t>
      </w:r>
      <w:r w:rsidRPr="00EC7AC9">
        <w:rPr>
          <w:rFonts w:asciiTheme="majorHAnsi" w:hAnsiTheme="majorHAnsi" w:cstheme="majorHAnsi"/>
          <w:sz w:val="21"/>
          <w:szCs w:val="21"/>
        </w:rPr>
        <w:t xml:space="preserve"> 600 individual members. Many of our members:</w:t>
      </w:r>
      <w:r w:rsidR="00EE6843" w:rsidRPr="00EC7AC9">
        <w:rPr>
          <w:rFonts w:asciiTheme="majorHAnsi" w:hAnsiTheme="majorHAnsi" w:cstheme="majorHAnsi"/>
          <w:sz w:val="21"/>
          <w:szCs w:val="21"/>
        </w:rPr>
        <w:t xml:space="preserve"> (a) </w:t>
      </w:r>
      <w:r w:rsidR="00DD71BE" w:rsidRPr="00EC7AC9">
        <w:rPr>
          <w:rFonts w:asciiTheme="majorHAnsi" w:hAnsiTheme="majorHAnsi" w:cstheme="majorHAnsi"/>
          <w:sz w:val="21"/>
          <w:szCs w:val="21"/>
        </w:rPr>
        <w:t>have no phone or email address</w:t>
      </w:r>
      <w:r w:rsidR="00EE6843" w:rsidRPr="00EC7AC9">
        <w:rPr>
          <w:rFonts w:asciiTheme="majorHAnsi" w:hAnsiTheme="majorHAnsi" w:cstheme="majorHAnsi"/>
          <w:sz w:val="21"/>
          <w:szCs w:val="21"/>
        </w:rPr>
        <w:t xml:space="preserve">; (b) </w:t>
      </w:r>
      <w:r w:rsidR="00DD71BE" w:rsidRPr="00EC7AC9">
        <w:rPr>
          <w:rFonts w:asciiTheme="majorHAnsi" w:hAnsiTheme="majorHAnsi" w:cstheme="majorHAnsi"/>
          <w:sz w:val="21"/>
          <w:szCs w:val="21"/>
        </w:rPr>
        <w:t>use prepaid mobile phones and change their contact numbers regularly</w:t>
      </w:r>
      <w:r w:rsidR="00EE6843" w:rsidRPr="00EC7AC9">
        <w:rPr>
          <w:rFonts w:asciiTheme="majorHAnsi" w:hAnsiTheme="majorHAnsi" w:cstheme="majorHAnsi"/>
          <w:sz w:val="21"/>
          <w:szCs w:val="21"/>
        </w:rPr>
        <w:t xml:space="preserve">; (c) </w:t>
      </w:r>
      <w:r w:rsidR="00DD71BE" w:rsidRPr="00EC7AC9">
        <w:rPr>
          <w:rFonts w:asciiTheme="majorHAnsi" w:hAnsiTheme="majorHAnsi" w:cstheme="majorHAnsi"/>
          <w:sz w:val="21"/>
          <w:szCs w:val="21"/>
        </w:rPr>
        <w:t xml:space="preserve">have multiple phone numbers; and/or </w:t>
      </w:r>
      <w:r w:rsidR="00EE6843" w:rsidRPr="00EC7AC9">
        <w:rPr>
          <w:rFonts w:asciiTheme="majorHAnsi" w:hAnsiTheme="majorHAnsi" w:cstheme="majorHAnsi"/>
          <w:sz w:val="21"/>
          <w:szCs w:val="21"/>
        </w:rPr>
        <w:t xml:space="preserve">(d) </w:t>
      </w:r>
      <w:r w:rsidR="00DD71BE" w:rsidRPr="00EC7AC9">
        <w:rPr>
          <w:rFonts w:asciiTheme="majorHAnsi" w:hAnsiTheme="majorHAnsi" w:cstheme="majorHAnsi"/>
          <w:sz w:val="21"/>
          <w:szCs w:val="21"/>
        </w:rPr>
        <w:t xml:space="preserve">live or frequently travel to areas where there is unreliable or non-existent phone reception or internet. </w:t>
      </w:r>
    </w:p>
    <w:p w14:paraId="726D8FBE" w14:textId="77777777" w:rsidR="00953B4E" w:rsidRPr="00EC7AC9" w:rsidRDefault="00953B4E" w:rsidP="00EC7AC9">
      <w:pPr>
        <w:pStyle w:val="ListNumber"/>
        <w:numPr>
          <w:ilvl w:val="0"/>
          <w:numId w:val="0"/>
        </w:numPr>
        <w:spacing w:after="160" w:line="286" w:lineRule="exact"/>
        <w:jc w:val="both"/>
        <w:rPr>
          <w:rFonts w:asciiTheme="majorHAnsi" w:hAnsiTheme="majorHAnsi" w:cstheme="majorHAnsi"/>
          <w:sz w:val="21"/>
          <w:szCs w:val="21"/>
        </w:rPr>
      </w:pPr>
      <w:r w:rsidRPr="00EC7AC9">
        <w:rPr>
          <w:rFonts w:asciiTheme="majorHAnsi" w:hAnsiTheme="majorHAnsi" w:cstheme="majorHAnsi"/>
          <w:sz w:val="21"/>
          <w:szCs w:val="21"/>
        </w:rPr>
        <w:t>Most of</w:t>
      </w:r>
      <w:r w:rsidR="00CF3E8C" w:rsidRPr="00EC7AC9">
        <w:rPr>
          <w:rFonts w:asciiTheme="majorHAnsi" w:hAnsiTheme="majorHAnsi" w:cstheme="majorHAnsi"/>
          <w:sz w:val="21"/>
          <w:szCs w:val="21"/>
        </w:rPr>
        <w:t xml:space="preserve"> our members have </w:t>
      </w:r>
      <w:r w:rsidR="00985FDD" w:rsidRPr="00EC7AC9">
        <w:rPr>
          <w:rFonts w:asciiTheme="majorHAnsi" w:hAnsiTheme="majorHAnsi" w:cstheme="majorHAnsi"/>
          <w:sz w:val="21"/>
          <w:szCs w:val="21"/>
        </w:rPr>
        <w:t>Prepayment Meters (PPMs)</w:t>
      </w:r>
      <w:r w:rsidR="00CF3E8C" w:rsidRPr="00EC7AC9">
        <w:rPr>
          <w:rFonts w:asciiTheme="majorHAnsi" w:hAnsiTheme="majorHAnsi" w:cstheme="majorHAnsi"/>
          <w:sz w:val="21"/>
          <w:szCs w:val="21"/>
        </w:rPr>
        <w:t xml:space="preserve"> for electricity</w:t>
      </w:r>
      <w:r w:rsidR="00985FDD" w:rsidRPr="00EC7AC9">
        <w:rPr>
          <w:rFonts w:asciiTheme="majorHAnsi" w:hAnsiTheme="majorHAnsi" w:cstheme="majorHAnsi"/>
          <w:sz w:val="21"/>
          <w:szCs w:val="21"/>
        </w:rPr>
        <w:t xml:space="preserve">. In Alice Springs there are </w:t>
      </w:r>
      <w:r w:rsidR="00BD2795" w:rsidRPr="00EC7AC9">
        <w:rPr>
          <w:rFonts w:asciiTheme="majorHAnsi" w:hAnsiTheme="majorHAnsi" w:cstheme="majorHAnsi"/>
          <w:sz w:val="21"/>
          <w:szCs w:val="21"/>
        </w:rPr>
        <w:t xml:space="preserve">&gt;420 PPMs. 91% of these PPMs experience involuntary self-disconnections </w:t>
      </w:r>
      <w:r w:rsidR="007F7F81" w:rsidRPr="00EC7AC9">
        <w:rPr>
          <w:rFonts w:asciiTheme="majorHAnsi" w:hAnsiTheme="majorHAnsi" w:cstheme="majorHAnsi"/>
          <w:sz w:val="21"/>
          <w:szCs w:val="21"/>
        </w:rPr>
        <w:t xml:space="preserve">at a rate of 58 disconnections per annum for an average duration of 6 hours and 42 minutes per </w:t>
      </w:r>
      <w:r w:rsidR="00E826AE" w:rsidRPr="00EC7AC9">
        <w:rPr>
          <w:rFonts w:asciiTheme="majorHAnsi" w:hAnsiTheme="majorHAnsi" w:cstheme="majorHAnsi"/>
          <w:sz w:val="21"/>
          <w:szCs w:val="21"/>
        </w:rPr>
        <w:t>occasion</w:t>
      </w:r>
      <w:r w:rsidR="007F7F81" w:rsidRPr="00EC7AC9">
        <w:rPr>
          <w:rFonts w:asciiTheme="majorHAnsi" w:hAnsiTheme="majorHAnsi" w:cstheme="majorHAnsi"/>
          <w:sz w:val="21"/>
          <w:szCs w:val="21"/>
        </w:rPr>
        <w:t>.</w:t>
      </w:r>
      <w:r w:rsidR="00E826AE" w:rsidRPr="00EC7AC9">
        <w:rPr>
          <w:rFonts w:asciiTheme="majorHAnsi" w:hAnsiTheme="majorHAnsi" w:cstheme="majorHAnsi"/>
          <w:sz w:val="21"/>
          <w:szCs w:val="21"/>
        </w:rPr>
        <w:t xml:space="preserve"> These disconnections further reduce the ability of residents to access phone and internet.</w:t>
      </w:r>
    </w:p>
    <w:p w14:paraId="4F2C31B0" w14:textId="69B16F86" w:rsidR="00953B4E" w:rsidRPr="00EC7AC9" w:rsidRDefault="00953B4E" w:rsidP="00EC7AC9">
      <w:pPr>
        <w:pStyle w:val="ListNumber"/>
        <w:numPr>
          <w:ilvl w:val="0"/>
          <w:numId w:val="0"/>
        </w:numPr>
        <w:spacing w:after="160" w:line="286" w:lineRule="exact"/>
        <w:jc w:val="both"/>
        <w:rPr>
          <w:rFonts w:asciiTheme="majorHAnsi" w:hAnsiTheme="majorHAnsi" w:cstheme="majorHAnsi"/>
          <w:sz w:val="21"/>
          <w:szCs w:val="21"/>
        </w:rPr>
      </w:pPr>
      <w:r w:rsidRPr="00EC7AC9">
        <w:rPr>
          <w:rFonts w:asciiTheme="majorHAnsi" w:hAnsiTheme="majorHAnsi" w:cstheme="majorHAnsi"/>
          <w:sz w:val="21"/>
          <w:szCs w:val="21"/>
        </w:rPr>
        <w:t xml:space="preserve">As noted by the Law Council of Australia in their submission to Phase 2 of the review of the CATSI Act, </w:t>
      </w:r>
      <w:r w:rsidRPr="00EC7AC9">
        <w:rPr>
          <w:rFonts w:asciiTheme="majorHAnsi" w:hAnsiTheme="majorHAnsi" w:cstheme="majorHAnsi"/>
          <w:sz w:val="21"/>
          <w:szCs w:val="21"/>
          <w:lang w:eastAsia="en-AU"/>
        </w:rPr>
        <w:t>overly prescriptive obligations relating to contacting members are likely to cause problems for corporations that have large numbers of members based in remote or very remote areas.</w:t>
      </w:r>
      <w:r w:rsidR="00F5412B">
        <w:rPr>
          <w:rStyle w:val="EndnoteReference"/>
          <w:rFonts w:asciiTheme="majorHAnsi" w:hAnsiTheme="majorHAnsi" w:cstheme="majorHAnsi"/>
          <w:sz w:val="21"/>
          <w:szCs w:val="21"/>
          <w:lang w:eastAsia="en-AU"/>
        </w:rPr>
        <w:endnoteReference w:id="1"/>
      </w:r>
    </w:p>
    <w:p w14:paraId="48403463" w14:textId="4C785FDB" w:rsidR="001B4DB2" w:rsidRPr="00EC7AC9" w:rsidRDefault="001B4DB2" w:rsidP="00EC7AC9">
      <w:pPr>
        <w:pStyle w:val="ListNumber"/>
        <w:numPr>
          <w:ilvl w:val="0"/>
          <w:numId w:val="0"/>
        </w:numPr>
        <w:spacing w:after="160" w:line="286" w:lineRule="exact"/>
        <w:jc w:val="both"/>
        <w:rPr>
          <w:rFonts w:asciiTheme="majorHAnsi" w:hAnsiTheme="majorHAnsi" w:cstheme="majorHAnsi"/>
          <w:sz w:val="21"/>
          <w:szCs w:val="21"/>
        </w:rPr>
      </w:pPr>
      <w:r w:rsidRPr="00EC7AC9">
        <w:rPr>
          <w:rFonts w:asciiTheme="majorHAnsi" w:hAnsiTheme="majorHAnsi" w:cstheme="majorHAnsi"/>
          <w:sz w:val="21"/>
          <w:szCs w:val="21"/>
        </w:rPr>
        <w:t xml:space="preserve">The Final Report included several recommendations relating to contact details for members, including the following: </w:t>
      </w:r>
    </w:p>
    <w:tbl>
      <w:tblPr>
        <w:tblStyle w:val="GTTable"/>
        <w:tblW w:w="9701" w:type="dxa"/>
        <w:jc w:val="right"/>
        <w:tblInd w:w="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ayout w:type="fixed"/>
        <w:tblLook w:val="05E0" w:firstRow="1" w:lastRow="1" w:firstColumn="1" w:lastColumn="1" w:noHBand="0" w:noVBand="1"/>
      </w:tblPr>
      <w:tblGrid>
        <w:gridCol w:w="9701"/>
      </w:tblGrid>
      <w:tr w:rsidR="00EC7AC9" w:rsidRPr="00EC7AC9" w14:paraId="7B40ABAE" w14:textId="77777777" w:rsidTr="0067095F">
        <w:trPr>
          <w:cnfStyle w:val="100000000000" w:firstRow="1" w:lastRow="0" w:firstColumn="0" w:lastColumn="0" w:oddVBand="0" w:evenVBand="0" w:oddHBand="0" w:evenHBand="0" w:firstRowFirstColumn="0" w:firstRowLastColumn="0" w:lastRowFirstColumn="0" w:lastRowLastColumn="0"/>
          <w:trHeight w:val="546"/>
          <w:jc w:val="right"/>
        </w:trPr>
        <w:tc>
          <w:tcPr>
            <w:tcW w:w="9701" w:type="dxa"/>
            <w:shd w:val="clear" w:color="auto" w:fill="F2F2F2" w:themeFill="background1" w:themeFillShade="F2"/>
          </w:tcPr>
          <w:p w14:paraId="6226881D" w14:textId="77777777" w:rsidR="001B4DB2" w:rsidRPr="00EC7AC9" w:rsidRDefault="001B4DB2" w:rsidP="00EC7AC9">
            <w:pPr>
              <w:pStyle w:val="BodyText"/>
              <w:spacing w:before="0" w:after="160" w:line="286" w:lineRule="exact"/>
              <w:ind w:left="40"/>
              <w:jc w:val="both"/>
              <w:rPr>
                <w:rFonts w:asciiTheme="majorHAnsi" w:hAnsiTheme="majorHAnsi" w:cstheme="majorHAnsi"/>
                <w:b w:val="0"/>
                <w:color w:val="auto"/>
              </w:rPr>
            </w:pPr>
            <w:r w:rsidRPr="00EC7AC9">
              <w:rPr>
                <w:rFonts w:asciiTheme="majorHAnsi" w:hAnsiTheme="majorHAnsi" w:cstheme="majorHAnsi"/>
                <w:b w:val="0"/>
                <w:color w:val="auto"/>
              </w:rPr>
              <w:t>Recommendation 11: It is recommended corporations be required to collect phone numbers and email addresses of members where available.</w:t>
            </w:r>
          </w:p>
        </w:tc>
      </w:tr>
    </w:tbl>
    <w:p w14:paraId="7B0728AB" w14:textId="77777777" w:rsidR="001B4DB2" w:rsidRPr="00EC7AC9" w:rsidRDefault="001B4DB2" w:rsidP="00EC7AC9">
      <w:pPr>
        <w:pStyle w:val="ListNumber"/>
        <w:numPr>
          <w:ilvl w:val="0"/>
          <w:numId w:val="0"/>
        </w:numPr>
        <w:spacing w:after="0" w:line="286" w:lineRule="exact"/>
        <w:jc w:val="both"/>
        <w:rPr>
          <w:rFonts w:asciiTheme="majorHAnsi" w:hAnsiTheme="majorHAnsi" w:cstheme="majorHAnsi"/>
          <w:sz w:val="21"/>
          <w:szCs w:val="21"/>
        </w:rPr>
      </w:pPr>
    </w:p>
    <w:tbl>
      <w:tblPr>
        <w:tblStyle w:val="GTTable"/>
        <w:tblW w:w="9701" w:type="dxa"/>
        <w:jc w:val="right"/>
        <w:tblInd w:w="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B9D9EB"/>
        <w:tblLayout w:type="fixed"/>
        <w:tblLook w:val="05E0" w:firstRow="1" w:lastRow="1" w:firstColumn="1" w:lastColumn="1" w:noHBand="0" w:noVBand="1"/>
      </w:tblPr>
      <w:tblGrid>
        <w:gridCol w:w="9701"/>
      </w:tblGrid>
      <w:tr w:rsidR="00EC7AC9" w:rsidRPr="00EC7AC9" w14:paraId="6E0A7E42" w14:textId="77777777" w:rsidTr="0067095F">
        <w:trPr>
          <w:cnfStyle w:val="100000000000" w:firstRow="1" w:lastRow="0" w:firstColumn="0" w:lastColumn="0" w:oddVBand="0" w:evenVBand="0" w:oddHBand="0" w:evenHBand="0" w:firstRowFirstColumn="0" w:firstRowLastColumn="0" w:lastRowFirstColumn="0" w:lastRowLastColumn="0"/>
          <w:trHeight w:val="523"/>
          <w:jc w:val="right"/>
        </w:trPr>
        <w:tc>
          <w:tcPr>
            <w:tcW w:w="9701" w:type="dxa"/>
            <w:shd w:val="clear" w:color="auto" w:fill="F2F2F2" w:themeFill="background1" w:themeFillShade="F2"/>
          </w:tcPr>
          <w:p w14:paraId="5CB02F11" w14:textId="595E86AE" w:rsidR="001B4DB2" w:rsidRPr="00EC7AC9" w:rsidRDefault="001B4DB2" w:rsidP="00EC7AC9">
            <w:pPr>
              <w:pStyle w:val="BodyText"/>
              <w:spacing w:before="0" w:after="160" w:line="286" w:lineRule="exact"/>
              <w:ind w:left="40"/>
              <w:jc w:val="both"/>
              <w:rPr>
                <w:rFonts w:asciiTheme="majorHAnsi" w:hAnsiTheme="majorHAnsi" w:cstheme="majorHAnsi"/>
                <w:b w:val="0"/>
                <w:color w:val="auto"/>
              </w:rPr>
            </w:pPr>
            <w:r w:rsidRPr="00EC7AC9">
              <w:rPr>
                <w:rFonts w:asciiTheme="majorHAnsi" w:hAnsiTheme="majorHAnsi" w:cstheme="majorHAnsi"/>
                <w:b w:val="0"/>
                <w:color w:val="auto"/>
              </w:rPr>
              <w:t xml:space="preserve">Recommendation 12:  It is recommended corporations be required to record alternative contact </w:t>
            </w:r>
            <w:r w:rsidR="0067095F" w:rsidRPr="00EC7AC9">
              <w:rPr>
                <w:rFonts w:asciiTheme="majorHAnsi" w:hAnsiTheme="majorHAnsi" w:cstheme="majorHAnsi"/>
                <w:b w:val="0"/>
                <w:color w:val="auto"/>
              </w:rPr>
              <w:t>details and</w:t>
            </w:r>
            <w:r w:rsidRPr="00EC7AC9">
              <w:rPr>
                <w:rFonts w:asciiTheme="majorHAnsi" w:hAnsiTheme="majorHAnsi" w:cstheme="majorHAnsi"/>
                <w:b w:val="0"/>
                <w:color w:val="auto"/>
              </w:rPr>
              <w:t xml:space="preserve"> be able to use those contact details when contacting members where available.</w:t>
            </w:r>
          </w:p>
        </w:tc>
      </w:tr>
    </w:tbl>
    <w:p w14:paraId="239A9713" w14:textId="77777777" w:rsidR="001B4DB2" w:rsidRPr="00EC7AC9" w:rsidRDefault="001B4DB2" w:rsidP="00EC7AC9">
      <w:pPr>
        <w:pStyle w:val="BodyText"/>
        <w:spacing w:before="0" w:after="0"/>
        <w:jc w:val="both"/>
        <w:rPr>
          <w:rFonts w:asciiTheme="majorHAnsi" w:hAnsiTheme="majorHAnsi" w:cstheme="majorHAnsi"/>
          <w:color w:val="auto"/>
        </w:rPr>
      </w:pPr>
    </w:p>
    <w:tbl>
      <w:tblPr>
        <w:tblStyle w:val="GTTable"/>
        <w:tblW w:w="9701" w:type="dxa"/>
        <w:jc w:val="right"/>
        <w:tblInd w:w="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701"/>
      </w:tblGrid>
      <w:tr w:rsidR="00EC7AC9" w:rsidRPr="00EC7AC9" w14:paraId="0016A6E0" w14:textId="77777777" w:rsidTr="0067095F">
        <w:trPr>
          <w:cnfStyle w:val="100000000000" w:firstRow="1" w:lastRow="0" w:firstColumn="0" w:lastColumn="0" w:oddVBand="0" w:evenVBand="0" w:oddHBand="0" w:evenHBand="0" w:firstRowFirstColumn="0" w:firstRowLastColumn="0" w:lastRowFirstColumn="0" w:lastRowLastColumn="0"/>
          <w:trHeight w:val="523"/>
          <w:jc w:val="right"/>
        </w:trPr>
        <w:tc>
          <w:tcPr>
            <w:tcW w:w="9701" w:type="dxa"/>
            <w:shd w:val="clear" w:color="auto" w:fill="F2F2F2" w:themeFill="background1" w:themeFillShade="F2"/>
          </w:tcPr>
          <w:p w14:paraId="7CA2795C" w14:textId="77777777" w:rsidR="001B4DB2" w:rsidRPr="00EC7AC9" w:rsidRDefault="001B4DB2" w:rsidP="00EC7AC9">
            <w:pPr>
              <w:pStyle w:val="BodyText"/>
              <w:spacing w:before="0" w:after="160" w:line="286" w:lineRule="exact"/>
              <w:ind w:left="40"/>
              <w:jc w:val="both"/>
              <w:rPr>
                <w:rFonts w:asciiTheme="majorHAnsi" w:hAnsiTheme="majorHAnsi" w:cstheme="majorHAnsi"/>
                <w:b w:val="0"/>
                <w:color w:val="auto"/>
              </w:rPr>
            </w:pPr>
            <w:r w:rsidRPr="00EC7AC9">
              <w:rPr>
                <w:rFonts w:asciiTheme="majorHAnsi" w:hAnsiTheme="majorHAnsi" w:cstheme="majorHAnsi"/>
                <w:b w:val="0"/>
                <w:color w:val="auto"/>
              </w:rPr>
              <w:t>Recommendation 46:  It is recommended the CATSI Act be amended to provide for the collection of other contact details, such as email address and phone number, in addition to physical address details.</w:t>
            </w:r>
          </w:p>
        </w:tc>
      </w:tr>
    </w:tbl>
    <w:p w14:paraId="000C9AF2" w14:textId="77777777" w:rsidR="001B4DB2" w:rsidRPr="00EC7AC9" w:rsidRDefault="001B4DB2" w:rsidP="00EC7AC9">
      <w:pPr>
        <w:pStyle w:val="ListNumber"/>
        <w:numPr>
          <w:ilvl w:val="0"/>
          <w:numId w:val="0"/>
        </w:numPr>
        <w:spacing w:after="0" w:line="240" w:lineRule="auto"/>
        <w:jc w:val="both"/>
        <w:rPr>
          <w:rFonts w:asciiTheme="majorHAnsi" w:hAnsiTheme="majorHAnsi" w:cstheme="majorHAnsi"/>
          <w:sz w:val="21"/>
          <w:szCs w:val="21"/>
        </w:rPr>
      </w:pPr>
    </w:p>
    <w:p w14:paraId="7EA0F8E6" w14:textId="77777777" w:rsidR="001B4DB2" w:rsidRPr="00EC7AC9" w:rsidRDefault="001B4DB2" w:rsidP="00EC7AC9">
      <w:pPr>
        <w:pStyle w:val="ListNumber"/>
        <w:numPr>
          <w:ilvl w:val="0"/>
          <w:numId w:val="0"/>
        </w:numPr>
        <w:spacing w:after="160" w:line="286" w:lineRule="exact"/>
        <w:jc w:val="both"/>
        <w:rPr>
          <w:rFonts w:asciiTheme="majorHAnsi" w:hAnsiTheme="majorHAnsi" w:cstheme="majorHAnsi"/>
          <w:sz w:val="21"/>
          <w:szCs w:val="21"/>
        </w:rPr>
      </w:pPr>
      <w:r w:rsidRPr="00EC7AC9">
        <w:rPr>
          <w:rFonts w:asciiTheme="majorHAnsi" w:hAnsiTheme="majorHAnsi" w:cstheme="majorHAnsi"/>
          <w:sz w:val="21"/>
          <w:szCs w:val="21"/>
        </w:rPr>
        <w:t xml:space="preserve">These recommendations have been implemented in sections 24 - 52, 55, 65, 66, 74 - 78 and 83 of the Exposure Draft. </w:t>
      </w:r>
    </w:p>
    <w:p w14:paraId="007985E4" w14:textId="3602864A" w:rsidR="001B4DB2" w:rsidRPr="00EC7AC9" w:rsidRDefault="001B4DB2" w:rsidP="00EC7AC9">
      <w:pPr>
        <w:pStyle w:val="ListNumber"/>
        <w:numPr>
          <w:ilvl w:val="0"/>
          <w:numId w:val="0"/>
        </w:numPr>
        <w:spacing w:after="160" w:line="286" w:lineRule="exact"/>
        <w:jc w:val="both"/>
        <w:rPr>
          <w:rFonts w:asciiTheme="majorHAnsi" w:hAnsiTheme="majorHAnsi" w:cstheme="majorHAnsi"/>
          <w:sz w:val="21"/>
          <w:szCs w:val="21"/>
        </w:rPr>
      </w:pPr>
      <w:r w:rsidRPr="00EC7AC9">
        <w:rPr>
          <w:rFonts w:asciiTheme="majorHAnsi" w:hAnsiTheme="majorHAnsi" w:cstheme="majorHAnsi"/>
          <w:sz w:val="21"/>
          <w:szCs w:val="21"/>
        </w:rPr>
        <w:t xml:space="preserve">Several of the amendments appear to make it mandatory that corporations record and provide the Registrar with email addresses and phone numbers of </w:t>
      </w:r>
      <w:r w:rsidR="00B62F56" w:rsidRPr="00EC7AC9">
        <w:rPr>
          <w:rFonts w:asciiTheme="majorHAnsi" w:hAnsiTheme="majorHAnsi" w:cstheme="majorHAnsi"/>
          <w:sz w:val="21"/>
          <w:szCs w:val="21"/>
        </w:rPr>
        <w:t>all</w:t>
      </w:r>
      <w:r w:rsidRPr="00EC7AC9">
        <w:rPr>
          <w:rFonts w:asciiTheme="majorHAnsi" w:hAnsiTheme="majorHAnsi" w:cstheme="majorHAnsi"/>
          <w:sz w:val="21"/>
          <w:szCs w:val="21"/>
        </w:rPr>
        <w:t xml:space="preserve"> their members. Sections 55 and 74 of the Act, for example, state that Aboriginal and Torres Strait Islander Corporations must record and provide the Registrar with ‘other contact details’ of their members.  </w:t>
      </w:r>
    </w:p>
    <w:p w14:paraId="51121BF9" w14:textId="35F9FA48" w:rsidR="001B4DB2" w:rsidRDefault="001B4DB2" w:rsidP="00EC7AC9">
      <w:pPr>
        <w:pStyle w:val="ListNumber"/>
        <w:numPr>
          <w:ilvl w:val="0"/>
          <w:numId w:val="0"/>
        </w:numPr>
        <w:spacing w:after="160" w:line="286" w:lineRule="exact"/>
        <w:ind w:left="340" w:hanging="340"/>
        <w:jc w:val="both"/>
        <w:rPr>
          <w:rFonts w:asciiTheme="majorHAnsi" w:hAnsiTheme="majorHAnsi" w:cstheme="majorHAnsi"/>
          <w:sz w:val="21"/>
          <w:szCs w:val="21"/>
        </w:rPr>
      </w:pPr>
      <w:r w:rsidRPr="00EC7AC9">
        <w:rPr>
          <w:rFonts w:asciiTheme="majorHAnsi" w:hAnsiTheme="majorHAnsi" w:cstheme="majorHAnsi"/>
          <w:sz w:val="21"/>
          <w:szCs w:val="21"/>
        </w:rPr>
        <w:t xml:space="preserve">Section 55 of the Exposure Draft seeks to amend subsection 138-1(1) of the CATSI Act to read: </w:t>
      </w:r>
    </w:p>
    <w:tbl>
      <w:tblPr>
        <w:tblStyle w:val="TableGrid"/>
        <w:tblW w:w="0" w:type="auto"/>
        <w:tblInd w:w="340" w:type="dxa"/>
        <w:tblLook w:val="04A0" w:firstRow="1" w:lastRow="0" w:firstColumn="1" w:lastColumn="0" w:noHBand="0" w:noVBand="1"/>
      </w:tblPr>
      <w:tblGrid>
        <w:gridCol w:w="9282"/>
      </w:tblGrid>
      <w:tr w:rsidR="00C73A1B" w14:paraId="614964D1" w14:textId="77777777" w:rsidTr="00C73A1B">
        <w:tc>
          <w:tcPr>
            <w:tcW w:w="9622" w:type="dxa"/>
          </w:tcPr>
          <w:p w14:paraId="3625C027" w14:textId="198443D1" w:rsidR="00C73A1B" w:rsidRDefault="00C73A1B" w:rsidP="00C73A1B">
            <w:pPr>
              <w:pStyle w:val="ListNumber"/>
              <w:numPr>
                <w:ilvl w:val="0"/>
                <w:numId w:val="0"/>
              </w:numPr>
              <w:spacing w:after="160" w:line="286" w:lineRule="exact"/>
              <w:ind w:left="360"/>
              <w:jc w:val="both"/>
              <w:rPr>
                <w:rFonts w:asciiTheme="majorHAnsi" w:hAnsiTheme="majorHAnsi" w:cstheme="majorHAnsi"/>
                <w:sz w:val="21"/>
                <w:szCs w:val="21"/>
              </w:rPr>
            </w:pPr>
            <w:r w:rsidRPr="00EC7AC9">
              <w:rPr>
                <w:rFonts w:asciiTheme="majorHAnsi" w:hAnsiTheme="majorHAnsi" w:cstheme="majorHAnsi"/>
                <w:sz w:val="21"/>
                <w:szCs w:val="21"/>
              </w:rPr>
              <w:t>Note: Section 180</w:t>
            </w:r>
            <w:r w:rsidRPr="00EC7AC9">
              <w:rPr>
                <w:rFonts w:ascii="Cambria Math" w:hAnsi="Cambria Math" w:cs="Cambria Math"/>
                <w:sz w:val="21"/>
                <w:szCs w:val="21"/>
              </w:rPr>
              <w:t>‑</w:t>
            </w:r>
            <w:r w:rsidRPr="00EC7AC9">
              <w:rPr>
                <w:rFonts w:asciiTheme="majorHAnsi" w:hAnsiTheme="majorHAnsi" w:cstheme="majorHAnsi"/>
                <w:sz w:val="21"/>
                <w:szCs w:val="21"/>
              </w:rPr>
              <w:t>5 requires the corporation to enter the names</w:t>
            </w:r>
            <w:r w:rsidRPr="00EC7AC9">
              <w:rPr>
                <w:rFonts w:asciiTheme="majorHAnsi" w:hAnsiTheme="majorHAnsi" w:cstheme="majorHAnsi"/>
                <w:strike/>
                <w:sz w:val="21"/>
                <w:szCs w:val="21"/>
              </w:rPr>
              <w:t xml:space="preserve"> and addresses</w:t>
            </w:r>
            <w:r w:rsidRPr="00EC7AC9">
              <w:rPr>
                <w:rFonts w:asciiTheme="majorHAnsi" w:hAnsiTheme="majorHAnsi" w:cstheme="majorHAnsi"/>
                <w:sz w:val="21"/>
                <w:szCs w:val="21"/>
              </w:rPr>
              <w:t>,</w:t>
            </w:r>
            <w:r w:rsidRPr="00EC7AC9">
              <w:rPr>
                <w:rFonts w:asciiTheme="majorHAnsi" w:hAnsiTheme="majorHAnsi" w:cstheme="majorHAnsi"/>
                <w:sz w:val="21"/>
                <w:szCs w:val="21"/>
                <w:u w:val="single"/>
              </w:rPr>
              <w:t xml:space="preserve"> addresses and other contact details </w:t>
            </w:r>
            <w:r w:rsidRPr="00EC7AC9">
              <w:rPr>
                <w:rFonts w:asciiTheme="majorHAnsi" w:hAnsiTheme="majorHAnsi" w:cstheme="majorHAnsi"/>
                <w:sz w:val="21"/>
                <w:szCs w:val="21"/>
              </w:rPr>
              <w:t>of all its members on the register of members.</w:t>
            </w:r>
          </w:p>
        </w:tc>
      </w:tr>
    </w:tbl>
    <w:p w14:paraId="52035BEB" w14:textId="0F4BD0D4" w:rsidR="00BA08CC" w:rsidRDefault="00BA08CC" w:rsidP="00EC7AC9">
      <w:pPr>
        <w:pStyle w:val="ListNumber"/>
        <w:numPr>
          <w:ilvl w:val="0"/>
          <w:numId w:val="0"/>
        </w:numPr>
        <w:spacing w:after="160" w:line="286" w:lineRule="exact"/>
        <w:ind w:left="340" w:hanging="340"/>
        <w:jc w:val="both"/>
        <w:rPr>
          <w:rFonts w:asciiTheme="majorHAnsi" w:hAnsiTheme="majorHAnsi" w:cstheme="majorHAnsi"/>
          <w:sz w:val="21"/>
          <w:szCs w:val="21"/>
        </w:rPr>
      </w:pPr>
      <w:r>
        <w:rPr>
          <w:rFonts w:asciiTheme="majorHAnsi" w:hAnsiTheme="majorHAnsi" w:cstheme="majorHAnsi"/>
          <w:sz w:val="21"/>
          <w:szCs w:val="21"/>
        </w:rPr>
        <w:br w:type="page"/>
      </w:r>
    </w:p>
    <w:p w14:paraId="18439ACB" w14:textId="7A2C0D7E" w:rsidR="001B4DB2" w:rsidRDefault="001B4DB2" w:rsidP="00EC7AC9">
      <w:pPr>
        <w:pStyle w:val="ListNumber"/>
        <w:numPr>
          <w:ilvl w:val="0"/>
          <w:numId w:val="0"/>
        </w:numPr>
        <w:spacing w:after="160" w:line="286" w:lineRule="exact"/>
        <w:jc w:val="both"/>
        <w:rPr>
          <w:rFonts w:asciiTheme="majorHAnsi" w:hAnsiTheme="majorHAnsi" w:cstheme="majorHAnsi"/>
          <w:sz w:val="21"/>
          <w:szCs w:val="21"/>
        </w:rPr>
      </w:pPr>
      <w:r w:rsidRPr="00EC7AC9">
        <w:rPr>
          <w:rFonts w:asciiTheme="majorHAnsi" w:hAnsiTheme="majorHAnsi" w:cstheme="majorHAnsi"/>
          <w:sz w:val="21"/>
          <w:szCs w:val="21"/>
        </w:rPr>
        <w:t xml:space="preserve">Similarly, section 74 of the Exposure Draft seeks to amend subsection 180-35(1) to read: </w:t>
      </w:r>
    </w:p>
    <w:tbl>
      <w:tblPr>
        <w:tblStyle w:val="TableGrid"/>
        <w:tblW w:w="0" w:type="auto"/>
        <w:tblLook w:val="04A0" w:firstRow="1" w:lastRow="0" w:firstColumn="1" w:lastColumn="0" w:noHBand="0" w:noVBand="1"/>
      </w:tblPr>
      <w:tblGrid>
        <w:gridCol w:w="9622"/>
      </w:tblGrid>
      <w:tr w:rsidR="00C73A1B" w14:paraId="55114046" w14:textId="77777777" w:rsidTr="00C73A1B">
        <w:tc>
          <w:tcPr>
            <w:tcW w:w="9622" w:type="dxa"/>
          </w:tcPr>
          <w:p w14:paraId="7D195626" w14:textId="77777777" w:rsidR="00C73A1B" w:rsidRPr="00EC7AC9" w:rsidRDefault="00C73A1B" w:rsidP="00C73A1B">
            <w:pPr>
              <w:pStyle w:val="ListNumber"/>
              <w:numPr>
                <w:ilvl w:val="0"/>
                <w:numId w:val="0"/>
              </w:numPr>
              <w:spacing w:after="160" w:line="286" w:lineRule="exact"/>
              <w:ind w:left="360"/>
              <w:jc w:val="both"/>
              <w:rPr>
                <w:rFonts w:asciiTheme="majorHAnsi" w:hAnsiTheme="majorHAnsi" w:cstheme="majorHAnsi"/>
                <w:sz w:val="21"/>
                <w:szCs w:val="21"/>
              </w:rPr>
            </w:pPr>
            <w:r w:rsidRPr="00EC7AC9">
              <w:rPr>
                <w:rFonts w:asciiTheme="majorHAnsi" w:hAnsiTheme="majorHAnsi" w:cstheme="majorHAnsi"/>
                <w:sz w:val="21"/>
                <w:szCs w:val="21"/>
              </w:rPr>
              <w:t>The Registrar may, at any time, request the corporation to give him or her a copy of the register of members, or the register of former members, as at the date when the copy is given to the Registrar, and the corporation must comply with the request within 14 days or such longer period as the Registrar specifies.</w:t>
            </w:r>
          </w:p>
          <w:p w14:paraId="6C2B52B8" w14:textId="336056BD" w:rsidR="00C73A1B" w:rsidRDefault="00C73A1B" w:rsidP="00C73A1B">
            <w:pPr>
              <w:pStyle w:val="ListNumber"/>
              <w:numPr>
                <w:ilvl w:val="0"/>
                <w:numId w:val="0"/>
              </w:numPr>
              <w:spacing w:after="160" w:line="286" w:lineRule="exact"/>
              <w:ind w:left="360"/>
              <w:jc w:val="both"/>
              <w:rPr>
                <w:rFonts w:asciiTheme="majorHAnsi" w:hAnsiTheme="majorHAnsi" w:cstheme="majorHAnsi"/>
                <w:sz w:val="21"/>
                <w:szCs w:val="21"/>
              </w:rPr>
            </w:pPr>
            <w:r w:rsidRPr="00EC7AC9">
              <w:rPr>
                <w:rFonts w:asciiTheme="majorHAnsi" w:hAnsiTheme="majorHAnsi" w:cstheme="majorHAnsi"/>
                <w:sz w:val="21"/>
                <w:szCs w:val="21"/>
              </w:rPr>
              <w:t xml:space="preserve">Note: An Aboriginal and Torres Strait Islander corporation must give a general report to the Registrar in respect of each financial year. That report must include details of the names </w:t>
            </w:r>
            <w:r w:rsidRPr="00EC7AC9">
              <w:rPr>
                <w:rFonts w:asciiTheme="majorHAnsi" w:hAnsiTheme="majorHAnsi" w:cstheme="majorHAnsi"/>
                <w:strike/>
                <w:sz w:val="21"/>
                <w:szCs w:val="21"/>
              </w:rPr>
              <w:t>and addresses</w:t>
            </w:r>
            <w:r w:rsidRPr="00EC7AC9">
              <w:rPr>
                <w:rFonts w:asciiTheme="majorHAnsi" w:hAnsiTheme="majorHAnsi" w:cstheme="majorHAnsi"/>
                <w:sz w:val="21"/>
                <w:szCs w:val="21"/>
              </w:rPr>
              <w:t xml:space="preserve">, </w:t>
            </w:r>
            <w:r w:rsidRPr="00EC7AC9">
              <w:rPr>
                <w:rFonts w:asciiTheme="majorHAnsi" w:hAnsiTheme="majorHAnsi" w:cstheme="majorHAnsi"/>
                <w:sz w:val="21"/>
                <w:szCs w:val="21"/>
                <w:u w:val="single"/>
              </w:rPr>
              <w:t>addresses and other contact details</w:t>
            </w:r>
            <w:r w:rsidRPr="00EC7AC9">
              <w:rPr>
                <w:rFonts w:asciiTheme="majorHAnsi" w:hAnsiTheme="majorHAnsi" w:cstheme="majorHAnsi"/>
                <w:sz w:val="21"/>
                <w:szCs w:val="21"/>
              </w:rPr>
              <w:t xml:space="preserve"> of the corporation's members: see sections 330</w:t>
            </w:r>
            <w:r w:rsidRPr="00EC7AC9">
              <w:rPr>
                <w:rFonts w:ascii="Cambria Math" w:hAnsi="Cambria Math" w:cs="Cambria Math"/>
                <w:sz w:val="21"/>
                <w:szCs w:val="21"/>
              </w:rPr>
              <w:t>‑</w:t>
            </w:r>
            <w:r w:rsidRPr="00EC7AC9">
              <w:rPr>
                <w:rFonts w:asciiTheme="majorHAnsi" w:hAnsiTheme="majorHAnsi" w:cstheme="majorHAnsi"/>
                <w:sz w:val="21"/>
                <w:szCs w:val="21"/>
              </w:rPr>
              <w:t>1 and 330</w:t>
            </w:r>
            <w:r w:rsidRPr="00EC7AC9">
              <w:rPr>
                <w:rFonts w:ascii="Cambria Math" w:hAnsi="Cambria Math" w:cs="Cambria Math"/>
                <w:sz w:val="21"/>
                <w:szCs w:val="21"/>
              </w:rPr>
              <w:t>‑</w:t>
            </w:r>
            <w:r w:rsidRPr="00EC7AC9">
              <w:rPr>
                <w:rFonts w:asciiTheme="majorHAnsi" w:hAnsiTheme="majorHAnsi" w:cstheme="majorHAnsi"/>
                <w:sz w:val="21"/>
                <w:szCs w:val="21"/>
              </w:rPr>
              <w:t>5.</w:t>
            </w:r>
          </w:p>
        </w:tc>
      </w:tr>
    </w:tbl>
    <w:p w14:paraId="0675ADDC" w14:textId="77777777" w:rsidR="00C73A1B" w:rsidRPr="00EC7AC9" w:rsidRDefault="00C73A1B" w:rsidP="0005574B">
      <w:pPr>
        <w:pStyle w:val="ListNumber"/>
        <w:numPr>
          <w:ilvl w:val="0"/>
          <w:numId w:val="0"/>
        </w:numPr>
        <w:spacing w:after="0" w:line="240" w:lineRule="auto"/>
        <w:jc w:val="both"/>
        <w:rPr>
          <w:rFonts w:asciiTheme="majorHAnsi" w:hAnsiTheme="majorHAnsi" w:cstheme="majorHAnsi"/>
          <w:sz w:val="21"/>
          <w:szCs w:val="21"/>
        </w:rPr>
      </w:pPr>
    </w:p>
    <w:p w14:paraId="3C7F8987" w14:textId="77777777" w:rsidR="001B4DB2" w:rsidRPr="00EC7AC9" w:rsidRDefault="001B4DB2" w:rsidP="00EC7AC9">
      <w:pPr>
        <w:pStyle w:val="ListNumber"/>
        <w:numPr>
          <w:ilvl w:val="0"/>
          <w:numId w:val="0"/>
        </w:numPr>
        <w:spacing w:after="160" w:line="286" w:lineRule="exact"/>
        <w:jc w:val="both"/>
        <w:rPr>
          <w:rFonts w:asciiTheme="majorHAnsi" w:hAnsiTheme="majorHAnsi" w:cstheme="majorHAnsi"/>
          <w:sz w:val="21"/>
          <w:szCs w:val="21"/>
        </w:rPr>
      </w:pPr>
      <w:r w:rsidRPr="00EC7AC9">
        <w:rPr>
          <w:rFonts w:asciiTheme="majorHAnsi" w:hAnsiTheme="majorHAnsi" w:cstheme="majorHAnsi"/>
          <w:sz w:val="21"/>
          <w:szCs w:val="21"/>
        </w:rPr>
        <w:t xml:space="preserve">We note that the term ‘other contact details’ is not defined in the CATSI Act or in the Exposure Draft, and its meaning is ambiguous. Recommendation 11 of the Final Report would suggest that the term means telephone numbers and email addresses, however, it is unclear whether it could allow the member to provide, for example, </w:t>
      </w:r>
      <w:r w:rsidRPr="00EC7AC9">
        <w:rPr>
          <w:rFonts w:asciiTheme="majorHAnsi" w:hAnsiTheme="majorHAnsi" w:cstheme="majorHAnsi"/>
          <w:sz w:val="21"/>
          <w:szCs w:val="21"/>
          <w:lang w:eastAsia="en-AU"/>
        </w:rPr>
        <w:t xml:space="preserve">an alternate phone number of a family member who they have regular contact with, or details of how to contact them using social media or other web-based applications. </w:t>
      </w:r>
    </w:p>
    <w:p w14:paraId="03CBD637" w14:textId="410DC28D" w:rsidR="001B4DB2" w:rsidRPr="00EC7AC9" w:rsidRDefault="001B4DB2" w:rsidP="00EC7AC9">
      <w:pPr>
        <w:pStyle w:val="ListNumber"/>
        <w:numPr>
          <w:ilvl w:val="0"/>
          <w:numId w:val="0"/>
        </w:numPr>
        <w:spacing w:after="160" w:line="286" w:lineRule="exact"/>
        <w:jc w:val="both"/>
        <w:rPr>
          <w:rFonts w:asciiTheme="majorHAnsi" w:hAnsiTheme="majorHAnsi" w:cstheme="majorHAnsi"/>
          <w:sz w:val="21"/>
          <w:szCs w:val="21"/>
        </w:rPr>
      </w:pPr>
      <w:r w:rsidRPr="00EC7AC9">
        <w:rPr>
          <w:rFonts w:asciiTheme="majorHAnsi" w:hAnsiTheme="majorHAnsi" w:cstheme="majorHAnsi"/>
          <w:sz w:val="21"/>
          <w:szCs w:val="21"/>
        </w:rPr>
        <w:t>Conversely, section 65 of the Exposure Draft uses the term ‘may’ instead of ‘must’ and appears to provide corporations with flexibility to record additional member details. Section 65 of the Exposure Draft would have the effect of amending section 180-5(1) of the CATSI Act as follows:</w:t>
      </w:r>
    </w:p>
    <w:tbl>
      <w:tblPr>
        <w:tblStyle w:val="TableGrid"/>
        <w:tblW w:w="0" w:type="auto"/>
        <w:tblLook w:val="04A0" w:firstRow="1" w:lastRow="0" w:firstColumn="1" w:lastColumn="0" w:noHBand="0" w:noVBand="1"/>
      </w:tblPr>
      <w:tblGrid>
        <w:gridCol w:w="9622"/>
      </w:tblGrid>
      <w:tr w:rsidR="00EC7AC9" w:rsidRPr="00EC7AC9" w14:paraId="34890562" w14:textId="77777777" w:rsidTr="007972D0">
        <w:tc>
          <w:tcPr>
            <w:tcW w:w="9622" w:type="dxa"/>
          </w:tcPr>
          <w:p w14:paraId="070EA147" w14:textId="77777777" w:rsidR="007972D0" w:rsidRPr="00EC7AC9" w:rsidRDefault="007972D0" w:rsidP="003B5E55">
            <w:pPr>
              <w:pStyle w:val="ListNumber"/>
              <w:numPr>
                <w:ilvl w:val="0"/>
                <w:numId w:val="13"/>
              </w:numPr>
              <w:spacing w:after="0" w:line="286" w:lineRule="exact"/>
              <w:jc w:val="both"/>
              <w:rPr>
                <w:rFonts w:asciiTheme="majorHAnsi" w:hAnsiTheme="majorHAnsi" w:cstheme="majorHAnsi"/>
                <w:sz w:val="21"/>
                <w:szCs w:val="21"/>
              </w:rPr>
            </w:pPr>
            <w:r w:rsidRPr="00EC7AC9">
              <w:rPr>
                <w:rFonts w:asciiTheme="majorHAnsi" w:hAnsiTheme="majorHAnsi" w:cstheme="majorHAnsi"/>
                <w:sz w:val="21"/>
                <w:szCs w:val="21"/>
              </w:rPr>
              <w:t>The register of members must contain the following information about each member who is an individual:</w:t>
            </w:r>
          </w:p>
          <w:p w14:paraId="574DD504" w14:textId="684545A3" w:rsidR="007972D0" w:rsidRPr="00EC7AC9" w:rsidRDefault="007972D0" w:rsidP="003B5E55">
            <w:pPr>
              <w:pStyle w:val="ListNumber"/>
              <w:numPr>
                <w:ilvl w:val="1"/>
                <w:numId w:val="13"/>
              </w:numPr>
              <w:spacing w:after="0" w:line="286" w:lineRule="exact"/>
              <w:jc w:val="both"/>
              <w:rPr>
                <w:rFonts w:asciiTheme="majorHAnsi" w:hAnsiTheme="majorHAnsi" w:cstheme="majorHAnsi"/>
                <w:sz w:val="21"/>
                <w:szCs w:val="21"/>
              </w:rPr>
            </w:pPr>
            <w:r w:rsidRPr="00EC7AC9">
              <w:rPr>
                <w:rFonts w:asciiTheme="majorHAnsi" w:hAnsiTheme="majorHAnsi" w:cstheme="majorHAnsi"/>
                <w:sz w:val="21"/>
                <w:szCs w:val="21"/>
              </w:rPr>
              <w:t>the member's given and family name.</w:t>
            </w:r>
          </w:p>
          <w:p w14:paraId="5FF1EB72" w14:textId="0191138F" w:rsidR="007972D0" w:rsidRPr="00EC7AC9" w:rsidRDefault="007972D0" w:rsidP="003B5E55">
            <w:pPr>
              <w:pStyle w:val="ListNumber"/>
              <w:numPr>
                <w:ilvl w:val="1"/>
                <w:numId w:val="13"/>
              </w:numPr>
              <w:spacing w:after="0" w:line="286" w:lineRule="exact"/>
              <w:jc w:val="both"/>
              <w:rPr>
                <w:rFonts w:asciiTheme="majorHAnsi" w:hAnsiTheme="majorHAnsi" w:cstheme="majorHAnsi"/>
                <w:sz w:val="21"/>
                <w:szCs w:val="21"/>
              </w:rPr>
            </w:pPr>
            <w:r w:rsidRPr="00EC7AC9">
              <w:rPr>
                <w:rFonts w:asciiTheme="majorHAnsi" w:hAnsiTheme="majorHAnsi" w:cstheme="majorHAnsi"/>
                <w:sz w:val="21"/>
                <w:szCs w:val="21"/>
              </w:rPr>
              <w:t>the member's address.</w:t>
            </w:r>
          </w:p>
          <w:p w14:paraId="5EE24AF4" w14:textId="77777777" w:rsidR="007972D0" w:rsidRPr="00EC7AC9" w:rsidRDefault="007972D0" w:rsidP="003B5E55">
            <w:pPr>
              <w:pStyle w:val="ListNumber"/>
              <w:numPr>
                <w:ilvl w:val="1"/>
                <w:numId w:val="13"/>
              </w:numPr>
              <w:spacing w:after="0" w:line="286" w:lineRule="exact"/>
              <w:jc w:val="both"/>
              <w:rPr>
                <w:rFonts w:asciiTheme="majorHAnsi" w:hAnsiTheme="majorHAnsi" w:cstheme="majorHAnsi"/>
                <w:sz w:val="21"/>
                <w:szCs w:val="21"/>
              </w:rPr>
            </w:pPr>
            <w:r w:rsidRPr="00EC7AC9">
              <w:rPr>
                <w:rFonts w:asciiTheme="majorHAnsi" w:hAnsiTheme="majorHAnsi" w:cstheme="majorHAnsi"/>
                <w:sz w:val="21"/>
                <w:szCs w:val="21"/>
              </w:rPr>
              <w:t>the date on which the entry of the member's name in the register was made.</w:t>
            </w:r>
          </w:p>
          <w:p w14:paraId="3E649A87" w14:textId="282F4530" w:rsidR="00776124" w:rsidRPr="00EC7AC9" w:rsidRDefault="007972D0" w:rsidP="007F3C33">
            <w:pPr>
              <w:pStyle w:val="ListNumber"/>
              <w:numPr>
                <w:ilvl w:val="0"/>
                <w:numId w:val="0"/>
              </w:numPr>
              <w:spacing w:after="160" w:line="286" w:lineRule="exact"/>
              <w:jc w:val="both"/>
              <w:rPr>
                <w:rFonts w:asciiTheme="majorHAnsi" w:hAnsiTheme="majorHAnsi" w:cstheme="majorHAnsi"/>
                <w:sz w:val="21"/>
                <w:szCs w:val="21"/>
              </w:rPr>
            </w:pPr>
            <w:r w:rsidRPr="00EC7AC9">
              <w:rPr>
                <w:rFonts w:asciiTheme="majorHAnsi" w:hAnsiTheme="majorHAnsi" w:cstheme="majorHAnsi"/>
                <w:sz w:val="21"/>
                <w:szCs w:val="21"/>
              </w:rPr>
              <w:t xml:space="preserve">The register may also contain any other name by which the member is or was known </w:t>
            </w:r>
            <w:r w:rsidRPr="00EC7AC9">
              <w:rPr>
                <w:rFonts w:asciiTheme="majorHAnsi" w:hAnsiTheme="majorHAnsi" w:cstheme="majorHAnsi"/>
                <w:sz w:val="21"/>
                <w:szCs w:val="21"/>
                <w:u w:val="single"/>
              </w:rPr>
              <w:t>and any other contact details the member has provided to the corporation</w:t>
            </w:r>
            <w:r w:rsidRPr="00EC7AC9">
              <w:rPr>
                <w:rFonts w:asciiTheme="majorHAnsi" w:hAnsiTheme="majorHAnsi" w:cstheme="majorHAnsi"/>
                <w:sz w:val="21"/>
                <w:szCs w:val="21"/>
              </w:rPr>
              <w:t>.</w:t>
            </w:r>
          </w:p>
        </w:tc>
      </w:tr>
    </w:tbl>
    <w:p w14:paraId="47ED5F7B" w14:textId="77777777" w:rsidR="007972D0" w:rsidRPr="003100B1" w:rsidRDefault="007972D0" w:rsidP="0005574B">
      <w:pPr>
        <w:pStyle w:val="ListNumber"/>
        <w:numPr>
          <w:ilvl w:val="0"/>
          <w:numId w:val="0"/>
        </w:numPr>
        <w:spacing w:after="0" w:line="240" w:lineRule="auto"/>
        <w:jc w:val="both"/>
        <w:rPr>
          <w:rFonts w:asciiTheme="minorHAnsi" w:hAnsiTheme="minorHAnsi" w:cstheme="minorHAnsi"/>
          <w:sz w:val="21"/>
          <w:szCs w:val="21"/>
        </w:rPr>
      </w:pPr>
    </w:p>
    <w:p w14:paraId="673427BF" w14:textId="56973DEA" w:rsidR="001B4DB2" w:rsidRPr="003B5E55" w:rsidRDefault="001B4DB2" w:rsidP="001745BA">
      <w:pPr>
        <w:pStyle w:val="ListNumber"/>
        <w:numPr>
          <w:ilvl w:val="0"/>
          <w:numId w:val="0"/>
        </w:numPr>
        <w:spacing w:after="160" w:line="286" w:lineRule="exact"/>
        <w:jc w:val="both"/>
        <w:rPr>
          <w:rFonts w:asciiTheme="minorHAnsi" w:hAnsiTheme="minorHAnsi" w:cstheme="minorHAnsi"/>
          <w:sz w:val="21"/>
          <w:szCs w:val="21"/>
        </w:rPr>
      </w:pPr>
      <w:r w:rsidRPr="003B5E55">
        <w:rPr>
          <w:rFonts w:asciiTheme="minorHAnsi" w:hAnsiTheme="minorHAnsi" w:cstheme="minorHAnsi"/>
          <w:sz w:val="21"/>
          <w:szCs w:val="21"/>
        </w:rPr>
        <w:t xml:space="preserve">Recording and maintaining up-to-date email addresses and phone numbers for each of </w:t>
      </w:r>
      <w:r w:rsidR="00C73A1B" w:rsidRPr="003B5E55">
        <w:rPr>
          <w:rFonts w:asciiTheme="minorHAnsi" w:hAnsiTheme="minorHAnsi" w:cstheme="minorHAnsi"/>
          <w:sz w:val="21"/>
          <w:szCs w:val="21"/>
        </w:rPr>
        <w:t>our</w:t>
      </w:r>
      <w:r w:rsidRPr="003B5E55">
        <w:rPr>
          <w:rFonts w:asciiTheme="minorHAnsi" w:hAnsiTheme="minorHAnsi" w:cstheme="minorHAnsi"/>
          <w:sz w:val="21"/>
          <w:szCs w:val="21"/>
        </w:rPr>
        <w:t xml:space="preserve"> 600+ members would create a significant administrative burden on T</w:t>
      </w:r>
      <w:r w:rsidR="00C73A1B" w:rsidRPr="003B5E55">
        <w:rPr>
          <w:rFonts w:asciiTheme="minorHAnsi" w:hAnsiTheme="minorHAnsi" w:cstheme="minorHAnsi"/>
          <w:sz w:val="21"/>
          <w:szCs w:val="21"/>
        </w:rPr>
        <w:t>CAC</w:t>
      </w:r>
      <w:r w:rsidRPr="003B5E55">
        <w:rPr>
          <w:rFonts w:asciiTheme="minorHAnsi" w:hAnsiTheme="minorHAnsi" w:cstheme="minorHAnsi"/>
          <w:sz w:val="21"/>
          <w:szCs w:val="21"/>
        </w:rPr>
        <w:t xml:space="preserve"> and will require a sizeable diversion of our resources. Further, we consider that the exercise of recording and attempting to </w:t>
      </w:r>
      <w:r w:rsidR="00C73A1B" w:rsidRPr="003B5E55">
        <w:rPr>
          <w:rFonts w:asciiTheme="minorHAnsi" w:hAnsiTheme="minorHAnsi" w:cstheme="minorHAnsi"/>
          <w:sz w:val="21"/>
          <w:szCs w:val="21"/>
        </w:rPr>
        <w:t>maintain phone</w:t>
      </w:r>
      <w:r w:rsidRPr="003B5E55">
        <w:rPr>
          <w:rFonts w:asciiTheme="minorHAnsi" w:hAnsiTheme="minorHAnsi" w:cstheme="minorHAnsi"/>
          <w:sz w:val="21"/>
          <w:szCs w:val="21"/>
        </w:rPr>
        <w:t xml:space="preserve"> numbers and email addresses may prove futile as </w:t>
      </w:r>
      <w:r w:rsidR="00776124" w:rsidRPr="003B5E55">
        <w:rPr>
          <w:rFonts w:asciiTheme="minorHAnsi" w:hAnsiTheme="minorHAnsi" w:cstheme="minorHAnsi"/>
          <w:sz w:val="21"/>
          <w:szCs w:val="21"/>
        </w:rPr>
        <w:t>most of</w:t>
      </w:r>
      <w:r w:rsidRPr="003B5E55">
        <w:rPr>
          <w:rFonts w:asciiTheme="minorHAnsi" w:hAnsiTheme="minorHAnsi" w:cstheme="minorHAnsi"/>
          <w:sz w:val="21"/>
          <w:szCs w:val="21"/>
        </w:rPr>
        <w:t xml:space="preserve"> our members do not have email </w:t>
      </w:r>
      <w:r w:rsidR="001745BA" w:rsidRPr="003B5E55">
        <w:rPr>
          <w:rFonts w:asciiTheme="minorHAnsi" w:hAnsiTheme="minorHAnsi" w:cstheme="minorHAnsi"/>
          <w:sz w:val="21"/>
          <w:szCs w:val="21"/>
        </w:rPr>
        <w:t xml:space="preserve">addresses and </w:t>
      </w:r>
      <w:r w:rsidRPr="003B5E55">
        <w:rPr>
          <w:rFonts w:asciiTheme="minorHAnsi" w:hAnsiTheme="minorHAnsi" w:cstheme="minorHAnsi"/>
          <w:sz w:val="21"/>
          <w:szCs w:val="21"/>
        </w:rPr>
        <w:t xml:space="preserve">their contact details change frequently. </w:t>
      </w:r>
    </w:p>
    <w:p w14:paraId="56E5B1B6" w14:textId="064FCB34" w:rsidR="001B4DB2" w:rsidRPr="003B5E55" w:rsidRDefault="001B4DB2" w:rsidP="001745BA">
      <w:pPr>
        <w:pStyle w:val="ListNumber"/>
        <w:numPr>
          <w:ilvl w:val="0"/>
          <w:numId w:val="0"/>
        </w:numPr>
        <w:spacing w:after="160" w:line="286" w:lineRule="exact"/>
        <w:jc w:val="both"/>
        <w:rPr>
          <w:rFonts w:asciiTheme="minorHAnsi" w:hAnsiTheme="minorHAnsi" w:cstheme="minorHAnsi"/>
          <w:sz w:val="21"/>
          <w:szCs w:val="21"/>
          <w:lang w:eastAsia="en-AU"/>
        </w:rPr>
      </w:pPr>
      <w:r w:rsidRPr="003B5E55">
        <w:rPr>
          <w:rFonts w:asciiTheme="minorHAnsi" w:hAnsiTheme="minorHAnsi" w:cstheme="minorHAnsi"/>
          <w:sz w:val="21"/>
          <w:szCs w:val="21"/>
          <w:lang w:eastAsia="en-AU"/>
        </w:rPr>
        <w:t xml:space="preserve">We consider that allowing for both paper and electronic methods of contact is fair, but it should be at the discretion of corporation which method is employed given their knowledge of their member base. We endorse the comments of the National Aboriginal Community Controlled Health Organisation (NACCHO) in their submission to Phase 2 of the review of the CATSI Act that: </w:t>
      </w:r>
    </w:p>
    <w:tbl>
      <w:tblPr>
        <w:tblStyle w:val="TableGrid"/>
        <w:tblW w:w="0" w:type="auto"/>
        <w:tblLook w:val="04A0" w:firstRow="1" w:lastRow="0" w:firstColumn="1" w:lastColumn="0" w:noHBand="0" w:noVBand="1"/>
      </w:tblPr>
      <w:tblGrid>
        <w:gridCol w:w="9622"/>
      </w:tblGrid>
      <w:tr w:rsidR="003B5E55" w:rsidRPr="003B5E55" w14:paraId="11B9B067" w14:textId="77777777" w:rsidTr="001745BA">
        <w:tc>
          <w:tcPr>
            <w:tcW w:w="9622" w:type="dxa"/>
          </w:tcPr>
          <w:p w14:paraId="597FAA6B" w14:textId="4B5DB407" w:rsidR="001745BA" w:rsidRPr="003B5E55" w:rsidRDefault="0005574B" w:rsidP="009C4DAB">
            <w:pPr>
              <w:pStyle w:val="ListNumber"/>
              <w:numPr>
                <w:ilvl w:val="0"/>
                <w:numId w:val="0"/>
              </w:numPr>
              <w:spacing w:after="160" w:line="286" w:lineRule="exact"/>
              <w:ind w:left="360"/>
              <w:jc w:val="both"/>
              <w:rPr>
                <w:rFonts w:asciiTheme="minorHAnsi" w:hAnsiTheme="minorHAnsi" w:cstheme="minorHAnsi"/>
                <w:sz w:val="21"/>
                <w:szCs w:val="21"/>
              </w:rPr>
            </w:pPr>
            <w:r w:rsidRPr="003B5E55">
              <w:rPr>
                <w:rFonts w:asciiTheme="minorHAnsi" w:hAnsiTheme="minorHAnsi" w:cstheme="minorHAnsi"/>
                <w:sz w:val="21"/>
                <w:szCs w:val="21"/>
              </w:rPr>
              <w:t xml:space="preserve">Appropriate governance is important to establish policies to guide the successful operation of Aboriginal and Torres Strait Islander corporations, including financial management, control and reporting. However, consideration of cultural, geographic, </w:t>
            </w:r>
            <w:r w:rsidR="007F3C33" w:rsidRPr="003B5E55">
              <w:rPr>
                <w:rFonts w:asciiTheme="minorHAnsi" w:hAnsiTheme="minorHAnsi" w:cstheme="minorHAnsi"/>
                <w:sz w:val="21"/>
                <w:szCs w:val="21"/>
              </w:rPr>
              <w:t>social,</w:t>
            </w:r>
            <w:r w:rsidRPr="003B5E55">
              <w:rPr>
                <w:rFonts w:asciiTheme="minorHAnsi" w:hAnsiTheme="minorHAnsi" w:cstheme="minorHAnsi"/>
                <w:sz w:val="21"/>
                <w:szCs w:val="21"/>
              </w:rPr>
              <w:t xml:space="preserve"> and economic situations must inform how governance is carried out. For example, a remote corporation may have a highly transient membership base making contact difficult without recourse to posting notices on noticeboards in health services or outback stores. It is important that governance structures in the CATSI Act are flexible enough to accommodate such situations without an unnecessary compliance burden.</w:t>
            </w:r>
          </w:p>
        </w:tc>
      </w:tr>
    </w:tbl>
    <w:p w14:paraId="3E334A08" w14:textId="2BD2B248" w:rsidR="003B5E55" w:rsidRDefault="003B5E55" w:rsidP="001745BA">
      <w:pPr>
        <w:pStyle w:val="ListNumber"/>
        <w:numPr>
          <w:ilvl w:val="0"/>
          <w:numId w:val="0"/>
        </w:numPr>
        <w:spacing w:after="160" w:line="286" w:lineRule="exact"/>
        <w:jc w:val="both"/>
        <w:rPr>
          <w:rFonts w:asciiTheme="minorHAnsi" w:hAnsiTheme="minorHAnsi" w:cstheme="minorHAnsi"/>
          <w:color w:val="FF0000"/>
          <w:sz w:val="21"/>
          <w:szCs w:val="21"/>
          <w:lang w:eastAsia="en-AU"/>
        </w:rPr>
      </w:pPr>
      <w:r>
        <w:rPr>
          <w:rFonts w:asciiTheme="minorHAnsi" w:hAnsiTheme="minorHAnsi" w:cstheme="minorHAnsi"/>
          <w:color w:val="FF0000"/>
          <w:sz w:val="21"/>
          <w:szCs w:val="21"/>
          <w:lang w:eastAsia="en-AU"/>
        </w:rPr>
        <w:br w:type="page"/>
      </w:r>
    </w:p>
    <w:p w14:paraId="5C0CCF06" w14:textId="2BEDDDD9" w:rsidR="002220CE" w:rsidRPr="002220CE" w:rsidRDefault="002220CE" w:rsidP="000750C1">
      <w:pPr>
        <w:pStyle w:val="ListNumber"/>
        <w:numPr>
          <w:ilvl w:val="0"/>
          <w:numId w:val="0"/>
        </w:numPr>
        <w:spacing w:after="160" w:line="286" w:lineRule="exact"/>
        <w:ind w:left="340" w:hanging="340"/>
        <w:jc w:val="both"/>
        <w:rPr>
          <w:rFonts w:asciiTheme="minorHAnsi" w:hAnsiTheme="minorHAnsi" w:cstheme="minorHAnsi"/>
          <w:b/>
          <w:color w:val="D25622"/>
          <w:sz w:val="21"/>
          <w:szCs w:val="21"/>
        </w:rPr>
      </w:pPr>
      <w:r w:rsidRPr="002220CE">
        <w:rPr>
          <w:rFonts w:asciiTheme="minorHAnsi" w:hAnsiTheme="minorHAnsi" w:cstheme="minorHAnsi"/>
          <w:b/>
          <w:color w:val="D25622"/>
          <w:sz w:val="21"/>
          <w:szCs w:val="21"/>
        </w:rPr>
        <w:t>Recommendations- Member Contact Details</w:t>
      </w:r>
    </w:p>
    <w:p w14:paraId="4D29C4BB" w14:textId="0152AEE9" w:rsidR="001B4DB2" w:rsidRPr="000750C1" w:rsidRDefault="001B4DB2" w:rsidP="000750C1">
      <w:pPr>
        <w:pStyle w:val="ListNumber"/>
        <w:numPr>
          <w:ilvl w:val="0"/>
          <w:numId w:val="0"/>
        </w:numPr>
        <w:spacing w:after="160" w:line="286" w:lineRule="exact"/>
        <w:ind w:left="340" w:hanging="340"/>
        <w:jc w:val="both"/>
        <w:rPr>
          <w:rFonts w:asciiTheme="minorHAnsi" w:hAnsiTheme="minorHAnsi" w:cstheme="minorHAnsi"/>
          <w:bCs/>
          <w:sz w:val="21"/>
          <w:szCs w:val="21"/>
          <w:lang w:eastAsia="en-AU"/>
        </w:rPr>
      </w:pPr>
      <w:r w:rsidRPr="000750C1">
        <w:rPr>
          <w:rFonts w:asciiTheme="minorHAnsi" w:hAnsiTheme="minorHAnsi" w:cstheme="minorHAnsi"/>
          <w:bCs/>
          <w:sz w:val="21"/>
          <w:szCs w:val="21"/>
        </w:rPr>
        <w:t xml:space="preserve">We recommend that: </w:t>
      </w:r>
    </w:p>
    <w:p w14:paraId="12AEF04F" w14:textId="68AC0B6A" w:rsidR="009C4DAB" w:rsidRPr="000750C1" w:rsidRDefault="001B4DB2" w:rsidP="000750C1">
      <w:pPr>
        <w:pStyle w:val="Heading3"/>
        <w:numPr>
          <w:ilvl w:val="1"/>
          <w:numId w:val="16"/>
        </w:numPr>
        <w:spacing w:before="0" w:after="160" w:line="286" w:lineRule="exact"/>
        <w:jc w:val="both"/>
        <w:rPr>
          <w:rFonts w:asciiTheme="minorHAnsi" w:hAnsiTheme="minorHAnsi" w:cstheme="minorHAnsi"/>
          <w:b w:val="0"/>
          <w:bCs/>
          <w:color w:val="auto"/>
          <w:lang w:eastAsia="en-AU"/>
        </w:rPr>
      </w:pPr>
      <w:r w:rsidRPr="000750C1">
        <w:rPr>
          <w:rFonts w:asciiTheme="minorHAnsi" w:hAnsiTheme="minorHAnsi" w:cstheme="minorHAnsi"/>
          <w:b w:val="0"/>
          <w:bCs/>
          <w:color w:val="auto"/>
          <w:lang w:eastAsia="en-AU"/>
        </w:rPr>
        <w:t xml:space="preserve">Amendments to the CATSI Act create an option for corporations to record “other contact details”, but do not require the corporation to do so. The language of all relevant provisions of the draft legislation should reflect that recording other “contact details” is optional and at the complete discretion of the </w:t>
      </w:r>
      <w:r w:rsidR="002772D0" w:rsidRPr="000750C1">
        <w:rPr>
          <w:rFonts w:asciiTheme="minorHAnsi" w:hAnsiTheme="minorHAnsi" w:cstheme="minorHAnsi"/>
          <w:b w:val="0"/>
          <w:bCs/>
          <w:color w:val="auto"/>
          <w:lang w:eastAsia="en-AU"/>
        </w:rPr>
        <w:t>corporation.</w:t>
      </w:r>
      <w:r w:rsidRPr="000750C1">
        <w:rPr>
          <w:rFonts w:asciiTheme="minorHAnsi" w:hAnsiTheme="minorHAnsi" w:cstheme="minorHAnsi"/>
          <w:b w:val="0"/>
          <w:bCs/>
          <w:color w:val="auto"/>
          <w:lang w:eastAsia="en-AU"/>
        </w:rPr>
        <w:t xml:space="preserve"> </w:t>
      </w:r>
    </w:p>
    <w:p w14:paraId="6B682B7C" w14:textId="326DD4ED" w:rsidR="009C4DAB" w:rsidRPr="000750C1" w:rsidRDefault="001B4DB2" w:rsidP="000750C1">
      <w:pPr>
        <w:pStyle w:val="Heading3"/>
        <w:numPr>
          <w:ilvl w:val="1"/>
          <w:numId w:val="16"/>
        </w:numPr>
        <w:spacing w:before="0" w:after="160" w:line="286" w:lineRule="exact"/>
        <w:jc w:val="both"/>
        <w:rPr>
          <w:rFonts w:asciiTheme="minorHAnsi" w:hAnsiTheme="minorHAnsi" w:cstheme="minorHAnsi"/>
          <w:b w:val="0"/>
          <w:bCs/>
          <w:color w:val="auto"/>
          <w:lang w:eastAsia="en-AU"/>
        </w:rPr>
      </w:pPr>
      <w:r w:rsidRPr="000750C1">
        <w:rPr>
          <w:rFonts w:asciiTheme="minorHAnsi" w:hAnsiTheme="minorHAnsi" w:cstheme="minorHAnsi"/>
          <w:b w:val="0"/>
          <w:bCs/>
          <w:color w:val="auto"/>
          <w:lang w:eastAsia="en-AU"/>
        </w:rPr>
        <w:t>The term “other contact details” be defined in the draft legislation so there as clarity about what information corporations can and cannot record</w:t>
      </w:r>
      <w:r w:rsidR="002772D0" w:rsidRPr="000750C1">
        <w:rPr>
          <w:rFonts w:asciiTheme="minorHAnsi" w:hAnsiTheme="minorHAnsi" w:cstheme="minorHAnsi"/>
          <w:b w:val="0"/>
          <w:bCs/>
          <w:color w:val="auto"/>
          <w:lang w:eastAsia="en-AU"/>
        </w:rPr>
        <w:t>.</w:t>
      </w:r>
    </w:p>
    <w:p w14:paraId="57EF62F3" w14:textId="723EE957" w:rsidR="009C4DAB" w:rsidRPr="000750C1" w:rsidRDefault="001B4DB2" w:rsidP="000750C1">
      <w:pPr>
        <w:pStyle w:val="Heading3"/>
        <w:numPr>
          <w:ilvl w:val="1"/>
          <w:numId w:val="16"/>
        </w:numPr>
        <w:spacing w:before="0" w:after="160" w:line="286" w:lineRule="exact"/>
        <w:jc w:val="both"/>
        <w:rPr>
          <w:rFonts w:asciiTheme="minorHAnsi" w:hAnsiTheme="minorHAnsi" w:cstheme="minorHAnsi"/>
          <w:b w:val="0"/>
          <w:bCs/>
          <w:color w:val="auto"/>
          <w:lang w:eastAsia="en-AU"/>
        </w:rPr>
      </w:pPr>
      <w:r w:rsidRPr="000750C1">
        <w:rPr>
          <w:rFonts w:asciiTheme="minorHAnsi" w:hAnsiTheme="minorHAnsi" w:cstheme="minorHAnsi"/>
          <w:b w:val="0"/>
          <w:bCs/>
          <w:color w:val="auto"/>
        </w:rPr>
        <w:t>In further developing the draft legislation, s</w:t>
      </w:r>
      <w:r w:rsidRPr="000750C1">
        <w:rPr>
          <w:rFonts w:asciiTheme="minorHAnsi" w:hAnsiTheme="minorHAnsi" w:cstheme="minorHAnsi"/>
          <w:b w:val="0"/>
          <w:bCs/>
          <w:color w:val="auto"/>
          <w:lang w:eastAsia="en-AU"/>
        </w:rPr>
        <w:t>pecial effort should be taken to ensure that corporations from remote and regional corporations and those with members with limited or intermittent access to phone or internet reception are contacted for input on the proposed changes</w:t>
      </w:r>
      <w:r w:rsidR="002772D0" w:rsidRPr="000750C1">
        <w:rPr>
          <w:rFonts w:asciiTheme="minorHAnsi" w:hAnsiTheme="minorHAnsi" w:cstheme="minorHAnsi"/>
          <w:b w:val="0"/>
          <w:bCs/>
          <w:color w:val="auto"/>
          <w:lang w:eastAsia="en-AU"/>
        </w:rPr>
        <w:t>.</w:t>
      </w:r>
    </w:p>
    <w:p w14:paraId="52684DB6" w14:textId="622F9EE3" w:rsidR="001B4DB2" w:rsidRPr="000750C1" w:rsidRDefault="001B4DB2" w:rsidP="000750C1">
      <w:pPr>
        <w:pStyle w:val="Heading3"/>
        <w:numPr>
          <w:ilvl w:val="1"/>
          <w:numId w:val="16"/>
        </w:numPr>
        <w:spacing w:before="0" w:after="160" w:line="286" w:lineRule="exact"/>
        <w:jc w:val="both"/>
        <w:rPr>
          <w:rFonts w:asciiTheme="minorHAnsi" w:hAnsiTheme="minorHAnsi" w:cstheme="minorHAnsi"/>
          <w:b w:val="0"/>
          <w:bCs/>
          <w:color w:val="auto"/>
          <w:lang w:eastAsia="en-AU"/>
        </w:rPr>
      </w:pPr>
      <w:r w:rsidRPr="000750C1">
        <w:rPr>
          <w:rFonts w:asciiTheme="minorHAnsi" w:hAnsiTheme="minorHAnsi" w:cstheme="minorHAnsi"/>
          <w:b w:val="0"/>
          <w:bCs/>
          <w:color w:val="auto"/>
          <w:lang w:eastAsia="en-AU"/>
        </w:rPr>
        <w:t xml:space="preserve">In further developing the draft legislation, consideration be given to whether corporations will have the resources to collect, utilise, and store data that is increasingly personal or sensitive in nature, noting the increased security and privacy demands and liabilities that attach to possessing that information. </w:t>
      </w:r>
    </w:p>
    <w:p w14:paraId="19DA90A2" w14:textId="1AC0892D" w:rsidR="00A44858" w:rsidRPr="00C81920" w:rsidRDefault="00A44858" w:rsidP="000750C1">
      <w:pPr>
        <w:pStyle w:val="Heading2"/>
        <w:numPr>
          <w:ilvl w:val="0"/>
          <w:numId w:val="10"/>
        </w:numPr>
        <w:spacing w:before="0" w:after="160" w:line="286" w:lineRule="exact"/>
        <w:jc w:val="both"/>
        <w:rPr>
          <w:rFonts w:eastAsia="Times New Roman"/>
          <w:sz w:val="21"/>
          <w:szCs w:val="21"/>
          <w:lang w:eastAsia="en-AU"/>
        </w:rPr>
      </w:pPr>
      <w:bookmarkStart w:id="13" w:name="_Toc79406782"/>
      <w:r w:rsidRPr="00C81920">
        <w:rPr>
          <w:rFonts w:eastAsia="Times New Roman"/>
          <w:sz w:val="21"/>
          <w:szCs w:val="21"/>
          <w:lang w:eastAsia="en-AU"/>
        </w:rPr>
        <w:t>C</w:t>
      </w:r>
      <w:r w:rsidR="00D725CA" w:rsidRPr="00C81920">
        <w:rPr>
          <w:rFonts w:eastAsia="Times New Roman"/>
          <w:sz w:val="21"/>
          <w:szCs w:val="21"/>
          <w:lang w:eastAsia="en-AU"/>
        </w:rPr>
        <w:t>OVID-19 Measures</w:t>
      </w:r>
      <w:bookmarkEnd w:id="13"/>
    </w:p>
    <w:p w14:paraId="659E3863" w14:textId="1A65120C" w:rsidR="00D00F38" w:rsidRPr="000750C1" w:rsidRDefault="00D00F38" w:rsidP="000750C1">
      <w:pPr>
        <w:pStyle w:val="ListNumber"/>
        <w:numPr>
          <w:ilvl w:val="0"/>
          <w:numId w:val="0"/>
        </w:numPr>
        <w:spacing w:after="160" w:line="286" w:lineRule="exact"/>
        <w:jc w:val="both"/>
        <w:rPr>
          <w:bCs/>
          <w:sz w:val="21"/>
          <w:szCs w:val="21"/>
          <w:lang w:eastAsia="en-AU"/>
        </w:rPr>
      </w:pPr>
      <w:r w:rsidRPr="000750C1">
        <w:rPr>
          <w:bCs/>
          <w:sz w:val="21"/>
          <w:szCs w:val="21"/>
        </w:rPr>
        <w:t>The COVID-19 pandemic and its response has created significant challenges for Aboriginal and Torres Strait Islander corporations, making it difficult to hold face to face Annual General Meetings, and impacting governance and operations.</w:t>
      </w:r>
    </w:p>
    <w:p w14:paraId="01E62375" w14:textId="634FC894" w:rsidR="00D00F38" w:rsidRPr="000750C1" w:rsidRDefault="00D00F38" w:rsidP="000750C1">
      <w:pPr>
        <w:pStyle w:val="ListNumber"/>
        <w:numPr>
          <w:ilvl w:val="0"/>
          <w:numId w:val="0"/>
        </w:numPr>
        <w:spacing w:after="160" w:line="286" w:lineRule="exact"/>
        <w:jc w:val="both"/>
        <w:rPr>
          <w:bCs/>
          <w:sz w:val="21"/>
          <w:szCs w:val="21"/>
          <w:lang w:eastAsia="en-AU"/>
        </w:rPr>
      </w:pPr>
      <w:r w:rsidRPr="000750C1">
        <w:rPr>
          <w:bCs/>
          <w:sz w:val="21"/>
          <w:szCs w:val="21"/>
        </w:rPr>
        <w:t xml:space="preserve">Notwithstanding the fact that many of our members do not have regular phone or internet access, Tangentyere supports the continuance of rules that have emerged </w:t>
      </w:r>
      <w:r w:rsidR="000B5878" w:rsidRPr="000750C1">
        <w:rPr>
          <w:bCs/>
          <w:sz w:val="21"/>
          <w:szCs w:val="21"/>
        </w:rPr>
        <w:t>because of</w:t>
      </w:r>
      <w:r w:rsidRPr="000750C1">
        <w:rPr>
          <w:bCs/>
          <w:sz w:val="21"/>
          <w:szCs w:val="21"/>
        </w:rPr>
        <w:t xml:space="preserve"> the </w:t>
      </w:r>
      <w:r w:rsidR="000B5878" w:rsidRPr="000750C1">
        <w:rPr>
          <w:bCs/>
          <w:sz w:val="21"/>
          <w:szCs w:val="21"/>
        </w:rPr>
        <w:t>COVID</w:t>
      </w:r>
      <w:r w:rsidRPr="000750C1">
        <w:rPr>
          <w:bCs/>
          <w:sz w:val="21"/>
          <w:szCs w:val="21"/>
        </w:rPr>
        <w:t xml:space="preserve">-19 crisis which allow a corporation to postpone or cancel a meeting after it has been called, more easily pass resolutions without meeting, meet virtually, and allow for virtual participation in physical meetings. </w:t>
      </w:r>
    </w:p>
    <w:p w14:paraId="74EAF73F" w14:textId="5F3415C7" w:rsidR="00D00F38" w:rsidRPr="000750C1" w:rsidRDefault="00D00F38" w:rsidP="000750C1">
      <w:pPr>
        <w:pStyle w:val="ListNumber"/>
        <w:numPr>
          <w:ilvl w:val="0"/>
          <w:numId w:val="0"/>
        </w:numPr>
        <w:spacing w:after="160" w:line="286" w:lineRule="exact"/>
        <w:jc w:val="both"/>
        <w:rPr>
          <w:bCs/>
          <w:sz w:val="21"/>
          <w:szCs w:val="21"/>
        </w:rPr>
      </w:pPr>
      <w:r w:rsidRPr="000750C1">
        <w:rPr>
          <w:bCs/>
          <w:sz w:val="21"/>
          <w:szCs w:val="21"/>
        </w:rPr>
        <w:t xml:space="preserve">We particularly acknowledge and support: </w:t>
      </w:r>
    </w:p>
    <w:p w14:paraId="3C94882B" w14:textId="313FAF9B" w:rsidR="001E3877" w:rsidRPr="000750C1" w:rsidRDefault="00D00F38" w:rsidP="000750C1">
      <w:pPr>
        <w:pStyle w:val="Heading3"/>
        <w:numPr>
          <w:ilvl w:val="1"/>
          <w:numId w:val="15"/>
        </w:numPr>
        <w:spacing w:before="0" w:after="160" w:line="286" w:lineRule="exact"/>
        <w:jc w:val="both"/>
        <w:rPr>
          <w:b w:val="0"/>
          <w:bCs/>
          <w:color w:val="auto"/>
        </w:rPr>
      </w:pPr>
      <w:r w:rsidRPr="000750C1">
        <w:rPr>
          <w:b w:val="0"/>
          <w:bCs/>
          <w:color w:val="auto"/>
        </w:rPr>
        <w:t>sections 104 and 105 on the Exposure Draft, which enable corporations to use technology to hold a meeting and to hold a vote in another manner if a show of hands is not possible</w:t>
      </w:r>
      <w:r w:rsidR="001E3877" w:rsidRPr="000750C1">
        <w:rPr>
          <w:b w:val="0"/>
          <w:bCs/>
          <w:color w:val="auto"/>
        </w:rPr>
        <w:t>.</w:t>
      </w:r>
    </w:p>
    <w:p w14:paraId="047F3489" w14:textId="01E244D5" w:rsidR="00D00F38" w:rsidRPr="000750C1" w:rsidRDefault="000B5878" w:rsidP="000750C1">
      <w:pPr>
        <w:pStyle w:val="Heading3"/>
        <w:numPr>
          <w:ilvl w:val="1"/>
          <w:numId w:val="15"/>
        </w:numPr>
        <w:spacing w:before="0" w:after="160" w:line="286" w:lineRule="exact"/>
        <w:jc w:val="both"/>
        <w:rPr>
          <w:b w:val="0"/>
          <w:bCs/>
          <w:color w:val="auto"/>
          <w:lang w:eastAsia="en-AU"/>
        </w:rPr>
      </w:pPr>
      <w:r w:rsidRPr="000750C1">
        <w:rPr>
          <w:b w:val="0"/>
          <w:bCs/>
          <w:color w:val="auto"/>
        </w:rPr>
        <w:t>Section 102 of the Exposure Draft</w:t>
      </w:r>
      <w:r w:rsidR="00D00F38" w:rsidRPr="000750C1">
        <w:rPr>
          <w:b w:val="0"/>
          <w:bCs/>
          <w:color w:val="auto"/>
        </w:rPr>
        <w:t xml:space="preserve">, which allows corporations to alter the place, date or time of a meeting where there has been a death in a community, a cultural activity or natural disaster which affects the ability to hold a </w:t>
      </w:r>
      <w:r w:rsidR="001E3877" w:rsidRPr="000750C1">
        <w:rPr>
          <w:b w:val="0"/>
          <w:bCs/>
          <w:color w:val="auto"/>
        </w:rPr>
        <w:t>meeting.</w:t>
      </w:r>
      <w:r w:rsidR="00D00F38" w:rsidRPr="000750C1">
        <w:rPr>
          <w:b w:val="0"/>
          <w:bCs/>
          <w:color w:val="auto"/>
        </w:rPr>
        <w:t xml:space="preserve"> </w:t>
      </w:r>
    </w:p>
    <w:p w14:paraId="74E9666E" w14:textId="34282E26" w:rsidR="00D00F38" w:rsidRPr="000750C1" w:rsidRDefault="00D00F38" w:rsidP="000750C1">
      <w:pPr>
        <w:pStyle w:val="Heading3"/>
        <w:numPr>
          <w:ilvl w:val="1"/>
          <w:numId w:val="15"/>
        </w:numPr>
        <w:spacing w:before="0" w:after="160" w:line="286" w:lineRule="exact"/>
        <w:jc w:val="both"/>
        <w:rPr>
          <w:b w:val="0"/>
          <w:bCs/>
          <w:color w:val="auto"/>
          <w:lang w:eastAsia="en-AU"/>
        </w:rPr>
      </w:pPr>
      <w:r w:rsidRPr="000750C1">
        <w:rPr>
          <w:b w:val="0"/>
          <w:bCs/>
          <w:color w:val="auto"/>
        </w:rPr>
        <w:t xml:space="preserve">Section 120 of the Exposure Draft, which allows corporations to access an extension of time to hold annual general meetings or lodge reports where there has been a death in a community, a cultural activity or natural disaster. </w:t>
      </w:r>
    </w:p>
    <w:p w14:paraId="4C8CAEAB" w14:textId="5B52120D" w:rsidR="00191D64" w:rsidRPr="000750C1" w:rsidRDefault="00191D64" w:rsidP="000750C1">
      <w:pPr>
        <w:spacing w:before="0" w:after="160" w:line="286" w:lineRule="exact"/>
        <w:jc w:val="both"/>
        <w:rPr>
          <w:bCs/>
          <w:lang w:eastAsia="en-AU"/>
        </w:rPr>
      </w:pPr>
      <w:r w:rsidRPr="000750C1">
        <w:rPr>
          <w:bCs/>
          <w:lang w:eastAsia="en-AU"/>
        </w:rPr>
        <w:br w:type="page"/>
      </w:r>
    </w:p>
    <w:p w14:paraId="78B09C26" w14:textId="487D5BB9" w:rsidR="0086229B" w:rsidRPr="00C81920" w:rsidRDefault="007A61AF" w:rsidP="000750C1">
      <w:pPr>
        <w:pStyle w:val="Heading2"/>
        <w:numPr>
          <w:ilvl w:val="0"/>
          <w:numId w:val="10"/>
        </w:numPr>
        <w:spacing w:before="0" w:after="160" w:line="286" w:lineRule="exact"/>
        <w:jc w:val="both"/>
        <w:rPr>
          <w:rFonts w:eastAsia="Times New Roman"/>
          <w:sz w:val="21"/>
          <w:szCs w:val="21"/>
          <w:lang w:eastAsia="en-AU"/>
        </w:rPr>
      </w:pPr>
      <w:bookmarkStart w:id="14" w:name="_Toc79406783"/>
      <w:r w:rsidRPr="00C81920">
        <w:rPr>
          <w:rFonts w:eastAsia="Times New Roman"/>
          <w:sz w:val="21"/>
          <w:szCs w:val="21"/>
          <w:lang w:eastAsia="en-AU"/>
        </w:rPr>
        <w:t>Special Measure for the Advancement of Beneficiaries</w:t>
      </w:r>
      <w:bookmarkEnd w:id="14"/>
    </w:p>
    <w:p w14:paraId="3CD484F2" w14:textId="06B2E67A" w:rsidR="006777A6" w:rsidRPr="000750C1" w:rsidRDefault="006777A6" w:rsidP="009A0CA6">
      <w:pPr>
        <w:pStyle w:val="ListNumber"/>
        <w:numPr>
          <w:ilvl w:val="0"/>
          <w:numId w:val="0"/>
        </w:numPr>
        <w:spacing w:after="160" w:line="286" w:lineRule="exact"/>
        <w:jc w:val="both"/>
        <w:rPr>
          <w:bCs/>
          <w:sz w:val="21"/>
          <w:szCs w:val="21"/>
        </w:rPr>
      </w:pPr>
      <w:r w:rsidRPr="000750C1">
        <w:rPr>
          <w:bCs/>
          <w:sz w:val="21"/>
          <w:szCs w:val="21"/>
        </w:rPr>
        <w:t xml:space="preserve">The CATSI Act prescribes a set of rules and protections for Aboriginal corporations, many of which do not apply to or are not available to corporations incorporated under the Corporations Act 2001. </w:t>
      </w:r>
    </w:p>
    <w:p w14:paraId="3FFD0790" w14:textId="604FE456" w:rsidR="006777A6" w:rsidRPr="000750C1" w:rsidRDefault="006777A6" w:rsidP="009A0CA6">
      <w:pPr>
        <w:pStyle w:val="ListNumber"/>
        <w:numPr>
          <w:ilvl w:val="0"/>
          <w:numId w:val="0"/>
        </w:numPr>
        <w:spacing w:after="160" w:line="286" w:lineRule="exact"/>
        <w:jc w:val="both"/>
        <w:rPr>
          <w:bCs/>
          <w:sz w:val="21"/>
          <w:szCs w:val="21"/>
        </w:rPr>
      </w:pPr>
      <w:r w:rsidRPr="000750C1">
        <w:rPr>
          <w:bCs/>
          <w:sz w:val="21"/>
          <w:szCs w:val="21"/>
        </w:rPr>
        <w:t xml:space="preserve">The provisions of the CATSI Act are only valid laws so long as they meet the requirements of a ‘special measure’ for the purposes of subsection 8(1) of the Racial Discrimination Act 1975. To meet the requirements of a special measure, a law must: </w:t>
      </w:r>
    </w:p>
    <w:p w14:paraId="6917FC5F" w14:textId="02E9BC58" w:rsidR="006777A6" w:rsidRPr="000750C1" w:rsidRDefault="006777A6" w:rsidP="009A0CA6">
      <w:pPr>
        <w:pStyle w:val="ListNumber"/>
        <w:numPr>
          <w:ilvl w:val="3"/>
          <w:numId w:val="19"/>
        </w:numPr>
        <w:tabs>
          <w:tab w:val="left" w:pos="851"/>
        </w:tabs>
        <w:spacing w:after="160" w:line="286" w:lineRule="exact"/>
        <w:ind w:left="851" w:hanging="567"/>
        <w:jc w:val="both"/>
        <w:rPr>
          <w:bCs/>
          <w:sz w:val="21"/>
          <w:szCs w:val="21"/>
        </w:rPr>
      </w:pPr>
      <w:r w:rsidRPr="000750C1">
        <w:rPr>
          <w:bCs/>
          <w:sz w:val="21"/>
          <w:szCs w:val="21"/>
        </w:rPr>
        <w:t xml:space="preserve">confer a </w:t>
      </w:r>
      <w:r w:rsidR="00191D64" w:rsidRPr="000750C1">
        <w:rPr>
          <w:bCs/>
          <w:sz w:val="21"/>
          <w:szCs w:val="21"/>
        </w:rPr>
        <w:t>benefit.</w:t>
      </w:r>
    </w:p>
    <w:p w14:paraId="5839B947" w14:textId="675747CB" w:rsidR="006777A6" w:rsidRPr="000750C1" w:rsidRDefault="006777A6" w:rsidP="009A0CA6">
      <w:pPr>
        <w:pStyle w:val="ListNumber"/>
        <w:numPr>
          <w:ilvl w:val="3"/>
          <w:numId w:val="19"/>
        </w:numPr>
        <w:tabs>
          <w:tab w:val="left" w:pos="851"/>
        </w:tabs>
        <w:spacing w:after="160" w:line="286" w:lineRule="exact"/>
        <w:ind w:left="851" w:hanging="567"/>
        <w:jc w:val="both"/>
        <w:rPr>
          <w:bCs/>
          <w:sz w:val="21"/>
          <w:szCs w:val="21"/>
        </w:rPr>
      </w:pPr>
      <w:r w:rsidRPr="000750C1">
        <w:rPr>
          <w:bCs/>
          <w:sz w:val="21"/>
          <w:szCs w:val="21"/>
        </w:rPr>
        <w:t xml:space="preserve">on some or all members of a class of people whose membership is based on race, colour, descent, or national or ethnic </w:t>
      </w:r>
      <w:r w:rsidR="00191D64" w:rsidRPr="000750C1">
        <w:rPr>
          <w:bCs/>
          <w:sz w:val="21"/>
          <w:szCs w:val="21"/>
        </w:rPr>
        <w:t>origin.</w:t>
      </w:r>
    </w:p>
    <w:p w14:paraId="3985C0CB" w14:textId="77A57BA1" w:rsidR="006777A6" w:rsidRPr="000750C1" w:rsidRDefault="006777A6" w:rsidP="009A0CA6">
      <w:pPr>
        <w:pStyle w:val="ListNumber"/>
        <w:numPr>
          <w:ilvl w:val="3"/>
          <w:numId w:val="19"/>
        </w:numPr>
        <w:tabs>
          <w:tab w:val="left" w:pos="851"/>
        </w:tabs>
        <w:spacing w:after="160" w:line="286" w:lineRule="exact"/>
        <w:ind w:left="851" w:hanging="567"/>
        <w:jc w:val="both"/>
        <w:rPr>
          <w:bCs/>
          <w:sz w:val="21"/>
          <w:szCs w:val="21"/>
        </w:rPr>
      </w:pPr>
      <w:r w:rsidRPr="000750C1">
        <w:rPr>
          <w:bCs/>
          <w:sz w:val="21"/>
          <w:szCs w:val="21"/>
        </w:rPr>
        <w:t xml:space="preserve">the sole purpose of the measure must be to secure adequate advancement of the beneficiaries so they may equally enjoy and exercise their human rights and fundamental </w:t>
      </w:r>
      <w:r w:rsidR="00191D64" w:rsidRPr="000750C1">
        <w:rPr>
          <w:bCs/>
          <w:sz w:val="21"/>
          <w:szCs w:val="21"/>
        </w:rPr>
        <w:t>freedoms.</w:t>
      </w:r>
    </w:p>
    <w:p w14:paraId="5B420A14" w14:textId="77777777" w:rsidR="006777A6" w:rsidRPr="000750C1" w:rsidRDefault="006777A6" w:rsidP="009A0CA6">
      <w:pPr>
        <w:pStyle w:val="ListNumber"/>
        <w:numPr>
          <w:ilvl w:val="3"/>
          <w:numId w:val="19"/>
        </w:numPr>
        <w:tabs>
          <w:tab w:val="left" w:pos="851"/>
        </w:tabs>
        <w:spacing w:after="160" w:line="286" w:lineRule="exact"/>
        <w:ind w:left="851" w:hanging="567"/>
        <w:jc w:val="both"/>
        <w:rPr>
          <w:bCs/>
          <w:sz w:val="21"/>
          <w:szCs w:val="21"/>
        </w:rPr>
      </w:pPr>
      <w:r w:rsidRPr="000750C1">
        <w:rPr>
          <w:bCs/>
          <w:sz w:val="21"/>
          <w:szCs w:val="21"/>
        </w:rPr>
        <w:t>the protection given to the beneficiaries by the measure must be necessary for them to enjoy and exercise their human rights equally with others; and</w:t>
      </w:r>
    </w:p>
    <w:p w14:paraId="0F899568" w14:textId="757A62E8" w:rsidR="006777A6" w:rsidRPr="000750C1" w:rsidRDefault="006777A6" w:rsidP="009A0CA6">
      <w:pPr>
        <w:pStyle w:val="ListNumber"/>
        <w:numPr>
          <w:ilvl w:val="3"/>
          <w:numId w:val="19"/>
        </w:numPr>
        <w:tabs>
          <w:tab w:val="left" w:pos="851"/>
        </w:tabs>
        <w:spacing w:after="160" w:line="286" w:lineRule="exact"/>
        <w:ind w:left="851" w:hanging="567"/>
        <w:jc w:val="both"/>
        <w:rPr>
          <w:bCs/>
          <w:sz w:val="21"/>
          <w:szCs w:val="21"/>
        </w:rPr>
      </w:pPr>
      <w:r w:rsidRPr="000750C1">
        <w:rPr>
          <w:bCs/>
          <w:sz w:val="21"/>
          <w:szCs w:val="21"/>
        </w:rPr>
        <w:t>must not have yet achieved its objectives (the measure must stop once its purpose has been achieved and not set up separate rights permanently for different racial groups).</w:t>
      </w:r>
      <w:r w:rsidR="00BA0788">
        <w:rPr>
          <w:rStyle w:val="EndnoteReference"/>
          <w:bCs/>
          <w:sz w:val="21"/>
          <w:szCs w:val="21"/>
        </w:rPr>
        <w:endnoteReference w:id="2"/>
      </w:r>
    </w:p>
    <w:p w14:paraId="2C357F17" w14:textId="0B929A0E" w:rsidR="006777A6" w:rsidRDefault="006777A6" w:rsidP="009A0CA6">
      <w:pPr>
        <w:pStyle w:val="ListNumber"/>
        <w:numPr>
          <w:ilvl w:val="0"/>
          <w:numId w:val="10"/>
        </w:numPr>
        <w:spacing w:after="160" w:line="286" w:lineRule="exact"/>
        <w:jc w:val="both"/>
        <w:rPr>
          <w:bCs/>
          <w:sz w:val="21"/>
          <w:szCs w:val="21"/>
        </w:rPr>
      </w:pPr>
      <w:r w:rsidRPr="000750C1">
        <w:rPr>
          <w:bCs/>
          <w:sz w:val="21"/>
          <w:szCs w:val="21"/>
        </w:rPr>
        <w:t>We note that Recommendation 2 in the Final Report was that the CATSI Act be retained as a special measure. Special measures are a feature of the principle of non-discrimination in customary international law.</w:t>
      </w:r>
      <w:r w:rsidR="00BA0788">
        <w:rPr>
          <w:rStyle w:val="EndnoteReference"/>
          <w:bCs/>
          <w:sz w:val="21"/>
          <w:szCs w:val="21"/>
        </w:rPr>
        <w:endnoteReference w:id="3"/>
      </w:r>
      <w:r w:rsidRPr="000750C1">
        <w:rPr>
          <w:bCs/>
          <w:sz w:val="21"/>
          <w:szCs w:val="21"/>
        </w:rPr>
        <w:t xml:space="preserve"> Legal academic Warwick McKean notes:</w:t>
      </w:r>
    </w:p>
    <w:tbl>
      <w:tblPr>
        <w:tblStyle w:val="TableGrid"/>
        <w:tblW w:w="0" w:type="auto"/>
        <w:tblLook w:val="04A0" w:firstRow="1" w:lastRow="0" w:firstColumn="1" w:lastColumn="0" w:noHBand="0" w:noVBand="1"/>
      </w:tblPr>
      <w:tblGrid>
        <w:gridCol w:w="9622"/>
      </w:tblGrid>
      <w:tr w:rsidR="00F6099D" w14:paraId="24C80811" w14:textId="77777777" w:rsidTr="00F6099D">
        <w:tc>
          <w:tcPr>
            <w:tcW w:w="9622" w:type="dxa"/>
          </w:tcPr>
          <w:p w14:paraId="427F32AE" w14:textId="0326C360" w:rsidR="00F6099D" w:rsidRPr="00F6099D" w:rsidRDefault="00F6099D" w:rsidP="009A0CA6">
            <w:pPr>
              <w:pStyle w:val="ListNumber"/>
              <w:numPr>
                <w:ilvl w:val="0"/>
                <w:numId w:val="0"/>
              </w:numPr>
              <w:spacing w:after="160" w:line="286" w:lineRule="exact"/>
              <w:ind w:left="360"/>
              <w:jc w:val="both"/>
              <w:rPr>
                <w:bCs/>
                <w:sz w:val="21"/>
                <w:szCs w:val="21"/>
              </w:rPr>
            </w:pPr>
            <w:r w:rsidRPr="000750C1">
              <w:rPr>
                <w:bCs/>
                <w:sz w:val="21"/>
                <w:szCs w:val="21"/>
              </w:rPr>
              <w:t xml:space="preserve">It is now generally accepted that the provision of special measures of protection for socially, economically, or culturally deprived groups is not discrimination, so long as these special measures are not continued after the need for them has disappeared. Such measures must be strictly compensatory and not permanent or else they will become discriminatory. It is important that these </w:t>
            </w:r>
            <w:r w:rsidRPr="004E7881">
              <w:rPr>
                <w:b/>
                <w:sz w:val="21"/>
                <w:szCs w:val="21"/>
              </w:rPr>
              <w:t>measures should be optional</w:t>
            </w:r>
            <w:r w:rsidRPr="000750C1">
              <w:rPr>
                <w:bCs/>
                <w:sz w:val="21"/>
                <w:szCs w:val="21"/>
              </w:rPr>
              <w:t xml:space="preserve"> and not against the will of the </w:t>
            </w:r>
            <w:r w:rsidR="00B47FAD" w:rsidRPr="000750C1">
              <w:rPr>
                <w:bCs/>
                <w:sz w:val="21"/>
                <w:szCs w:val="21"/>
              </w:rPr>
              <w:t>groups</w:t>
            </w:r>
            <w:r w:rsidRPr="000750C1">
              <w:rPr>
                <w:bCs/>
                <w:sz w:val="21"/>
                <w:szCs w:val="21"/>
              </w:rPr>
              <w:t xml:space="preserve"> affected, and </w:t>
            </w:r>
            <w:r w:rsidRPr="00B47FAD">
              <w:rPr>
                <w:b/>
                <w:sz w:val="21"/>
                <w:szCs w:val="21"/>
              </w:rPr>
              <w:t>they must be frequently reconsidered</w:t>
            </w:r>
            <w:r w:rsidRPr="000750C1">
              <w:rPr>
                <w:bCs/>
                <w:sz w:val="21"/>
                <w:szCs w:val="21"/>
              </w:rPr>
              <w:t xml:space="preserve"> to ensure that they do not degenerate into discrimination.</w:t>
            </w:r>
            <w:r w:rsidR="00BA0788">
              <w:rPr>
                <w:rStyle w:val="EndnoteReference"/>
                <w:bCs/>
                <w:sz w:val="21"/>
                <w:szCs w:val="21"/>
              </w:rPr>
              <w:endnoteReference w:id="4"/>
            </w:r>
            <w:r w:rsidR="00B47FAD">
              <w:rPr>
                <w:bCs/>
                <w:sz w:val="21"/>
                <w:szCs w:val="21"/>
              </w:rPr>
              <w:t xml:space="preserve"> (emphasis added)</w:t>
            </w:r>
          </w:p>
        </w:tc>
      </w:tr>
    </w:tbl>
    <w:p w14:paraId="55A3965F" w14:textId="77777777" w:rsidR="00F6099D" w:rsidRPr="000750C1" w:rsidRDefault="00F6099D" w:rsidP="009A0CA6">
      <w:pPr>
        <w:pStyle w:val="ListNumber"/>
        <w:numPr>
          <w:ilvl w:val="0"/>
          <w:numId w:val="0"/>
        </w:numPr>
        <w:spacing w:after="160" w:line="286" w:lineRule="exact"/>
        <w:jc w:val="both"/>
        <w:rPr>
          <w:bCs/>
          <w:sz w:val="21"/>
          <w:szCs w:val="21"/>
        </w:rPr>
      </w:pPr>
    </w:p>
    <w:p w14:paraId="4E85738F" w14:textId="2681607E" w:rsidR="00EE6843" w:rsidRDefault="006777A6" w:rsidP="009A0CA6">
      <w:pPr>
        <w:pStyle w:val="ListNumber"/>
        <w:numPr>
          <w:ilvl w:val="0"/>
          <w:numId w:val="0"/>
        </w:numPr>
        <w:spacing w:after="160" w:line="286" w:lineRule="exact"/>
        <w:jc w:val="both"/>
        <w:rPr>
          <w:bCs/>
          <w:sz w:val="21"/>
          <w:szCs w:val="21"/>
        </w:rPr>
      </w:pPr>
      <w:r w:rsidRPr="000750C1">
        <w:rPr>
          <w:bCs/>
          <w:sz w:val="21"/>
          <w:szCs w:val="21"/>
        </w:rPr>
        <w:t xml:space="preserve">Any changes to the CATSI Act should be treated accordingly. It is essential that any amendments to the CATSI Act confer a benefit on Aboriginal and Torres Strait Islander corporations and operate to secure the advancement of Aboriginal and Torres Strait Islander people. Provisions of the CATSI Act must not, for example, create onerous requirements that do not confer any benefit on the corporation and do not apply to </w:t>
      </w:r>
      <w:r w:rsidR="00D52E64" w:rsidRPr="000750C1">
        <w:rPr>
          <w:bCs/>
          <w:sz w:val="21"/>
          <w:szCs w:val="21"/>
        </w:rPr>
        <w:t>similarly sized</w:t>
      </w:r>
      <w:r w:rsidRPr="000750C1">
        <w:rPr>
          <w:bCs/>
          <w:sz w:val="21"/>
          <w:szCs w:val="21"/>
        </w:rPr>
        <w:t xml:space="preserve"> corporations that exist outside the CATSI Act. </w:t>
      </w:r>
    </w:p>
    <w:p w14:paraId="4C5F90D3" w14:textId="1B9CDD4D" w:rsidR="00715118" w:rsidRPr="00C81920" w:rsidRDefault="00715118" w:rsidP="009A0CA6">
      <w:pPr>
        <w:pStyle w:val="Heading2"/>
        <w:numPr>
          <w:ilvl w:val="0"/>
          <w:numId w:val="10"/>
        </w:numPr>
        <w:spacing w:before="0" w:after="160" w:line="286" w:lineRule="exact"/>
        <w:jc w:val="both"/>
        <w:rPr>
          <w:rFonts w:eastAsia="Times New Roman"/>
          <w:sz w:val="21"/>
          <w:szCs w:val="21"/>
          <w:lang w:eastAsia="en-AU"/>
        </w:rPr>
      </w:pPr>
      <w:bookmarkStart w:id="15" w:name="_Toc79406784"/>
      <w:r w:rsidRPr="00C81920">
        <w:rPr>
          <w:rFonts w:eastAsia="Times New Roman"/>
          <w:sz w:val="21"/>
          <w:szCs w:val="21"/>
          <w:lang w:eastAsia="en-AU"/>
        </w:rPr>
        <w:t>Review</w:t>
      </w:r>
      <w:r w:rsidR="00076EF6" w:rsidRPr="00C81920">
        <w:rPr>
          <w:rFonts w:eastAsia="Times New Roman"/>
          <w:sz w:val="21"/>
          <w:szCs w:val="21"/>
          <w:lang w:eastAsia="en-AU"/>
        </w:rPr>
        <w:t xml:space="preserve"> of the Act</w:t>
      </w:r>
      <w:bookmarkEnd w:id="15"/>
    </w:p>
    <w:p w14:paraId="1F3F332B" w14:textId="6CAF7448" w:rsidR="00412D0D" w:rsidRPr="00516F32" w:rsidRDefault="00412D0D" w:rsidP="009A0CA6">
      <w:pPr>
        <w:pStyle w:val="ListNumber"/>
        <w:numPr>
          <w:ilvl w:val="0"/>
          <w:numId w:val="0"/>
        </w:numPr>
        <w:spacing w:after="160" w:line="286" w:lineRule="exact"/>
        <w:jc w:val="both"/>
        <w:rPr>
          <w:sz w:val="21"/>
          <w:szCs w:val="21"/>
        </w:rPr>
      </w:pPr>
      <w:r w:rsidRPr="00516F32">
        <w:rPr>
          <w:sz w:val="21"/>
          <w:szCs w:val="21"/>
        </w:rPr>
        <w:t>T</w:t>
      </w:r>
      <w:r w:rsidR="00076EF6" w:rsidRPr="00516F32">
        <w:rPr>
          <w:sz w:val="21"/>
          <w:szCs w:val="21"/>
        </w:rPr>
        <w:t xml:space="preserve">CAC </w:t>
      </w:r>
      <w:r w:rsidRPr="00516F32">
        <w:rPr>
          <w:sz w:val="21"/>
          <w:szCs w:val="21"/>
        </w:rPr>
        <w:t xml:space="preserve">supports regular legislative review of the CATSI Act. Monitoring and meaningful consultation will need to be undertaken at regular intervals to ascertain whether the objectives of the special measure have been achieved and ensure compliance with the legal requirement that the special measure does not remain in place when it is no longer </w:t>
      </w:r>
      <w:r w:rsidR="00C079DF" w:rsidRPr="00516F32">
        <w:rPr>
          <w:sz w:val="21"/>
          <w:szCs w:val="21"/>
        </w:rPr>
        <w:t>required,</w:t>
      </w:r>
      <w:r w:rsidRPr="00516F32">
        <w:rPr>
          <w:sz w:val="21"/>
          <w:szCs w:val="21"/>
        </w:rPr>
        <w:t xml:space="preserve"> or its provisions do not confer benefits Aboriginal and Torres Strait Islander people and corporations. </w:t>
      </w:r>
    </w:p>
    <w:p w14:paraId="569ABCBB" w14:textId="3DF6196B" w:rsidR="00412D0D" w:rsidRPr="00516F32" w:rsidRDefault="00412D0D" w:rsidP="009A0CA6">
      <w:pPr>
        <w:pStyle w:val="ListNumber"/>
        <w:numPr>
          <w:ilvl w:val="0"/>
          <w:numId w:val="0"/>
        </w:numPr>
        <w:spacing w:after="160" w:line="286" w:lineRule="exact"/>
        <w:jc w:val="both"/>
        <w:rPr>
          <w:sz w:val="21"/>
          <w:szCs w:val="21"/>
        </w:rPr>
      </w:pPr>
      <w:r w:rsidRPr="00516F32">
        <w:rPr>
          <w:sz w:val="21"/>
          <w:szCs w:val="21"/>
        </w:rPr>
        <w:t>T</w:t>
      </w:r>
      <w:r w:rsidR="00C079DF" w:rsidRPr="00516F32">
        <w:rPr>
          <w:sz w:val="21"/>
          <w:szCs w:val="21"/>
        </w:rPr>
        <w:t>CAC</w:t>
      </w:r>
      <w:r w:rsidRPr="00516F32">
        <w:rPr>
          <w:sz w:val="21"/>
          <w:szCs w:val="21"/>
        </w:rPr>
        <w:t xml:space="preserve"> is of the view that review of the Act should occur more frequently than every 7 years, as proposed in the Exposure Draft and in Recommendation 3.</w:t>
      </w:r>
    </w:p>
    <w:p w14:paraId="0947300C" w14:textId="0B755D54" w:rsidR="00412D0D" w:rsidRDefault="00412D0D" w:rsidP="009A0CA6">
      <w:pPr>
        <w:pStyle w:val="ListNumber"/>
        <w:numPr>
          <w:ilvl w:val="0"/>
          <w:numId w:val="0"/>
        </w:numPr>
        <w:spacing w:after="160" w:line="286" w:lineRule="exact"/>
        <w:jc w:val="both"/>
        <w:rPr>
          <w:sz w:val="21"/>
          <w:szCs w:val="21"/>
        </w:rPr>
      </w:pPr>
      <w:r w:rsidRPr="00516F32">
        <w:rPr>
          <w:sz w:val="21"/>
          <w:szCs w:val="21"/>
        </w:rPr>
        <w:t>In considering amendments to the Act, and in undertaking any reviews of the Act in future, T</w:t>
      </w:r>
      <w:r w:rsidR="00C079DF" w:rsidRPr="00516F32">
        <w:rPr>
          <w:sz w:val="21"/>
          <w:szCs w:val="21"/>
        </w:rPr>
        <w:t>CAC</w:t>
      </w:r>
      <w:r w:rsidRPr="00516F32">
        <w:rPr>
          <w:sz w:val="21"/>
          <w:szCs w:val="21"/>
        </w:rPr>
        <w:t xml:space="preserve"> is supportive of the view </w:t>
      </w:r>
      <w:r w:rsidR="00516F32">
        <w:rPr>
          <w:sz w:val="21"/>
          <w:szCs w:val="21"/>
        </w:rPr>
        <w:t xml:space="preserve">that </w:t>
      </w:r>
      <w:r w:rsidRPr="00516F32">
        <w:rPr>
          <w:sz w:val="21"/>
          <w:szCs w:val="21"/>
        </w:rPr>
        <w:t xml:space="preserve">reviews </w:t>
      </w:r>
      <w:r w:rsidR="00516F32">
        <w:rPr>
          <w:sz w:val="21"/>
          <w:szCs w:val="21"/>
        </w:rPr>
        <w:t>should be undertaken as a</w:t>
      </w:r>
      <w:r w:rsidRPr="00516F32">
        <w:rPr>
          <w:sz w:val="21"/>
          <w:szCs w:val="21"/>
        </w:rPr>
        <w:t xml:space="preserve"> pa</w:t>
      </w:r>
      <w:r w:rsidR="00806EB2">
        <w:rPr>
          <w:sz w:val="21"/>
          <w:szCs w:val="21"/>
        </w:rPr>
        <w:t>rtnership between the NIAA and Aboriginal Corporations.</w:t>
      </w:r>
    </w:p>
    <w:p w14:paraId="308A15FD" w14:textId="75E4FA7C" w:rsidR="00783DAE" w:rsidRPr="00C81920" w:rsidRDefault="00B66E3F" w:rsidP="009A0CA6">
      <w:pPr>
        <w:pStyle w:val="Heading2"/>
        <w:numPr>
          <w:ilvl w:val="0"/>
          <w:numId w:val="10"/>
        </w:numPr>
        <w:spacing w:before="0" w:after="160" w:line="286" w:lineRule="exact"/>
        <w:jc w:val="both"/>
        <w:rPr>
          <w:rFonts w:eastAsia="Times New Roman"/>
          <w:sz w:val="21"/>
          <w:szCs w:val="21"/>
          <w:lang w:eastAsia="en-AU"/>
        </w:rPr>
      </w:pPr>
      <w:bookmarkStart w:id="16" w:name="_Toc79406785"/>
      <w:r w:rsidRPr="00C81920">
        <w:rPr>
          <w:rFonts w:eastAsia="Times New Roman"/>
          <w:sz w:val="21"/>
          <w:szCs w:val="21"/>
          <w:lang w:eastAsia="en-AU"/>
        </w:rPr>
        <w:t>Avoiding Double Standards</w:t>
      </w:r>
      <w:bookmarkEnd w:id="16"/>
    </w:p>
    <w:p w14:paraId="3B9BA961" w14:textId="0AF3CA41" w:rsidR="00412D0D" w:rsidRPr="00003E0E" w:rsidRDefault="00412D0D" w:rsidP="009A0CA6">
      <w:pPr>
        <w:pStyle w:val="ListNumber"/>
        <w:numPr>
          <w:ilvl w:val="0"/>
          <w:numId w:val="0"/>
        </w:numPr>
        <w:spacing w:after="160" w:line="286" w:lineRule="exact"/>
        <w:jc w:val="both"/>
        <w:rPr>
          <w:rFonts w:asciiTheme="majorHAnsi" w:hAnsiTheme="majorHAnsi" w:cstheme="majorHAnsi"/>
          <w:sz w:val="21"/>
          <w:szCs w:val="21"/>
        </w:rPr>
      </w:pPr>
      <w:r w:rsidRPr="00003E0E">
        <w:rPr>
          <w:rFonts w:asciiTheme="majorHAnsi" w:hAnsiTheme="majorHAnsi" w:cstheme="majorHAnsi"/>
          <w:sz w:val="21"/>
          <w:szCs w:val="21"/>
          <w:lang w:val="en-US"/>
        </w:rPr>
        <w:t xml:space="preserve">We </w:t>
      </w:r>
      <w:r w:rsidR="00AE171B" w:rsidRPr="00003E0E">
        <w:rPr>
          <w:rFonts w:asciiTheme="majorHAnsi" w:hAnsiTheme="majorHAnsi" w:cstheme="majorHAnsi"/>
          <w:sz w:val="21"/>
          <w:szCs w:val="21"/>
          <w:lang w:val="en-US"/>
        </w:rPr>
        <w:t>recognize</w:t>
      </w:r>
      <w:r w:rsidRPr="00003E0E">
        <w:rPr>
          <w:rFonts w:asciiTheme="majorHAnsi" w:hAnsiTheme="majorHAnsi" w:cstheme="majorHAnsi"/>
          <w:sz w:val="21"/>
          <w:szCs w:val="21"/>
          <w:lang w:val="en-US"/>
        </w:rPr>
        <w:t xml:space="preserve"> that there are many other amendments in the Exposure Draft that are designed specifically to bring the CATSI Act in line with developments to the Corporations Act. These include, for example, the new protections for Whistleblowers (Recommendation 49) and the reductions in penalties in the CATSI Act so they accord with those in the </w:t>
      </w:r>
      <w:r w:rsidRPr="00003E0E">
        <w:rPr>
          <w:rFonts w:asciiTheme="majorHAnsi" w:hAnsiTheme="majorHAnsi" w:cstheme="majorHAnsi"/>
          <w:i/>
          <w:iCs/>
          <w:sz w:val="21"/>
          <w:szCs w:val="21"/>
          <w:lang w:val="en-US"/>
        </w:rPr>
        <w:t>Corporations Act</w:t>
      </w:r>
      <w:r w:rsidRPr="00003E0E">
        <w:rPr>
          <w:rFonts w:asciiTheme="majorHAnsi" w:hAnsiTheme="majorHAnsi" w:cstheme="majorHAnsi"/>
          <w:sz w:val="21"/>
          <w:szCs w:val="21"/>
          <w:lang w:val="en-US"/>
        </w:rPr>
        <w:t xml:space="preserve"> </w:t>
      </w:r>
      <w:r w:rsidRPr="00003E0E">
        <w:rPr>
          <w:rFonts w:asciiTheme="majorHAnsi" w:hAnsiTheme="majorHAnsi" w:cstheme="majorHAnsi"/>
          <w:i/>
          <w:iCs/>
          <w:sz w:val="21"/>
          <w:szCs w:val="21"/>
          <w:lang w:val="en-US"/>
        </w:rPr>
        <w:t xml:space="preserve">2001 </w:t>
      </w:r>
      <w:r w:rsidRPr="00003E0E">
        <w:rPr>
          <w:rFonts w:asciiTheme="majorHAnsi" w:hAnsiTheme="majorHAnsi" w:cstheme="majorHAnsi"/>
          <w:sz w:val="21"/>
          <w:szCs w:val="21"/>
          <w:lang w:val="en-US"/>
        </w:rPr>
        <w:t xml:space="preserve">(Recommendation 48, for example). </w:t>
      </w:r>
      <w:r w:rsidRPr="00003E0E">
        <w:rPr>
          <w:rFonts w:asciiTheme="majorHAnsi" w:hAnsiTheme="majorHAnsi" w:cstheme="majorHAnsi"/>
          <w:sz w:val="21"/>
          <w:szCs w:val="21"/>
        </w:rPr>
        <w:t xml:space="preserve"> </w:t>
      </w:r>
    </w:p>
    <w:p w14:paraId="5DBDC8FA" w14:textId="77777777" w:rsidR="00412D0D" w:rsidRPr="00003E0E" w:rsidRDefault="00412D0D" w:rsidP="009A0CA6">
      <w:pPr>
        <w:pStyle w:val="ListNumber"/>
        <w:numPr>
          <w:ilvl w:val="0"/>
          <w:numId w:val="0"/>
        </w:numPr>
        <w:spacing w:after="160" w:line="286" w:lineRule="exact"/>
        <w:jc w:val="both"/>
        <w:rPr>
          <w:rFonts w:asciiTheme="majorHAnsi" w:hAnsiTheme="majorHAnsi" w:cstheme="majorHAnsi"/>
          <w:sz w:val="21"/>
          <w:szCs w:val="21"/>
        </w:rPr>
      </w:pPr>
      <w:r w:rsidRPr="00003E0E">
        <w:rPr>
          <w:rFonts w:asciiTheme="majorHAnsi" w:hAnsiTheme="majorHAnsi" w:cstheme="majorHAnsi"/>
          <w:sz w:val="21"/>
          <w:szCs w:val="21"/>
        </w:rPr>
        <w:t xml:space="preserve">We are concerned that some of the provisions of the CATSI Act create obligations on Aboriginal Corporations that do not exist to advance those corporations, but merely give the Registrar additional powers or impose additional burdens or rules on Aboriginal Corporations that do not apply to non-Indigenous corporations. </w:t>
      </w:r>
    </w:p>
    <w:p w14:paraId="54D3F762" w14:textId="16BC9D4A" w:rsidR="00412D0D" w:rsidRDefault="00412D0D" w:rsidP="009A0CA6">
      <w:pPr>
        <w:pStyle w:val="ListNumber"/>
        <w:numPr>
          <w:ilvl w:val="0"/>
          <w:numId w:val="0"/>
        </w:numPr>
        <w:spacing w:after="160" w:line="286" w:lineRule="exact"/>
        <w:jc w:val="both"/>
        <w:rPr>
          <w:rFonts w:asciiTheme="majorHAnsi" w:hAnsiTheme="majorHAnsi" w:cstheme="majorHAnsi"/>
          <w:sz w:val="21"/>
          <w:szCs w:val="21"/>
        </w:rPr>
      </w:pPr>
      <w:r w:rsidRPr="00003E0E">
        <w:rPr>
          <w:rFonts w:asciiTheme="majorHAnsi" w:hAnsiTheme="majorHAnsi" w:cstheme="majorHAnsi"/>
          <w:sz w:val="21"/>
          <w:szCs w:val="21"/>
        </w:rPr>
        <w:t>One example relates to recommendation 71 of the Final Report, which says:</w:t>
      </w:r>
    </w:p>
    <w:tbl>
      <w:tblPr>
        <w:tblStyle w:val="TableGrid"/>
        <w:tblW w:w="0" w:type="auto"/>
        <w:tblLook w:val="04A0" w:firstRow="1" w:lastRow="0" w:firstColumn="1" w:lastColumn="0" w:noHBand="0" w:noVBand="1"/>
      </w:tblPr>
      <w:tblGrid>
        <w:gridCol w:w="9622"/>
      </w:tblGrid>
      <w:tr w:rsidR="009C5E21" w14:paraId="08F4BC7F" w14:textId="77777777" w:rsidTr="009C5E21">
        <w:tc>
          <w:tcPr>
            <w:tcW w:w="9622" w:type="dxa"/>
          </w:tcPr>
          <w:p w14:paraId="0BCB1517" w14:textId="0DA053F1" w:rsidR="009C5E21" w:rsidRPr="009C5E21" w:rsidRDefault="009C5E21" w:rsidP="009A0CA6">
            <w:pPr>
              <w:pStyle w:val="ListNumber"/>
              <w:numPr>
                <w:ilvl w:val="0"/>
                <w:numId w:val="0"/>
              </w:numPr>
              <w:spacing w:after="160" w:line="286" w:lineRule="exact"/>
              <w:ind w:left="360"/>
              <w:jc w:val="both"/>
              <w:rPr>
                <w:rFonts w:asciiTheme="majorHAnsi" w:hAnsiTheme="majorHAnsi" w:cstheme="majorHAnsi"/>
                <w:sz w:val="21"/>
                <w:szCs w:val="21"/>
              </w:rPr>
            </w:pPr>
            <w:r w:rsidRPr="009C5E21">
              <w:rPr>
                <w:rFonts w:asciiTheme="majorHAnsi" w:hAnsiTheme="majorHAnsi" w:cstheme="majorHAnsi"/>
                <w:sz w:val="21"/>
                <w:szCs w:val="21"/>
              </w:rPr>
              <w:t>It is recommended the CATSI Act be amended to remove the requirement for the Registrar to apply for leave of the court, before making an application for winding up a corporation on the grounds of insolvency.</w:t>
            </w:r>
          </w:p>
        </w:tc>
      </w:tr>
    </w:tbl>
    <w:p w14:paraId="6D71789B" w14:textId="77777777" w:rsidR="009C5E21" w:rsidRDefault="009C5E21" w:rsidP="009A0CA6">
      <w:pPr>
        <w:pStyle w:val="ListNumber"/>
        <w:numPr>
          <w:ilvl w:val="0"/>
          <w:numId w:val="0"/>
        </w:numPr>
        <w:spacing w:after="160" w:line="286" w:lineRule="exact"/>
        <w:jc w:val="both"/>
        <w:rPr>
          <w:rFonts w:asciiTheme="majorHAnsi" w:hAnsiTheme="majorHAnsi" w:cstheme="majorHAnsi"/>
          <w:sz w:val="21"/>
          <w:szCs w:val="21"/>
        </w:rPr>
      </w:pPr>
    </w:p>
    <w:p w14:paraId="6F41866C" w14:textId="74C2BA49" w:rsidR="00412D0D" w:rsidRPr="00003E0E" w:rsidRDefault="00412D0D" w:rsidP="009A0CA6">
      <w:pPr>
        <w:pStyle w:val="ListNumber"/>
        <w:numPr>
          <w:ilvl w:val="0"/>
          <w:numId w:val="0"/>
        </w:numPr>
        <w:spacing w:after="160" w:line="286" w:lineRule="exact"/>
        <w:jc w:val="both"/>
        <w:rPr>
          <w:rFonts w:asciiTheme="majorHAnsi" w:hAnsiTheme="majorHAnsi" w:cstheme="majorHAnsi"/>
          <w:sz w:val="21"/>
          <w:szCs w:val="21"/>
        </w:rPr>
      </w:pPr>
      <w:r w:rsidRPr="00003E0E">
        <w:rPr>
          <w:rFonts w:asciiTheme="majorHAnsi" w:hAnsiTheme="majorHAnsi" w:cstheme="majorHAnsi"/>
          <w:sz w:val="21"/>
          <w:szCs w:val="21"/>
        </w:rPr>
        <w:t xml:space="preserve">Items 235, 241 and 243 to 245 in the CATSI Amendment Bill reflect recommendation 71 and remove the requirement for the Registrar to seek the leave of the court in advance of making an application to wind up a corporation. </w:t>
      </w:r>
    </w:p>
    <w:p w14:paraId="3FCECB74" w14:textId="18B54A35" w:rsidR="00412D0D" w:rsidRPr="00003E0E" w:rsidRDefault="00412D0D" w:rsidP="009A0CA6">
      <w:pPr>
        <w:pStyle w:val="ListNumber"/>
        <w:numPr>
          <w:ilvl w:val="0"/>
          <w:numId w:val="0"/>
        </w:numPr>
        <w:spacing w:after="160" w:line="286" w:lineRule="exact"/>
        <w:jc w:val="both"/>
        <w:rPr>
          <w:rFonts w:asciiTheme="majorHAnsi" w:hAnsiTheme="majorHAnsi" w:cstheme="majorHAnsi"/>
          <w:sz w:val="21"/>
          <w:szCs w:val="21"/>
        </w:rPr>
      </w:pPr>
      <w:r w:rsidRPr="00003E0E">
        <w:rPr>
          <w:rFonts w:asciiTheme="majorHAnsi" w:hAnsiTheme="majorHAnsi" w:cstheme="majorHAnsi"/>
          <w:sz w:val="21"/>
          <w:szCs w:val="21"/>
        </w:rPr>
        <w:t xml:space="preserve">Conversely, if an insolvent company registered under the </w:t>
      </w:r>
      <w:r w:rsidRPr="00003E0E">
        <w:rPr>
          <w:rFonts w:asciiTheme="majorHAnsi" w:hAnsiTheme="majorHAnsi" w:cstheme="majorHAnsi"/>
          <w:i/>
          <w:iCs/>
          <w:sz w:val="21"/>
          <w:szCs w:val="21"/>
        </w:rPr>
        <w:t>Corporations Act 2001</w:t>
      </w:r>
      <w:r w:rsidRPr="00003E0E">
        <w:rPr>
          <w:rFonts w:asciiTheme="majorHAnsi" w:hAnsiTheme="majorHAnsi" w:cstheme="majorHAnsi"/>
          <w:sz w:val="21"/>
          <w:szCs w:val="21"/>
        </w:rPr>
        <w:t xml:space="preserve"> is not voluntarily wound up, leave of the court is required to commence winding up on the grounds of insolvency and appoint a liquidator. </w:t>
      </w:r>
    </w:p>
    <w:p w14:paraId="7B600278" w14:textId="77777777" w:rsidR="00412D0D" w:rsidRPr="00003E0E" w:rsidRDefault="00412D0D" w:rsidP="009A0CA6">
      <w:pPr>
        <w:pStyle w:val="ListNumber"/>
        <w:numPr>
          <w:ilvl w:val="0"/>
          <w:numId w:val="0"/>
        </w:numPr>
        <w:spacing w:after="160" w:line="286" w:lineRule="exact"/>
        <w:jc w:val="both"/>
        <w:rPr>
          <w:rFonts w:asciiTheme="majorHAnsi" w:hAnsiTheme="majorHAnsi" w:cstheme="majorHAnsi"/>
          <w:sz w:val="21"/>
          <w:szCs w:val="21"/>
        </w:rPr>
      </w:pPr>
      <w:r w:rsidRPr="00003E0E">
        <w:rPr>
          <w:rFonts w:asciiTheme="majorHAnsi" w:hAnsiTheme="majorHAnsi" w:cstheme="majorHAnsi"/>
          <w:sz w:val="21"/>
          <w:szCs w:val="21"/>
        </w:rPr>
        <w:t>This is just one example of a different standard applying to an Aboriginal Corporation than a corporation governed outside the CATSI Act. The amendment has no apparent benefit to CATSI corporations. Its only effect appears to be to make it easier for the Registrar to commence an application for the winding up of a company. The amendment would lead to a different set of laws for Aboriginal corporations under the CATSI Act to all other corporations.</w:t>
      </w:r>
    </w:p>
    <w:p w14:paraId="2F6C966F" w14:textId="77777777" w:rsidR="00856380" w:rsidRDefault="00412D0D" w:rsidP="00856380">
      <w:pPr>
        <w:pStyle w:val="ListNumber"/>
        <w:numPr>
          <w:ilvl w:val="0"/>
          <w:numId w:val="0"/>
        </w:numPr>
        <w:spacing w:after="160" w:line="286" w:lineRule="exact"/>
        <w:jc w:val="both"/>
        <w:rPr>
          <w:rFonts w:asciiTheme="majorHAnsi" w:hAnsiTheme="majorHAnsi" w:cstheme="majorHAnsi"/>
          <w:sz w:val="21"/>
          <w:szCs w:val="21"/>
        </w:rPr>
      </w:pPr>
      <w:r w:rsidRPr="00003E0E">
        <w:rPr>
          <w:rFonts w:asciiTheme="majorHAnsi" w:hAnsiTheme="majorHAnsi" w:cstheme="majorHAnsi"/>
          <w:sz w:val="21"/>
          <w:szCs w:val="21"/>
        </w:rPr>
        <w:t xml:space="preserve">In developing a further draft of the legislation, it is in our view essential that close attention be paid to only advancing amendments that operate to benefit CATSI corporations and not those that would result in separate rules that do not confer benefits on CATSI organisations. </w:t>
      </w:r>
      <w:bookmarkStart w:id="17" w:name="_Toc79138785"/>
    </w:p>
    <w:p w14:paraId="249021AF" w14:textId="07B41126" w:rsidR="00856380" w:rsidRPr="00C81920" w:rsidRDefault="00856380" w:rsidP="00856380">
      <w:pPr>
        <w:pStyle w:val="Heading2"/>
        <w:numPr>
          <w:ilvl w:val="0"/>
          <w:numId w:val="10"/>
        </w:numPr>
        <w:spacing w:before="0" w:after="160" w:line="286" w:lineRule="exact"/>
        <w:jc w:val="both"/>
        <w:rPr>
          <w:rFonts w:eastAsia="Times New Roman"/>
          <w:sz w:val="21"/>
          <w:szCs w:val="21"/>
          <w:lang w:eastAsia="en-AU"/>
        </w:rPr>
      </w:pPr>
      <w:bookmarkStart w:id="18" w:name="_Toc79406786"/>
      <w:r w:rsidRPr="00C81920">
        <w:rPr>
          <w:rFonts w:eastAsia="Times New Roman"/>
          <w:sz w:val="21"/>
          <w:szCs w:val="21"/>
          <w:lang w:eastAsia="en-AU"/>
        </w:rPr>
        <w:t>Conclusion</w:t>
      </w:r>
      <w:bookmarkEnd w:id="18"/>
    </w:p>
    <w:bookmarkEnd w:id="17"/>
    <w:p w14:paraId="4FEC274C" w14:textId="1D4AEEDF" w:rsidR="00412D0D" w:rsidRPr="00413257" w:rsidRDefault="00C81920" w:rsidP="00525721">
      <w:pPr>
        <w:pStyle w:val="ListNumber"/>
        <w:numPr>
          <w:ilvl w:val="0"/>
          <w:numId w:val="0"/>
        </w:numPr>
        <w:spacing w:after="160" w:line="286" w:lineRule="exact"/>
        <w:jc w:val="both"/>
        <w:rPr>
          <w:sz w:val="21"/>
          <w:szCs w:val="21"/>
        </w:rPr>
      </w:pPr>
      <w:r w:rsidRPr="00413257">
        <w:rPr>
          <w:sz w:val="21"/>
          <w:szCs w:val="21"/>
        </w:rPr>
        <w:t>TCAC</w:t>
      </w:r>
      <w:r w:rsidR="00412D0D" w:rsidRPr="00413257">
        <w:rPr>
          <w:sz w:val="21"/>
          <w:szCs w:val="21"/>
        </w:rPr>
        <w:t xml:space="preserve"> supports the </w:t>
      </w:r>
      <w:r w:rsidR="00144A80" w:rsidRPr="00413257">
        <w:rPr>
          <w:sz w:val="21"/>
          <w:szCs w:val="21"/>
        </w:rPr>
        <w:t>process initiated by the NIAA</w:t>
      </w:r>
      <w:r w:rsidR="00412D0D" w:rsidRPr="00413257">
        <w:rPr>
          <w:sz w:val="21"/>
          <w:szCs w:val="21"/>
        </w:rPr>
        <w:t xml:space="preserve"> to bring the CATSI Act in line with other Commonwealth legislation through regular reviews and improved governance so far as possible to ensure no disadvantage to CATSI organisations while still providing for different legislative requirements where they benefit Indigenous organisations. </w:t>
      </w:r>
    </w:p>
    <w:p w14:paraId="31AC666D" w14:textId="7A8AC0AF" w:rsidR="00412D0D" w:rsidRPr="00413257" w:rsidRDefault="00412D0D" w:rsidP="00525721">
      <w:pPr>
        <w:pStyle w:val="ListNumber"/>
        <w:numPr>
          <w:ilvl w:val="0"/>
          <w:numId w:val="0"/>
        </w:numPr>
        <w:spacing w:after="160" w:line="286" w:lineRule="exact"/>
        <w:jc w:val="both"/>
        <w:rPr>
          <w:sz w:val="21"/>
          <w:szCs w:val="21"/>
        </w:rPr>
      </w:pPr>
      <w:r w:rsidRPr="00413257">
        <w:rPr>
          <w:sz w:val="21"/>
          <w:szCs w:val="21"/>
        </w:rPr>
        <w:t xml:space="preserve">We would like to see a reduction in the administrative and compliance burden for Aboriginal and Torres Strait Islander corporations, particularly where such burdens do not exist for similarly sized organisations incorporated under the Corporations Act 2001 or otherwise. </w:t>
      </w:r>
    </w:p>
    <w:p w14:paraId="3DE238F1" w14:textId="77777777" w:rsidR="00412D0D" w:rsidRPr="00413257" w:rsidRDefault="00412D0D" w:rsidP="00525721">
      <w:pPr>
        <w:pStyle w:val="ListNumber"/>
        <w:numPr>
          <w:ilvl w:val="0"/>
          <w:numId w:val="0"/>
        </w:numPr>
        <w:spacing w:after="160" w:line="286" w:lineRule="exact"/>
        <w:jc w:val="both"/>
        <w:rPr>
          <w:sz w:val="21"/>
          <w:szCs w:val="21"/>
        </w:rPr>
      </w:pPr>
      <w:r w:rsidRPr="00413257">
        <w:rPr>
          <w:sz w:val="21"/>
          <w:szCs w:val="21"/>
        </w:rPr>
        <w:t>We would also like to see attention given to the discrete needs of CATSI organisations operating in remote or regional areas, as well as of cultural traditions and safety, in the operations of the CATSI Act.</w:t>
      </w:r>
    </w:p>
    <w:p w14:paraId="2AAF4B1F" w14:textId="795CC455" w:rsidR="00412D0D" w:rsidRDefault="00856380" w:rsidP="00525721">
      <w:pPr>
        <w:pStyle w:val="ListNumber"/>
        <w:numPr>
          <w:ilvl w:val="0"/>
          <w:numId w:val="0"/>
        </w:numPr>
        <w:spacing w:after="160" w:line="286" w:lineRule="exact"/>
        <w:jc w:val="both"/>
        <w:rPr>
          <w:sz w:val="21"/>
          <w:szCs w:val="21"/>
          <w:lang w:val="en-US"/>
        </w:rPr>
      </w:pPr>
      <w:r w:rsidRPr="00413257">
        <w:rPr>
          <w:sz w:val="21"/>
          <w:szCs w:val="21"/>
        </w:rPr>
        <w:t xml:space="preserve">We </w:t>
      </w:r>
      <w:r w:rsidR="00412D0D" w:rsidRPr="00413257">
        <w:rPr>
          <w:sz w:val="21"/>
          <w:szCs w:val="21"/>
        </w:rPr>
        <w:t>would also welcome the opportunity to engage further in discussions around the review process.</w:t>
      </w:r>
      <w:r w:rsidR="00412D0D" w:rsidRPr="00413257">
        <w:rPr>
          <w:sz w:val="21"/>
          <w:szCs w:val="21"/>
          <w:lang w:val="en-US"/>
        </w:rPr>
        <w:t xml:space="preserve"> </w:t>
      </w:r>
    </w:p>
    <w:p w14:paraId="76E4D80D" w14:textId="1D620FD4" w:rsidR="004B5CED" w:rsidRDefault="004B5CED" w:rsidP="00C81920">
      <w:pPr>
        <w:pStyle w:val="ListNumber"/>
        <w:numPr>
          <w:ilvl w:val="0"/>
          <w:numId w:val="0"/>
        </w:numPr>
        <w:jc w:val="both"/>
        <w:rPr>
          <w:sz w:val="21"/>
          <w:szCs w:val="21"/>
          <w:lang w:val="en-US"/>
        </w:rPr>
      </w:pPr>
      <w:r>
        <w:rPr>
          <w:sz w:val="21"/>
          <w:szCs w:val="21"/>
          <w:lang w:val="en-US"/>
        </w:rPr>
        <w:br w:type="page"/>
      </w:r>
    </w:p>
    <w:p w14:paraId="5605FF0C" w14:textId="37CF616F" w:rsidR="004B5CED" w:rsidRPr="004B5CED" w:rsidRDefault="004B5CED" w:rsidP="004B5CED">
      <w:pPr>
        <w:pStyle w:val="Heading2"/>
        <w:numPr>
          <w:ilvl w:val="0"/>
          <w:numId w:val="10"/>
        </w:numPr>
        <w:spacing w:before="0" w:after="160" w:line="286" w:lineRule="exact"/>
        <w:jc w:val="both"/>
        <w:rPr>
          <w:rFonts w:eastAsia="Times New Roman"/>
          <w:sz w:val="21"/>
          <w:szCs w:val="21"/>
          <w:lang w:eastAsia="en-AU"/>
        </w:rPr>
      </w:pPr>
      <w:bookmarkStart w:id="19" w:name="_Toc79406787"/>
      <w:r>
        <w:rPr>
          <w:rFonts w:eastAsia="Times New Roman"/>
          <w:sz w:val="21"/>
          <w:szCs w:val="21"/>
          <w:lang w:eastAsia="en-AU"/>
        </w:rPr>
        <w:t>References</w:t>
      </w:r>
      <w:bookmarkEnd w:id="19"/>
    </w:p>
    <w:sectPr w:rsidR="004B5CED" w:rsidRPr="004B5CED" w:rsidSect="00CD0B23">
      <w:pgSz w:w="11900" w:h="16840"/>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FA82" w14:textId="77777777" w:rsidR="00B404D3" w:rsidRDefault="00B404D3" w:rsidP="009653B8">
      <w:r>
        <w:separator/>
      </w:r>
    </w:p>
    <w:p w14:paraId="45AA2A96" w14:textId="77777777" w:rsidR="00B404D3" w:rsidRDefault="00B404D3" w:rsidP="009653B8"/>
    <w:p w14:paraId="2C30A2C5" w14:textId="77777777" w:rsidR="00B404D3" w:rsidRDefault="00B404D3" w:rsidP="00210DA2"/>
  </w:endnote>
  <w:endnote w:type="continuationSeparator" w:id="0">
    <w:p w14:paraId="3B0B0076" w14:textId="77777777" w:rsidR="00B404D3" w:rsidRDefault="00B404D3" w:rsidP="009653B8">
      <w:r>
        <w:continuationSeparator/>
      </w:r>
    </w:p>
    <w:p w14:paraId="301D94EC" w14:textId="77777777" w:rsidR="00B404D3" w:rsidRDefault="00B404D3" w:rsidP="009653B8"/>
    <w:p w14:paraId="79E6E458" w14:textId="77777777" w:rsidR="00B404D3" w:rsidRDefault="00B404D3" w:rsidP="00210DA2"/>
  </w:endnote>
  <w:endnote w:id="1">
    <w:p w14:paraId="57104663" w14:textId="4FADC861" w:rsidR="00F5412B" w:rsidRPr="00A111E0" w:rsidRDefault="00F5412B" w:rsidP="00A111E0">
      <w:pPr>
        <w:pStyle w:val="EndnoteText"/>
        <w:spacing w:after="160" w:line="286" w:lineRule="exact"/>
        <w:jc w:val="both"/>
        <w:rPr>
          <w:sz w:val="21"/>
          <w:szCs w:val="21"/>
        </w:rPr>
      </w:pPr>
      <w:r w:rsidRPr="00A111E0">
        <w:rPr>
          <w:rStyle w:val="EndnoteReference"/>
          <w:sz w:val="21"/>
          <w:szCs w:val="21"/>
        </w:rPr>
        <w:endnoteRef/>
      </w:r>
      <w:r w:rsidRPr="00A111E0">
        <w:rPr>
          <w:sz w:val="21"/>
          <w:szCs w:val="21"/>
        </w:rPr>
        <w:t xml:space="preserve"> Law Council of Australia, ‘Submission to Phase 2 of the Review of the </w:t>
      </w:r>
      <w:r w:rsidRPr="00A111E0">
        <w:rPr>
          <w:i/>
          <w:iCs/>
          <w:sz w:val="21"/>
          <w:szCs w:val="21"/>
        </w:rPr>
        <w:t>Corporations (Aboriginal and Torres Strait Islander) Act 2006</w:t>
      </w:r>
      <w:r w:rsidRPr="00A111E0">
        <w:rPr>
          <w:sz w:val="21"/>
          <w:szCs w:val="21"/>
        </w:rPr>
        <w:t>’, 1 October 2020, at 8 [27].</w:t>
      </w:r>
    </w:p>
  </w:endnote>
  <w:endnote w:id="2">
    <w:p w14:paraId="73315D95" w14:textId="1EDE7B5A" w:rsidR="00BA0788" w:rsidRPr="00A111E0" w:rsidRDefault="00BA0788" w:rsidP="00A111E0">
      <w:pPr>
        <w:pStyle w:val="EndnoteText"/>
        <w:spacing w:after="160" w:line="286" w:lineRule="exact"/>
        <w:jc w:val="both"/>
        <w:rPr>
          <w:sz w:val="21"/>
          <w:szCs w:val="21"/>
        </w:rPr>
      </w:pPr>
      <w:r w:rsidRPr="00A111E0">
        <w:rPr>
          <w:rStyle w:val="EndnoteReference"/>
          <w:sz w:val="21"/>
          <w:szCs w:val="21"/>
        </w:rPr>
        <w:endnoteRef/>
      </w:r>
      <w:r w:rsidRPr="00A111E0">
        <w:rPr>
          <w:sz w:val="21"/>
          <w:szCs w:val="21"/>
        </w:rPr>
        <w:t xml:space="preserve"> International Convention on the Elimination of All Forms of Racial Discrimination (ICERD), article 1(4).</w:t>
      </w:r>
    </w:p>
  </w:endnote>
  <w:endnote w:id="3">
    <w:p w14:paraId="122CC635" w14:textId="47056918" w:rsidR="00BA0788" w:rsidRPr="00A111E0" w:rsidRDefault="00BA0788" w:rsidP="00A111E0">
      <w:pPr>
        <w:pStyle w:val="EndnoteText"/>
        <w:spacing w:after="160" w:line="286" w:lineRule="exact"/>
        <w:jc w:val="both"/>
        <w:rPr>
          <w:sz w:val="21"/>
          <w:szCs w:val="21"/>
        </w:rPr>
      </w:pPr>
      <w:r w:rsidRPr="00A111E0">
        <w:rPr>
          <w:rStyle w:val="EndnoteReference"/>
          <w:sz w:val="21"/>
          <w:szCs w:val="21"/>
        </w:rPr>
        <w:endnoteRef/>
      </w:r>
      <w:r w:rsidRPr="00A111E0">
        <w:rPr>
          <w:sz w:val="21"/>
          <w:szCs w:val="21"/>
        </w:rPr>
        <w:t xml:space="preserve"> Australian Human Rights Commission, ‘Guidelines to understanding ‘Special Measures’ in the Race Discrimination Act 1975 (2011) at 3 [8].</w:t>
      </w:r>
    </w:p>
  </w:endnote>
  <w:endnote w:id="4">
    <w:p w14:paraId="0121EABC" w14:textId="7A90D892" w:rsidR="00BA0788" w:rsidRDefault="00BA0788" w:rsidP="00A111E0">
      <w:pPr>
        <w:pStyle w:val="EndnoteText"/>
        <w:spacing w:after="160" w:line="286" w:lineRule="exact"/>
        <w:jc w:val="both"/>
      </w:pPr>
      <w:r w:rsidRPr="00A111E0">
        <w:rPr>
          <w:rStyle w:val="EndnoteReference"/>
          <w:sz w:val="21"/>
          <w:szCs w:val="21"/>
        </w:rPr>
        <w:endnoteRef/>
      </w:r>
      <w:r w:rsidRPr="00A111E0">
        <w:rPr>
          <w:sz w:val="21"/>
          <w:szCs w:val="21"/>
        </w:rPr>
        <w:t xml:space="preserve"> </w:t>
      </w:r>
      <w:r w:rsidRPr="00A111E0">
        <w:rPr>
          <w:rStyle w:val="FootnoteReference"/>
          <w:sz w:val="21"/>
          <w:szCs w:val="21"/>
        </w:rPr>
        <w:endnoteRef/>
      </w:r>
      <w:r w:rsidRPr="00A111E0">
        <w:rPr>
          <w:sz w:val="21"/>
          <w:szCs w:val="21"/>
        </w:rPr>
        <w:t xml:space="preserve"> Warwick McKean, Equality and Discrimination under International Law (1983) 288, cited by Brennan J in Gerhardy v Brown (1985) 159 CLR 70, 130.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70392056"/>
      <w:docPartObj>
        <w:docPartGallery w:val="Page Numbers (Bottom of Page)"/>
        <w:docPartUnique/>
      </w:docPartObj>
    </w:sdtPr>
    <w:sdtEndPr>
      <w:rPr>
        <w:rStyle w:val="PageNumber"/>
      </w:rPr>
    </w:sdtEndPr>
    <w:sdtContent>
      <w:p w14:paraId="348B4AAE" w14:textId="77777777" w:rsidR="007A64A1" w:rsidRDefault="007A64A1" w:rsidP="007A64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BCBCC4" w14:textId="77777777" w:rsidR="007A64A1" w:rsidRDefault="007A64A1" w:rsidP="00B70060">
    <w:pPr>
      <w:pStyle w:val="Footer"/>
      <w:ind w:right="360"/>
      <w:rPr>
        <w:rStyle w:val="PageNumber"/>
      </w:rPr>
    </w:pPr>
  </w:p>
  <w:sdt>
    <w:sdtPr>
      <w:rPr>
        <w:rStyle w:val="PageNumber"/>
      </w:rPr>
      <w:id w:val="-184221711"/>
      <w:docPartObj>
        <w:docPartGallery w:val="Page Numbers (Bottom of Page)"/>
        <w:docPartUnique/>
      </w:docPartObj>
    </w:sdtPr>
    <w:sdtEndPr>
      <w:rPr>
        <w:rStyle w:val="PageNumber"/>
      </w:rPr>
    </w:sdtEndPr>
    <w:sdtContent>
      <w:p w14:paraId="09A296F4" w14:textId="77777777" w:rsidR="007A64A1" w:rsidRDefault="007A64A1" w:rsidP="009653B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85C9C2" w14:textId="77777777" w:rsidR="007A64A1" w:rsidRDefault="007A64A1" w:rsidP="00965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9971580"/>
      <w:docPartObj>
        <w:docPartGallery w:val="Page Numbers (Bottom of Page)"/>
        <w:docPartUnique/>
      </w:docPartObj>
    </w:sdtPr>
    <w:sdtEndPr>
      <w:rPr>
        <w:rStyle w:val="PageNumber"/>
      </w:rPr>
    </w:sdtEndPr>
    <w:sdtContent>
      <w:p w14:paraId="3E9A4D47" w14:textId="54E881A0" w:rsidR="007A64A1" w:rsidRDefault="007A64A1" w:rsidP="007A64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0B58">
          <w:rPr>
            <w:rStyle w:val="PageNumber"/>
            <w:noProof/>
          </w:rPr>
          <w:t>1</w:t>
        </w:r>
        <w:r>
          <w:rPr>
            <w:rStyle w:val="PageNumber"/>
          </w:rPr>
          <w:fldChar w:fldCharType="end"/>
        </w:r>
      </w:p>
    </w:sdtContent>
  </w:sdt>
  <w:p w14:paraId="40936ADE" w14:textId="49B34444" w:rsidR="007A64A1" w:rsidRPr="0072180D" w:rsidRDefault="007A64A1" w:rsidP="00B70060">
    <w:pPr>
      <w:pStyle w:val="Footer"/>
      <w:ind w:right="360"/>
      <w:rPr>
        <w:rFonts w:ascii="Calibri" w:hAnsi="Calibri" w:cs="Calibri"/>
      </w:rPr>
    </w:pPr>
    <w:r w:rsidRPr="0072180D">
      <w:rPr>
        <w:rFonts w:ascii="Calibri" w:hAnsi="Calibri" w:cs="Calibri"/>
        <w:noProof/>
        <w:lang w:eastAsia="en-AU"/>
      </w:rPr>
      <mc:AlternateContent>
        <mc:Choice Requires="wps">
          <w:drawing>
            <wp:anchor distT="0" distB="0" distL="114300" distR="114300" simplePos="0" relativeHeight="251685888" behindDoc="0" locked="0" layoutInCell="1" allowOverlap="1" wp14:anchorId="3A3DAE31" wp14:editId="6B5065FD">
              <wp:simplePos x="0" y="0"/>
              <wp:positionH relativeFrom="page">
                <wp:posOffset>720090</wp:posOffset>
              </wp:positionH>
              <wp:positionV relativeFrom="page">
                <wp:posOffset>9792970</wp:posOffset>
              </wp:positionV>
              <wp:extent cx="6120000" cy="0"/>
              <wp:effectExtent l="0" t="0" r="14605" b="12700"/>
              <wp:wrapNone/>
              <wp:docPr id="11" name="Straight Connector 11"/>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BF7BC0" id="Straight Connector 11"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71.1pt" to="538.6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" strokecolor="#413832 [3213]" strokeweight=".25pt">
              <v:stroke joinstyle="miter"/>
              <w10:wrap anchorx="page" anchory="page"/>
            </v:line>
          </w:pict>
        </mc:Fallback>
      </mc:AlternateContent>
    </w:r>
    <w:r w:rsidRPr="0072180D">
      <w:rPr>
        <w:rFonts w:ascii="Calibri" w:hAnsi="Calibri" w:cs="Calibri"/>
      </w:rPr>
      <w:t xml:space="preserve">Submission to the </w:t>
    </w:r>
    <w:r w:rsidR="00237A5A">
      <w:rPr>
        <w:rFonts w:ascii="Calibri" w:hAnsi="Calibri" w:cs="Calibri"/>
      </w:rPr>
      <w:t>National Indigenous Australians Agency, Exposure Draft of the Corporations (Aboriginal and Torres Strait Islander)</w:t>
    </w:r>
    <w:r w:rsidR="00DB6F20">
      <w:rPr>
        <w:rFonts w:ascii="Calibri" w:hAnsi="Calibri" w:cs="Calibri"/>
      </w:rPr>
      <w:t xml:space="preserve"> Amendment Bill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93895463"/>
      <w:docPartObj>
        <w:docPartGallery w:val="Page Numbers (Bottom of Page)"/>
        <w:docPartUnique/>
      </w:docPartObj>
    </w:sdtPr>
    <w:sdtEndPr>
      <w:rPr>
        <w:rStyle w:val="PageNumber"/>
      </w:rPr>
    </w:sdtEndPr>
    <w:sdtContent>
      <w:p w14:paraId="73E15B3B" w14:textId="77777777" w:rsidR="007A64A1" w:rsidRDefault="007A64A1" w:rsidP="009653B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775ECEF" w14:textId="77777777" w:rsidR="007A64A1" w:rsidRPr="00DC469F" w:rsidRDefault="007A64A1" w:rsidP="009653B8">
    <w:pPr>
      <w:pStyle w:val="Footer"/>
    </w:pPr>
    <w:r>
      <w:t>JUN</w:t>
    </w:r>
    <w:r w:rsidRPr="00DC469F">
      <w:t>Policy Name / Policy Number / Version Number</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4432859"/>
      <w:docPartObj>
        <w:docPartGallery w:val="Page Numbers (Bottom of Page)"/>
        <w:docPartUnique/>
      </w:docPartObj>
    </w:sdtPr>
    <w:sdtEndPr>
      <w:rPr>
        <w:rStyle w:val="PageNumber"/>
      </w:rPr>
    </w:sdtEndPr>
    <w:sdtContent>
      <w:p w14:paraId="4E67988A" w14:textId="1C4FFC97" w:rsidR="007A64A1" w:rsidRDefault="007A64A1" w:rsidP="007A64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0B58">
          <w:rPr>
            <w:rStyle w:val="PageNumber"/>
            <w:noProof/>
          </w:rPr>
          <w:t>3</w:t>
        </w:r>
        <w:r>
          <w:rPr>
            <w:rStyle w:val="PageNumber"/>
          </w:rPr>
          <w:fldChar w:fldCharType="end"/>
        </w:r>
      </w:p>
    </w:sdtContent>
  </w:sdt>
  <w:p w14:paraId="7753CFDB" w14:textId="6E9968F5" w:rsidR="007A64A1" w:rsidRPr="00DC469F" w:rsidRDefault="007A64A1" w:rsidP="00B70060">
    <w:pPr>
      <w:pStyle w:val="Footer"/>
      <w:ind w:right="360"/>
    </w:pPr>
    <w:r>
      <w:rPr>
        <w:noProof/>
        <w:lang w:eastAsia="en-AU"/>
      </w:rPr>
      <mc:AlternateContent>
        <mc:Choice Requires="wps">
          <w:drawing>
            <wp:anchor distT="0" distB="0" distL="114300" distR="114300" simplePos="0" relativeHeight="251657216" behindDoc="0" locked="0" layoutInCell="1" allowOverlap="1" wp14:anchorId="2DE232CC" wp14:editId="59C398F2">
              <wp:simplePos x="0" y="0"/>
              <wp:positionH relativeFrom="page">
                <wp:posOffset>720090</wp:posOffset>
              </wp:positionH>
              <wp:positionV relativeFrom="page">
                <wp:posOffset>9792970</wp:posOffset>
              </wp:positionV>
              <wp:extent cx="6120000" cy="0"/>
              <wp:effectExtent l="0" t="0" r="14605" b="12700"/>
              <wp:wrapNone/>
              <wp:docPr id="10" name="Straight Connector 10"/>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6F1A86"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71.1pt" to="538.6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" strokecolor="#413832 [3213]" strokeweight=".25pt">
              <v:stroke joinstyle="miter"/>
              <w10:wrap anchorx="page" anchory="page"/>
            </v:line>
          </w:pict>
        </mc:Fallback>
      </mc:AlternateContent>
    </w:r>
    <w:r w:rsidR="0055311C" w:rsidRPr="0072180D">
      <w:rPr>
        <w:rFonts w:ascii="Calibri" w:hAnsi="Calibri" w:cs="Calibri"/>
      </w:rPr>
      <w:t xml:space="preserve">Submission to the </w:t>
    </w:r>
    <w:r w:rsidR="00DB6F20">
      <w:rPr>
        <w:rFonts w:ascii="Calibri" w:hAnsi="Calibri" w:cs="Calibri"/>
      </w:rPr>
      <w:t>National Indigenous Australians Agency, Exposure Draft of the Corporations (Aboriginal and Torres Strait Islander) Amendment Bill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C0661" w14:textId="77777777" w:rsidR="00B404D3" w:rsidRDefault="00B404D3" w:rsidP="009653B8">
      <w:r>
        <w:separator/>
      </w:r>
    </w:p>
    <w:p w14:paraId="383D919A" w14:textId="77777777" w:rsidR="00B404D3" w:rsidRDefault="00B404D3" w:rsidP="009653B8"/>
    <w:p w14:paraId="2D079D09" w14:textId="77777777" w:rsidR="00B404D3" w:rsidRDefault="00B404D3" w:rsidP="00210DA2"/>
  </w:footnote>
  <w:footnote w:type="continuationSeparator" w:id="0">
    <w:p w14:paraId="234AE26A" w14:textId="77777777" w:rsidR="00B404D3" w:rsidRDefault="00B404D3" w:rsidP="009653B8">
      <w:r>
        <w:continuationSeparator/>
      </w:r>
    </w:p>
    <w:p w14:paraId="0ADCAF9D" w14:textId="77777777" w:rsidR="00B404D3" w:rsidRDefault="00B404D3" w:rsidP="009653B8"/>
    <w:p w14:paraId="4F49C8DD" w14:textId="77777777" w:rsidR="00B404D3" w:rsidRDefault="00B404D3" w:rsidP="00210D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841"/>
    <w:multiLevelType w:val="multilevel"/>
    <w:tmpl w:val="0466F784"/>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B28D6"/>
    <w:multiLevelType w:val="multilevel"/>
    <w:tmpl w:val="0466F784"/>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3246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F9417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67B8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25669"/>
    <w:multiLevelType w:val="multilevel"/>
    <w:tmpl w:val="312242C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upperLetter"/>
      <w:lvlText w:val="(%5)"/>
      <w:lvlJc w:val="left"/>
      <w:pPr>
        <w:tabs>
          <w:tab w:val="num" w:pos="2268"/>
        </w:tabs>
        <w:ind w:left="2835" w:hanging="567"/>
      </w:pPr>
      <w:rPr>
        <w:rFonts w:ascii="Arial" w:hAnsi="Arial" w:hint="default"/>
        <w:sz w:val="16"/>
        <w:szCs w:val="16"/>
      </w:rPr>
    </w:lvl>
    <w:lvl w:ilvl="5">
      <w:start w:val="1"/>
      <w:numFmt w:val="upperLetter"/>
      <w:lvlRestart w:val="1"/>
      <w:lvlText w:val="%1%6"/>
      <w:lvlJc w:val="left"/>
      <w:pPr>
        <w:tabs>
          <w:tab w:val="num" w:pos="567"/>
        </w:tabs>
        <w:ind w:left="567" w:hanging="567"/>
      </w:pPr>
      <w:rPr>
        <w:rFonts w:hint="default"/>
      </w:rPr>
    </w:lvl>
    <w:lvl w:ilvl="6">
      <w:start w:val="1"/>
      <w:numFmt w:val="decimal"/>
      <w:lvlText w:val="%1%6.%7"/>
      <w:lvlJc w:val="left"/>
      <w:pPr>
        <w:tabs>
          <w:tab w:val="num" w:pos="567"/>
        </w:tabs>
        <w:ind w:left="1134" w:hanging="567"/>
      </w:pPr>
      <w:rPr>
        <w:rFonts w:hint="default"/>
      </w:rPr>
    </w:lvl>
    <w:lvl w:ilvl="7">
      <w:start w:val="1"/>
      <w:numFmt w:val="lowerLetter"/>
      <w:lvlText w:val="(%8)"/>
      <w:lvlJc w:val="left"/>
      <w:pPr>
        <w:tabs>
          <w:tab w:val="num" w:pos="1701"/>
        </w:tabs>
        <w:ind w:left="1701" w:hanging="567"/>
      </w:pPr>
      <w:rPr>
        <w:rFonts w:hint="default"/>
      </w:rPr>
    </w:lvl>
    <w:lvl w:ilvl="8">
      <w:start w:val="1"/>
      <w:numFmt w:val="lowerLetter"/>
      <w:lvlRestart w:val="3"/>
      <w:lvlText w:val="(%3%9)"/>
      <w:lvlJc w:val="left"/>
      <w:pPr>
        <w:tabs>
          <w:tab w:val="num" w:pos="1701"/>
        </w:tabs>
        <w:ind w:left="1701" w:hanging="567"/>
      </w:pPr>
      <w:rPr>
        <w:rFonts w:hint="default"/>
      </w:rPr>
    </w:lvl>
  </w:abstractNum>
  <w:abstractNum w:abstractNumId="6" w15:restartNumberingAfterBreak="0">
    <w:nsid w:val="16F1491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327664"/>
    <w:multiLevelType w:val="multilevel"/>
    <w:tmpl w:val="6532A5E4"/>
    <w:lvl w:ilvl="0">
      <w:start w:val="1"/>
      <w:numFmt w:val="decimal"/>
      <w:pStyle w:val="NumberLevel1"/>
      <w:lvlText w:val="%1."/>
      <w:lvlJc w:val="left"/>
      <w:pPr>
        <w:tabs>
          <w:tab w:val="num" w:pos="709"/>
        </w:tabs>
        <w:ind w:left="0" w:hanging="709"/>
      </w:pPr>
      <w:rPr>
        <w:rFonts w:ascii="Arial" w:hAnsi="Arial" w:cs="Arial" w:hint="default"/>
        <w:i w:val="0"/>
        <w:color w:val="000000"/>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21A15A5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BB582C"/>
    <w:multiLevelType w:val="hybridMultilevel"/>
    <w:tmpl w:val="CB46E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14DD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DF08AB"/>
    <w:multiLevelType w:val="hybridMultilevel"/>
    <w:tmpl w:val="85EAF21E"/>
    <w:lvl w:ilvl="0" w:tplc="F04E9A22">
      <w:start w:val="1"/>
      <w:numFmt w:val="bullet"/>
      <w:pStyle w:val="ListParagraph"/>
      <w:lvlText w:val=""/>
      <w:lvlJc w:val="left"/>
      <w:pPr>
        <w:ind w:left="284" w:hanging="284"/>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2BCB4602"/>
    <w:multiLevelType w:val="multilevel"/>
    <w:tmpl w:val="0466F784"/>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9A7347"/>
    <w:multiLevelType w:val="multilevel"/>
    <w:tmpl w:val="FD7AF2C8"/>
    <w:lvl w:ilvl="0">
      <w:start w:val="1"/>
      <w:numFmt w:val="decimal"/>
      <w:pStyle w:val="ListNumber"/>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ascii="Arial" w:eastAsia="Times New Roman" w:hAnsi="Arial" w:cs="Times New Roman"/>
      </w:rPr>
    </w:lvl>
    <w:lvl w:ilvl="2">
      <w:start w:val="1"/>
      <w:numFmt w:val="lowerLetter"/>
      <w:lvlText w:val="%3)"/>
      <w:lvlJc w:val="left"/>
      <w:pPr>
        <w:tabs>
          <w:tab w:val="num" w:pos="2268"/>
        </w:tabs>
        <w:ind w:left="2268" w:hanging="567"/>
      </w:pPr>
      <w:rPr>
        <w:rFonts w:hint="default"/>
      </w:rPr>
    </w:lvl>
    <w:lvl w:ilvl="3">
      <w:start w:val="1"/>
      <w:numFmt w:val="none"/>
      <w:lvlText w:val=""/>
      <w:lvlJc w:val="left"/>
      <w:pPr>
        <w:tabs>
          <w:tab w:val="num" w:pos="2835"/>
        </w:tabs>
        <w:ind w:left="2835" w:hanging="567"/>
      </w:pPr>
      <w:rPr>
        <w:rFonts w:hint="default"/>
      </w:rPr>
    </w:lvl>
    <w:lvl w:ilvl="4">
      <w:start w:val="1"/>
      <w:numFmt w:val="none"/>
      <w:lvlText w:val=""/>
      <w:lvlJc w:val="left"/>
      <w:pPr>
        <w:tabs>
          <w:tab w:val="num" w:pos="3402"/>
        </w:tabs>
        <w:ind w:left="3402" w:hanging="567"/>
      </w:pPr>
      <w:rPr>
        <w:rFonts w:hint="default"/>
      </w:rPr>
    </w:lvl>
    <w:lvl w:ilvl="5">
      <w:start w:val="1"/>
      <w:numFmt w:val="none"/>
      <w:lvlText w:val=""/>
      <w:lvlJc w:val="left"/>
      <w:pPr>
        <w:tabs>
          <w:tab w:val="num" w:pos="3969"/>
        </w:tabs>
        <w:ind w:left="3969" w:hanging="567"/>
      </w:pPr>
      <w:rPr>
        <w:rFonts w:hint="default"/>
      </w:rPr>
    </w:lvl>
    <w:lvl w:ilvl="6">
      <w:start w:val="1"/>
      <w:numFmt w:val="none"/>
      <w:lvlText w:val="%7"/>
      <w:lvlJc w:val="left"/>
      <w:pPr>
        <w:tabs>
          <w:tab w:val="num" w:pos="4536"/>
        </w:tabs>
        <w:ind w:left="4536" w:hanging="567"/>
      </w:pPr>
      <w:rPr>
        <w:rFonts w:hint="default"/>
      </w:rPr>
    </w:lvl>
    <w:lvl w:ilvl="7">
      <w:start w:val="1"/>
      <w:numFmt w:val="none"/>
      <w:lvlText w:val="%8"/>
      <w:lvlJc w:val="left"/>
      <w:pPr>
        <w:tabs>
          <w:tab w:val="num" w:pos="5103"/>
        </w:tabs>
        <w:ind w:left="5103" w:hanging="567"/>
      </w:pPr>
      <w:rPr>
        <w:rFonts w:hint="default"/>
      </w:rPr>
    </w:lvl>
    <w:lvl w:ilvl="8">
      <w:start w:val="1"/>
      <w:numFmt w:val="none"/>
      <w:lvlText w:val="%9"/>
      <w:lvlJc w:val="left"/>
      <w:pPr>
        <w:tabs>
          <w:tab w:val="num" w:pos="5103"/>
        </w:tabs>
        <w:ind w:left="5103" w:hanging="567"/>
      </w:pPr>
      <w:rPr>
        <w:rFonts w:hint="default"/>
      </w:rPr>
    </w:lvl>
  </w:abstractNum>
  <w:abstractNum w:abstractNumId="14" w15:restartNumberingAfterBreak="0">
    <w:nsid w:val="39397077"/>
    <w:multiLevelType w:val="multilevel"/>
    <w:tmpl w:val="0466F784"/>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B373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A2431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362D67"/>
    <w:multiLevelType w:val="multilevel"/>
    <w:tmpl w:val="684217AE"/>
    <w:lvl w:ilvl="0">
      <w:start w:val="1"/>
      <w:numFmt w:val="decimal"/>
      <w:pStyle w:val="NumberedParagraphLevel2"/>
      <w:lvlText w:val="%1)"/>
      <w:lvlJc w:val="left"/>
      <w:pPr>
        <w:ind w:left="340" w:hanging="360"/>
      </w:pPr>
      <w:rPr>
        <w:rFonts w:hint="default"/>
      </w:rPr>
    </w:lvl>
    <w:lvl w:ilvl="1">
      <w:start w:val="1"/>
      <w:numFmt w:val="lowerLetter"/>
      <w:pStyle w:val="NumberedParagraphLevel2"/>
      <w:lvlText w:val="%2)"/>
      <w:lvlJc w:val="left"/>
      <w:pPr>
        <w:ind w:left="680" w:hanging="340"/>
      </w:pPr>
      <w:rPr>
        <w:rFonts w:hint="default"/>
      </w:rPr>
    </w:lvl>
    <w:lvl w:ilvl="2">
      <w:start w:val="1"/>
      <w:numFmt w:val="lowerRoman"/>
      <w:lvlText w:val="%3)"/>
      <w:lvlJc w:val="left"/>
      <w:pPr>
        <w:ind w:left="1060" w:hanging="360"/>
      </w:pPr>
      <w:rPr>
        <w:rFonts w:hint="default"/>
      </w:rPr>
    </w:lvl>
    <w:lvl w:ilvl="3">
      <w:start w:val="1"/>
      <w:numFmt w:val="decimal"/>
      <w:lvlText w:val="(%4)"/>
      <w:lvlJc w:val="left"/>
      <w:pPr>
        <w:ind w:left="1420" w:hanging="360"/>
      </w:pPr>
      <w:rPr>
        <w:rFonts w:hint="default"/>
      </w:rPr>
    </w:lvl>
    <w:lvl w:ilvl="4">
      <w:start w:val="1"/>
      <w:numFmt w:val="lowerLetter"/>
      <w:lvlText w:val="(%5)"/>
      <w:lvlJc w:val="left"/>
      <w:pPr>
        <w:ind w:left="1780" w:hanging="360"/>
      </w:pPr>
      <w:rPr>
        <w:rFonts w:hint="default"/>
      </w:rPr>
    </w:lvl>
    <w:lvl w:ilvl="5">
      <w:start w:val="1"/>
      <w:numFmt w:val="lowerRoman"/>
      <w:lvlText w:val="(%6)"/>
      <w:lvlJc w:val="left"/>
      <w:pPr>
        <w:ind w:left="2140" w:hanging="360"/>
      </w:pPr>
      <w:rPr>
        <w:rFonts w:hint="default"/>
      </w:rPr>
    </w:lvl>
    <w:lvl w:ilvl="6">
      <w:start w:val="1"/>
      <w:numFmt w:val="decimal"/>
      <w:lvlText w:val="%7."/>
      <w:lvlJc w:val="left"/>
      <w:pPr>
        <w:ind w:left="2500" w:hanging="360"/>
      </w:pPr>
      <w:rPr>
        <w:rFonts w:hint="default"/>
      </w:rPr>
    </w:lvl>
    <w:lvl w:ilvl="7">
      <w:start w:val="1"/>
      <w:numFmt w:val="lowerLetter"/>
      <w:lvlText w:val="%8."/>
      <w:lvlJc w:val="left"/>
      <w:pPr>
        <w:ind w:left="2860" w:hanging="360"/>
      </w:pPr>
      <w:rPr>
        <w:rFonts w:hint="default"/>
      </w:rPr>
    </w:lvl>
    <w:lvl w:ilvl="8">
      <w:start w:val="1"/>
      <w:numFmt w:val="lowerRoman"/>
      <w:lvlText w:val="%9."/>
      <w:lvlJc w:val="left"/>
      <w:pPr>
        <w:ind w:left="3220" w:hanging="360"/>
      </w:pPr>
      <w:rPr>
        <w:rFonts w:hint="default"/>
      </w:rPr>
    </w:lvl>
  </w:abstractNum>
  <w:abstractNum w:abstractNumId="18" w15:restartNumberingAfterBreak="0">
    <w:nsid w:val="67A60A27"/>
    <w:multiLevelType w:val="multilevel"/>
    <w:tmpl w:val="0466F784"/>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3F1578"/>
    <w:multiLevelType w:val="hybridMultilevel"/>
    <w:tmpl w:val="ECC4CC7A"/>
    <w:lvl w:ilvl="0" w:tplc="01E4E3C6">
      <w:numFmt w:val="bullet"/>
      <w:pStyle w:val="ListParagraphLevel2"/>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F49229B"/>
    <w:multiLevelType w:val="hybridMultilevel"/>
    <w:tmpl w:val="5A3E8654"/>
    <w:lvl w:ilvl="0" w:tplc="AEE64CFA">
      <w:start w:val="1"/>
      <w:numFmt w:val="decimal"/>
      <w:pStyle w:val="NumberedParagraph"/>
      <w:lvlText w:val="%1."/>
      <w:lvlJc w:val="left"/>
      <w:pPr>
        <w:ind w:left="340" w:hanging="340"/>
      </w:pPr>
      <w:rPr>
        <w:rFont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0"/>
  </w:num>
  <w:num w:numId="4">
    <w:abstractNumId w:val="19"/>
  </w:num>
  <w:num w:numId="5">
    <w:abstractNumId w:val="17"/>
  </w:num>
  <w:num w:numId="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13"/>
  </w:num>
  <w:num w:numId="8">
    <w:abstractNumId w:val="12"/>
  </w:num>
  <w:num w:numId="9">
    <w:abstractNumId w:val="4"/>
  </w:num>
  <w:num w:numId="10">
    <w:abstractNumId w:val="3"/>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6"/>
  </w:num>
  <w:num w:numId="16">
    <w:abstractNumId w:val="8"/>
  </w:num>
  <w:num w:numId="17">
    <w:abstractNumId w:val="16"/>
  </w:num>
  <w:num w:numId="18">
    <w:abstractNumId w:val="9"/>
  </w:num>
  <w:num w:numId="19">
    <w:abstractNumId w:val="15"/>
  </w:num>
  <w:num w:numId="20">
    <w:abstractNumId w:val="0"/>
  </w:num>
  <w:num w:numId="21">
    <w:abstractNumId w:val="14"/>
  </w:num>
  <w:num w:numId="2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F9"/>
    <w:rsid w:val="00002B34"/>
    <w:rsid w:val="00003E0E"/>
    <w:rsid w:val="00006D06"/>
    <w:rsid w:val="00011A5B"/>
    <w:rsid w:val="00011AFA"/>
    <w:rsid w:val="000138B0"/>
    <w:rsid w:val="000171A1"/>
    <w:rsid w:val="0001798B"/>
    <w:rsid w:val="00021409"/>
    <w:rsid w:val="00022D1C"/>
    <w:rsid w:val="000244AE"/>
    <w:rsid w:val="000257F9"/>
    <w:rsid w:val="00031D14"/>
    <w:rsid w:val="000328E6"/>
    <w:rsid w:val="00032B7E"/>
    <w:rsid w:val="000408B1"/>
    <w:rsid w:val="00044F37"/>
    <w:rsid w:val="000546F2"/>
    <w:rsid w:val="0005574B"/>
    <w:rsid w:val="0005606D"/>
    <w:rsid w:val="00061191"/>
    <w:rsid w:val="000637C3"/>
    <w:rsid w:val="00064202"/>
    <w:rsid w:val="00065F23"/>
    <w:rsid w:val="0006656B"/>
    <w:rsid w:val="000717E6"/>
    <w:rsid w:val="00071878"/>
    <w:rsid w:val="00071EBB"/>
    <w:rsid w:val="00072266"/>
    <w:rsid w:val="000723F0"/>
    <w:rsid w:val="000750C1"/>
    <w:rsid w:val="00076EF6"/>
    <w:rsid w:val="000777A8"/>
    <w:rsid w:val="000858AA"/>
    <w:rsid w:val="000878A3"/>
    <w:rsid w:val="00090DE0"/>
    <w:rsid w:val="00091392"/>
    <w:rsid w:val="000915FA"/>
    <w:rsid w:val="00092907"/>
    <w:rsid w:val="00092D58"/>
    <w:rsid w:val="00093122"/>
    <w:rsid w:val="00093601"/>
    <w:rsid w:val="000A0B58"/>
    <w:rsid w:val="000A11F2"/>
    <w:rsid w:val="000A2889"/>
    <w:rsid w:val="000A2894"/>
    <w:rsid w:val="000A2A20"/>
    <w:rsid w:val="000A2F66"/>
    <w:rsid w:val="000A357B"/>
    <w:rsid w:val="000A776D"/>
    <w:rsid w:val="000B0344"/>
    <w:rsid w:val="000B4A21"/>
    <w:rsid w:val="000B5051"/>
    <w:rsid w:val="000B5878"/>
    <w:rsid w:val="000C1326"/>
    <w:rsid w:val="000C149D"/>
    <w:rsid w:val="000C21A8"/>
    <w:rsid w:val="000C2E25"/>
    <w:rsid w:val="000C7F10"/>
    <w:rsid w:val="000D1ECA"/>
    <w:rsid w:val="000D2032"/>
    <w:rsid w:val="000D2982"/>
    <w:rsid w:val="000D3AC2"/>
    <w:rsid w:val="000D43DD"/>
    <w:rsid w:val="000D48BC"/>
    <w:rsid w:val="000D4AFE"/>
    <w:rsid w:val="000D67FA"/>
    <w:rsid w:val="000E480B"/>
    <w:rsid w:val="000E7F8C"/>
    <w:rsid w:val="000F0F28"/>
    <w:rsid w:val="000F147C"/>
    <w:rsid w:val="000F4447"/>
    <w:rsid w:val="000F4A78"/>
    <w:rsid w:val="000F5EE7"/>
    <w:rsid w:val="000F70D1"/>
    <w:rsid w:val="000F72EC"/>
    <w:rsid w:val="000F7DB6"/>
    <w:rsid w:val="00103021"/>
    <w:rsid w:val="00104878"/>
    <w:rsid w:val="001059A9"/>
    <w:rsid w:val="0010623A"/>
    <w:rsid w:val="0010740E"/>
    <w:rsid w:val="00107E14"/>
    <w:rsid w:val="001114CE"/>
    <w:rsid w:val="00111681"/>
    <w:rsid w:val="00112197"/>
    <w:rsid w:val="00112385"/>
    <w:rsid w:val="001125E2"/>
    <w:rsid w:val="001154CE"/>
    <w:rsid w:val="00115754"/>
    <w:rsid w:val="00116B66"/>
    <w:rsid w:val="0011719A"/>
    <w:rsid w:val="001172A6"/>
    <w:rsid w:val="00121F72"/>
    <w:rsid w:val="00122D3A"/>
    <w:rsid w:val="00123946"/>
    <w:rsid w:val="001262E1"/>
    <w:rsid w:val="0012660C"/>
    <w:rsid w:val="00130E8B"/>
    <w:rsid w:val="0013428E"/>
    <w:rsid w:val="00136429"/>
    <w:rsid w:val="001377F5"/>
    <w:rsid w:val="00144A80"/>
    <w:rsid w:val="00147117"/>
    <w:rsid w:val="00147D31"/>
    <w:rsid w:val="00150274"/>
    <w:rsid w:val="001530D6"/>
    <w:rsid w:val="0015704E"/>
    <w:rsid w:val="00160CC9"/>
    <w:rsid w:val="00161645"/>
    <w:rsid w:val="001621FB"/>
    <w:rsid w:val="0017119C"/>
    <w:rsid w:val="00172BEB"/>
    <w:rsid w:val="00172E99"/>
    <w:rsid w:val="0017347F"/>
    <w:rsid w:val="001745BA"/>
    <w:rsid w:val="00181EC6"/>
    <w:rsid w:val="001838CD"/>
    <w:rsid w:val="00186953"/>
    <w:rsid w:val="00191D64"/>
    <w:rsid w:val="00191FB4"/>
    <w:rsid w:val="00192A2D"/>
    <w:rsid w:val="00197300"/>
    <w:rsid w:val="001A2ADF"/>
    <w:rsid w:val="001A34E2"/>
    <w:rsid w:val="001A35C5"/>
    <w:rsid w:val="001A3E77"/>
    <w:rsid w:val="001A4656"/>
    <w:rsid w:val="001A6734"/>
    <w:rsid w:val="001B4DB2"/>
    <w:rsid w:val="001C28FD"/>
    <w:rsid w:val="001C660C"/>
    <w:rsid w:val="001C6733"/>
    <w:rsid w:val="001D047C"/>
    <w:rsid w:val="001D2C10"/>
    <w:rsid w:val="001E0E10"/>
    <w:rsid w:val="001E3877"/>
    <w:rsid w:val="001E4314"/>
    <w:rsid w:val="001E4CBA"/>
    <w:rsid w:val="001F0FE7"/>
    <w:rsid w:val="001F3195"/>
    <w:rsid w:val="001F365C"/>
    <w:rsid w:val="001F756E"/>
    <w:rsid w:val="00210DA2"/>
    <w:rsid w:val="00216F01"/>
    <w:rsid w:val="0021731A"/>
    <w:rsid w:val="00221637"/>
    <w:rsid w:val="002220CE"/>
    <w:rsid w:val="00222370"/>
    <w:rsid w:val="002237FC"/>
    <w:rsid w:val="00225448"/>
    <w:rsid w:val="002267FF"/>
    <w:rsid w:val="00226FDE"/>
    <w:rsid w:val="002318F4"/>
    <w:rsid w:val="00236147"/>
    <w:rsid w:val="0023667D"/>
    <w:rsid w:val="00237544"/>
    <w:rsid w:val="00237A5A"/>
    <w:rsid w:val="00237FE9"/>
    <w:rsid w:val="00240267"/>
    <w:rsid w:val="00240399"/>
    <w:rsid w:val="002416A3"/>
    <w:rsid w:val="00241B75"/>
    <w:rsid w:val="00244D22"/>
    <w:rsid w:val="00246391"/>
    <w:rsid w:val="00247CBE"/>
    <w:rsid w:val="00250090"/>
    <w:rsid w:val="002500F8"/>
    <w:rsid w:val="00250332"/>
    <w:rsid w:val="0025204F"/>
    <w:rsid w:val="00252A08"/>
    <w:rsid w:val="00257785"/>
    <w:rsid w:val="00257D1B"/>
    <w:rsid w:val="002631CB"/>
    <w:rsid w:val="0026397C"/>
    <w:rsid w:val="002710F6"/>
    <w:rsid w:val="002729E3"/>
    <w:rsid w:val="002730A6"/>
    <w:rsid w:val="00273568"/>
    <w:rsid w:val="0027547A"/>
    <w:rsid w:val="00277066"/>
    <w:rsid w:val="002772D0"/>
    <w:rsid w:val="002773B1"/>
    <w:rsid w:val="0027757B"/>
    <w:rsid w:val="00277E05"/>
    <w:rsid w:val="0028003F"/>
    <w:rsid w:val="00280732"/>
    <w:rsid w:val="002822D2"/>
    <w:rsid w:val="0028391F"/>
    <w:rsid w:val="00285E53"/>
    <w:rsid w:val="00287A96"/>
    <w:rsid w:val="00290383"/>
    <w:rsid w:val="00294937"/>
    <w:rsid w:val="00297DF6"/>
    <w:rsid w:val="002A3A18"/>
    <w:rsid w:val="002A4477"/>
    <w:rsid w:val="002B17AF"/>
    <w:rsid w:val="002B3D4C"/>
    <w:rsid w:val="002B5B4E"/>
    <w:rsid w:val="002B6560"/>
    <w:rsid w:val="002B715E"/>
    <w:rsid w:val="002C0564"/>
    <w:rsid w:val="002C6332"/>
    <w:rsid w:val="002D02BC"/>
    <w:rsid w:val="002D2C33"/>
    <w:rsid w:val="002D4395"/>
    <w:rsid w:val="002D60CD"/>
    <w:rsid w:val="002D66CC"/>
    <w:rsid w:val="002D698B"/>
    <w:rsid w:val="002E1597"/>
    <w:rsid w:val="002E1760"/>
    <w:rsid w:val="002E22A7"/>
    <w:rsid w:val="002F1F17"/>
    <w:rsid w:val="002F447C"/>
    <w:rsid w:val="002F5028"/>
    <w:rsid w:val="002F6017"/>
    <w:rsid w:val="00304EC1"/>
    <w:rsid w:val="003100B1"/>
    <w:rsid w:val="0031029C"/>
    <w:rsid w:val="00310746"/>
    <w:rsid w:val="003122EE"/>
    <w:rsid w:val="0031321A"/>
    <w:rsid w:val="003160E3"/>
    <w:rsid w:val="0031682A"/>
    <w:rsid w:val="00316EC0"/>
    <w:rsid w:val="003170A1"/>
    <w:rsid w:val="00322DBC"/>
    <w:rsid w:val="003233E0"/>
    <w:rsid w:val="00323FCA"/>
    <w:rsid w:val="00324A03"/>
    <w:rsid w:val="00325750"/>
    <w:rsid w:val="00330369"/>
    <w:rsid w:val="0033161C"/>
    <w:rsid w:val="00333566"/>
    <w:rsid w:val="003403D9"/>
    <w:rsid w:val="00350EA8"/>
    <w:rsid w:val="0035239B"/>
    <w:rsid w:val="00355FA7"/>
    <w:rsid w:val="003573A6"/>
    <w:rsid w:val="0035766F"/>
    <w:rsid w:val="00360986"/>
    <w:rsid w:val="00361974"/>
    <w:rsid w:val="00362FE3"/>
    <w:rsid w:val="003635DE"/>
    <w:rsid w:val="00363F26"/>
    <w:rsid w:val="00366AEF"/>
    <w:rsid w:val="00367064"/>
    <w:rsid w:val="00371A98"/>
    <w:rsid w:val="003751A8"/>
    <w:rsid w:val="00376EAC"/>
    <w:rsid w:val="003859F4"/>
    <w:rsid w:val="003862F8"/>
    <w:rsid w:val="00386319"/>
    <w:rsid w:val="003900B0"/>
    <w:rsid w:val="00391A6D"/>
    <w:rsid w:val="00391B09"/>
    <w:rsid w:val="0039392A"/>
    <w:rsid w:val="00395038"/>
    <w:rsid w:val="003A0239"/>
    <w:rsid w:val="003A258F"/>
    <w:rsid w:val="003A2CDC"/>
    <w:rsid w:val="003A3E05"/>
    <w:rsid w:val="003A550F"/>
    <w:rsid w:val="003A60E3"/>
    <w:rsid w:val="003A6AA6"/>
    <w:rsid w:val="003A6BEE"/>
    <w:rsid w:val="003B1B1F"/>
    <w:rsid w:val="003B5021"/>
    <w:rsid w:val="003B5E55"/>
    <w:rsid w:val="003B65DE"/>
    <w:rsid w:val="003C55F4"/>
    <w:rsid w:val="003C6A8E"/>
    <w:rsid w:val="003C79FC"/>
    <w:rsid w:val="003D2EDC"/>
    <w:rsid w:val="003D66FA"/>
    <w:rsid w:val="003D7808"/>
    <w:rsid w:val="003E1074"/>
    <w:rsid w:val="003E4E19"/>
    <w:rsid w:val="003E5578"/>
    <w:rsid w:val="003E6A64"/>
    <w:rsid w:val="003E77A5"/>
    <w:rsid w:val="003F67AC"/>
    <w:rsid w:val="003F6E84"/>
    <w:rsid w:val="00402D0C"/>
    <w:rsid w:val="00404BBF"/>
    <w:rsid w:val="0040619A"/>
    <w:rsid w:val="0041163C"/>
    <w:rsid w:val="00412D0D"/>
    <w:rsid w:val="00413257"/>
    <w:rsid w:val="004153CC"/>
    <w:rsid w:val="004153DA"/>
    <w:rsid w:val="00424E52"/>
    <w:rsid w:val="0042561A"/>
    <w:rsid w:val="00427E76"/>
    <w:rsid w:val="004303BC"/>
    <w:rsid w:val="00430CA1"/>
    <w:rsid w:val="00432823"/>
    <w:rsid w:val="00437086"/>
    <w:rsid w:val="004401A7"/>
    <w:rsid w:val="00440A82"/>
    <w:rsid w:val="00444896"/>
    <w:rsid w:val="00444940"/>
    <w:rsid w:val="00444C09"/>
    <w:rsid w:val="0044596C"/>
    <w:rsid w:val="0044653C"/>
    <w:rsid w:val="00446696"/>
    <w:rsid w:val="00450B8C"/>
    <w:rsid w:val="004510F3"/>
    <w:rsid w:val="004522C5"/>
    <w:rsid w:val="00453D91"/>
    <w:rsid w:val="004546AB"/>
    <w:rsid w:val="00456724"/>
    <w:rsid w:val="00456A34"/>
    <w:rsid w:val="00463996"/>
    <w:rsid w:val="00464A4A"/>
    <w:rsid w:val="00465E22"/>
    <w:rsid w:val="0046610A"/>
    <w:rsid w:val="00470F06"/>
    <w:rsid w:val="004727AE"/>
    <w:rsid w:val="004727E5"/>
    <w:rsid w:val="004728D9"/>
    <w:rsid w:val="0047354B"/>
    <w:rsid w:val="00473C02"/>
    <w:rsid w:val="0047481F"/>
    <w:rsid w:val="00481991"/>
    <w:rsid w:val="00481D42"/>
    <w:rsid w:val="0048254F"/>
    <w:rsid w:val="00484DEE"/>
    <w:rsid w:val="00486591"/>
    <w:rsid w:val="00486815"/>
    <w:rsid w:val="0049104B"/>
    <w:rsid w:val="004919EE"/>
    <w:rsid w:val="004964D1"/>
    <w:rsid w:val="00496E6A"/>
    <w:rsid w:val="004975AD"/>
    <w:rsid w:val="004975F5"/>
    <w:rsid w:val="00497655"/>
    <w:rsid w:val="0049774D"/>
    <w:rsid w:val="004A0549"/>
    <w:rsid w:val="004A3458"/>
    <w:rsid w:val="004A532E"/>
    <w:rsid w:val="004A7069"/>
    <w:rsid w:val="004A72CF"/>
    <w:rsid w:val="004B4669"/>
    <w:rsid w:val="004B5CED"/>
    <w:rsid w:val="004C050D"/>
    <w:rsid w:val="004C0CC5"/>
    <w:rsid w:val="004C134C"/>
    <w:rsid w:val="004C2551"/>
    <w:rsid w:val="004C2590"/>
    <w:rsid w:val="004C5218"/>
    <w:rsid w:val="004D00A8"/>
    <w:rsid w:val="004D167B"/>
    <w:rsid w:val="004D3369"/>
    <w:rsid w:val="004D4623"/>
    <w:rsid w:val="004D6ECA"/>
    <w:rsid w:val="004E24A0"/>
    <w:rsid w:val="004E6C6B"/>
    <w:rsid w:val="004E7101"/>
    <w:rsid w:val="004E7881"/>
    <w:rsid w:val="004F0756"/>
    <w:rsid w:val="004F432E"/>
    <w:rsid w:val="004F4F05"/>
    <w:rsid w:val="004F64FE"/>
    <w:rsid w:val="004F6B99"/>
    <w:rsid w:val="004F703B"/>
    <w:rsid w:val="004F7A63"/>
    <w:rsid w:val="0050009F"/>
    <w:rsid w:val="00502D91"/>
    <w:rsid w:val="00512060"/>
    <w:rsid w:val="00512937"/>
    <w:rsid w:val="00514B43"/>
    <w:rsid w:val="00514BE4"/>
    <w:rsid w:val="00514F35"/>
    <w:rsid w:val="00515958"/>
    <w:rsid w:val="0051602D"/>
    <w:rsid w:val="0051699E"/>
    <w:rsid w:val="00516F32"/>
    <w:rsid w:val="00517318"/>
    <w:rsid w:val="00517CD2"/>
    <w:rsid w:val="00521936"/>
    <w:rsid w:val="00522400"/>
    <w:rsid w:val="005244C9"/>
    <w:rsid w:val="00525721"/>
    <w:rsid w:val="00526FC4"/>
    <w:rsid w:val="0053116C"/>
    <w:rsid w:val="00531A4B"/>
    <w:rsid w:val="005353EE"/>
    <w:rsid w:val="005359AA"/>
    <w:rsid w:val="005412B7"/>
    <w:rsid w:val="005427C8"/>
    <w:rsid w:val="00543C0D"/>
    <w:rsid w:val="005455BA"/>
    <w:rsid w:val="00545931"/>
    <w:rsid w:val="00545FF5"/>
    <w:rsid w:val="0055311C"/>
    <w:rsid w:val="00555058"/>
    <w:rsid w:val="00557379"/>
    <w:rsid w:val="00561457"/>
    <w:rsid w:val="00562A28"/>
    <w:rsid w:val="00563730"/>
    <w:rsid w:val="00563DF2"/>
    <w:rsid w:val="00565B97"/>
    <w:rsid w:val="005678DD"/>
    <w:rsid w:val="00572FC9"/>
    <w:rsid w:val="00581B5A"/>
    <w:rsid w:val="005917FE"/>
    <w:rsid w:val="005940EE"/>
    <w:rsid w:val="00595C33"/>
    <w:rsid w:val="005A052F"/>
    <w:rsid w:val="005A1111"/>
    <w:rsid w:val="005A357D"/>
    <w:rsid w:val="005A427F"/>
    <w:rsid w:val="005B1500"/>
    <w:rsid w:val="005B2654"/>
    <w:rsid w:val="005B5053"/>
    <w:rsid w:val="005B737F"/>
    <w:rsid w:val="005B7B1C"/>
    <w:rsid w:val="005C18FA"/>
    <w:rsid w:val="005C1C54"/>
    <w:rsid w:val="005C33AB"/>
    <w:rsid w:val="005C3E1C"/>
    <w:rsid w:val="005D0061"/>
    <w:rsid w:val="005D20C6"/>
    <w:rsid w:val="005D394C"/>
    <w:rsid w:val="005D5B1D"/>
    <w:rsid w:val="005D5F9F"/>
    <w:rsid w:val="005D604B"/>
    <w:rsid w:val="005D6285"/>
    <w:rsid w:val="005D7EBC"/>
    <w:rsid w:val="005E045B"/>
    <w:rsid w:val="005E287E"/>
    <w:rsid w:val="005E53FA"/>
    <w:rsid w:val="005E76EA"/>
    <w:rsid w:val="005F22E3"/>
    <w:rsid w:val="005F305A"/>
    <w:rsid w:val="005F7840"/>
    <w:rsid w:val="005F7AB2"/>
    <w:rsid w:val="00604594"/>
    <w:rsid w:val="006049DA"/>
    <w:rsid w:val="00606D80"/>
    <w:rsid w:val="006076DD"/>
    <w:rsid w:val="0061049A"/>
    <w:rsid w:val="00616908"/>
    <w:rsid w:val="00621D19"/>
    <w:rsid w:val="00624109"/>
    <w:rsid w:val="00625D6C"/>
    <w:rsid w:val="00626AEC"/>
    <w:rsid w:val="00627433"/>
    <w:rsid w:val="00630318"/>
    <w:rsid w:val="006429F5"/>
    <w:rsid w:val="0064420D"/>
    <w:rsid w:val="00655531"/>
    <w:rsid w:val="006564DD"/>
    <w:rsid w:val="00661059"/>
    <w:rsid w:val="00662411"/>
    <w:rsid w:val="00664645"/>
    <w:rsid w:val="006666FB"/>
    <w:rsid w:val="0067095F"/>
    <w:rsid w:val="006739E8"/>
    <w:rsid w:val="00673C4D"/>
    <w:rsid w:val="00674394"/>
    <w:rsid w:val="00674E40"/>
    <w:rsid w:val="006759A8"/>
    <w:rsid w:val="006777A6"/>
    <w:rsid w:val="00680BE5"/>
    <w:rsid w:val="006817B0"/>
    <w:rsid w:val="006821C2"/>
    <w:rsid w:val="00682626"/>
    <w:rsid w:val="00684A99"/>
    <w:rsid w:val="00686980"/>
    <w:rsid w:val="00691B61"/>
    <w:rsid w:val="00692A3B"/>
    <w:rsid w:val="00692C9A"/>
    <w:rsid w:val="006A23E3"/>
    <w:rsid w:val="006A6A51"/>
    <w:rsid w:val="006B323C"/>
    <w:rsid w:val="006B5432"/>
    <w:rsid w:val="006B5A37"/>
    <w:rsid w:val="006B6BC0"/>
    <w:rsid w:val="006B757D"/>
    <w:rsid w:val="006C2D12"/>
    <w:rsid w:val="006C38E5"/>
    <w:rsid w:val="006C6174"/>
    <w:rsid w:val="006C62E3"/>
    <w:rsid w:val="006C784F"/>
    <w:rsid w:val="006D5712"/>
    <w:rsid w:val="006E4961"/>
    <w:rsid w:val="00703CFC"/>
    <w:rsid w:val="00705708"/>
    <w:rsid w:val="00710896"/>
    <w:rsid w:val="00712F6F"/>
    <w:rsid w:val="007133BF"/>
    <w:rsid w:val="00715118"/>
    <w:rsid w:val="0072180D"/>
    <w:rsid w:val="00721D0D"/>
    <w:rsid w:val="00726E7F"/>
    <w:rsid w:val="00732DE0"/>
    <w:rsid w:val="00732E9C"/>
    <w:rsid w:val="00733A7C"/>
    <w:rsid w:val="007367C1"/>
    <w:rsid w:val="0074005F"/>
    <w:rsid w:val="00740E80"/>
    <w:rsid w:val="007417FC"/>
    <w:rsid w:val="007429C1"/>
    <w:rsid w:val="00743607"/>
    <w:rsid w:val="00745862"/>
    <w:rsid w:val="00753E51"/>
    <w:rsid w:val="00757FF5"/>
    <w:rsid w:val="007618BD"/>
    <w:rsid w:val="007636AD"/>
    <w:rsid w:val="0076483C"/>
    <w:rsid w:val="00764C39"/>
    <w:rsid w:val="007718C5"/>
    <w:rsid w:val="00772421"/>
    <w:rsid w:val="0077338F"/>
    <w:rsid w:val="00776124"/>
    <w:rsid w:val="00776F8C"/>
    <w:rsid w:val="00780745"/>
    <w:rsid w:val="00783DAE"/>
    <w:rsid w:val="00785174"/>
    <w:rsid w:val="00790881"/>
    <w:rsid w:val="0079380B"/>
    <w:rsid w:val="007972D0"/>
    <w:rsid w:val="007A61AF"/>
    <w:rsid w:val="007A6252"/>
    <w:rsid w:val="007A64A1"/>
    <w:rsid w:val="007A6FAC"/>
    <w:rsid w:val="007B3312"/>
    <w:rsid w:val="007B6895"/>
    <w:rsid w:val="007C037D"/>
    <w:rsid w:val="007C03F8"/>
    <w:rsid w:val="007C07E7"/>
    <w:rsid w:val="007C0BEB"/>
    <w:rsid w:val="007C44C5"/>
    <w:rsid w:val="007C4FC0"/>
    <w:rsid w:val="007D1B83"/>
    <w:rsid w:val="007D32CF"/>
    <w:rsid w:val="007D55F8"/>
    <w:rsid w:val="007D6E4B"/>
    <w:rsid w:val="007E1268"/>
    <w:rsid w:val="007F3C33"/>
    <w:rsid w:val="007F7991"/>
    <w:rsid w:val="007F7F81"/>
    <w:rsid w:val="00802E19"/>
    <w:rsid w:val="00806EB2"/>
    <w:rsid w:val="0080730D"/>
    <w:rsid w:val="008074CA"/>
    <w:rsid w:val="00810994"/>
    <w:rsid w:val="00812836"/>
    <w:rsid w:val="00813FB5"/>
    <w:rsid w:val="008141D7"/>
    <w:rsid w:val="00814C00"/>
    <w:rsid w:val="00814D08"/>
    <w:rsid w:val="00821308"/>
    <w:rsid w:val="008234F4"/>
    <w:rsid w:val="00824C95"/>
    <w:rsid w:val="008258AE"/>
    <w:rsid w:val="008260F7"/>
    <w:rsid w:val="00826944"/>
    <w:rsid w:val="008272F0"/>
    <w:rsid w:val="00827A12"/>
    <w:rsid w:val="0083054D"/>
    <w:rsid w:val="008324F0"/>
    <w:rsid w:val="00832968"/>
    <w:rsid w:val="00836075"/>
    <w:rsid w:val="0084000F"/>
    <w:rsid w:val="00841E92"/>
    <w:rsid w:val="0084236C"/>
    <w:rsid w:val="00842E63"/>
    <w:rsid w:val="00842F1E"/>
    <w:rsid w:val="00843F20"/>
    <w:rsid w:val="0084428A"/>
    <w:rsid w:val="00847FFA"/>
    <w:rsid w:val="0085112A"/>
    <w:rsid w:val="00854965"/>
    <w:rsid w:val="00856380"/>
    <w:rsid w:val="00856972"/>
    <w:rsid w:val="00856F04"/>
    <w:rsid w:val="00860DF1"/>
    <w:rsid w:val="008614BF"/>
    <w:rsid w:val="0086229B"/>
    <w:rsid w:val="0086588C"/>
    <w:rsid w:val="00866077"/>
    <w:rsid w:val="0086610B"/>
    <w:rsid w:val="008704FF"/>
    <w:rsid w:val="008706EE"/>
    <w:rsid w:val="008731DD"/>
    <w:rsid w:val="0087459D"/>
    <w:rsid w:val="00875D74"/>
    <w:rsid w:val="008767A5"/>
    <w:rsid w:val="00876FA1"/>
    <w:rsid w:val="00877E57"/>
    <w:rsid w:val="00882A24"/>
    <w:rsid w:val="00883646"/>
    <w:rsid w:val="00884B41"/>
    <w:rsid w:val="00886412"/>
    <w:rsid w:val="0089026F"/>
    <w:rsid w:val="008926B6"/>
    <w:rsid w:val="00893105"/>
    <w:rsid w:val="00897EEA"/>
    <w:rsid w:val="008A1FEB"/>
    <w:rsid w:val="008A3A97"/>
    <w:rsid w:val="008A3EA1"/>
    <w:rsid w:val="008A5CD5"/>
    <w:rsid w:val="008A7ADA"/>
    <w:rsid w:val="008B38F1"/>
    <w:rsid w:val="008B3994"/>
    <w:rsid w:val="008C02E1"/>
    <w:rsid w:val="008C0DB9"/>
    <w:rsid w:val="008C360B"/>
    <w:rsid w:val="008C61EA"/>
    <w:rsid w:val="008C70CB"/>
    <w:rsid w:val="008D2046"/>
    <w:rsid w:val="008D32EC"/>
    <w:rsid w:val="008D5C42"/>
    <w:rsid w:val="008D6166"/>
    <w:rsid w:val="008E0C25"/>
    <w:rsid w:val="008E1056"/>
    <w:rsid w:val="008E2AC9"/>
    <w:rsid w:val="008E4931"/>
    <w:rsid w:val="008E5457"/>
    <w:rsid w:val="008E54CA"/>
    <w:rsid w:val="008E582A"/>
    <w:rsid w:val="008E731D"/>
    <w:rsid w:val="008F1505"/>
    <w:rsid w:val="008F24AD"/>
    <w:rsid w:val="008F5FF9"/>
    <w:rsid w:val="008F6771"/>
    <w:rsid w:val="00900C39"/>
    <w:rsid w:val="00901E5B"/>
    <w:rsid w:val="00905D8C"/>
    <w:rsid w:val="009067BA"/>
    <w:rsid w:val="00906E65"/>
    <w:rsid w:val="009110FB"/>
    <w:rsid w:val="00911DD3"/>
    <w:rsid w:val="0092056D"/>
    <w:rsid w:val="00920A02"/>
    <w:rsid w:val="0092350B"/>
    <w:rsid w:val="00926CEC"/>
    <w:rsid w:val="00927E88"/>
    <w:rsid w:val="009355D5"/>
    <w:rsid w:val="00935E87"/>
    <w:rsid w:val="0093711D"/>
    <w:rsid w:val="0093713B"/>
    <w:rsid w:val="00937DFC"/>
    <w:rsid w:val="00941B3D"/>
    <w:rsid w:val="00943814"/>
    <w:rsid w:val="00951E52"/>
    <w:rsid w:val="00952E37"/>
    <w:rsid w:val="00953B4E"/>
    <w:rsid w:val="009550AF"/>
    <w:rsid w:val="00960152"/>
    <w:rsid w:val="00960AF4"/>
    <w:rsid w:val="00961CCB"/>
    <w:rsid w:val="009644ED"/>
    <w:rsid w:val="009653B8"/>
    <w:rsid w:val="00965594"/>
    <w:rsid w:val="00973889"/>
    <w:rsid w:val="00977AC8"/>
    <w:rsid w:val="009806C2"/>
    <w:rsid w:val="00981CF2"/>
    <w:rsid w:val="00985FDD"/>
    <w:rsid w:val="00986780"/>
    <w:rsid w:val="00992124"/>
    <w:rsid w:val="00994FB7"/>
    <w:rsid w:val="009A0CA6"/>
    <w:rsid w:val="009A2434"/>
    <w:rsid w:val="009A4E90"/>
    <w:rsid w:val="009A5D37"/>
    <w:rsid w:val="009A60E4"/>
    <w:rsid w:val="009B0BAA"/>
    <w:rsid w:val="009B17D2"/>
    <w:rsid w:val="009B4FDC"/>
    <w:rsid w:val="009B6074"/>
    <w:rsid w:val="009C2D80"/>
    <w:rsid w:val="009C4965"/>
    <w:rsid w:val="009C4DAB"/>
    <w:rsid w:val="009C5E21"/>
    <w:rsid w:val="009D0727"/>
    <w:rsid w:val="009D1623"/>
    <w:rsid w:val="009D2444"/>
    <w:rsid w:val="009D404A"/>
    <w:rsid w:val="009D5925"/>
    <w:rsid w:val="009D62B3"/>
    <w:rsid w:val="009D7064"/>
    <w:rsid w:val="009E1BD5"/>
    <w:rsid w:val="009E2E62"/>
    <w:rsid w:val="009E4C08"/>
    <w:rsid w:val="009E6AFC"/>
    <w:rsid w:val="009E7F4F"/>
    <w:rsid w:val="009F4EA4"/>
    <w:rsid w:val="00A02B83"/>
    <w:rsid w:val="00A06CCD"/>
    <w:rsid w:val="00A06F40"/>
    <w:rsid w:val="00A111E0"/>
    <w:rsid w:val="00A12120"/>
    <w:rsid w:val="00A13EC2"/>
    <w:rsid w:val="00A14841"/>
    <w:rsid w:val="00A17811"/>
    <w:rsid w:val="00A2071B"/>
    <w:rsid w:val="00A24CFD"/>
    <w:rsid w:val="00A26C0B"/>
    <w:rsid w:val="00A32005"/>
    <w:rsid w:val="00A33024"/>
    <w:rsid w:val="00A34650"/>
    <w:rsid w:val="00A34FED"/>
    <w:rsid w:val="00A37D05"/>
    <w:rsid w:val="00A44858"/>
    <w:rsid w:val="00A45E74"/>
    <w:rsid w:val="00A461C2"/>
    <w:rsid w:val="00A4716F"/>
    <w:rsid w:val="00A60ABE"/>
    <w:rsid w:val="00A625F4"/>
    <w:rsid w:val="00A62912"/>
    <w:rsid w:val="00A63C93"/>
    <w:rsid w:val="00A65ACE"/>
    <w:rsid w:val="00A66113"/>
    <w:rsid w:val="00A66145"/>
    <w:rsid w:val="00A666F3"/>
    <w:rsid w:val="00A677F0"/>
    <w:rsid w:val="00A73019"/>
    <w:rsid w:val="00A73A85"/>
    <w:rsid w:val="00A75F98"/>
    <w:rsid w:val="00A84DE4"/>
    <w:rsid w:val="00A90800"/>
    <w:rsid w:val="00A9081F"/>
    <w:rsid w:val="00A90B58"/>
    <w:rsid w:val="00A918E2"/>
    <w:rsid w:val="00A91B4E"/>
    <w:rsid w:val="00A97936"/>
    <w:rsid w:val="00AA2872"/>
    <w:rsid w:val="00AA2B3C"/>
    <w:rsid w:val="00AA33DC"/>
    <w:rsid w:val="00AB0214"/>
    <w:rsid w:val="00AB0259"/>
    <w:rsid w:val="00AB0C76"/>
    <w:rsid w:val="00AB2543"/>
    <w:rsid w:val="00AB2BE1"/>
    <w:rsid w:val="00AB316D"/>
    <w:rsid w:val="00AB52F2"/>
    <w:rsid w:val="00AB7C3D"/>
    <w:rsid w:val="00AC1F61"/>
    <w:rsid w:val="00AC3881"/>
    <w:rsid w:val="00AC59EB"/>
    <w:rsid w:val="00AC7AF8"/>
    <w:rsid w:val="00AD2419"/>
    <w:rsid w:val="00AD2C50"/>
    <w:rsid w:val="00AD2FC5"/>
    <w:rsid w:val="00AD6EB1"/>
    <w:rsid w:val="00AE171B"/>
    <w:rsid w:val="00AE1D0F"/>
    <w:rsid w:val="00AE22F3"/>
    <w:rsid w:val="00AE5EA8"/>
    <w:rsid w:val="00AF08A5"/>
    <w:rsid w:val="00AF21CA"/>
    <w:rsid w:val="00AF347E"/>
    <w:rsid w:val="00AF397E"/>
    <w:rsid w:val="00AF4946"/>
    <w:rsid w:val="00AF5DE2"/>
    <w:rsid w:val="00B01390"/>
    <w:rsid w:val="00B017CC"/>
    <w:rsid w:val="00B03154"/>
    <w:rsid w:val="00B03880"/>
    <w:rsid w:val="00B069E0"/>
    <w:rsid w:val="00B100E0"/>
    <w:rsid w:val="00B10C30"/>
    <w:rsid w:val="00B10C6F"/>
    <w:rsid w:val="00B1194C"/>
    <w:rsid w:val="00B14A77"/>
    <w:rsid w:val="00B1737A"/>
    <w:rsid w:val="00B210A5"/>
    <w:rsid w:val="00B2120B"/>
    <w:rsid w:val="00B22835"/>
    <w:rsid w:val="00B235C6"/>
    <w:rsid w:val="00B3073A"/>
    <w:rsid w:val="00B30A0F"/>
    <w:rsid w:val="00B311ED"/>
    <w:rsid w:val="00B320C1"/>
    <w:rsid w:val="00B360D2"/>
    <w:rsid w:val="00B3694B"/>
    <w:rsid w:val="00B404D3"/>
    <w:rsid w:val="00B42B97"/>
    <w:rsid w:val="00B43362"/>
    <w:rsid w:val="00B46A38"/>
    <w:rsid w:val="00B47FAD"/>
    <w:rsid w:val="00B50A58"/>
    <w:rsid w:val="00B519E2"/>
    <w:rsid w:val="00B52671"/>
    <w:rsid w:val="00B540C6"/>
    <w:rsid w:val="00B55C54"/>
    <w:rsid w:val="00B55CDE"/>
    <w:rsid w:val="00B61E00"/>
    <w:rsid w:val="00B62F56"/>
    <w:rsid w:val="00B66E3F"/>
    <w:rsid w:val="00B70060"/>
    <w:rsid w:val="00B72ABB"/>
    <w:rsid w:val="00B72B79"/>
    <w:rsid w:val="00B734BF"/>
    <w:rsid w:val="00B807F7"/>
    <w:rsid w:val="00B84049"/>
    <w:rsid w:val="00B8653F"/>
    <w:rsid w:val="00B921AE"/>
    <w:rsid w:val="00B9280C"/>
    <w:rsid w:val="00B94EEB"/>
    <w:rsid w:val="00B97441"/>
    <w:rsid w:val="00BA0788"/>
    <w:rsid w:val="00BA08CC"/>
    <w:rsid w:val="00BA1266"/>
    <w:rsid w:val="00BA2AE7"/>
    <w:rsid w:val="00BA4716"/>
    <w:rsid w:val="00BA52F9"/>
    <w:rsid w:val="00BA673B"/>
    <w:rsid w:val="00BA74D4"/>
    <w:rsid w:val="00BB0728"/>
    <w:rsid w:val="00BB0D08"/>
    <w:rsid w:val="00BB1341"/>
    <w:rsid w:val="00BB1B7C"/>
    <w:rsid w:val="00BB2136"/>
    <w:rsid w:val="00BB42F8"/>
    <w:rsid w:val="00BB5CCC"/>
    <w:rsid w:val="00BB5FDC"/>
    <w:rsid w:val="00BB65B2"/>
    <w:rsid w:val="00BC28A9"/>
    <w:rsid w:val="00BC55D7"/>
    <w:rsid w:val="00BD0909"/>
    <w:rsid w:val="00BD0B3E"/>
    <w:rsid w:val="00BD2795"/>
    <w:rsid w:val="00BD33FF"/>
    <w:rsid w:val="00BE0D25"/>
    <w:rsid w:val="00BE0D4B"/>
    <w:rsid w:val="00BE2FF2"/>
    <w:rsid w:val="00BE3A3A"/>
    <w:rsid w:val="00BE4720"/>
    <w:rsid w:val="00BE6FCE"/>
    <w:rsid w:val="00BF1E38"/>
    <w:rsid w:val="00BF1FBB"/>
    <w:rsid w:val="00BF34D9"/>
    <w:rsid w:val="00BF7870"/>
    <w:rsid w:val="00C011DD"/>
    <w:rsid w:val="00C018B9"/>
    <w:rsid w:val="00C02C35"/>
    <w:rsid w:val="00C0341C"/>
    <w:rsid w:val="00C0626D"/>
    <w:rsid w:val="00C079DF"/>
    <w:rsid w:val="00C11EF0"/>
    <w:rsid w:val="00C1217B"/>
    <w:rsid w:val="00C12B63"/>
    <w:rsid w:val="00C1322F"/>
    <w:rsid w:val="00C13387"/>
    <w:rsid w:val="00C14687"/>
    <w:rsid w:val="00C15D79"/>
    <w:rsid w:val="00C2049C"/>
    <w:rsid w:val="00C21A3B"/>
    <w:rsid w:val="00C25744"/>
    <w:rsid w:val="00C325A9"/>
    <w:rsid w:val="00C35085"/>
    <w:rsid w:val="00C359EC"/>
    <w:rsid w:val="00C36557"/>
    <w:rsid w:val="00C40CB2"/>
    <w:rsid w:val="00C4480D"/>
    <w:rsid w:val="00C44D3E"/>
    <w:rsid w:val="00C45979"/>
    <w:rsid w:val="00C469A6"/>
    <w:rsid w:val="00C46A6E"/>
    <w:rsid w:val="00C5221F"/>
    <w:rsid w:val="00C527FE"/>
    <w:rsid w:val="00C53968"/>
    <w:rsid w:val="00C55AEA"/>
    <w:rsid w:val="00C61B54"/>
    <w:rsid w:val="00C6420E"/>
    <w:rsid w:val="00C70C32"/>
    <w:rsid w:val="00C71BD4"/>
    <w:rsid w:val="00C736D1"/>
    <w:rsid w:val="00C73A1B"/>
    <w:rsid w:val="00C7406F"/>
    <w:rsid w:val="00C772A8"/>
    <w:rsid w:val="00C77B49"/>
    <w:rsid w:val="00C77ECF"/>
    <w:rsid w:val="00C80A99"/>
    <w:rsid w:val="00C81920"/>
    <w:rsid w:val="00C825CC"/>
    <w:rsid w:val="00C85609"/>
    <w:rsid w:val="00C91BF2"/>
    <w:rsid w:val="00C925DF"/>
    <w:rsid w:val="00C92F27"/>
    <w:rsid w:val="00C93F71"/>
    <w:rsid w:val="00C957E5"/>
    <w:rsid w:val="00CA0B64"/>
    <w:rsid w:val="00CA10C8"/>
    <w:rsid w:val="00CA1377"/>
    <w:rsid w:val="00CA6114"/>
    <w:rsid w:val="00CA76A5"/>
    <w:rsid w:val="00CB2D75"/>
    <w:rsid w:val="00CB4862"/>
    <w:rsid w:val="00CB54BB"/>
    <w:rsid w:val="00CC2B67"/>
    <w:rsid w:val="00CC62F2"/>
    <w:rsid w:val="00CC7E9B"/>
    <w:rsid w:val="00CC7F12"/>
    <w:rsid w:val="00CD0B23"/>
    <w:rsid w:val="00CD1133"/>
    <w:rsid w:val="00CD1ACB"/>
    <w:rsid w:val="00CD238B"/>
    <w:rsid w:val="00CD45B6"/>
    <w:rsid w:val="00CE05F6"/>
    <w:rsid w:val="00CE25B2"/>
    <w:rsid w:val="00CE2BA7"/>
    <w:rsid w:val="00CE70DA"/>
    <w:rsid w:val="00CF1C56"/>
    <w:rsid w:val="00CF2D61"/>
    <w:rsid w:val="00CF3A84"/>
    <w:rsid w:val="00CF3E8C"/>
    <w:rsid w:val="00CF4AA9"/>
    <w:rsid w:val="00CF6772"/>
    <w:rsid w:val="00CF6FAC"/>
    <w:rsid w:val="00D008E4"/>
    <w:rsid w:val="00D00F38"/>
    <w:rsid w:val="00D01D81"/>
    <w:rsid w:val="00D05D55"/>
    <w:rsid w:val="00D14240"/>
    <w:rsid w:val="00D179FE"/>
    <w:rsid w:val="00D24240"/>
    <w:rsid w:val="00D3010F"/>
    <w:rsid w:val="00D30582"/>
    <w:rsid w:val="00D32237"/>
    <w:rsid w:val="00D34BE9"/>
    <w:rsid w:val="00D3698D"/>
    <w:rsid w:val="00D41538"/>
    <w:rsid w:val="00D423F9"/>
    <w:rsid w:val="00D451F9"/>
    <w:rsid w:val="00D47198"/>
    <w:rsid w:val="00D47B21"/>
    <w:rsid w:val="00D50BA4"/>
    <w:rsid w:val="00D51BB4"/>
    <w:rsid w:val="00D528CB"/>
    <w:rsid w:val="00D52E64"/>
    <w:rsid w:val="00D545F9"/>
    <w:rsid w:val="00D546BA"/>
    <w:rsid w:val="00D554A9"/>
    <w:rsid w:val="00D60249"/>
    <w:rsid w:val="00D629BB"/>
    <w:rsid w:val="00D66ED8"/>
    <w:rsid w:val="00D676B9"/>
    <w:rsid w:val="00D700F9"/>
    <w:rsid w:val="00D725CA"/>
    <w:rsid w:val="00D75A40"/>
    <w:rsid w:val="00D76B22"/>
    <w:rsid w:val="00D77E3D"/>
    <w:rsid w:val="00D82BFA"/>
    <w:rsid w:val="00D83BDE"/>
    <w:rsid w:val="00D842B7"/>
    <w:rsid w:val="00D84C10"/>
    <w:rsid w:val="00D87BE6"/>
    <w:rsid w:val="00D94FA5"/>
    <w:rsid w:val="00D95FB3"/>
    <w:rsid w:val="00D96876"/>
    <w:rsid w:val="00D96C6B"/>
    <w:rsid w:val="00DA032D"/>
    <w:rsid w:val="00DA0B62"/>
    <w:rsid w:val="00DA24C1"/>
    <w:rsid w:val="00DB6227"/>
    <w:rsid w:val="00DB6F20"/>
    <w:rsid w:val="00DC0B47"/>
    <w:rsid w:val="00DC2923"/>
    <w:rsid w:val="00DC3C32"/>
    <w:rsid w:val="00DC469F"/>
    <w:rsid w:val="00DC4EB3"/>
    <w:rsid w:val="00DC4F0D"/>
    <w:rsid w:val="00DC6A52"/>
    <w:rsid w:val="00DD0DE7"/>
    <w:rsid w:val="00DD71BE"/>
    <w:rsid w:val="00DE1077"/>
    <w:rsid w:val="00DE3350"/>
    <w:rsid w:val="00DE50FC"/>
    <w:rsid w:val="00DF3D23"/>
    <w:rsid w:val="00DF3DD7"/>
    <w:rsid w:val="00DF5732"/>
    <w:rsid w:val="00E012B7"/>
    <w:rsid w:val="00E0597B"/>
    <w:rsid w:val="00E05F6E"/>
    <w:rsid w:val="00E06676"/>
    <w:rsid w:val="00E07512"/>
    <w:rsid w:val="00E07991"/>
    <w:rsid w:val="00E11685"/>
    <w:rsid w:val="00E12BFA"/>
    <w:rsid w:val="00E151F8"/>
    <w:rsid w:val="00E1775F"/>
    <w:rsid w:val="00E208B7"/>
    <w:rsid w:val="00E23EAB"/>
    <w:rsid w:val="00E32866"/>
    <w:rsid w:val="00E37045"/>
    <w:rsid w:val="00E4196F"/>
    <w:rsid w:val="00E433DF"/>
    <w:rsid w:val="00E473AD"/>
    <w:rsid w:val="00E473F4"/>
    <w:rsid w:val="00E53121"/>
    <w:rsid w:val="00E53D1D"/>
    <w:rsid w:val="00E54495"/>
    <w:rsid w:val="00E57192"/>
    <w:rsid w:val="00E57AD6"/>
    <w:rsid w:val="00E60D9D"/>
    <w:rsid w:val="00E616B8"/>
    <w:rsid w:val="00E656C2"/>
    <w:rsid w:val="00E67876"/>
    <w:rsid w:val="00E67D62"/>
    <w:rsid w:val="00E70B8A"/>
    <w:rsid w:val="00E75AF2"/>
    <w:rsid w:val="00E80DF9"/>
    <w:rsid w:val="00E826AE"/>
    <w:rsid w:val="00E82BBA"/>
    <w:rsid w:val="00E838D4"/>
    <w:rsid w:val="00E86CE4"/>
    <w:rsid w:val="00E87B4D"/>
    <w:rsid w:val="00E91BD2"/>
    <w:rsid w:val="00E94B51"/>
    <w:rsid w:val="00E95B48"/>
    <w:rsid w:val="00E95E9F"/>
    <w:rsid w:val="00EA2D2E"/>
    <w:rsid w:val="00EA4BCA"/>
    <w:rsid w:val="00EA7384"/>
    <w:rsid w:val="00EB213A"/>
    <w:rsid w:val="00EB4B1A"/>
    <w:rsid w:val="00EB4CFC"/>
    <w:rsid w:val="00EB6774"/>
    <w:rsid w:val="00EC7AC9"/>
    <w:rsid w:val="00ED1019"/>
    <w:rsid w:val="00ED1749"/>
    <w:rsid w:val="00ED228B"/>
    <w:rsid w:val="00ED2645"/>
    <w:rsid w:val="00ED34F5"/>
    <w:rsid w:val="00ED3681"/>
    <w:rsid w:val="00ED4B1C"/>
    <w:rsid w:val="00ED5399"/>
    <w:rsid w:val="00ED69D8"/>
    <w:rsid w:val="00ED7D9A"/>
    <w:rsid w:val="00EE33D1"/>
    <w:rsid w:val="00EE52DB"/>
    <w:rsid w:val="00EE6843"/>
    <w:rsid w:val="00EE6F47"/>
    <w:rsid w:val="00EF260E"/>
    <w:rsid w:val="00EF398B"/>
    <w:rsid w:val="00EF4059"/>
    <w:rsid w:val="00EF4077"/>
    <w:rsid w:val="00EF65B4"/>
    <w:rsid w:val="00F05DB1"/>
    <w:rsid w:val="00F06069"/>
    <w:rsid w:val="00F06BD9"/>
    <w:rsid w:val="00F12290"/>
    <w:rsid w:val="00F1240F"/>
    <w:rsid w:val="00F136F9"/>
    <w:rsid w:val="00F14280"/>
    <w:rsid w:val="00F213C8"/>
    <w:rsid w:val="00F216FE"/>
    <w:rsid w:val="00F22536"/>
    <w:rsid w:val="00F25255"/>
    <w:rsid w:val="00F32514"/>
    <w:rsid w:val="00F3342D"/>
    <w:rsid w:val="00F33F85"/>
    <w:rsid w:val="00F3681E"/>
    <w:rsid w:val="00F3709D"/>
    <w:rsid w:val="00F43528"/>
    <w:rsid w:val="00F45EED"/>
    <w:rsid w:val="00F475F2"/>
    <w:rsid w:val="00F503C6"/>
    <w:rsid w:val="00F50DA6"/>
    <w:rsid w:val="00F5412B"/>
    <w:rsid w:val="00F54977"/>
    <w:rsid w:val="00F60118"/>
    <w:rsid w:val="00F6099D"/>
    <w:rsid w:val="00F61CD4"/>
    <w:rsid w:val="00F61F5E"/>
    <w:rsid w:val="00F637B0"/>
    <w:rsid w:val="00F65359"/>
    <w:rsid w:val="00F65F68"/>
    <w:rsid w:val="00F66B43"/>
    <w:rsid w:val="00F70B6C"/>
    <w:rsid w:val="00F71632"/>
    <w:rsid w:val="00F74E0F"/>
    <w:rsid w:val="00F76FAE"/>
    <w:rsid w:val="00F80113"/>
    <w:rsid w:val="00F83579"/>
    <w:rsid w:val="00F90A9B"/>
    <w:rsid w:val="00F913B4"/>
    <w:rsid w:val="00F933E5"/>
    <w:rsid w:val="00F93533"/>
    <w:rsid w:val="00F9727E"/>
    <w:rsid w:val="00FA2542"/>
    <w:rsid w:val="00FA2B60"/>
    <w:rsid w:val="00FA30CD"/>
    <w:rsid w:val="00FA5F1E"/>
    <w:rsid w:val="00FB08D4"/>
    <w:rsid w:val="00FB6BBE"/>
    <w:rsid w:val="00FC4D33"/>
    <w:rsid w:val="00FD0756"/>
    <w:rsid w:val="00FD156B"/>
    <w:rsid w:val="00FD32CA"/>
    <w:rsid w:val="00FE196D"/>
    <w:rsid w:val="00FE7892"/>
    <w:rsid w:val="00FF4C01"/>
    <w:rsid w:val="00FF5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CF57C7"/>
  <w15:chartTrackingRefBased/>
  <w15:docId w15:val="{209492AF-24FA-40AC-AFAF-4D780DBA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B8"/>
    <w:pPr>
      <w:spacing w:before="120"/>
    </w:pPr>
    <w:rPr>
      <w:color w:val="413832" w:themeColor="text1"/>
      <w:sz w:val="21"/>
      <w:szCs w:val="21"/>
    </w:rPr>
  </w:style>
  <w:style w:type="paragraph" w:styleId="Heading1">
    <w:name w:val="heading 1"/>
    <w:basedOn w:val="Normal"/>
    <w:next w:val="Normal"/>
    <w:link w:val="Heading1Char"/>
    <w:qFormat/>
    <w:rsid w:val="00911DD3"/>
    <w:pPr>
      <w:spacing w:before="480" w:after="180"/>
      <w:outlineLvl w:val="0"/>
    </w:pPr>
    <w:rPr>
      <w:sz w:val="42"/>
      <w:szCs w:val="42"/>
    </w:rPr>
  </w:style>
  <w:style w:type="paragraph" w:styleId="Heading2">
    <w:name w:val="heading 2"/>
    <w:basedOn w:val="Normal"/>
    <w:next w:val="Normal"/>
    <w:link w:val="Heading2Char"/>
    <w:unhideWhenUsed/>
    <w:qFormat/>
    <w:rsid w:val="00BF1E38"/>
    <w:pPr>
      <w:keepNext/>
      <w:keepLines/>
      <w:snapToGrid w:val="0"/>
      <w:spacing w:before="300"/>
      <w:outlineLvl w:val="1"/>
    </w:pPr>
    <w:rPr>
      <w:rFonts w:asciiTheme="majorHAnsi" w:eastAsiaTheme="majorEastAsia" w:hAnsiTheme="majorHAnsi" w:cstheme="majorBidi"/>
      <w:b/>
      <w:color w:val="D25622" w:themeColor="accent2"/>
      <w:sz w:val="24"/>
      <w:szCs w:val="24"/>
    </w:rPr>
  </w:style>
  <w:style w:type="paragraph" w:styleId="Heading3">
    <w:name w:val="heading 3"/>
    <w:basedOn w:val="Heading2"/>
    <w:next w:val="Normal"/>
    <w:link w:val="Heading3Char"/>
    <w:unhideWhenUsed/>
    <w:qFormat/>
    <w:rsid w:val="00911DD3"/>
    <w:pPr>
      <w:outlineLvl w:val="2"/>
    </w:pPr>
    <w:rPr>
      <w:color w:val="413832" w:themeColor="text1"/>
      <w:sz w:val="21"/>
      <w:szCs w:val="21"/>
    </w:rPr>
  </w:style>
  <w:style w:type="paragraph" w:styleId="Heading4">
    <w:name w:val="heading 4"/>
    <w:basedOn w:val="Heading3"/>
    <w:next w:val="Normal"/>
    <w:link w:val="Heading4Char"/>
    <w:unhideWhenUsed/>
    <w:qFormat/>
    <w:rsid w:val="00911DD3"/>
    <w:pPr>
      <w:outlineLvl w:val="3"/>
    </w:pPr>
    <w:rPr>
      <w:b w:val="0"/>
      <w:i/>
      <w:color w:val="D25622" w:themeColor="accent2"/>
    </w:rPr>
  </w:style>
  <w:style w:type="paragraph" w:styleId="Heading5">
    <w:name w:val="heading 5"/>
    <w:basedOn w:val="Heading4"/>
    <w:next w:val="Normal"/>
    <w:link w:val="Heading5Char"/>
    <w:unhideWhenUsed/>
    <w:qFormat/>
    <w:rsid w:val="00911DD3"/>
    <w:pPr>
      <w:outlineLvl w:val="4"/>
    </w:pPr>
    <w:rPr>
      <w:color w:val="413832" w:themeColor="text1"/>
    </w:rPr>
  </w:style>
  <w:style w:type="paragraph" w:styleId="Heading6">
    <w:name w:val="heading 6"/>
    <w:basedOn w:val="Heading5"/>
    <w:next w:val="Normal"/>
    <w:link w:val="Heading6Char"/>
    <w:uiPriority w:val="9"/>
    <w:unhideWhenUsed/>
    <w:qFormat/>
    <w:rsid w:val="00911DD3"/>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1DD3"/>
    <w:rPr>
      <w:rFonts w:asciiTheme="majorHAnsi" w:eastAsiaTheme="majorEastAsia" w:hAnsiTheme="majorHAnsi" w:cstheme="majorBidi"/>
      <w:i/>
      <w:color w:val="D25622" w:themeColor="accent2"/>
      <w:sz w:val="21"/>
      <w:szCs w:val="21"/>
    </w:rPr>
  </w:style>
  <w:style w:type="character" w:customStyle="1" w:styleId="Heading5Char">
    <w:name w:val="Heading 5 Char"/>
    <w:basedOn w:val="DefaultParagraphFont"/>
    <w:link w:val="Heading5"/>
    <w:uiPriority w:val="9"/>
    <w:rsid w:val="00911DD3"/>
    <w:rPr>
      <w:rFonts w:asciiTheme="majorHAnsi" w:eastAsiaTheme="majorEastAsia" w:hAnsiTheme="majorHAnsi" w:cstheme="majorBidi"/>
      <w:i/>
      <w:color w:val="413832" w:themeColor="text1"/>
      <w:sz w:val="21"/>
      <w:szCs w:val="21"/>
    </w:rPr>
  </w:style>
  <w:style w:type="character" w:customStyle="1" w:styleId="Heading6Char">
    <w:name w:val="Heading 6 Char"/>
    <w:basedOn w:val="DefaultParagraphFont"/>
    <w:link w:val="Heading6"/>
    <w:uiPriority w:val="9"/>
    <w:rsid w:val="00911DD3"/>
    <w:rPr>
      <w:rFonts w:asciiTheme="majorHAnsi" w:eastAsiaTheme="majorEastAsia" w:hAnsiTheme="majorHAnsi" w:cstheme="majorBidi"/>
      <w:i/>
      <w:color w:val="413832" w:themeColor="text1"/>
      <w:sz w:val="21"/>
      <w:szCs w:val="21"/>
    </w:rPr>
  </w:style>
  <w:style w:type="paragraph" w:styleId="Footer">
    <w:name w:val="footer"/>
    <w:basedOn w:val="Normal"/>
    <w:link w:val="FooterChar"/>
    <w:uiPriority w:val="99"/>
    <w:unhideWhenUsed/>
    <w:qFormat/>
    <w:rsid w:val="00DC469F"/>
    <w:pPr>
      <w:tabs>
        <w:tab w:val="center" w:pos="4513"/>
        <w:tab w:val="right" w:pos="9026"/>
      </w:tabs>
      <w:spacing w:before="0" w:line="216" w:lineRule="exact"/>
    </w:pPr>
    <w:rPr>
      <w:color w:val="D25622" w:themeColor="accent2"/>
      <w:sz w:val="18"/>
      <w:szCs w:val="18"/>
    </w:rPr>
  </w:style>
  <w:style w:type="character" w:customStyle="1" w:styleId="FooterChar">
    <w:name w:val="Footer Char"/>
    <w:basedOn w:val="DefaultParagraphFont"/>
    <w:link w:val="Footer"/>
    <w:uiPriority w:val="99"/>
    <w:rsid w:val="00DC469F"/>
    <w:rPr>
      <w:color w:val="D25622" w:themeColor="accent2"/>
      <w:sz w:val="18"/>
      <w:szCs w:val="18"/>
    </w:rPr>
  </w:style>
  <w:style w:type="character" w:styleId="PageNumber">
    <w:name w:val="page number"/>
    <w:basedOn w:val="DefaultParagraphFont"/>
    <w:uiPriority w:val="99"/>
    <w:semiHidden/>
    <w:unhideWhenUsed/>
    <w:rsid w:val="00DC469F"/>
  </w:style>
  <w:style w:type="paragraph" w:customStyle="1" w:styleId="CoverTitle">
    <w:name w:val="Cover Title"/>
    <w:basedOn w:val="Normal"/>
    <w:qFormat/>
    <w:rsid w:val="00A66145"/>
    <w:rPr>
      <w:noProof/>
      <w:sz w:val="66"/>
      <w:szCs w:val="66"/>
    </w:rPr>
  </w:style>
  <w:style w:type="paragraph" w:customStyle="1" w:styleId="CoverSubtitle">
    <w:name w:val="Cover Subtitle"/>
    <w:basedOn w:val="Normal"/>
    <w:qFormat/>
    <w:rsid w:val="00A66145"/>
    <w:pPr>
      <w:spacing w:before="300"/>
    </w:pPr>
    <w:rPr>
      <w:color w:val="D25622" w:themeColor="accent2"/>
      <w:sz w:val="42"/>
      <w:szCs w:val="42"/>
    </w:rPr>
  </w:style>
  <w:style w:type="character" w:customStyle="1" w:styleId="Heading1Char">
    <w:name w:val="Heading 1 Char"/>
    <w:basedOn w:val="DefaultParagraphFont"/>
    <w:link w:val="Heading1"/>
    <w:uiPriority w:val="9"/>
    <w:rsid w:val="00911DD3"/>
    <w:rPr>
      <w:color w:val="413832" w:themeColor="text1"/>
      <w:sz w:val="42"/>
      <w:szCs w:val="42"/>
    </w:rPr>
  </w:style>
  <w:style w:type="paragraph" w:styleId="TOCHeading">
    <w:name w:val="TOC Heading"/>
    <w:basedOn w:val="Heading1"/>
    <w:next w:val="Normal"/>
    <w:uiPriority w:val="39"/>
    <w:unhideWhenUsed/>
    <w:qFormat/>
    <w:rsid w:val="00366AEF"/>
    <w:pPr>
      <w:outlineLvl w:val="9"/>
    </w:pPr>
    <w:rPr>
      <w:bCs/>
      <w:color w:val="D25622" w:themeColor="accent2"/>
      <w:szCs w:val="28"/>
      <w:lang w:val="en-US"/>
    </w:rPr>
  </w:style>
  <w:style w:type="paragraph" w:styleId="TOC1">
    <w:name w:val="toc 1"/>
    <w:basedOn w:val="Normal"/>
    <w:next w:val="Normal"/>
    <w:uiPriority w:val="39"/>
    <w:unhideWhenUsed/>
    <w:qFormat/>
    <w:rsid w:val="00F54977"/>
    <w:pPr>
      <w:spacing w:before="180" w:after="60"/>
    </w:pPr>
    <w:rPr>
      <w:rFonts w:cstheme="minorHAnsi"/>
      <w:bCs/>
      <w:szCs w:val="20"/>
    </w:rPr>
  </w:style>
  <w:style w:type="paragraph" w:styleId="TOC2">
    <w:name w:val="toc 2"/>
    <w:basedOn w:val="Normal"/>
    <w:next w:val="Normal"/>
    <w:uiPriority w:val="39"/>
    <w:unhideWhenUsed/>
    <w:qFormat/>
    <w:rsid w:val="00CD0B23"/>
    <w:pPr>
      <w:spacing w:before="60"/>
      <w:ind w:left="142"/>
    </w:pPr>
    <w:rPr>
      <w:rFonts w:cstheme="minorHAnsi"/>
      <w:iCs/>
      <w:szCs w:val="20"/>
    </w:rPr>
  </w:style>
  <w:style w:type="paragraph" w:customStyle="1" w:styleId="TableText">
    <w:name w:val="Table Text"/>
    <w:basedOn w:val="Normal"/>
    <w:qFormat/>
    <w:rsid w:val="00BF1E38"/>
    <w:pPr>
      <w:spacing w:before="0"/>
    </w:pPr>
    <w:rPr>
      <w:sz w:val="18"/>
      <w:szCs w:val="18"/>
    </w:rPr>
  </w:style>
  <w:style w:type="table" w:customStyle="1" w:styleId="TangentyereTable">
    <w:name w:val="Tangentyere Table"/>
    <w:basedOn w:val="TableNormal"/>
    <w:uiPriority w:val="99"/>
    <w:rsid w:val="00BF1E38"/>
    <w:rPr>
      <w:sz w:val="16"/>
    </w:rPr>
    <w:tblPr>
      <w:tblStyleRowBandSize w:val="1"/>
      <w:tblStyleColBandSize w:val="1"/>
      <w:tblCellMar>
        <w:top w:w="113" w:type="dxa"/>
        <w:bottom w:w="113" w:type="dxa"/>
      </w:tblCellMar>
    </w:tblPr>
    <w:tcPr>
      <w:shd w:val="clear" w:color="auto" w:fill="auto"/>
    </w:tcPr>
    <w:tblStylePr w:type="firstRow">
      <w:rPr>
        <w:rFonts w:asciiTheme="minorHAnsi" w:hAnsiTheme="minorHAnsi"/>
        <w:b/>
        <w:color w:val="FFFFFF"/>
        <w:sz w:val="16"/>
      </w:rPr>
      <w:tblPr/>
      <w:tcPr>
        <w:tcBorders>
          <w:top w:val="single" w:sz="4" w:space="0" w:color="D25622" w:themeColor="accent2"/>
          <w:left w:val="single" w:sz="4" w:space="0" w:color="D25622" w:themeColor="accent2"/>
          <w:bottom w:val="single" w:sz="4" w:space="0" w:color="D25622" w:themeColor="accent2"/>
          <w:right w:val="single" w:sz="4" w:space="0" w:color="D25622" w:themeColor="accent2"/>
          <w:insideH w:val="single" w:sz="4" w:space="0" w:color="D25622" w:themeColor="accent2"/>
          <w:insideV w:val="single" w:sz="4" w:space="0" w:color="D25622" w:themeColor="accent2"/>
        </w:tcBorders>
        <w:shd w:val="clear" w:color="auto" w:fill="D25622" w:themeFill="accent2"/>
      </w:tcPr>
    </w:tblStylePr>
    <w:tblStylePr w:type="band1Horz">
      <w:rPr>
        <w:rFonts w:asciiTheme="minorHAnsi" w:hAnsiTheme="minorHAnsi"/>
        <w:sz w:val="16"/>
      </w:rPr>
      <w:tblPr/>
      <w:tcPr>
        <w:tcBorders>
          <w:top w:val="nil"/>
          <w:left w:val="nil"/>
          <w:bottom w:val="nil"/>
          <w:right w:val="nil"/>
          <w:insideH w:val="nil"/>
          <w:insideV w:val="single" w:sz="4" w:space="0" w:color="FFFFFF" w:themeColor="background1"/>
          <w:tl2br w:val="nil"/>
          <w:tr2bl w:val="nil"/>
        </w:tcBorders>
        <w:shd w:val="clear" w:color="auto" w:fill="F2F2F2" w:themeFill="background1" w:themeFillShade="F2"/>
      </w:tcPr>
    </w:tblStylePr>
    <w:tblStylePr w:type="band2Horz">
      <w:rPr>
        <w:rFonts w:asciiTheme="minorHAnsi" w:hAnsiTheme="minorHAnsi"/>
        <w:sz w:val="16"/>
      </w:rPr>
      <w:tblPr/>
      <w:tcPr>
        <w:tcBorders>
          <w:top w:val="nil"/>
          <w:left w:val="nil"/>
          <w:bottom w:val="nil"/>
          <w:right w:val="nil"/>
          <w:insideH w:val="nil"/>
          <w:insideV w:val="single" w:sz="2" w:space="0" w:color="FFFFFF" w:themeColor="background1"/>
          <w:tl2br w:val="nil"/>
          <w:tr2bl w:val="nil"/>
        </w:tcBorders>
        <w:shd w:val="clear" w:color="auto" w:fill="D9D9D9" w:themeFill="background1" w:themeFillShade="D9"/>
      </w:tcPr>
    </w:tblStylePr>
  </w:style>
  <w:style w:type="paragraph" w:customStyle="1" w:styleId="TableCaption">
    <w:name w:val="Table Caption"/>
    <w:basedOn w:val="Normal"/>
    <w:qFormat/>
    <w:rsid w:val="00210DA2"/>
    <w:pPr>
      <w:spacing w:before="300" w:after="60"/>
    </w:pPr>
    <w:rPr>
      <w:b/>
      <w:sz w:val="18"/>
      <w:szCs w:val="18"/>
    </w:rPr>
  </w:style>
  <w:style w:type="paragraph" w:customStyle="1" w:styleId="DocumentReference">
    <w:name w:val="Document Reference"/>
    <w:basedOn w:val="Normal"/>
    <w:qFormat/>
    <w:rsid w:val="003D2EDC"/>
    <w:pPr>
      <w:spacing w:before="30"/>
    </w:pPr>
  </w:style>
  <w:style w:type="paragraph" w:styleId="Header">
    <w:name w:val="header"/>
    <w:basedOn w:val="Normal"/>
    <w:link w:val="HeaderChar"/>
    <w:uiPriority w:val="99"/>
    <w:unhideWhenUsed/>
    <w:qFormat/>
    <w:rsid w:val="003D2EDC"/>
    <w:pPr>
      <w:tabs>
        <w:tab w:val="center" w:pos="4513"/>
        <w:tab w:val="right" w:pos="9026"/>
      </w:tabs>
      <w:spacing w:before="0"/>
    </w:pPr>
  </w:style>
  <w:style w:type="character" w:customStyle="1" w:styleId="HeaderChar">
    <w:name w:val="Header Char"/>
    <w:basedOn w:val="DefaultParagraphFont"/>
    <w:link w:val="Header"/>
    <w:uiPriority w:val="99"/>
    <w:rsid w:val="003D2EDC"/>
    <w:rPr>
      <w:color w:val="413832" w:themeColor="text1"/>
      <w:sz w:val="21"/>
      <w:szCs w:val="21"/>
    </w:rPr>
  </w:style>
  <w:style w:type="paragraph" w:styleId="ListParagraph">
    <w:name w:val="List Paragraph"/>
    <w:aliases w:val="First level bullet point,List Paragraph1,List Paragraph11,Bullet point,Recommendation,List Paragraph Number,List paragraph,figure text numbered,L,CV text,Table text,F5 List Paragraph,Dot pt,Medium Grid 1 - Accent 21,List Paragraph111"/>
    <w:basedOn w:val="Normal"/>
    <w:link w:val="ListParagraphChar"/>
    <w:uiPriority w:val="34"/>
    <w:qFormat/>
    <w:rsid w:val="00CD0B23"/>
    <w:pPr>
      <w:numPr>
        <w:numId w:val="1"/>
      </w:numPr>
      <w:spacing w:before="60"/>
    </w:pPr>
  </w:style>
  <w:style w:type="paragraph" w:customStyle="1" w:styleId="IntroParagraph">
    <w:name w:val="Intro Paragraph"/>
    <w:basedOn w:val="Normal"/>
    <w:qFormat/>
    <w:rsid w:val="00210DA2"/>
    <w:pPr>
      <w:spacing w:before="240" w:after="240"/>
    </w:pPr>
    <w:rPr>
      <w:color w:val="D25622" w:themeColor="accent2"/>
      <w:sz w:val="24"/>
      <w:szCs w:val="24"/>
    </w:rPr>
  </w:style>
  <w:style w:type="paragraph" w:customStyle="1" w:styleId="CoverDate">
    <w:name w:val="Cover Date"/>
    <w:basedOn w:val="Footer"/>
    <w:qFormat/>
    <w:rsid w:val="00CD0B23"/>
    <w:rPr>
      <w:b/>
    </w:rPr>
  </w:style>
  <w:style w:type="character" w:customStyle="1" w:styleId="Heading2Char">
    <w:name w:val="Heading 2 Char"/>
    <w:basedOn w:val="DefaultParagraphFont"/>
    <w:link w:val="Heading2"/>
    <w:uiPriority w:val="9"/>
    <w:rsid w:val="00BF1E38"/>
    <w:rPr>
      <w:rFonts w:asciiTheme="majorHAnsi" w:eastAsiaTheme="majorEastAsia" w:hAnsiTheme="majorHAnsi" w:cstheme="majorBidi"/>
      <w:b/>
      <w:color w:val="D25622" w:themeColor="accent2"/>
    </w:rPr>
  </w:style>
  <w:style w:type="paragraph" w:customStyle="1" w:styleId="Sub-Header">
    <w:name w:val="Sub-Header"/>
    <w:basedOn w:val="Normal"/>
    <w:qFormat/>
    <w:rsid w:val="009653B8"/>
    <w:pPr>
      <w:spacing w:before="240"/>
    </w:pPr>
    <w:rPr>
      <w:b/>
    </w:rPr>
  </w:style>
  <w:style w:type="character" w:customStyle="1" w:styleId="Heading3Char">
    <w:name w:val="Heading 3 Char"/>
    <w:basedOn w:val="DefaultParagraphFont"/>
    <w:link w:val="Heading3"/>
    <w:uiPriority w:val="9"/>
    <w:rsid w:val="00911DD3"/>
    <w:rPr>
      <w:rFonts w:asciiTheme="majorHAnsi" w:eastAsiaTheme="majorEastAsia" w:hAnsiTheme="majorHAnsi" w:cstheme="majorBidi"/>
      <w:b/>
      <w:color w:val="413832" w:themeColor="text1"/>
      <w:sz w:val="21"/>
      <w:szCs w:val="21"/>
    </w:rPr>
  </w:style>
  <w:style w:type="character" w:styleId="Hyperlink">
    <w:name w:val="Hyperlink"/>
    <w:basedOn w:val="DefaultParagraphFont"/>
    <w:uiPriority w:val="99"/>
    <w:unhideWhenUsed/>
    <w:qFormat/>
    <w:rsid w:val="00CD0B23"/>
    <w:rPr>
      <w:color w:val="D25622" w:themeColor="hyperlink"/>
      <w:u w:val="single"/>
    </w:rPr>
  </w:style>
  <w:style w:type="numbering" w:styleId="111111">
    <w:name w:val="Outline List 2"/>
    <w:basedOn w:val="NoList"/>
    <w:uiPriority w:val="99"/>
    <w:semiHidden/>
    <w:unhideWhenUsed/>
    <w:rsid w:val="00CD0B23"/>
    <w:pPr>
      <w:numPr>
        <w:numId w:val="2"/>
      </w:numPr>
    </w:pPr>
  </w:style>
  <w:style w:type="paragraph" w:customStyle="1" w:styleId="NumberedParagraph">
    <w:name w:val="Numbered Paragraph"/>
    <w:basedOn w:val="ListParagraph"/>
    <w:qFormat/>
    <w:rsid w:val="00F54977"/>
    <w:pPr>
      <w:numPr>
        <w:numId w:val="3"/>
      </w:numPr>
    </w:pPr>
  </w:style>
  <w:style w:type="table" w:styleId="TableGrid">
    <w:name w:val="Table Grid"/>
    <w:basedOn w:val="TableNormal"/>
    <w:uiPriority w:val="59"/>
    <w:rsid w:val="004A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4">
    <w:name w:val="Grid Table 3 Accent 4"/>
    <w:basedOn w:val="TableNormal"/>
    <w:uiPriority w:val="48"/>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D" w:themeFill="accent4" w:themeFillTint="33"/>
      </w:tcPr>
    </w:tblStylePr>
    <w:tblStylePr w:type="band1Horz">
      <w:tblPr/>
      <w:tcPr>
        <w:shd w:val="clear" w:color="auto" w:fill="FAF4DD" w:themeFill="accent4" w:themeFillTint="33"/>
      </w:tcPr>
    </w:tblStylePr>
    <w:tblStylePr w:type="neCell">
      <w:tblPr/>
      <w:tcPr>
        <w:tcBorders>
          <w:bottom w:val="single" w:sz="4" w:space="0" w:color="F0E09A" w:themeColor="accent4" w:themeTint="99"/>
        </w:tcBorders>
      </w:tcPr>
    </w:tblStylePr>
    <w:tblStylePr w:type="nwCell">
      <w:tblPr/>
      <w:tcPr>
        <w:tcBorders>
          <w:bottom w:val="single" w:sz="4" w:space="0" w:color="F0E09A" w:themeColor="accent4" w:themeTint="99"/>
        </w:tcBorders>
      </w:tcPr>
    </w:tblStylePr>
    <w:tblStylePr w:type="seCell">
      <w:tblPr/>
      <w:tcPr>
        <w:tcBorders>
          <w:top w:val="single" w:sz="4" w:space="0" w:color="F0E09A" w:themeColor="accent4" w:themeTint="99"/>
        </w:tcBorders>
      </w:tcPr>
    </w:tblStylePr>
    <w:tblStylePr w:type="swCell">
      <w:tblPr/>
      <w:tcPr>
        <w:tcBorders>
          <w:top w:val="single" w:sz="4" w:space="0" w:color="F0E09A" w:themeColor="accent4" w:themeTint="99"/>
        </w:tcBorders>
      </w:tcPr>
    </w:tblStylePr>
  </w:style>
  <w:style w:type="table" w:styleId="GridTable4-Accent4">
    <w:name w:val="Grid Table 4 Accent 4"/>
    <w:basedOn w:val="TableNormal"/>
    <w:uiPriority w:val="49"/>
    <w:rsid w:val="004A7069"/>
    <w:tblPr>
      <w:tblStyleRowBandSize w:val="1"/>
      <w:tblStyleColBandSize w:val="1"/>
      <w:tblBorders>
        <w:top w:val="single" w:sz="4" w:space="0" w:color="F0E09A" w:themeColor="accent4" w:themeTint="99"/>
        <w:left w:val="single" w:sz="4" w:space="0" w:color="F0E09A" w:themeColor="accent4" w:themeTint="99"/>
        <w:bottom w:val="single" w:sz="4" w:space="0" w:color="F0E09A" w:themeColor="accent4" w:themeTint="99"/>
        <w:right w:val="single" w:sz="4" w:space="0" w:color="F0E09A" w:themeColor="accent4" w:themeTint="99"/>
        <w:insideH w:val="single" w:sz="4" w:space="0" w:color="F0E09A" w:themeColor="accent4" w:themeTint="99"/>
        <w:insideV w:val="single" w:sz="4" w:space="0" w:color="F0E09A" w:themeColor="accent4" w:themeTint="99"/>
      </w:tblBorders>
    </w:tblPr>
    <w:tblStylePr w:type="firstRow">
      <w:rPr>
        <w:b/>
        <w:bCs/>
        <w:color w:val="FFFFFF" w:themeColor="background1"/>
      </w:rPr>
      <w:tblPr/>
      <w:tcPr>
        <w:tcBorders>
          <w:top w:val="single" w:sz="4" w:space="0" w:color="E6CC58" w:themeColor="accent4"/>
          <w:left w:val="single" w:sz="4" w:space="0" w:color="E6CC58" w:themeColor="accent4"/>
          <w:bottom w:val="single" w:sz="4" w:space="0" w:color="E6CC58" w:themeColor="accent4"/>
          <w:right w:val="single" w:sz="4" w:space="0" w:color="E6CC58" w:themeColor="accent4"/>
          <w:insideH w:val="nil"/>
          <w:insideV w:val="nil"/>
        </w:tcBorders>
        <w:shd w:val="clear" w:color="auto" w:fill="E6CC58" w:themeFill="accent4"/>
      </w:tcPr>
    </w:tblStylePr>
    <w:tblStylePr w:type="lastRow">
      <w:rPr>
        <w:b/>
        <w:bCs/>
      </w:rPr>
      <w:tblPr/>
      <w:tcPr>
        <w:tcBorders>
          <w:top w:val="double" w:sz="4" w:space="0" w:color="E6CC58" w:themeColor="accent4"/>
        </w:tcBorders>
      </w:tcPr>
    </w:tblStylePr>
    <w:tblStylePr w:type="firstCol">
      <w:rPr>
        <w:b/>
        <w:bCs/>
      </w:rPr>
    </w:tblStylePr>
    <w:tblStylePr w:type="lastCol">
      <w:rPr>
        <w:b/>
        <w:bCs/>
      </w:rPr>
    </w:tblStylePr>
    <w:tblStylePr w:type="band1Vert">
      <w:tblPr/>
      <w:tcPr>
        <w:shd w:val="clear" w:color="auto" w:fill="FAF4DD" w:themeFill="accent4" w:themeFillTint="33"/>
      </w:tcPr>
    </w:tblStylePr>
    <w:tblStylePr w:type="band1Horz">
      <w:tblPr/>
      <w:tcPr>
        <w:shd w:val="clear" w:color="auto" w:fill="FAF4DD" w:themeFill="accent4" w:themeFillTint="33"/>
      </w:tcPr>
    </w:tblStylePr>
  </w:style>
  <w:style w:type="paragraph" w:styleId="TOC3">
    <w:name w:val="toc 3"/>
    <w:basedOn w:val="Normal"/>
    <w:next w:val="Normal"/>
    <w:autoRedefine/>
    <w:uiPriority w:val="39"/>
    <w:unhideWhenUsed/>
    <w:rsid w:val="0031321A"/>
    <w:pPr>
      <w:spacing w:after="100"/>
      <w:ind w:left="420"/>
    </w:pPr>
  </w:style>
  <w:style w:type="table" w:styleId="GridTable4-Accent1">
    <w:name w:val="Grid Table 4 Accent 1"/>
    <w:basedOn w:val="TableNormal"/>
    <w:uiPriority w:val="49"/>
    <w:rsid w:val="008D2046"/>
    <w:tblPr>
      <w:tblStyleRowBandSize w:val="1"/>
      <w:tblStyleColBandSize w:val="1"/>
      <w:tblBorders>
        <w:top w:val="single" w:sz="4" w:space="0" w:color="F45637" w:themeColor="accent1" w:themeTint="99"/>
        <w:left w:val="single" w:sz="4" w:space="0" w:color="F45637" w:themeColor="accent1" w:themeTint="99"/>
        <w:bottom w:val="single" w:sz="4" w:space="0" w:color="F45637" w:themeColor="accent1" w:themeTint="99"/>
        <w:right w:val="single" w:sz="4" w:space="0" w:color="F45637" w:themeColor="accent1" w:themeTint="99"/>
        <w:insideH w:val="single" w:sz="4" w:space="0" w:color="F45637" w:themeColor="accent1" w:themeTint="99"/>
        <w:insideV w:val="single" w:sz="4" w:space="0" w:color="F45637" w:themeColor="accent1" w:themeTint="99"/>
      </w:tblBorders>
    </w:tblPr>
    <w:tblStylePr w:type="firstRow">
      <w:rPr>
        <w:b/>
        <w:bCs/>
        <w:color w:val="FFFFFF" w:themeColor="background1"/>
      </w:rPr>
      <w:tblPr/>
      <w:tcPr>
        <w:tcBorders>
          <w:top w:val="single" w:sz="4" w:space="0" w:color="992008" w:themeColor="accent1"/>
          <w:left w:val="single" w:sz="4" w:space="0" w:color="992008" w:themeColor="accent1"/>
          <w:bottom w:val="single" w:sz="4" w:space="0" w:color="992008" w:themeColor="accent1"/>
          <w:right w:val="single" w:sz="4" w:space="0" w:color="992008" w:themeColor="accent1"/>
          <w:insideH w:val="nil"/>
          <w:insideV w:val="nil"/>
        </w:tcBorders>
        <w:shd w:val="clear" w:color="auto" w:fill="992008" w:themeFill="accent1"/>
      </w:tcPr>
    </w:tblStylePr>
    <w:tblStylePr w:type="lastRow">
      <w:rPr>
        <w:b/>
        <w:bCs/>
      </w:rPr>
      <w:tblPr/>
      <w:tcPr>
        <w:tcBorders>
          <w:top w:val="double" w:sz="4" w:space="0" w:color="992008" w:themeColor="accent1"/>
        </w:tcBorders>
      </w:tcPr>
    </w:tblStylePr>
    <w:tblStylePr w:type="firstCol">
      <w:rPr>
        <w:b/>
        <w:bCs/>
      </w:rPr>
    </w:tblStylePr>
    <w:tblStylePr w:type="lastCol">
      <w:rPr>
        <w:b/>
        <w:bCs/>
      </w:rPr>
    </w:tblStylePr>
    <w:tblStylePr w:type="band1Vert">
      <w:tblPr/>
      <w:tcPr>
        <w:shd w:val="clear" w:color="auto" w:fill="FBC6BC" w:themeFill="accent1" w:themeFillTint="33"/>
      </w:tcPr>
    </w:tblStylePr>
    <w:tblStylePr w:type="band1Horz">
      <w:tblPr/>
      <w:tcPr>
        <w:shd w:val="clear" w:color="auto" w:fill="FBC6BC" w:themeFill="accent1" w:themeFillTint="33"/>
      </w:tcPr>
    </w:tblStylePr>
  </w:style>
  <w:style w:type="paragraph" w:customStyle="1" w:styleId="ListParagraphLevel2">
    <w:name w:val="List Paragraph Level 2"/>
    <w:basedOn w:val="ListParagraph"/>
    <w:qFormat/>
    <w:rsid w:val="00E012B7"/>
    <w:pPr>
      <w:numPr>
        <w:numId w:val="4"/>
      </w:numPr>
      <w:ind w:left="568" w:hanging="284"/>
    </w:pPr>
  </w:style>
  <w:style w:type="paragraph" w:styleId="BalloonText">
    <w:name w:val="Balloon Text"/>
    <w:basedOn w:val="Normal"/>
    <w:link w:val="BalloonTextChar"/>
    <w:uiPriority w:val="99"/>
    <w:semiHidden/>
    <w:unhideWhenUsed/>
    <w:rsid w:val="00310746"/>
    <w:pPr>
      <w:spacing w:before="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0746"/>
    <w:rPr>
      <w:rFonts w:ascii="Times New Roman" w:hAnsi="Times New Roman" w:cs="Times New Roman"/>
      <w:color w:val="413832" w:themeColor="text1"/>
      <w:sz w:val="18"/>
      <w:szCs w:val="18"/>
    </w:rPr>
  </w:style>
  <w:style w:type="paragraph" w:customStyle="1" w:styleId="NumberedParagraphLevel2">
    <w:name w:val="Numbered Paragraph Level 2"/>
    <w:basedOn w:val="NumberedParagraph"/>
    <w:qFormat/>
    <w:rsid w:val="008E731D"/>
    <w:pPr>
      <w:numPr>
        <w:ilvl w:val="1"/>
        <w:numId w:val="5"/>
      </w:numPr>
    </w:pPr>
  </w:style>
  <w:style w:type="paragraph" w:customStyle="1" w:styleId="CoverAuthor">
    <w:name w:val="Cover Author"/>
    <w:basedOn w:val="Normal"/>
    <w:qFormat/>
    <w:rsid w:val="00A66145"/>
    <w:pPr>
      <w:spacing w:before="840"/>
    </w:pPr>
  </w:style>
  <w:style w:type="character" w:styleId="Emphasis">
    <w:name w:val="Emphasis"/>
    <w:basedOn w:val="DefaultParagraphFont"/>
    <w:uiPriority w:val="20"/>
    <w:qFormat/>
    <w:rsid w:val="00BB0D08"/>
    <w:rPr>
      <w:i/>
      <w:iCs/>
    </w:rPr>
  </w:style>
  <w:style w:type="paragraph" w:styleId="EndnoteText">
    <w:name w:val="endnote text"/>
    <w:basedOn w:val="Normal"/>
    <w:link w:val="EndnoteTextChar"/>
    <w:uiPriority w:val="99"/>
    <w:unhideWhenUsed/>
    <w:rsid w:val="00C25744"/>
    <w:pPr>
      <w:spacing w:before="0"/>
    </w:pPr>
    <w:rPr>
      <w:color w:val="auto"/>
      <w:sz w:val="20"/>
      <w:szCs w:val="20"/>
    </w:rPr>
  </w:style>
  <w:style w:type="character" w:customStyle="1" w:styleId="EndnoteTextChar">
    <w:name w:val="Endnote Text Char"/>
    <w:basedOn w:val="DefaultParagraphFont"/>
    <w:link w:val="EndnoteText"/>
    <w:uiPriority w:val="99"/>
    <w:rsid w:val="00C25744"/>
    <w:rPr>
      <w:sz w:val="20"/>
      <w:szCs w:val="20"/>
    </w:rPr>
  </w:style>
  <w:style w:type="character" w:styleId="EndnoteReference">
    <w:name w:val="endnote reference"/>
    <w:basedOn w:val="DefaultParagraphFont"/>
    <w:uiPriority w:val="99"/>
    <w:semiHidden/>
    <w:unhideWhenUsed/>
    <w:rsid w:val="00C25744"/>
    <w:rPr>
      <w:vertAlign w:val="superscript"/>
    </w:rPr>
  </w:style>
  <w:style w:type="character" w:customStyle="1" w:styleId="apple-converted-space">
    <w:name w:val="apple-converted-space"/>
    <w:basedOn w:val="DefaultParagraphFont"/>
    <w:rsid w:val="00826944"/>
  </w:style>
  <w:style w:type="character" w:customStyle="1" w:styleId="lookup-resultcontent">
    <w:name w:val="lookup-result__content"/>
    <w:basedOn w:val="DefaultParagraphFont"/>
    <w:rsid w:val="00826944"/>
  </w:style>
  <w:style w:type="paragraph" w:styleId="NormalWeb">
    <w:name w:val="Normal (Web)"/>
    <w:basedOn w:val="Normal"/>
    <w:uiPriority w:val="99"/>
    <w:unhideWhenUsed/>
    <w:rsid w:val="008E54CA"/>
    <w:pPr>
      <w:spacing w:before="100" w:beforeAutospacing="1" w:after="100" w:afterAutospacing="1"/>
    </w:pPr>
    <w:rPr>
      <w:rFonts w:ascii="Calibri" w:hAnsi="Calibri" w:cs="Calibri"/>
      <w:color w:val="auto"/>
      <w:sz w:val="22"/>
      <w:szCs w:val="22"/>
      <w:lang w:eastAsia="en-AU"/>
    </w:rPr>
  </w:style>
  <w:style w:type="character" w:customStyle="1" w:styleId="ListParagraphChar">
    <w:name w:val="List Paragraph Char"/>
    <w:aliases w:val="First level bullet point Char,List Paragraph1 Char,List Paragraph11 Char,Bullet point Char,Recommendation Char,List Paragraph Number Char,List paragraph Char,figure text numbered Char,L Char,CV text Char,Table text Char,Dot pt Char"/>
    <w:basedOn w:val="DefaultParagraphFont"/>
    <w:link w:val="ListParagraph"/>
    <w:uiPriority w:val="34"/>
    <w:locked/>
    <w:rsid w:val="008E54CA"/>
    <w:rPr>
      <w:color w:val="413832" w:themeColor="text1"/>
      <w:sz w:val="21"/>
      <w:szCs w:val="21"/>
    </w:rPr>
  </w:style>
  <w:style w:type="paragraph" w:customStyle="1" w:styleId="MediumGrid21">
    <w:name w:val="Medium Grid 21"/>
    <w:uiPriority w:val="99"/>
    <w:rsid w:val="008E54CA"/>
    <w:rPr>
      <w:rFonts w:ascii="Calibri" w:eastAsia="Times New Roman" w:hAnsi="Calibri" w:cs="Times New Roman"/>
      <w:sz w:val="22"/>
      <w:szCs w:val="22"/>
    </w:rPr>
  </w:style>
  <w:style w:type="character" w:customStyle="1" w:styleId="markskzmf8dp1">
    <w:name w:val="markskzmf8dp1"/>
    <w:basedOn w:val="DefaultParagraphFont"/>
    <w:rsid w:val="005B1500"/>
  </w:style>
  <w:style w:type="character" w:customStyle="1" w:styleId="mark50vw7h58c">
    <w:name w:val="mark50vw7h58c"/>
    <w:basedOn w:val="DefaultParagraphFont"/>
    <w:rsid w:val="005B1500"/>
  </w:style>
  <w:style w:type="paragraph" w:styleId="PlainText">
    <w:name w:val="Plain Text"/>
    <w:basedOn w:val="Normal"/>
    <w:link w:val="PlainTextChar"/>
    <w:uiPriority w:val="99"/>
    <w:semiHidden/>
    <w:rsid w:val="003635DE"/>
    <w:pPr>
      <w:spacing w:before="0" w:after="120"/>
    </w:pPr>
    <w:rPr>
      <w:rFonts w:ascii="Courier New" w:eastAsia="Calibri" w:hAnsi="Courier New" w:cs="Courier New"/>
      <w:color w:val="000000"/>
      <w:sz w:val="20"/>
      <w:szCs w:val="20"/>
      <w:lang w:eastAsia="en-AU"/>
    </w:rPr>
  </w:style>
  <w:style w:type="character" w:customStyle="1" w:styleId="PlainTextChar">
    <w:name w:val="Plain Text Char"/>
    <w:basedOn w:val="DefaultParagraphFont"/>
    <w:link w:val="PlainText"/>
    <w:uiPriority w:val="99"/>
    <w:semiHidden/>
    <w:rsid w:val="003635DE"/>
    <w:rPr>
      <w:rFonts w:ascii="Courier New" w:eastAsia="Calibri" w:hAnsi="Courier New" w:cs="Courier New"/>
      <w:color w:val="000000"/>
      <w:sz w:val="20"/>
      <w:szCs w:val="20"/>
      <w:lang w:eastAsia="en-AU"/>
    </w:rPr>
  </w:style>
  <w:style w:type="paragraph" w:customStyle="1" w:styleId="NumberLevel1">
    <w:name w:val="Number Level 1"/>
    <w:aliases w:val="N1"/>
    <w:basedOn w:val="Normal"/>
    <w:uiPriority w:val="1"/>
    <w:rsid w:val="00107E14"/>
    <w:pPr>
      <w:numPr>
        <w:numId w:val="6"/>
      </w:numPr>
      <w:spacing w:before="140" w:after="140" w:line="280" w:lineRule="atLeast"/>
    </w:pPr>
    <w:rPr>
      <w:rFonts w:ascii="Arial" w:hAnsi="Arial" w:cs="Arial"/>
      <w:color w:val="auto"/>
      <w:sz w:val="22"/>
      <w:szCs w:val="22"/>
      <w:lang w:eastAsia="en-AU"/>
    </w:rPr>
  </w:style>
  <w:style w:type="paragraph" w:customStyle="1" w:styleId="NumberLevel2">
    <w:name w:val="Number Level 2"/>
    <w:aliases w:val="N2"/>
    <w:basedOn w:val="Normal"/>
    <w:uiPriority w:val="1"/>
    <w:rsid w:val="00107E14"/>
    <w:pPr>
      <w:numPr>
        <w:ilvl w:val="1"/>
        <w:numId w:val="6"/>
      </w:numPr>
      <w:spacing w:before="140" w:after="140" w:line="280" w:lineRule="atLeast"/>
    </w:pPr>
    <w:rPr>
      <w:rFonts w:ascii="Arial" w:hAnsi="Arial" w:cs="Arial"/>
      <w:color w:val="auto"/>
      <w:sz w:val="22"/>
      <w:szCs w:val="22"/>
      <w:lang w:eastAsia="en-AU"/>
    </w:rPr>
  </w:style>
  <w:style w:type="paragraph" w:customStyle="1" w:styleId="NumberLevel3">
    <w:name w:val="Number Level 3"/>
    <w:aliases w:val="N3"/>
    <w:basedOn w:val="Normal"/>
    <w:uiPriority w:val="1"/>
    <w:rsid w:val="00107E14"/>
    <w:pPr>
      <w:numPr>
        <w:ilvl w:val="2"/>
        <w:numId w:val="6"/>
      </w:numPr>
      <w:spacing w:before="140" w:after="140" w:line="280" w:lineRule="atLeast"/>
    </w:pPr>
    <w:rPr>
      <w:rFonts w:ascii="Arial" w:hAnsi="Arial" w:cs="Arial"/>
      <w:color w:val="auto"/>
      <w:sz w:val="22"/>
      <w:szCs w:val="22"/>
      <w:lang w:eastAsia="en-AU"/>
    </w:rPr>
  </w:style>
  <w:style w:type="paragraph" w:customStyle="1" w:styleId="NumberLevel4">
    <w:name w:val="Number Level 4"/>
    <w:aliases w:val="N4"/>
    <w:basedOn w:val="Normal"/>
    <w:uiPriority w:val="1"/>
    <w:rsid w:val="00107E14"/>
    <w:pPr>
      <w:numPr>
        <w:ilvl w:val="3"/>
        <w:numId w:val="6"/>
      </w:numPr>
      <w:spacing w:before="0" w:after="140" w:line="280" w:lineRule="atLeast"/>
    </w:pPr>
    <w:rPr>
      <w:rFonts w:ascii="Arial" w:hAnsi="Arial" w:cs="Arial"/>
      <w:color w:val="auto"/>
      <w:sz w:val="22"/>
      <w:szCs w:val="22"/>
      <w:lang w:eastAsia="en-AU"/>
    </w:rPr>
  </w:style>
  <w:style w:type="paragraph" w:customStyle="1" w:styleId="NumberLevel5">
    <w:name w:val="Number Level 5"/>
    <w:aliases w:val="N5"/>
    <w:basedOn w:val="Normal"/>
    <w:uiPriority w:val="1"/>
    <w:rsid w:val="00107E14"/>
    <w:pPr>
      <w:numPr>
        <w:ilvl w:val="4"/>
        <w:numId w:val="6"/>
      </w:numPr>
      <w:spacing w:before="0" w:after="140" w:line="280" w:lineRule="atLeast"/>
    </w:pPr>
    <w:rPr>
      <w:rFonts w:ascii="Arial" w:hAnsi="Arial" w:cs="Arial"/>
      <w:color w:val="auto"/>
      <w:sz w:val="22"/>
      <w:szCs w:val="22"/>
      <w:lang w:eastAsia="en-AU"/>
    </w:rPr>
  </w:style>
  <w:style w:type="paragraph" w:customStyle="1" w:styleId="NumberLevel6">
    <w:name w:val="Number Level 6"/>
    <w:basedOn w:val="Normal"/>
    <w:uiPriority w:val="1"/>
    <w:rsid w:val="00107E14"/>
    <w:pPr>
      <w:numPr>
        <w:ilvl w:val="5"/>
        <w:numId w:val="6"/>
      </w:numPr>
      <w:spacing w:before="0" w:after="140" w:line="280" w:lineRule="atLeast"/>
    </w:pPr>
    <w:rPr>
      <w:rFonts w:ascii="Arial" w:hAnsi="Arial" w:cs="Arial"/>
      <w:color w:val="auto"/>
      <w:sz w:val="22"/>
      <w:szCs w:val="22"/>
      <w:lang w:eastAsia="en-AU"/>
    </w:rPr>
  </w:style>
  <w:style w:type="paragraph" w:customStyle="1" w:styleId="NumberLevel7">
    <w:name w:val="Number Level 7"/>
    <w:basedOn w:val="Normal"/>
    <w:uiPriority w:val="1"/>
    <w:rsid w:val="00107E14"/>
    <w:pPr>
      <w:numPr>
        <w:ilvl w:val="6"/>
        <w:numId w:val="6"/>
      </w:numPr>
      <w:spacing w:before="0" w:after="140" w:line="280" w:lineRule="atLeast"/>
    </w:pPr>
    <w:rPr>
      <w:rFonts w:ascii="Arial" w:hAnsi="Arial" w:cs="Arial"/>
      <w:color w:val="auto"/>
      <w:sz w:val="22"/>
      <w:szCs w:val="22"/>
      <w:lang w:eastAsia="en-AU"/>
    </w:rPr>
  </w:style>
  <w:style w:type="paragraph" w:customStyle="1" w:styleId="NumberLevel8">
    <w:name w:val="Number Level 8"/>
    <w:basedOn w:val="Normal"/>
    <w:uiPriority w:val="1"/>
    <w:rsid w:val="00107E14"/>
    <w:pPr>
      <w:numPr>
        <w:ilvl w:val="7"/>
        <w:numId w:val="6"/>
      </w:numPr>
      <w:spacing w:before="0" w:after="140" w:line="280" w:lineRule="atLeast"/>
    </w:pPr>
    <w:rPr>
      <w:rFonts w:ascii="Arial" w:hAnsi="Arial" w:cs="Arial"/>
      <w:color w:val="auto"/>
      <w:sz w:val="22"/>
      <w:szCs w:val="22"/>
      <w:lang w:eastAsia="en-AU"/>
    </w:rPr>
  </w:style>
  <w:style w:type="paragraph" w:customStyle="1" w:styleId="NumberLevel9">
    <w:name w:val="Number Level 9"/>
    <w:basedOn w:val="Normal"/>
    <w:uiPriority w:val="1"/>
    <w:rsid w:val="00107E14"/>
    <w:pPr>
      <w:numPr>
        <w:ilvl w:val="8"/>
        <w:numId w:val="6"/>
      </w:numPr>
      <w:spacing w:before="0" w:after="140" w:line="280" w:lineRule="atLeast"/>
    </w:pPr>
    <w:rPr>
      <w:rFonts w:ascii="Arial" w:hAnsi="Arial" w:cs="Arial"/>
      <w:color w:val="auto"/>
      <w:sz w:val="22"/>
      <w:szCs w:val="22"/>
      <w:lang w:eastAsia="en-AU"/>
    </w:rPr>
  </w:style>
  <w:style w:type="paragraph" w:customStyle="1" w:styleId="Default">
    <w:name w:val="Default"/>
    <w:rsid w:val="0051602D"/>
    <w:pPr>
      <w:widowControl w:val="0"/>
      <w:autoSpaceDE w:val="0"/>
      <w:autoSpaceDN w:val="0"/>
      <w:adjustRightInd w:val="0"/>
    </w:pPr>
    <w:rPr>
      <w:rFonts w:ascii="Garamond" w:eastAsia="Times New Roman" w:hAnsi="Garamond" w:cs="Garamond"/>
      <w:color w:val="000000"/>
      <w:lang w:val="en-US" w:bidi="en-US"/>
    </w:rPr>
  </w:style>
  <w:style w:type="paragraph" w:styleId="FootnoteText">
    <w:name w:val="footnote text"/>
    <w:basedOn w:val="Normal"/>
    <w:link w:val="FootnoteTextChar"/>
    <w:semiHidden/>
    <w:unhideWhenUsed/>
    <w:rsid w:val="00CA10C8"/>
    <w:pPr>
      <w:spacing w:before="0"/>
    </w:pPr>
    <w:rPr>
      <w:sz w:val="20"/>
      <w:szCs w:val="20"/>
    </w:rPr>
  </w:style>
  <w:style w:type="character" w:customStyle="1" w:styleId="FootnoteTextChar">
    <w:name w:val="Footnote Text Char"/>
    <w:basedOn w:val="DefaultParagraphFont"/>
    <w:link w:val="FootnoteText"/>
    <w:uiPriority w:val="99"/>
    <w:semiHidden/>
    <w:rsid w:val="00CA10C8"/>
    <w:rPr>
      <w:color w:val="413832" w:themeColor="text1"/>
      <w:sz w:val="20"/>
      <w:szCs w:val="20"/>
    </w:rPr>
  </w:style>
  <w:style w:type="character" w:styleId="FootnoteReference">
    <w:name w:val="footnote reference"/>
    <w:basedOn w:val="DefaultParagraphFont"/>
    <w:semiHidden/>
    <w:unhideWhenUsed/>
    <w:rsid w:val="00CA10C8"/>
    <w:rPr>
      <w:vertAlign w:val="superscript"/>
    </w:rPr>
  </w:style>
  <w:style w:type="character" w:styleId="FollowedHyperlink">
    <w:name w:val="FollowedHyperlink"/>
    <w:basedOn w:val="DefaultParagraphFont"/>
    <w:uiPriority w:val="99"/>
    <w:semiHidden/>
    <w:unhideWhenUsed/>
    <w:rsid w:val="007A6252"/>
    <w:rPr>
      <w:color w:val="954F72"/>
      <w:u w:val="single"/>
    </w:rPr>
  </w:style>
  <w:style w:type="paragraph" w:customStyle="1" w:styleId="msonormal0">
    <w:name w:val="msonormal"/>
    <w:basedOn w:val="Normal"/>
    <w:rsid w:val="007A6252"/>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63">
    <w:name w:val="xl63"/>
    <w:basedOn w:val="Normal"/>
    <w:rsid w:val="007A62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color w:val="auto"/>
      <w:sz w:val="20"/>
      <w:szCs w:val="20"/>
      <w:lang w:eastAsia="en-AU"/>
    </w:rPr>
  </w:style>
  <w:style w:type="paragraph" w:customStyle="1" w:styleId="xl64">
    <w:name w:val="xl64"/>
    <w:basedOn w:val="Normal"/>
    <w:rsid w:val="007A62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color w:val="auto"/>
      <w:sz w:val="20"/>
      <w:szCs w:val="20"/>
      <w:lang w:eastAsia="en-AU"/>
    </w:rPr>
  </w:style>
  <w:style w:type="paragraph" w:customStyle="1" w:styleId="xl65">
    <w:name w:val="xl65"/>
    <w:basedOn w:val="Normal"/>
    <w:rsid w:val="007A62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eastAsia="en-AU"/>
    </w:rPr>
  </w:style>
  <w:style w:type="paragraph" w:customStyle="1" w:styleId="xl66">
    <w:name w:val="xl66"/>
    <w:basedOn w:val="Normal"/>
    <w:rsid w:val="007A62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0"/>
      <w:szCs w:val="20"/>
      <w:lang w:eastAsia="en-AU"/>
    </w:rPr>
  </w:style>
  <w:style w:type="paragraph" w:customStyle="1" w:styleId="xl67">
    <w:name w:val="xl67"/>
    <w:basedOn w:val="Normal"/>
    <w:rsid w:val="007A62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sz w:val="20"/>
      <w:szCs w:val="20"/>
      <w:lang w:eastAsia="en-AU"/>
    </w:rPr>
  </w:style>
  <w:style w:type="paragraph" w:customStyle="1" w:styleId="xl68">
    <w:name w:val="xl68"/>
    <w:basedOn w:val="Normal"/>
    <w:rsid w:val="007A6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eastAsia="en-AU"/>
    </w:rPr>
  </w:style>
  <w:style w:type="paragraph" w:customStyle="1" w:styleId="xl69">
    <w:name w:val="xl69"/>
    <w:basedOn w:val="Normal"/>
    <w:rsid w:val="007A62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sz w:val="20"/>
      <w:szCs w:val="20"/>
      <w:lang w:eastAsia="en-AU"/>
    </w:rPr>
  </w:style>
  <w:style w:type="paragraph" w:customStyle="1" w:styleId="xl70">
    <w:name w:val="xl70"/>
    <w:basedOn w:val="Normal"/>
    <w:rsid w:val="007A6252"/>
    <w:pPr>
      <w:spacing w:before="100" w:beforeAutospacing="1" w:after="100" w:afterAutospacing="1"/>
      <w:jc w:val="center"/>
      <w:textAlignment w:val="center"/>
    </w:pPr>
    <w:rPr>
      <w:rFonts w:ascii="Times New Roman" w:eastAsia="Times New Roman" w:hAnsi="Times New Roman" w:cs="Times New Roman"/>
      <w:color w:val="auto"/>
      <w:sz w:val="24"/>
      <w:szCs w:val="24"/>
      <w:lang w:eastAsia="en-AU"/>
    </w:rPr>
  </w:style>
  <w:style w:type="paragraph" w:customStyle="1" w:styleId="xl71">
    <w:name w:val="xl71"/>
    <w:basedOn w:val="Normal"/>
    <w:rsid w:val="007A62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color w:val="auto"/>
      <w:sz w:val="20"/>
      <w:szCs w:val="20"/>
      <w:lang w:eastAsia="en-AU"/>
    </w:rPr>
  </w:style>
  <w:style w:type="paragraph" w:customStyle="1" w:styleId="xl72">
    <w:name w:val="xl72"/>
    <w:basedOn w:val="Normal"/>
    <w:rsid w:val="007A62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sz w:val="20"/>
      <w:szCs w:val="20"/>
      <w:lang w:eastAsia="en-AU"/>
    </w:rPr>
  </w:style>
  <w:style w:type="paragraph" w:customStyle="1" w:styleId="xl73">
    <w:name w:val="xl73"/>
    <w:basedOn w:val="Normal"/>
    <w:rsid w:val="007A6252"/>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eastAsia="en-AU"/>
    </w:rPr>
  </w:style>
  <w:style w:type="paragraph" w:customStyle="1" w:styleId="xl74">
    <w:name w:val="xl74"/>
    <w:basedOn w:val="Normal"/>
    <w:rsid w:val="007A6252"/>
    <w:pPr>
      <w:pBdr>
        <w:top w:val="single" w:sz="4" w:space="0" w:color="auto"/>
      </w:pBdr>
      <w:spacing w:before="100" w:beforeAutospacing="1" w:after="100" w:afterAutospacing="1"/>
    </w:pPr>
    <w:rPr>
      <w:rFonts w:ascii="Times New Roman" w:eastAsia="Times New Roman" w:hAnsi="Times New Roman" w:cs="Times New Roman"/>
      <w:color w:val="auto"/>
      <w:sz w:val="20"/>
      <w:szCs w:val="20"/>
      <w:lang w:eastAsia="en-AU"/>
    </w:rPr>
  </w:style>
  <w:style w:type="paragraph" w:customStyle="1" w:styleId="xmsonormal">
    <w:name w:val="x_msonormal"/>
    <w:basedOn w:val="Normal"/>
    <w:rsid w:val="002730A6"/>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AA2B3C"/>
    <w:rPr>
      <w:sz w:val="16"/>
      <w:szCs w:val="16"/>
    </w:rPr>
  </w:style>
  <w:style w:type="paragraph" w:styleId="CommentText">
    <w:name w:val="annotation text"/>
    <w:basedOn w:val="Normal"/>
    <w:link w:val="CommentTextChar"/>
    <w:uiPriority w:val="99"/>
    <w:semiHidden/>
    <w:unhideWhenUsed/>
    <w:rsid w:val="00AA2B3C"/>
    <w:rPr>
      <w:sz w:val="20"/>
      <w:szCs w:val="20"/>
    </w:rPr>
  </w:style>
  <w:style w:type="character" w:customStyle="1" w:styleId="CommentTextChar">
    <w:name w:val="Comment Text Char"/>
    <w:basedOn w:val="DefaultParagraphFont"/>
    <w:link w:val="CommentText"/>
    <w:uiPriority w:val="99"/>
    <w:semiHidden/>
    <w:rsid w:val="00AA2B3C"/>
    <w:rPr>
      <w:color w:val="413832" w:themeColor="text1"/>
      <w:sz w:val="20"/>
      <w:szCs w:val="20"/>
    </w:rPr>
  </w:style>
  <w:style w:type="paragraph" w:styleId="CommentSubject">
    <w:name w:val="annotation subject"/>
    <w:basedOn w:val="CommentText"/>
    <w:next w:val="CommentText"/>
    <w:link w:val="CommentSubjectChar"/>
    <w:uiPriority w:val="99"/>
    <w:semiHidden/>
    <w:unhideWhenUsed/>
    <w:rsid w:val="00AA2B3C"/>
    <w:rPr>
      <w:b/>
      <w:bCs/>
    </w:rPr>
  </w:style>
  <w:style w:type="character" w:customStyle="1" w:styleId="CommentSubjectChar">
    <w:name w:val="Comment Subject Char"/>
    <w:basedOn w:val="CommentTextChar"/>
    <w:link w:val="CommentSubject"/>
    <w:uiPriority w:val="99"/>
    <w:semiHidden/>
    <w:rsid w:val="00AA2B3C"/>
    <w:rPr>
      <w:b/>
      <w:bCs/>
      <w:color w:val="413832" w:themeColor="text1"/>
      <w:sz w:val="20"/>
      <w:szCs w:val="20"/>
    </w:rPr>
  </w:style>
  <w:style w:type="paragraph" w:styleId="ListNumber">
    <w:name w:val="List Number"/>
    <w:basedOn w:val="BodyText"/>
    <w:qFormat/>
    <w:rsid w:val="00B84049"/>
    <w:pPr>
      <w:numPr>
        <w:numId w:val="7"/>
      </w:numPr>
      <w:tabs>
        <w:tab w:val="clear" w:pos="1134"/>
      </w:tabs>
      <w:spacing w:before="0" w:after="240" w:line="240" w:lineRule="atLeast"/>
      <w:ind w:left="340" w:hanging="360"/>
    </w:pPr>
    <w:rPr>
      <w:rFonts w:ascii="Arial" w:eastAsia="Times New Roman" w:hAnsi="Arial" w:cs="Times New Roman"/>
      <w:color w:val="auto"/>
      <w:sz w:val="20"/>
      <w:szCs w:val="20"/>
    </w:rPr>
  </w:style>
  <w:style w:type="paragraph" w:styleId="BodyText">
    <w:name w:val="Body Text"/>
    <w:basedOn w:val="Normal"/>
    <w:link w:val="BodyTextChar"/>
    <w:uiPriority w:val="99"/>
    <w:semiHidden/>
    <w:unhideWhenUsed/>
    <w:rsid w:val="00B84049"/>
    <w:pPr>
      <w:spacing w:after="120"/>
    </w:pPr>
  </w:style>
  <w:style w:type="character" w:customStyle="1" w:styleId="BodyTextChar">
    <w:name w:val="Body Text Char"/>
    <w:basedOn w:val="DefaultParagraphFont"/>
    <w:link w:val="BodyText"/>
    <w:uiPriority w:val="99"/>
    <w:semiHidden/>
    <w:rsid w:val="00B84049"/>
    <w:rPr>
      <w:color w:val="413832" w:themeColor="text1"/>
      <w:sz w:val="21"/>
      <w:szCs w:val="21"/>
    </w:rPr>
  </w:style>
  <w:style w:type="paragraph" w:customStyle="1" w:styleId="Heading1A">
    <w:name w:val="Heading 1A"/>
    <w:basedOn w:val="Heading1"/>
    <w:next w:val="BodyText"/>
    <w:qFormat/>
    <w:rsid w:val="00CF4AA9"/>
    <w:pPr>
      <w:keepNext/>
      <w:pBdr>
        <w:top w:val="single" w:sz="6" w:space="6" w:color="000000"/>
      </w:pBdr>
      <w:tabs>
        <w:tab w:val="num" w:pos="567"/>
      </w:tabs>
      <w:spacing w:before="0" w:after="240" w:line="240" w:lineRule="atLeast"/>
      <w:ind w:left="567" w:hanging="567"/>
    </w:pPr>
    <w:rPr>
      <w:rFonts w:ascii="Arial" w:eastAsia="Times New Roman" w:hAnsi="Arial" w:cs="Times New Roman"/>
      <w:b/>
      <w:color w:val="0047BB"/>
      <w:kern w:val="28"/>
      <w:sz w:val="28"/>
      <w:szCs w:val="28"/>
    </w:rPr>
  </w:style>
  <w:style w:type="paragraph" w:customStyle="1" w:styleId="Heading2A">
    <w:name w:val="Heading 2A"/>
    <w:basedOn w:val="Heading2"/>
    <w:next w:val="BodyText"/>
    <w:qFormat/>
    <w:rsid w:val="00CF4AA9"/>
    <w:pPr>
      <w:keepLines w:val="0"/>
      <w:tabs>
        <w:tab w:val="num" w:pos="567"/>
      </w:tabs>
      <w:snapToGrid/>
      <w:spacing w:before="0" w:after="240" w:line="240" w:lineRule="atLeast"/>
      <w:ind w:left="1134" w:hanging="567"/>
    </w:pPr>
    <w:rPr>
      <w:rFonts w:ascii="Arial" w:eastAsia="Times New Roman" w:hAnsi="Arial" w:cs="Times New Roman"/>
      <w:color w:val="auto"/>
      <w:sz w:val="20"/>
      <w:szCs w:val="20"/>
    </w:rPr>
  </w:style>
  <w:style w:type="paragraph" w:customStyle="1" w:styleId="Heading3A">
    <w:name w:val="Heading 3A"/>
    <w:basedOn w:val="Heading3"/>
    <w:qFormat/>
    <w:rsid w:val="00CF4AA9"/>
    <w:pPr>
      <w:keepNext w:val="0"/>
      <w:keepLines w:val="0"/>
      <w:tabs>
        <w:tab w:val="num" w:pos="1701"/>
      </w:tabs>
      <w:snapToGrid/>
      <w:spacing w:before="0" w:after="240" w:line="240" w:lineRule="atLeast"/>
      <w:ind w:left="1701" w:hanging="567"/>
    </w:pPr>
    <w:rPr>
      <w:rFonts w:ascii="Arial" w:eastAsia="Times New Roman" w:hAnsi="Arial" w:cs="Times New Roman"/>
      <w:b w:val="0"/>
      <w:color w:val="auto"/>
      <w:sz w:val="20"/>
      <w:szCs w:val="20"/>
    </w:rPr>
  </w:style>
  <w:style w:type="paragraph" w:customStyle="1" w:styleId="Heading3aa">
    <w:name w:val="Heading 3 aa"/>
    <w:basedOn w:val="BodyText"/>
    <w:qFormat/>
    <w:rsid w:val="00CF4AA9"/>
    <w:pPr>
      <w:tabs>
        <w:tab w:val="num" w:pos="1701"/>
      </w:tabs>
      <w:spacing w:before="0" w:after="240" w:line="240" w:lineRule="atLeast"/>
      <w:ind w:left="1701" w:hanging="567"/>
    </w:pPr>
    <w:rPr>
      <w:rFonts w:ascii="Arial" w:eastAsia="Times New Roman" w:hAnsi="Arial" w:cs="Times New Roman"/>
      <w:color w:val="auto"/>
      <w:sz w:val="20"/>
      <w:szCs w:val="20"/>
    </w:rPr>
  </w:style>
  <w:style w:type="table" w:customStyle="1" w:styleId="GTTable">
    <w:name w:val="G+T Table"/>
    <w:basedOn w:val="TableGrid"/>
    <w:rsid w:val="001B4DB2"/>
    <w:pPr>
      <w:spacing w:before="60" w:after="60"/>
    </w:pPr>
    <w:rPr>
      <w:rFonts w:ascii="Arial" w:eastAsia="Times New Roman" w:hAnsi="Arial" w:cs="Times New Roman"/>
      <w:sz w:val="20"/>
      <w:szCs w:val="20"/>
      <w:lang w:eastAsia="en-AU"/>
    </w:r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tcBorders>
          <w:top w:val="single" w:sz="8" w:space="0" w:color="auto"/>
          <w:left w:val="single" w:sz="8" w:space="0" w:color="auto"/>
          <w:bottom w:val="single" w:sz="8" w:space="0" w:color="auto"/>
          <w:right w:val="single" w:sz="8" w:space="0" w:color="auto"/>
          <w:insideH w:val="single" w:sz="6" w:space="0" w:color="auto"/>
          <w:insideV w:val="single" w:sz="6" w:space="0" w:color="auto"/>
        </w:tcBorders>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customStyle="1" w:styleId="Heading">
    <w:name w:val="Heading"/>
    <w:basedOn w:val="Heading1"/>
    <w:next w:val="BodyText"/>
    <w:qFormat/>
    <w:rsid w:val="00412D0D"/>
    <w:pPr>
      <w:keepNext/>
      <w:pBdr>
        <w:top w:val="single" w:sz="4" w:space="6" w:color="auto"/>
      </w:pBdr>
      <w:spacing w:before="0" w:after="240" w:line="240" w:lineRule="atLeast"/>
    </w:pPr>
    <w:rPr>
      <w:rFonts w:ascii="Arial" w:eastAsia="Times New Roman" w:hAnsi="Arial" w:cs="Times New Roman"/>
      <w:b/>
      <w:color w:val="0047BB"/>
      <w:kern w:val="28"/>
      <w:sz w:val="28"/>
      <w:szCs w:val="28"/>
    </w:rPr>
  </w:style>
  <w:style w:type="paragraph" w:customStyle="1" w:styleId="Subheading">
    <w:name w:val="Subheading"/>
    <w:basedOn w:val="Heading2"/>
    <w:next w:val="BodyText"/>
    <w:qFormat/>
    <w:rsid w:val="00412D0D"/>
    <w:pPr>
      <w:keepLines w:val="0"/>
      <w:snapToGrid/>
      <w:spacing w:before="0" w:after="240" w:line="240" w:lineRule="atLeast"/>
      <w:ind w:left="1134" w:hanging="567"/>
    </w:pPr>
    <w:rPr>
      <w:rFonts w:ascii="Arial" w:eastAsia="Times New Roman" w:hAnsi="Arial"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8209">
      <w:bodyDiv w:val="1"/>
      <w:marLeft w:val="0"/>
      <w:marRight w:val="0"/>
      <w:marTop w:val="0"/>
      <w:marBottom w:val="0"/>
      <w:divBdr>
        <w:top w:val="none" w:sz="0" w:space="0" w:color="auto"/>
        <w:left w:val="none" w:sz="0" w:space="0" w:color="auto"/>
        <w:bottom w:val="none" w:sz="0" w:space="0" w:color="auto"/>
        <w:right w:val="none" w:sz="0" w:space="0" w:color="auto"/>
      </w:divBdr>
    </w:div>
    <w:div w:id="102194511">
      <w:bodyDiv w:val="1"/>
      <w:marLeft w:val="0"/>
      <w:marRight w:val="0"/>
      <w:marTop w:val="0"/>
      <w:marBottom w:val="0"/>
      <w:divBdr>
        <w:top w:val="none" w:sz="0" w:space="0" w:color="auto"/>
        <w:left w:val="none" w:sz="0" w:space="0" w:color="auto"/>
        <w:bottom w:val="none" w:sz="0" w:space="0" w:color="auto"/>
        <w:right w:val="none" w:sz="0" w:space="0" w:color="auto"/>
      </w:divBdr>
    </w:div>
    <w:div w:id="117526576">
      <w:bodyDiv w:val="1"/>
      <w:marLeft w:val="0"/>
      <w:marRight w:val="0"/>
      <w:marTop w:val="0"/>
      <w:marBottom w:val="0"/>
      <w:divBdr>
        <w:top w:val="none" w:sz="0" w:space="0" w:color="auto"/>
        <w:left w:val="none" w:sz="0" w:space="0" w:color="auto"/>
        <w:bottom w:val="none" w:sz="0" w:space="0" w:color="auto"/>
        <w:right w:val="none" w:sz="0" w:space="0" w:color="auto"/>
      </w:divBdr>
    </w:div>
    <w:div w:id="207959175">
      <w:bodyDiv w:val="1"/>
      <w:marLeft w:val="0"/>
      <w:marRight w:val="0"/>
      <w:marTop w:val="0"/>
      <w:marBottom w:val="0"/>
      <w:divBdr>
        <w:top w:val="none" w:sz="0" w:space="0" w:color="auto"/>
        <w:left w:val="none" w:sz="0" w:space="0" w:color="auto"/>
        <w:bottom w:val="none" w:sz="0" w:space="0" w:color="auto"/>
        <w:right w:val="none" w:sz="0" w:space="0" w:color="auto"/>
      </w:divBdr>
    </w:div>
    <w:div w:id="392049345">
      <w:bodyDiv w:val="1"/>
      <w:marLeft w:val="0"/>
      <w:marRight w:val="0"/>
      <w:marTop w:val="0"/>
      <w:marBottom w:val="0"/>
      <w:divBdr>
        <w:top w:val="none" w:sz="0" w:space="0" w:color="auto"/>
        <w:left w:val="none" w:sz="0" w:space="0" w:color="auto"/>
        <w:bottom w:val="none" w:sz="0" w:space="0" w:color="auto"/>
        <w:right w:val="none" w:sz="0" w:space="0" w:color="auto"/>
      </w:divBdr>
    </w:div>
    <w:div w:id="700206086">
      <w:bodyDiv w:val="1"/>
      <w:marLeft w:val="0"/>
      <w:marRight w:val="0"/>
      <w:marTop w:val="0"/>
      <w:marBottom w:val="0"/>
      <w:divBdr>
        <w:top w:val="none" w:sz="0" w:space="0" w:color="auto"/>
        <w:left w:val="none" w:sz="0" w:space="0" w:color="auto"/>
        <w:bottom w:val="none" w:sz="0" w:space="0" w:color="auto"/>
        <w:right w:val="none" w:sz="0" w:space="0" w:color="auto"/>
      </w:divBdr>
    </w:div>
    <w:div w:id="785928003">
      <w:bodyDiv w:val="1"/>
      <w:marLeft w:val="0"/>
      <w:marRight w:val="0"/>
      <w:marTop w:val="0"/>
      <w:marBottom w:val="0"/>
      <w:divBdr>
        <w:top w:val="none" w:sz="0" w:space="0" w:color="auto"/>
        <w:left w:val="none" w:sz="0" w:space="0" w:color="auto"/>
        <w:bottom w:val="none" w:sz="0" w:space="0" w:color="auto"/>
        <w:right w:val="none" w:sz="0" w:space="0" w:color="auto"/>
      </w:divBdr>
    </w:div>
    <w:div w:id="924339638">
      <w:bodyDiv w:val="1"/>
      <w:marLeft w:val="0"/>
      <w:marRight w:val="0"/>
      <w:marTop w:val="0"/>
      <w:marBottom w:val="0"/>
      <w:divBdr>
        <w:top w:val="none" w:sz="0" w:space="0" w:color="auto"/>
        <w:left w:val="none" w:sz="0" w:space="0" w:color="auto"/>
        <w:bottom w:val="none" w:sz="0" w:space="0" w:color="auto"/>
        <w:right w:val="none" w:sz="0" w:space="0" w:color="auto"/>
      </w:divBdr>
    </w:div>
    <w:div w:id="968628905">
      <w:bodyDiv w:val="1"/>
      <w:marLeft w:val="0"/>
      <w:marRight w:val="0"/>
      <w:marTop w:val="0"/>
      <w:marBottom w:val="0"/>
      <w:divBdr>
        <w:top w:val="none" w:sz="0" w:space="0" w:color="auto"/>
        <w:left w:val="none" w:sz="0" w:space="0" w:color="auto"/>
        <w:bottom w:val="none" w:sz="0" w:space="0" w:color="auto"/>
        <w:right w:val="none" w:sz="0" w:space="0" w:color="auto"/>
      </w:divBdr>
    </w:div>
    <w:div w:id="1197422595">
      <w:bodyDiv w:val="1"/>
      <w:marLeft w:val="0"/>
      <w:marRight w:val="0"/>
      <w:marTop w:val="0"/>
      <w:marBottom w:val="0"/>
      <w:divBdr>
        <w:top w:val="none" w:sz="0" w:space="0" w:color="auto"/>
        <w:left w:val="none" w:sz="0" w:space="0" w:color="auto"/>
        <w:bottom w:val="none" w:sz="0" w:space="0" w:color="auto"/>
        <w:right w:val="none" w:sz="0" w:space="0" w:color="auto"/>
      </w:divBdr>
    </w:div>
    <w:div w:id="1429347448">
      <w:bodyDiv w:val="1"/>
      <w:marLeft w:val="0"/>
      <w:marRight w:val="0"/>
      <w:marTop w:val="0"/>
      <w:marBottom w:val="0"/>
      <w:divBdr>
        <w:top w:val="none" w:sz="0" w:space="0" w:color="auto"/>
        <w:left w:val="none" w:sz="0" w:space="0" w:color="auto"/>
        <w:bottom w:val="none" w:sz="0" w:space="0" w:color="auto"/>
        <w:right w:val="none" w:sz="0" w:space="0" w:color="auto"/>
      </w:divBdr>
    </w:div>
    <w:div w:id="1894072860">
      <w:bodyDiv w:val="1"/>
      <w:marLeft w:val="0"/>
      <w:marRight w:val="0"/>
      <w:marTop w:val="0"/>
      <w:marBottom w:val="0"/>
      <w:divBdr>
        <w:top w:val="none" w:sz="0" w:space="0" w:color="auto"/>
        <w:left w:val="none" w:sz="0" w:space="0" w:color="auto"/>
        <w:bottom w:val="none" w:sz="0" w:space="0" w:color="auto"/>
        <w:right w:val="none" w:sz="0" w:space="0" w:color="auto"/>
      </w:divBdr>
    </w:div>
    <w:div w:id="20438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klerck\Downloads\Submission%20Template%20Light%20(5).dotx" TargetMode="External"/></Relationships>
</file>

<file path=word/theme/theme1.xml><?xml version="1.0" encoding="utf-8"?>
<a:theme xmlns:a="http://schemas.openxmlformats.org/drawingml/2006/main" name="Office Theme">
  <a:themeElements>
    <a:clrScheme name="Tangentyere Council">
      <a:dk1>
        <a:srgbClr val="413832"/>
      </a:dk1>
      <a:lt1>
        <a:srgbClr val="FFFFFF"/>
      </a:lt1>
      <a:dk2>
        <a:srgbClr val="992008"/>
      </a:dk2>
      <a:lt2>
        <a:srgbClr val="F3E5AF"/>
      </a:lt2>
      <a:accent1>
        <a:srgbClr val="992008"/>
      </a:accent1>
      <a:accent2>
        <a:srgbClr val="D25622"/>
      </a:accent2>
      <a:accent3>
        <a:srgbClr val="DD9138"/>
      </a:accent3>
      <a:accent4>
        <a:srgbClr val="E6CC58"/>
      </a:accent4>
      <a:accent5>
        <a:srgbClr val="F3E5AF"/>
      </a:accent5>
      <a:accent6>
        <a:srgbClr val="F9F3D9"/>
      </a:accent6>
      <a:hlink>
        <a:srgbClr val="D25622"/>
      </a:hlink>
      <a:folHlink>
        <a:srgbClr val="D256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66541c0-0594-4e6a-9105-c24d4b6de6f7">
      <UserInfo>
        <DisplayName>Michael Klerck</DisplayName>
        <AccountId>12</AccountId>
        <AccountType/>
      </UserInfo>
    </SharedWithUsers>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DOC21-237871</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956D-C39E-4D19-824D-A8EB4CF09D77}">
  <ds:schemaRefs>
    <ds:schemaRef ds:uri="http://schemas.microsoft.com/sharepoint/v3/contenttype/forms"/>
  </ds:schemaRefs>
</ds:datastoreItem>
</file>

<file path=customXml/itemProps2.xml><?xml version="1.0" encoding="utf-8"?>
<ds:datastoreItem xmlns:ds="http://schemas.openxmlformats.org/officeDocument/2006/customXml" ds:itemID="{5445C60E-1FE9-467E-ABE6-889290EBB09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8b1b4c1-c500-46e2-a457-86c14b36b58c"/>
    <ds:schemaRef ds:uri="36646d66-ba37-4fd6-ad3a-38ce4670c911"/>
    <ds:schemaRef ds:uri="http://www.w3.org/XML/1998/namespace"/>
  </ds:schemaRefs>
</ds:datastoreItem>
</file>

<file path=customXml/itemProps3.xml><?xml version="1.0" encoding="utf-8"?>
<ds:datastoreItem xmlns:ds="http://schemas.openxmlformats.org/officeDocument/2006/customXml" ds:itemID="{39C7B01B-37A9-485C-8320-5F45DC07D5D7}"/>
</file>

<file path=customXml/itemProps4.xml><?xml version="1.0" encoding="utf-8"?>
<ds:datastoreItem xmlns:ds="http://schemas.openxmlformats.org/officeDocument/2006/customXml" ds:itemID="{629F6FB7-B964-40DE-9DF0-EF93F76B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 Light (5)</Template>
  <TotalTime>0</TotalTime>
  <Pages>12</Pages>
  <Words>4083</Words>
  <Characters>23275</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Klerck</dc:creator>
  <cp:keywords/>
  <dc:description/>
  <cp:lastModifiedBy>Jackson, Kylie</cp:lastModifiedBy>
  <cp:revision>2</cp:revision>
  <cp:lastPrinted>2021-08-09T03:17:00Z</cp:lastPrinted>
  <dcterms:created xsi:type="dcterms:W3CDTF">2021-08-16T22:17:00Z</dcterms:created>
  <dcterms:modified xsi:type="dcterms:W3CDTF">2021-08-16T22:17:00Z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ies>
</file>