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95898" w14:textId="77777777" w:rsidR="00C21DDA" w:rsidRPr="005D6D2C" w:rsidRDefault="00C21DDA" w:rsidP="00C21DDA">
      <w:pPr>
        <w:spacing w:line="250" w:lineRule="auto"/>
        <w:rPr>
          <w:color w:val="000000" w:themeColor="text1"/>
          <w:lang w:val="en-GB"/>
        </w:rPr>
      </w:pPr>
      <w:r w:rsidRPr="005D6D2C">
        <w:rPr>
          <w:noProof/>
          <w:color w:val="000000" w:themeColor="text1"/>
          <w:lang w:val="en-AU" w:eastAsia="en-AU"/>
        </w:rPr>
        <w:drawing>
          <wp:anchor distT="0" distB="0" distL="114300" distR="114300" simplePos="0" relativeHeight="251659264" behindDoc="1" locked="0" layoutInCell="1" allowOverlap="1" wp14:anchorId="62CA7EB6" wp14:editId="0D6C0A99">
            <wp:simplePos x="0" y="0"/>
            <wp:positionH relativeFrom="page">
              <wp:posOffset>-178909</wp:posOffset>
            </wp:positionH>
            <wp:positionV relativeFrom="paragraph">
              <wp:posOffset>-830419</wp:posOffset>
            </wp:positionV>
            <wp:extent cx="3428833" cy="12429375"/>
            <wp:effectExtent l="0" t="0" r="63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3428833" cy="12429375"/>
                    </a:xfrm>
                    <a:prstGeom prst="rect">
                      <a:avLst/>
                    </a:prstGeom>
                  </pic:spPr>
                </pic:pic>
              </a:graphicData>
            </a:graphic>
            <wp14:sizeRelH relativeFrom="margin">
              <wp14:pctWidth>0</wp14:pctWidth>
            </wp14:sizeRelH>
            <wp14:sizeRelV relativeFrom="margin">
              <wp14:pctHeight>0</wp14:pctHeight>
            </wp14:sizeRelV>
          </wp:anchor>
        </w:drawing>
      </w:r>
      <w:r w:rsidRPr="005D6D2C">
        <w:rPr>
          <w:noProof/>
          <w:color w:val="000000" w:themeColor="text1"/>
          <w:lang w:val="en-AU" w:eastAsia="en-AU"/>
        </w:rPr>
        <w:drawing>
          <wp:anchor distT="0" distB="0" distL="114300" distR="114300" simplePos="0" relativeHeight="251660288" behindDoc="1" locked="0" layoutInCell="1" allowOverlap="1" wp14:anchorId="04DF5A70" wp14:editId="079D3FC6">
            <wp:simplePos x="0" y="0"/>
            <wp:positionH relativeFrom="margin">
              <wp:posOffset>2512060</wp:posOffset>
            </wp:positionH>
            <wp:positionV relativeFrom="paragraph">
              <wp:posOffset>-533400</wp:posOffset>
            </wp:positionV>
            <wp:extent cx="3543300" cy="14097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hq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a:off x="0" y="0"/>
                      <a:ext cx="3543300" cy="1409700"/>
                    </a:xfrm>
                    <a:prstGeom prst="rect">
                      <a:avLst/>
                    </a:prstGeom>
                  </pic:spPr>
                </pic:pic>
              </a:graphicData>
            </a:graphic>
          </wp:anchor>
        </w:drawing>
      </w:r>
    </w:p>
    <w:p w14:paraId="79B884D3" w14:textId="77777777" w:rsidR="00C21DDA" w:rsidRPr="005D6D2C" w:rsidRDefault="00C21DDA" w:rsidP="00C21DDA">
      <w:pPr>
        <w:spacing w:line="250" w:lineRule="auto"/>
        <w:ind w:firstLine="720"/>
        <w:rPr>
          <w:rFonts w:eastAsia="Times New Roman"/>
          <w:b/>
          <w:bCs/>
          <w:color w:val="000000" w:themeColor="text1"/>
          <w:lang w:val="en-GB"/>
        </w:rPr>
      </w:pPr>
    </w:p>
    <w:p w14:paraId="36CC890A" w14:textId="77777777" w:rsidR="00C21DDA" w:rsidRPr="005D6D2C" w:rsidRDefault="00C21DDA" w:rsidP="00C21DDA">
      <w:pPr>
        <w:spacing w:line="250" w:lineRule="auto"/>
        <w:rPr>
          <w:rFonts w:eastAsia="Times New Roman"/>
          <w:color w:val="000000" w:themeColor="text1"/>
          <w:lang w:val="en-GB"/>
        </w:rPr>
      </w:pPr>
    </w:p>
    <w:p w14:paraId="5FB21E2C" w14:textId="77777777" w:rsidR="00C21DDA" w:rsidRPr="005D6D2C" w:rsidRDefault="00C21DDA" w:rsidP="00C21DDA">
      <w:pPr>
        <w:spacing w:line="250" w:lineRule="auto"/>
        <w:rPr>
          <w:rFonts w:eastAsia="Times New Roman"/>
          <w:color w:val="000000" w:themeColor="text1"/>
          <w:lang w:val="en-GB"/>
        </w:rPr>
      </w:pPr>
    </w:p>
    <w:p w14:paraId="4F3C5A25" w14:textId="77777777" w:rsidR="00C21DDA" w:rsidRPr="005D6D2C" w:rsidRDefault="00C21DDA" w:rsidP="00C21DDA">
      <w:pPr>
        <w:spacing w:line="250" w:lineRule="auto"/>
        <w:rPr>
          <w:rFonts w:eastAsia="Times New Roman"/>
          <w:color w:val="000000" w:themeColor="text1"/>
          <w:lang w:val="en-GB"/>
        </w:rPr>
      </w:pPr>
    </w:p>
    <w:p w14:paraId="595B2750" w14:textId="77777777" w:rsidR="00C21DDA" w:rsidRPr="005D6D2C" w:rsidRDefault="00C21DDA" w:rsidP="00C21DDA">
      <w:pPr>
        <w:spacing w:line="250" w:lineRule="auto"/>
        <w:rPr>
          <w:rFonts w:eastAsia="Times New Roman"/>
          <w:color w:val="000000" w:themeColor="text1"/>
          <w:lang w:val="en-GB"/>
        </w:rPr>
      </w:pPr>
    </w:p>
    <w:p w14:paraId="19001B28" w14:textId="48923E82" w:rsidR="00C21DDA" w:rsidRPr="005D6D2C" w:rsidRDefault="00C21DDA" w:rsidP="00C21DDA">
      <w:pPr>
        <w:spacing w:line="250" w:lineRule="auto"/>
        <w:rPr>
          <w:rFonts w:eastAsia="Times New Roman"/>
          <w:color w:val="000000" w:themeColor="text1"/>
          <w:lang w:val="en-GB"/>
        </w:rPr>
      </w:pPr>
    </w:p>
    <w:p w14:paraId="341E8102" w14:textId="69E38E26" w:rsidR="00C21DDA" w:rsidRPr="005D6D2C" w:rsidRDefault="00C21DDA" w:rsidP="00C21DDA">
      <w:pPr>
        <w:spacing w:line="250" w:lineRule="auto"/>
        <w:rPr>
          <w:rFonts w:eastAsia="Times New Roman"/>
          <w:color w:val="000000" w:themeColor="text1"/>
          <w:lang w:val="en-GB"/>
        </w:rPr>
      </w:pPr>
    </w:p>
    <w:p w14:paraId="1147FB67" w14:textId="227753A2" w:rsidR="00C21DDA" w:rsidRPr="005D6D2C" w:rsidRDefault="00C21DDA" w:rsidP="00C21DDA">
      <w:pPr>
        <w:spacing w:line="250" w:lineRule="auto"/>
        <w:rPr>
          <w:rFonts w:eastAsia="Times New Roman"/>
          <w:color w:val="000000" w:themeColor="text1"/>
          <w:lang w:val="en-GB"/>
        </w:rPr>
      </w:pPr>
    </w:p>
    <w:p w14:paraId="11845173" w14:textId="77777777" w:rsidR="00C21DDA" w:rsidRPr="005D6D2C" w:rsidRDefault="00C21DDA" w:rsidP="00C21DDA">
      <w:pPr>
        <w:spacing w:line="250" w:lineRule="auto"/>
        <w:rPr>
          <w:rFonts w:eastAsia="Times New Roman"/>
          <w:color w:val="000000" w:themeColor="text1"/>
          <w:lang w:val="en-GB"/>
        </w:rPr>
      </w:pPr>
    </w:p>
    <w:p w14:paraId="1C3550A4" w14:textId="0FE44219" w:rsidR="00C21DDA" w:rsidRPr="005D6D2C" w:rsidRDefault="00C21DDA" w:rsidP="00C21DDA">
      <w:pPr>
        <w:spacing w:line="250" w:lineRule="auto"/>
        <w:rPr>
          <w:rFonts w:eastAsia="Times New Roman"/>
          <w:color w:val="000000" w:themeColor="text1"/>
          <w:lang w:val="en-GB"/>
        </w:rPr>
      </w:pPr>
    </w:p>
    <w:p w14:paraId="44636F55" w14:textId="4BA4F37A" w:rsidR="00C21DDA" w:rsidRPr="005D6D2C" w:rsidRDefault="00C21DDA" w:rsidP="00C21DDA">
      <w:pPr>
        <w:spacing w:line="250" w:lineRule="auto"/>
        <w:rPr>
          <w:rFonts w:eastAsia="Times New Roman"/>
          <w:color w:val="000000" w:themeColor="text1"/>
          <w:lang w:val="en-GB"/>
        </w:rPr>
      </w:pPr>
    </w:p>
    <w:p w14:paraId="35B2DBDB" w14:textId="08F57CD2" w:rsidR="00C21DDA" w:rsidRPr="005D6D2C" w:rsidRDefault="00C21DDA" w:rsidP="00C21DDA">
      <w:pPr>
        <w:spacing w:line="250" w:lineRule="auto"/>
        <w:rPr>
          <w:rFonts w:eastAsia="Times New Roman"/>
          <w:color w:val="000000" w:themeColor="text1"/>
          <w:lang w:val="en-GB"/>
        </w:rPr>
      </w:pPr>
    </w:p>
    <w:p w14:paraId="29A94171" w14:textId="6612CAFA" w:rsidR="00C21DDA" w:rsidRPr="005D6D2C" w:rsidRDefault="00C21DDA" w:rsidP="00C21DDA">
      <w:pPr>
        <w:spacing w:line="250" w:lineRule="auto"/>
        <w:rPr>
          <w:rFonts w:eastAsia="Times New Roman"/>
          <w:color w:val="000000" w:themeColor="text1"/>
          <w:lang w:val="en-GB"/>
        </w:rPr>
      </w:pPr>
    </w:p>
    <w:p w14:paraId="5D406092" w14:textId="21A102A0" w:rsidR="00C21DDA" w:rsidRPr="005D6D2C" w:rsidRDefault="00C21DDA" w:rsidP="00C21DDA">
      <w:pPr>
        <w:spacing w:line="250" w:lineRule="auto"/>
        <w:rPr>
          <w:rFonts w:eastAsia="Times New Roman"/>
          <w:color w:val="000000" w:themeColor="text1"/>
          <w:lang w:val="en-GB"/>
        </w:rPr>
      </w:pPr>
      <w:r w:rsidRPr="005D6D2C">
        <w:rPr>
          <w:noProof/>
          <w:color w:val="000000" w:themeColor="text1"/>
          <w:lang w:val="en-AU" w:eastAsia="en-AU"/>
        </w:rPr>
        <mc:AlternateContent>
          <mc:Choice Requires="wps">
            <w:drawing>
              <wp:anchor distT="0" distB="0" distL="114300" distR="114300" simplePos="0" relativeHeight="251661312" behindDoc="0" locked="0" layoutInCell="1" allowOverlap="1" wp14:anchorId="36A4548A" wp14:editId="3D960196">
                <wp:simplePos x="0" y="0"/>
                <wp:positionH relativeFrom="margin">
                  <wp:posOffset>2465301</wp:posOffset>
                </wp:positionH>
                <wp:positionV relativeFrom="paragraph">
                  <wp:posOffset>11488</wp:posOffset>
                </wp:positionV>
                <wp:extent cx="3717421" cy="4036291"/>
                <wp:effectExtent l="0" t="0" r="0" b="0"/>
                <wp:wrapNone/>
                <wp:docPr id="3" name="Text Box 3"/>
                <wp:cNvGraphicFramePr/>
                <a:graphic xmlns:a="http://schemas.openxmlformats.org/drawingml/2006/main">
                  <a:graphicData uri="http://schemas.microsoft.com/office/word/2010/wordprocessingShape">
                    <wps:wsp>
                      <wps:cNvSpPr txBox="1"/>
                      <wps:spPr>
                        <a:xfrm>
                          <a:off x="0" y="0"/>
                          <a:ext cx="3717421" cy="4036291"/>
                        </a:xfrm>
                        <a:prstGeom prst="rect">
                          <a:avLst/>
                        </a:prstGeom>
                        <a:noFill/>
                        <a:ln>
                          <a:noFill/>
                        </a:ln>
                      </wps:spPr>
                      <wps:txbx>
                        <w:txbxContent>
                          <w:p w14:paraId="5818539C" w14:textId="4B681A09" w:rsidR="00526131" w:rsidRPr="00C21DDA" w:rsidRDefault="00526131" w:rsidP="00C21DDA">
                            <w:pPr>
                              <w:shd w:val="clear" w:color="auto" w:fill="FFFFFF" w:themeFill="background1"/>
                              <w:spacing w:after="100"/>
                              <w:ind w:left="-142"/>
                              <w:rPr>
                                <w:rFonts w:cstheme="minorHAnsi"/>
                                <w:b/>
                                <w:color w:val="1F3864" w:themeColor="accent1" w:themeShade="80"/>
                                <w:sz w:val="48"/>
                                <w:szCs w:val="48"/>
                              </w:rPr>
                            </w:pPr>
                            <w:r w:rsidRPr="00C21DDA">
                              <w:rPr>
                                <w:rFonts w:cstheme="minorHAnsi"/>
                                <w:b/>
                                <w:color w:val="1F3864" w:themeColor="accent1" w:themeShade="80"/>
                                <w:sz w:val="48"/>
                                <w:szCs w:val="48"/>
                              </w:rPr>
                              <w:t>Submission</w:t>
                            </w:r>
                            <w:r>
                              <w:rPr>
                                <w:rFonts w:cstheme="minorHAnsi"/>
                                <w:b/>
                                <w:color w:val="1F3864" w:themeColor="accent1" w:themeShade="80"/>
                                <w:sz w:val="48"/>
                                <w:szCs w:val="48"/>
                              </w:rPr>
                              <w:t xml:space="preserve"> on the</w:t>
                            </w:r>
                          </w:p>
                          <w:p w14:paraId="384C785D" w14:textId="72F224DC" w:rsidR="00526131" w:rsidRPr="00C21DDA" w:rsidRDefault="00526131" w:rsidP="00C21DDA">
                            <w:pPr>
                              <w:shd w:val="clear" w:color="auto" w:fill="FFFFFF" w:themeFill="background1"/>
                              <w:spacing w:after="100"/>
                              <w:ind w:left="-142"/>
                              <w:rPr>
                                <w:rFonts w:cstheme="minorHAnsi"/>
                                <w:b/>
                                <w:color w:val="1F3864" w:themeColor="accent1" w:themeShade="80"/>
                                <w:sz w:val="48"/>
                                <w:szCs w:val="48"/>
                              </w:rPr>
                            </w:pPr>
                            <w:r>
                              <w:rPr>
                                <w:rFonts w:cstheme="minorHAnsi"/>
                                <w:b/>
                                <w:color w:val="1F3864" w:themeColor="accent1" w:themeShade="80"/>
                                <w:sz w:val="48"/>
                                <w:szCs w:val="48"/>
                              </w:rPr>
                              <w:t>‘e</w:t>
                            </w:r>
                            <w:r w:rsidRPr="00C21DDA">
                              <w:rPr>
                                <w:rFonts w:cstheme="minorHAnsi"/>
                                <w:b/>
                                <w:color w:val="1F3864" w:themeColor="accent1" w:themeShade="80"/>
                                <w:sz w:val="48"/>
                                <w:szCs w:val="48"/>
                              </w:rPr>
                              <w:t>xposure draft</w:t>
                            </w:r>
                            <w:r>
                              <w:rPr>
                                <w:rFonts w:cstheme="minorHAnsi"/>
                                <w:b/>
                                <w:color w:val="1F3864" w:themeColor="accent1" w:themeShade="80"/>
                                <w:sz w:val="48"/>
                                <w:szCs w:val="48"/>
                              </w:rPr>
                              <w:t>’</w:t>
                            </w:r>
                            <w:r w:rsidRPr="00C21DDA">
                              <w:rPr>
                                <w:rFonts w:cstheme="minorHAnsi"/>
                                <w:b/>
                                <w:color w:val="1F3864" w:themeColor="accent1" w:themeShade="80"/>
                                <w:sz w:val="48"/>
                                <w:szCs w:val="48"/>
                              </w:rPr>
                              <w:t xml:space="preserve"> of the </w:t>
                            </w:r>
                          </w:p>
                          <w:p w14:paraId="62489862" w14:textId="0E53A374" w:rsidR="00526131" w:rsidRPr="00C21DDA" w:rsidRDefault="00526131" w:rsidP="00C21DDA">
                            <w:pPr>
                              <w:shd w:val="clear" w:color="auto" w:fill="FFFFFF" w:themeFill="background1"/>
                              <w:spacing w:after="100"/>
                              <w:ind w:left="-142"/>
                              <w:rPr>
                                <w:rFonts w:cstheme="minorHAnsi"/>
                                <w:b/>
                                <w:color w:val="1F3864" w:themeColor="accent1" w:themeShade="80"/>
                                <w:sz w:val="48"/>
                                <w:szCs w:val="48"/>
                              </w:rPr>
                            </w:pPr>
                            <w:r w:rsidRPr="00C21DDA">
                              <w:rPr>
                                <w:rFonts w:cstheme="minorHAnsi"/>
                                <w:b/>
                                <w:color w:val="1F3864" w:themeColor="accent1" w:themeShade="80"/>
                                <w:sz w:val="48"/>
                                <w:szCs w:val="48"/>
                              </w:rPr>
                              <w:t xml:space="preserve">CATSI </w:t>
                            </w:r>
                            <w:r>
                              <w:rPr>
                                <w:rFonts w:cstheme="minorHAnsi"/>
                                <w:b/>
                                <w:color w:val="1F3864" w:themeColor="accent1" w:themeShade="80"/>
                                <w:sz w:val="48"/>
                                <w:szCs w:val="48"/>
                              </w:rPr>
                              <w:t xml:space="preserve">Act </w:t>
                            </w:r>
                            <w:r w:rsidRPr="00C21DDA">
                              <w:rPr>
                                <w:rFonts w:cstheme="minorHAnsi"/>
                                <w:b/>
                                <w:color w:val="1F3864" w:themeColor="accent1" w:themeShade="80"/>
                                <w:sz w:val="48"/>
                                <w:szCs w:val="48"/>
                              </w:rPr>
                              <w:t>Amendment Bill</w:t>
                            </w:r>
                          </w:p>
                          <w:p w14:paraId="0CBE0902" w14:textId="4C96B83D" w:rsidR="00526131" w:rsidRDefault="00526131" w:rsidP="00C21DDA">
                            <w:pPr>
                              <w:spacing w:after="120"/>
                              <w:rPr>
                                <w:rFonts w:eastAsia="Times New Roman" w:cstheme="minorHAnsi"/>
                                <w:b/>
                                <w:bCs/>
                                <w:color w:val="1F3864" w:themeColor="accent1" w:themeShade="80"/>
                                <w:sz w:val="48"/>
                                <w:szCs w:val="48"/>
                              </w:rPr>
                            </w:pPr>
                          </w:p>
                          <w:p w14:paraId="4D26DEB1" w14:textId="77777777" w:rsidR="00526131" w:rsidRPr="00C21DDA" w:rsidRDefault="00526131" w:rsidP="00C21DDA">
                            <w:pPr>
                              <w:spacing w:after="120"/>
                              <w:rPr>
                                <w:rFonts w:eastAsia="Times New Roman" w:cstheme="minorHAnsi"/>
                                <w:b/>
                                <w:bCs/>
                                <w:color w:val="1F3864" w:themeColor="accent1" w:themeShade="80"/>
                                <w:sz w:val="48"/>
                                <w:szCs w:val="48"/>
                              </w:rPr>
                            </w:pPr>
                          </w:p>
                          <w:p w14:paraId="716C3730" w14:textId="6F3CF3F0" w:rsidR="00526131" w:rsidRDefault="000F5A47" w:rsidP="00C21DDA">
                            <w:pPr>
                              <w:ind w:left="-142"/>
                              <w:rPr>
                                <w:b/>
                                <w:bCs/>
                                <w:noProof/>
                                <w:color w:val="1F3864" w:themeColor="accent1" w:themeShade="8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noProof/>
                                <w:color w:val="1F3864" w:themeColor="accent1" w:themeShade="8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w:t>
                            </w:r>
                            <w:r w:rsidR="00526131">
                              <w:rPr>
                                <w:b/>
                                <w:bCs/>
                                <w:noProof/>
                                <w:color w:val="1F3864" w:themeColor="accent1" w:themeShade="8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2021</w:t>
                            </w:r>
                          </w:p>
                          <w:p w14:paraId="00D9D232" w14:textId="77777777" w:rsidR="00526131" w:rsidRPr="00356EDC" w:rsidRDefault="00526131" w:rsidP="00C21DDA">
                            <w:pPr>
                              <w:jc w:val="center"/>
                              <w:rPr>
                                <w:color w:val="1F3864" w:themeColor="accent1" w:themeShade="80"/>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4548A" id="_x0000_t202" coordsize="21600,21600" o:spt="202" path="m,l,21600r21600,l21600,xe">
                <v:stroke joinstyle="miter"/>
                <v:path gradientshapeok="t" o:connecttype="rect"/>
              </v:shapetype>
              <v:shape id="Text Box 3" o:spid="_x0000_s1026" type="#_x0000_t202" style="position:absolute;margin-left:194.1pt;margin-top:.9pt;width:292.7pt;height:31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" filled="f" stroked="f">
                <v:textbox>
                  <w:txbxContent>
                    <w:p w14:paraId="5818539C" w14:textId="4B681A09" w:rsidR="00526131" w:rsidRPr="00C21DDA" w:rsidRDefault="00526131" w:rsidP="00C21DDA">
                      <w:pPr>
                        <w:shd w:val="clear" w:color="auto" w:fill="FFFFFF" w:themeFill="background1"/>
                        <w:spacing w:after="100"/>
                        <w:ind w:left="-142"/>
                        <w:rPr>
                          <w:rFonts w:cstheme="minorHAnsi"/>
                          <w:b/>
                          <w:color w:val="1F3864" w:themeColor="accent1" w:themeShade="80"/>
                          <w:sz w:val="48"/>
                          <w:szCs w:val="48"/>
                        </w:rPr>
                      </w:pPr>
                      <w:r w:rsidRPr="00C21DDA">
                        <w:rPr>
                          <w:rFonts w:cstheme="minorHAnsi"/>
                          <w:b/>
                          <w:color w:val="1F3864" w:themeColor="accent1" w:themeShade="80"/>
                          <w:sz w:val="48"/>
                          <w:szCs w:val="48"/>
                        </w:rPr>
                        <w:t>Submission</w:t>
                      </w:r>
                      <w:r>
                        <w:rPr>
                          <w:rFonts w:cstheme="minorHAnsi"/>
                          <w:b/>
                          <w:color w:val="1F3864" w:themeColor="accent1" w:themeShade="80"/>
                          <w:sz w:val="48"/>
                          <w:szCs w:val="48"/>
                        </w:rPr>
                        <w:t xml:space="preserve"> on the</w:t>
                      </w:r>
                    </w:p>
                    <w:p w14:paraId="384C785D" w14:textId="72F224DC" w:rsidR="00526131" w:rsidRPr="00C21DDA" w:rsidRDefault="00526131" w:rsidP="00C21DDA">
                      <w:pPr>
                        <w:shd w:val="clear" w:color="auto" w:fill="FFFFFF" w:themeFill="background1"/>
                        <w:spacing w:after="100"/>
                        <w:ind w:left="-142"/>
                        <w:rPr>
                          <w:rFonts w:cstheme="minorHAnsi"/>
                          <w:b/>
                          <w:color w:val="1F3864" w:themeColor="accent1" w:themeShade="80"/>
                          <w:sz w:val="48"/>
                          <w:szCs w:val="48"/>
                        </w:rPr>
                      </w:pPr>
                      <w:r>
                        <w:rPr>
                          <w:rFonts w:cstheme="minorHAnsi"/>
                          <w:b/>
                          <w:color w:val="1F3864" w:themeColor="accent1" w:themeShade="80"/>
                          <w:sz w:val="48"/>
                          <w:szCs w:val="48"/>
                        </w:rPr>
                        <w:t>‘e</w:t>
                      </w:r>
                      <w:r w:rsidRPr="00C21DDA">
                        <w:rPr>
                          <w:rFonts w:cstheme="minorHAnsi"/>
                          <w:b/>
                          <w:color w:val="1F3864" w:themeColor="accent1" w:themeShade="80"/>
                          <w:sz w:val="48"/>
                          <w:szCs w:val="48"/>
                        </w:rPr>
                        <w:t>xposure draft</w:t>
                      </w:r>
                      <w:r>
                        <w:rPr>
                          <w:rFonts w:cstheme="minorHAnsi"/>
                          <w:b/>
                          <w:color w:val="1F3864" w:themeColor="accent1" w:themeShade="80"/>
                          <w:sz w:val="48"/>
                          <w:szCs w:val="48"/>
                        </w:rPr>
                        <w:t>’</w:t>
                      </w:r>
                      <w:r w:rsidRPr="00C21DDA">
                        <w:rPr>
                          <w:rFonts w:cstheme="minorHAnsi"/>
                          <w:b/>
                          <w:color w:val="1F3864" w:themeColor="accent1" w:themeShade="80"/>
                          <w:sz w:val="48"/>
                          <w:szCs w:val="48"/>
                        </w:rPr>
                        <w:t xml:space="preserve"> of the </w:t>
                      </w:r>
                    </w:p>
                    <w:p w14:paraId="62489862" w14:textId="0E53A374" w:rsidR="00526131" w:rsidRPr="00C21DDA" w:rsidRDefault="00526131" w:rsidP="00C21DDA">
                      <w:pPr>
                        <w:shd w:val="clear" w:color="auto" w:fill="FFFFFF" w:themeFill="background1"/>
                        <w:spacing w:after="100"/>
                        <w:ind w:left="-142"/>
                        <w:rPr>
                          <w:rFonts w:cstheme="minorHAnsi"/>
                          <w:b/>
                          <w:color w:val="1F3864" w:themeColor="accent1" w:themeShade="80"/>
                          <w:sz w:val="48"/>
                          <w:szCs w:val="48"/>
                        </w:rPr>
                      </w:pPr>
                      <w:r w:rsidRPr="00C21DDA">
                        <w:rPr>
                          <w:rFonts w:cstheme="minorHAnsi"/>
                          <w:b/>
                          <w:color w:val="1F3864" w:themeColor="accent1" w:themeShade="80"/>
                          <w:sz w:val="48"/>
                          <w:szCs w:val="48"/>
                        </w:rPr>
                        <w:t xml:space="preserve">CATSI </w:t>
                      </w:r>
                      <w:r>
                        <w:rPr>
                          <w:rFonts w:cstheme="minorHAnsi"/>
                          <w:b/>
                          <w:color w:val="1F3864" w:themeColor="accent1" w:themeShade="80"/>
                          <w:sz w:val="48"/>
                          <w:szCs w:val="48"/>
                        </w:rPr>
                        <w:t xml:space="preserve">Act </w:t>
                      </w:r>
                      <w:r w:rsidRPr="00C21DDA">
                        <w:rPr>
                          <w:rFonts w:cstheme="minorHAnsi"/>
                          <w:b/>
                          <w:color w:val="1F3864" w:themeColor="accent1" w:themeShade="80"/>
                          <w:sz w:val="48"/>
                          <w:szCs w:val="48"/>
                        </w:rPr>
                        <w:t>Amendment Bill</w:t>
                      </w:r>
                    </w:p>
                    <w:p w14:paraId="0CBE0902" w14:textId="4C96B83D" w:rsidR="00526131" w:rsidRDefault="00526131" w:rsidP="00C21DDA">
                      <w:pPr>
                        <w:spacing w:after="120"/>
                        <w:rPr>
                          <w:rFonts w:eastAsia="Times New Roman" w:cstheme="minorHAnsi"/>
                          <w:b/>
                          <w:bCs/>
                          <w:color w:val="1F3864" w:themeColor="accent1" w:themeShade="80"/>
                          <w:sz w:val="48"/>
                          <w:szCs w:val="48"/>
                        </w:rPr>
                      </w:pPr>
                    </w:p>
                    <w:p w14:paraId="4D26DEB1" w14:textId="77777777" w:rsidR="00526131" w:rsidRPr="00C21DDA" w:rsidRDefault="00526131" w:rsidP="00C21DDA">
                      <w:pPr>
                        <w:spacing w:after="120"/>
                        <w:rPr>
                          <w:rFonts w:eastAsia="Times New Roman" w:cstheme="minorHAnsi"/>
                          <w:b/>
                          <w:bCs/>
                          <w:color w:val="1F3864" w:themeColor="accent1" w:themeShade="80"/>
                          <w:sz w:val="48"/>
                          <w:szCs w:val="48"/>
                        </w:rPr>
                      </w:pPr>
                    </w:p>
                    <w:p w14:paraId="716C3730" w14:textId="6F3CF3F0" w:rsidR="00526131" w:rsidRDefault="000F5A47" w:rsidP="00C21DDA">
                      <w:pPr>
                        <w:ind w:left="-142"/>
                        <w:rPr>
                          <w:b/>
                          <w:bCs/>
                          <w:noProof/>
                          <w:color w:val="1F3864" w:themeColor="accent1" w:themeShade="8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noProof/>
                          <w:color w:val="1F3864" w:themeColor="accent1" w:themeShade="8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w:t>
                      </w:r>
                      <w:r w:rsidR="00526131">
                        <w:rPr>
                          <w:b/>
                          <w:bCs/>
                          <w:noProof/>
                          <w:color w:val="1F3864" w:themeColor="accent1" w:themeShade="8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2021</w:t>
                      </w:r>
                    </w:p>
                    <w:p w14:paraId="00D9D232" w14:textId="77777777" w:rsidR="00526131" w:rsidRPr="00356EDC" w:rsidRDefault="00526131" w:rsidP="00C21DDA">
                      <w:pPr>
                        <w:jc w:val="center"/>
                        <w:rPr>
                          <w:color w:val="1F3864" w:themeColor="accent1" w:themeShade="80"/>
                          <w:sz w:val="72"/>
                          <w:szCs w:val="72"/>
                        </w:rPr>
                      </w:pPr>
                    </w:p>
                  </w:txbxContent>
                </v:textbox>
                <w10:wrap anchorx="margin"/>
              </v:shape>
            </w:pict>
          </mc:Fallback>
        </mc:AlternateContent>
      </w:r>
    </w:p>
    <w:p w14:paraId="09C596B0" w14:textId="42250797" w:rsidR="00C21DDA" w:rsidRPr="005D6D2C" w:rsidRDefault="00C21DDA" w:rsidP="00C21DDA">
      <w:pPr>
        <w:spacing w:line="250" w:lineRule="auto"/>
        <w:rPr>
          <w:rFonts w:eastAsia="Times New Roman"/>
          <w:color w:val="000000" w:themeColor="text1"/>
          <w:lang w:val="en-GB"/>
        </w:rPr>
      </w:pPr>
    </w:p>
    <w:p w14:paraId="11CFE44C" w14:textId="77777777" w:rsidR="00C21DDA" w:rsidRDefault="00C21DDA" w:rsidP="00C21DDA">
      <w:pPr>
        <w:spacing w:line="250" w:lineRule="auto"/>
        <w:rPr>
          <w:color w:val="000000" w:themeColor="text1"/>
          <w:sz w:val="22"/>
          <w:szCs w:val="22"/>
          <w:lang w:val="en-GB"/>
        </w:rPr>
      </w:pPr>
    </w:p>
    <w:p w14:paraId="1C777DC2" w14:textId="77777777" w:rsidR="00C21DDA" w:rsidRDefault="00C21DDA" w:rsidP="00C21DDA">
      <w:pPr>
        <w:spacing w:line="250" w:lineRule="auto"/>
        <w:rPr>
          <w:color w:val="000000" w:themeColor="text1"/>
          <w:sz w:val="22"/>
          <w:szCs w:val="22"/>
          <w:lang w:val="en-GB"/>
        </w:rPr>
      </w:pPr>
    </w:p>
    <w:p w14:paraId="0287C35E" w14:textId="77777777" w:rsidR="00C21DDA" w:rsidRDefault="00C21DDA" w:rsidP="00C21DDA">
      <w:pPr>
        <w:spacing w:line="250" w:lineRule="auto"/>
        <w:rPr>
          <w:color w:val="000000" w:themeColor="text1"/>
          <w:sz w:val="22"/>
          <w:szCs w:val="22"/>
          <w:lang w:val="en-GB"/>
        </w:rPr>
      </w:pPr>
    </w:p>
    <w:p w14:paraId="1FE38738" w14:textId="77777777" w:rsidR="00C21DDA" w:rsidRDefault="00C21DDA" w:rsidP="00C21DDA">
      <w:pPr>
        <w:spacing w:line="250" w:lineRule="auto"/>
        <w:rPr>
          <w:color w:val="000000" w:themeColor="text1"/>
          <w:sz w:val="22"/>
          <w:szCs w:val="22"/>
          <w:lang w:val="en-GB"/>
        </w:rPr>
      </w:pPr>
    </w:p>
    <w:p w14:paraId="52A36C09" w14:textId="77777777" w:rsidR="00C21DDA" w:rsidRDefault="00C21DDA" w:rsidP="00C21DDA">
      <w:pPr>
        <w:spacing w:line="250" w:lineRule="auto"/>
        <w:rPr>
          <w:color w:val="000000" w:themeColor="text1"/>
          <w:sz w:val="22"/>
          <w:szCs w:val="22"/>
          <w:lang w:val="en-GB"/>
        </w:rPr>
      </w:pPr>
    </w:p>
    <w:p w14:paraId="2883CF16" w14:textId="77777777" w:rsidR="00C21DDA" w:rsidRDefault="00C21DDA" w:rsidP="00C21DDA">
      <w:pPr>
        <w:spacing w:line="250" w:lineRule="auto"/>
        <w:rPr>
          <w:color w:val="000000" w:themeColor="text1"/>
          <w:sz w:val="22"/>
          <w:szCs w:val="22"/>
          <w:lang w:val="en-GB"/>
        </w:rPr>
      </w:pPr>
    </w:p>
    <w:p w14:paraId="63381350" w14:textId="77777777" w:rsidR="00C21DDA" w:rsidRDefault="00C21DDA" w:rsidP="00C21DDA">
      <w:pPr>
        <w:spacing w:line="250" w:lineRule="auto"/>
        <w:rPr>
          <w:color w:val="000000" w:themeColor="text1"/>
          <w:sz w:val="22"/>
          <w:szCs w:val="22"/>
          <w:lang w:val="en-GB"/>
        </w:rPr>
      </w:pPr>
    </w:p>
    <w:p w14:paraId="1DBF1051" w14:textId="77777777" w:rsidR="00C21DDA" w:rsidRDefault="00C21DDA" w:rsidP="00C21DDA">
      <w:pPr>
        <w:spacing w:line="250" w:lineRule="auto"/>
        <w:rPr>
          <w:color w:val="000000" w:themeColor="text1"/>
          <w:sz w:val="22"/>
          <w:szCs w:val="22"/>
          <w:lang w:val="en-GB"/>
        </w:rPr>
      </w:pPr>
    </w:p>
    <w:p w14:paraId="7D7935D4" w14:textId="77777777" w:rsidR="00C21DDA" w:rsidRDefault="00C21DDA" w:rsidP="00C21DDA">
      <w:pPr>
        <w:spacing w:line="250" w:lineRule="auto"/>
        <w:rPr>
          <w:color w:val="000000" w:themeColor="text1"/>
          <w:sz w:val="22"/>
          <w:szCs w:val="22"/>
          <w:lang w:val="en-GB"/>
        </w:rPr>
      </w:pPr>
    </w:p>
    <w:p w14:paraId="2841C25B" w14:textId="77777777" w:rsidR="00C21DDA" w:rsidRDefault="00C21DDA" w:rsidP="00C21DDA">
      <w:pPr>
        <w:spacing w:line="250" w:lineRule="auto"/>
        <w:rPr>
          <w:color w:val="000000" w:themeColor="text1"/>
          <w:sz w:val="22"/>
          <w:szCs w:val="22"/>
          <w:lang w:val="en-GB"/>
        </w:rPr>
      </w:pPr>
    </w:p>
    <w:p w14:paraId="44153523" w14:textId="77777777" w:rsidR="00C21DDA" w:rsidRDefault="00C21DDA" w:rsidP="00C21DDA">
      <w:pPr>
        <w:spacing w:line="250" w:lineRule="auto"/>
        <w:rPr>
          <w:color w:val="000000" w:themeColor="text1"/>
          <w:sz w:val="22"/>
          <w:szCs w:val="22"/>
          <w:lang w:val="en-GB"/>
        </w:rPr>
      </w:pPr>
    </w:p>
    <w:p w14:paraId="48C465FB" w14:textId="77777777" w:rsidR="00C21DDA" w:rsidRDefault="00C21DDA" w:rsidP="00C21DDA">
      <w:pPr>
        <w:spacing w:line="250" w:lineRule="auto"/>
        <w:rPr>
          <w:color w:val="000000" w:themeColor="text1"/>
          <w:sz w:val="22"/>
          <w:szCs w:val="22"/>
          <w:lang w:val="en-GB"/>
        </w:rPr>
      </w:pPr>
    </w:p>
    <w:p w14:paraId="767DB817" w14:textId="77777777" w:rsidR="00C21DDA" w:rsidRDefault="00C21DDA" w:rsidP="00C21DDA">
      <w:pPr>
        <w:spacing w:line="250" w:lineRule="auto"/>
        <w:rPr>
          <w:color w:val="000000" w:themeColor="text1"/>
          <w:sz w:val="22"/>
          <w:szCs w:val="22"/>
          <w:lang w:val="en-GB"/>
        </w:rPr>
      </w:pPr>
    </w:p>
    <w:p w14:paraId="7FF47FF4" w14:textId="77777777" w:rsidR="00C21DDA" w:rsidRDefault="00C21DDA" w:rsidP="00C21DDA">
      <w:pPr>
        <w:spacing w:line="250" w:lineRule="auto"/>
        <w:rPr>
          <w:color w:val="000000" w:themeColor="text1"/>
          <w:sz w:val="22"/>
          <w:szCs w:val="22"/>
          <w:lang w:val="en-GB"/>
        </w:rPr>
      </w:pPr>
    </w:p>
    <w:p w14:paraId="130C82D7" w14:textId="77777777" w:rsidR="00C21DDA" w:rsidRDefault="00C21DDA" w:rsidP="00C21DDA">
      <w:pPr>
        <w:spacing w:line="250" w:lineRule="auto"/>
        <w:rPr>
          <w:color w:val="000000" w:themeColor="text1"/>
          <w:sz w:val="22"/>
          <w:szCs w:val="22"/>
          <w:lang w:val="en-GB"/>
        </w:rPr>
      </w:pPr>
    </w:p>
    <w:p w14:paraId="54D7AEA7" w14:textId="77777777" w:rsidR="00C21DDA" w:rsidRDefault="00C21DDA" w:rsidP="00C21DDA">
      <w:pPr>
        <w:spacing w:line="250" w:lineRule="auto"/>
        <w:rPr>
          <w:color w:val="000000" w:themeColor="text1"/>
          <w:sz w:val="22"/>
          <w:szCs w:val="22"/>
          <w:lang w:val="en-GB"/>
        </w:rPr>
      </w:pPr>
    </w:p>
    <w:p w14:paraId="43351C49" w14:textId="77777777" w:rsidR="00C21DDA" w:rsidRDefault="00C21DDA" w:rsidP="00C21DDA">
      <w:pPr>
        <w:spacing w:line="250" w:lineRule="auto"/>
        <w:rPr>
          <w:color w:val="000000" w:themeColor="text1"/>
          <w:sz w:val="22"/>
          <w:szCs w:val="22"/>
          <w:lang w:val="en-GB"/>
        </w:rPr>
      </w:pPr>
    </w:p>
    <w:p w14:paraId="583F82EC" w14:textId="77777777" w:rsidR="00C21DDA" w:rsidRDefault="00C21DDA" w:rsidP="00C21DDA">
      <w:pPr>
        <w:spacing w:line="250" w:lineRule="auto"/>
        <w:rPr>
          <w:color w:val="000000" w:themeColor="text1"/>
          <w:sz w:val="22"/>
          <w:szCs w:val="22"/>
          <w:lang w:val="en-GB"/>
        </w:rPr>
      </w:pPr>
    </w:p>
    <w:p w14:paraId="4F881BFC" w14:textId="77777777" w:rsidR="00C21DDA" w:rsidRDefault="00C21DDA" w:rsidP="00C21DDA">
      <w:pPr>
        <w:spacing w:line="250" w:lineRule="auto"/>
        <w:rPr>
          <w:color w:val="000000" w:themeColor="text1"/>
          <w:sz w:val="22"/>
          <w:szCs w:val="22"/>
          <w:lang w:val="en-GB"/>
        </w:rPr>
      </w:pPr>
    </w:p>
    <w:p w14:paraId="1619BB4A" w14:textId="77777777" w:rsidR="00C21DDA" w:rsidRDefault="00C21DDA" w:rsidP="00C21DDA">
      <w:pPr>
        <w:spacing w:line="250" w:lineRule="auto"/>
        <w:rPr>
          <w:color w:val="000000" w:themeColor="text1"/>
          <w:sz w:val="22"/>
          <w:szCs w:val="22"/>
          <w:lang w:val="en-GB"/>
        </w:rPr>
      </w:pPr>
    </w:p>
    <w:p w14:paraId="5BB570CC" w14:textId="77777777" w:rsidR="00C21DDA" w:rsidRDefault="00C21DDA" w:rsidP="00C21DDA">
      <w:pPr>
        <w:spacing w:line="250" w:lineRule="auto"/>
        <w:rPr>
          <w:color w:val="000000" w:themeColor="text1"/>
          <w:sz w:val="22"/>
          <w:szCs w:val="22"/>
          <w:lang w:val="en-GB"/>
        </w:rPr>
      </w:pPr>
    </w:p>
    <w:p w14:paraId="70F28B77" w14:textId="77777777" w:rsidR="00C21DDA" w:rsidRDefault="00C21DDA" w:rsidP="00C21DDA">
      <w:pPr>
        <w:spacing w:line="250" w:lineRule="auto"/>
        <w:rPr>
          <w:color w:val="000000" w:themeColor="text1"/>
          <w:sz w:val="22"/>
          <w:szCs w:val="22"/>
          <w:lang w:val="en-GB"/>
        </w:rPr>
      </w:pPr>
    </w:p>
    <w:p w14:paraId="79A45E9B" w14:textId="77777777" w:rsidR="00C21DDA" w:rsidRDefault="00C21DDA" w:rsidP="00C21DDA">
      <w:pPr>
        <w:spacing w:line="250" w:lineRule="auto"/>
        <w:rPr>
          <w:color w:val="000000" w:themeColor="text1"/>
          <w:sz w:val="22"/>
          <w:szCs w:val="22"/>
          <w:lang w:val="en-GB"/>
        </w:rPr>
      </w:pPr>
    </w:p>
    <w:p w14:paraId="5664A73C" w14:textId="77777777" w:rsidR="00C21DDA" w:rsidRDefault="00C21DDA" w:rsidP="00C21DDA">
      <w:pPr>
        <w:spacing w:line="250" w:lineRule="auto"/>
        <w:rPr>
          <w:color w:val="000000" w:themeColor="text1"/>
          <w:sz w:val="22"/>
          <w:szCs w:val="22"/>
          <w:lang w:val="en-GB"/>
        </w:rPr>
      </w:pPr>
    </w:p>
    <w:p w14:paraId="6D4D9903" w14:textId="77777777" w:rsidR="00C21DDA" w:rsidRDefault="00C21DDA" w:rsidP="00C21DDA">
      <w:pPr>
        <w:spacing w:line="250" w:lineRule="auto"/>
        <w:rPr>
          <w:color w:val="000000" w:themeColor="text1"/>
          <w:sz w:val="22"/>
          <w:szCs w:val="22"/>
          <w:lang w:val="en-GB"/>
        </w:rPr>
      </w:pPr>
    </w:p>
    <w:p w14:paraId="317EB087" w14:textId="77777777" w:rsidR="00C21DDA" w:rsidRDefault="00C21DDA" w:rsidP="00C21DDA">
      <w:pPr>
        <w:spacing w:line="250" w:lineRule="auto"/>
        <w:rPr>
          <w:color w:val="000000" w:themeColor="text1"/>
          <w:sz w:val="22"/>
          <w:szCs w:val="22"/>
          <w:lang w:val="en-GB"/>
        </w:rPr>
      </w:pPr>
    </w:p>
    <w:p w14:paraId="126B1119" w14:textId="77777777" w:rsidR="00C21DDA" w:rsidRDefault="00C21DDA" w:rsidP="00C21DDA">
      <w:pPr>
        <w:spacing w:line="250" w:lineRule="auto"/>
        <w:rPr>
          <w:color w:val="000000" w:themeColor="text1"/>
          <w:sz w:val="22"/>
          <w:szCs w:val="22"/>
          <w:lang w:val="en-GB"/>
        </w:rPr>
      </w:pPr>
    </w:p>
    <w:p w14:paraId="11F29F22" w14:textId="77777777" w:rsidR="00C21DDA" w:rsidRDefault="00C21DDA" w:rsidP="00C21DDA">
      <w:pPr>
        <w:spacing w:line="250" w:lineRule="auto"/>
        <w:rPr>
          <w:color w:val="000000" w:themeColor="text1"/>
          <w:sz w:val="22"/>
          <w:szCs w:val="22"/>
          <w:lang w:val="en-GB"/>
        </w:rPr>
      </w:pPr>
    </w:p>
    <w:p w14:paraId="6D2886DE" w14:textId="77777777" w:rsidR="00C21DDA" w:rsidRDefault="00C21DDA" w:rsidP="00C21DDA">
      <w:pPr>
        <w:spacing w:line="250" w:lineRule="auto"/>
        <w:rPr>
          <w:color w:val="000000" w:themeColor="text1"/>
          <w:sz w:val="22"/>
          <w:szCs w:val="22"/>
          <w:lang w:val="en-GB"/>
        </w:rPr>
      </w:pPr>
    </w:p>
    <w:p w14:paraId="6DF6BF03" w14:textId="77777777" w:rsidR="00C21DDA" w:rsidRDefault="00C21DDA" w:rsidP="00C21DDA">
      <w:pPr>
        <w:spacing w:line="250" w:lineRule="auto"/>
        <w:rPr>
          <w:color w:val="000000" w:themeColor="text1"/>
          <w:sz w:val="22"/>
          <w:szCs w:val="22"/>
          <w:lang w:val="en-GB"/>
        </w:rPr>
      </w:pPr>
    </w:p>
    <w:p w14:paraId="0AFBE66B" w14:textId="77777777" w:rsidR="00C21DDA" w:rsidRDefault="00C21DDA" w:rsidP="00C21DDA">
      <w:pPr>
        <w:spacing w:line="250" w:lineRule="auto"/>
        <w:rPr>
          <w:color w:val="000000" w:themeColor="text1"/>
          <w:sz w:val="22"/>
          <w:szCs w:val="22"/>
          <w:lang w:val="en-GB"/>
        </w:rPr>
      </w:pPr>
    </w:p>
    <w:p w14:paraId="2D3C2C28" w14:textId="4789C29D" w:rsidR="00C21DDA" w:rsidRPr="00C21DDA" w:rsidRDefault="00C21DDA" w:rsidP="00C21DDA">
      <w:pPr>
        <w:spacing w:line="250" w:lineRule="auto"/>
        <w:rPr>
          <w:b/>
          <w:bCs/>
          <w:color w:val="000000" w:themeColor="text1"/>
          <w:lang w:val="en-GB"/>
        </w:rPr>
      </w:pPr>
      <w:r w:rsidRPr="005D6D2C">
        <w:rPr>
          <w:b/>
          <w:bCs/>
          <w:noProof/>
          <w:color w:val="000000" w:themeColor="text1"/>
          <w:lang w:val="en-AU" w:eastAsia="en-AU"/>
        </w:rPr>
        <mc:AlternateContent>
          <mc:Choice Requires="wps">
            <w:drawing>
              <wp:anchor distT="0" distB="0" distL="114300" distR="114300" simplePos="0" relativeHeight="251663360" behindDoc="0" locked="0" layoutInCell="1" allowOverlap="1" wp14:anchorId="53FB9212" wp14:editId="751F98B3">
                <wp:simplePos x="0" y="0"/>
                <wp:positionH relativeFrom="column">
                  <wp:posOffset>2708910</wp:posOffset>
                </wp:positionH>
                <wp:positionV relativeFrom="paragraph">
                  <wp:posOffset>4221480</wp:posOffset>
                </wp:positionV>
                <wp:extent cx="552734" cy="3873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552734" cy="387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F4B3B4" id="Rectangle 4" o:spid="_x0000_s1026" style="position:absolute;margin-left:213.3pt;margin-top:332.4pt;width:43.5pt;height:3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" fillcolor="white [3212]" strokecolor="white [3212]" strokeweight="1pt"/>
            </w:pict>
          </mc:Fallback>
        </mc:AlternateContent>
      </w:r>
      <w:r w:rsidRPr="005D6D2C">
        <w:rPr>
          <w:b/>
          <w:bCs/>
          <w:noProof/>
          <w:color w:val="000000" w:themeColor="text1"/>
          <w:lang w:val="en-AU" w:eastAsia="en-AU"/>
        </w:rPr>
        <mc:AlternateContent>
          <mc:Choice Requires="wps">
            <w:drawing>
              <wp:anchor distT="0" distB="0" distL="114300" distR="114300" simplePos="0" relativeHeight="251662336" behindDoc="0" locked="0" layoutInCell="1" allowOverlap="1" wp14:anchorId="5831F4E6" wp14:editId="0F8D0EB9">
                <wp:simplePos x="0" y="0"/>
                <wp:positionH relativeFrom="column">
                  <wp:posOffset>2675214</wp:posOffset>
                </wp:positionH>
                <wp:positionV relativeFrom="paragraph">
                  <wp:posOffset>6224254</wp:posOffset>
                </wp:positionV>
                <wp:extent cx="480950" cy="178129"/>
                <wp:effectExtent l="0" t="0" r="0" b="0"/>
                <wp:wrapNone/>
                <wp:docPr id="6" name="Rectangle 6"/>
                <wp:cNvGraphicFramePr/>
                <a:graphic xmlns:a="http://schemas.openxmlformats.org/drawingml/2006/main">
                  <a:graphicData uri="http://schemas.microsoft.com/office/word/2010/wordprocessingShape">
                    <wps:wsp>
                      <wps:cNvSpPr/>
                      <wps:spPr>
                        <a:xfrm>
                          <a:off x="0" y="0"/>
                          <a:ext cx="480950" cy="178129"/>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41249E" id="Rectangle 6" o:spid="_x0000_s1026" style="position:absolute;margin-left:210.65pt;margin-top:490.1pt;width:37.85pt;height:14.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" fillcolor="white [3201]" stroked="f" strokeweight="1pt"/>
            </w:pict>
          </mc:Fallback>
        </mc:AlternateContent>
      </w:r>
      <w:r w:rsidRPr="0015382F">
        <w:rPr>
          <w:color w:val="000000" w:themeColor="text1"/>
          <w:sz w:val="22"/>
          <w:szCs w:val="22"/>
          <w:lang w:val="en-GB"/>
        </w:rPr>
        <w:t xml:space="preserve"> </w:t>
      </w:r>
      <w:r>
        <w:rPr>
          <w:lang w:val="en-GB"/>
        </w:rPr>
        <w:br w:type="page"/>
      </w:r>
    </w:p>
    <w:p w14:paraId="33386F51" w14:textId="77777777" w:rsidR="000B5B2E" w:rsidRPr="009F7A09" w:rsidRDefault="000B5B2E">
      <w:pPr>
        <w:rPr>
          <w:lang w:val="en-GB"/>
        </w:rPr>
      </w:pPr>
    </w:p>
    <w:tbl>
      <w:tblPr>
        <w:tblStyle w:val="TableGrid"/>
        <w:tblW w:w="0" w:type="auto"/>
        <w:jc w:val="center"/>
        <w:shd w:val="clear" w:color="auto" w:fill="F2F2F2" w:themeFill="background1" w:themeFillShade="F2"/>
        <w:tblLook w:val="04A0" w:firstRow="1" w:lastRow="0" w:firstColumn="1" w:lastColumn="0" w:noHBand="0" w:noVBand="1"/>
      </w:tblPr>
      <w:tblGrid>
        <w:gridCol w:w="7083"/>
      </w:tblGrid>
      <w:tr w:rsidR="002425A5" w14:paraId="746E35BB" w14:textId="77777777" w:rsidTr="00345317">
        <w:trPr>
          <w:jc w:val="center"/>
        </w:trPr>
        <w:tc>
          <w:tcPr>
            <w:tcW w:w="7083" w:type="dxa"/>
            <w:shd w:val="clear" w:color="auto" w:fill="F2F2F2" w:themeFill="background1" w:themeFillShade="F2"/>
          </w:tcPr>
          <w:p w14:paraId="623DD877" w14:textId="77777777" w:rsidR="002425A5" w:rsidRPr="002B4B9C" w:rsidRDefault="002425A5" w:rsidP="002425A5">
            <w:pPr>
              <w:rPr>
                <w:b/>
                <w:lang w:val="en-GB"/>
              </w:rPr>
            </w:pPr>
            <w:r w:rsidRPr="002B4B9C">
              <w:rPr>
                <w:b/>
                <w:lang w:val="en-GB"/>
              </w:rPr>
              <w:t xml:space="preserve">Any enquiries about this submission should be directed to: </w:t>
            </w:r>
          </w:p>
          <w:p w14:paraId="1B5058DF" w14:textId="3248EDE0" w:rsidR="002425A5" w:rsidRPr="002425A5" w:rsidRDefault="002425A5" w:rsidP="002425A5">
            <w:pPr>
              <w:rPr>
                <w:lang w:val="en-GB"/>
              </w:rPr>
            </w:pPr>
            <w:bookmarkStart w:id="0" w:name="_GoBack"/>
            <w:r w:rsidRPr="004D2FC0">
              <w:rPr>
                <w:lang w:val="en-GB"/>
              </w:rPr>
              <w:t>National Aboriginal Community Controlled Health Organisation (NACCHO)</w:t>
            </w:r>
            <w:bookmarkEnd w:id="0"/>
            <w:r w:rsidRPr="004D2FC0">
              <w:rPr>
                <w:lang w:val="en-GB"/>
              </w:rPr>
              <w:br/>
              <w:t>Level 5, 2 Constitution Avenue, Canberra City ACT 2601</w:t>
            </w:r>
            <w:r w:rsidRPr="004D2FC0">
              <w:rPr>
                <w:lang w:val="en-GB"/>
              </w:rPr>
              <w:br/>
              <w:t>Telephone: 02 6246 9300</w:t>
            </w:r>
            <w:r w:rsidR="00345317">
              <w:rPr>
                <w:lang w:val="en-GB"/>
              </w:rPr>
              <w:t>;</w:t>
            </w:r>
            <w:r w:rsidRPr="004D2FC0">
              <w:rPr>
                <w:lang w:val="en-GB"/>
              </w:rPr>
              <w:t xml:space="preserve"> </w:t>
            </w:r>
            <w:r w:rsidR="00345317">
              <w:rPr>
                <w:lang w:val="en-GB"/>
              </w:rPr>
              <w:t>e-</w:t>
            </w:r>
            <w:r w:rsidRPr="004D2FC0">
              <w:rPr>
                <w:lang w:val="en-GB"/>
              </w:rPr>
              <w:t xml:space="preserve">mail: </w:t>
            </w:r>
            <w:hyperlink r:id="rId14" w:history="1">
              <w:r w:rsidR="00345317" w:rsidRPr="00F92753">
                <w:rPr>
                  <w:rStyle w:val="Hyperlink"/>
                  <w:lang w:val="en-GB"/>
                </w:rPr>
                <w:t>reception@naccho.org.au</w:t>
              </w:r>
            </w:hyperlink>
          </w:p>
        </w:tc>
      </w:tr>
    </w:tbl>
    <w:p w14:paraId="392773B2" w14:textId="77777777" w:rsidR="002425A5" w:rsidRPr="004D2FC0" w:rsidRDefault="002425A5" w:rsidP="002425A5">
      <w:pPr>
        <w:rPr>
          <w:lang w:val="en-AU"/>
        </w:rPr>
      </w:pPr>
    </w:p>
    <w:p w14:paraId="1FCDA73E" w14:textId="77777777" w:rsidR="002425A5" w:rsidRDefault="002425A5" w:rsidP="004D2FC0">
      <w:pPr>
        <w:rPr>
          <w:b/>
          <w:lang w:val="en-AU"/>
        </w:rPr>
      </w:pPr>
    </w:p>
    <w:p w14:paraId="77569606" w14:textId="398E3680" w:rsidR="004D2FC0" w:rsidRPr="004D2FC0" w:rsidRDefault="004D2FC0" w:rsidP="004D2FC0">
      <w:pPr>
        <w:rPr>
          <w:b/>
          <w:lang w:val="en-GB"/>
        </w:rPr>
      </w:pPr>
      <w:r w:rsidRPr="004D2FC0">
        <w:rPr>
          <w:b/>
          <w:lang w:val="en-GB"/>
        </w:rPr>
        <w:t xml:space="preserve">About NACCHO </w:t>
      </w:r>
    </w:p>
    <w:p w14:paraId="352FAB82" w14:textId="77777777" w:rsidR="004D2FC0" w:rsidRDefault="004D2FC0" w:rsidP="004D2FC0">
      <w:pPr>
        <w:rPr>
          <w:lang w:val="en-GB"/>
        </w:rPr>
      </w:pPr>
    </w:p>
    <w:p w14:paraId="57048E46" w14:textId="01A42E45" w:rsidR="00B94936" w:rsidRPr="004D2FC0" w:rsidRDefault="004D2FC0" w:rsidP="00B94936">
      <w:pPr>
        <w:rPr>
          <w:lang w:val="en-GB"/>
        </w:rPr>
      </w:pPr>
      <w:r w:rsidRPr="004D2FC0">
        <w:rPr>
          <w:lang w:val="en-GB"/>
        </w:rPr>
        <w:t xml:space="preserve">NACCHO is the national peak body representing 143 Aboriginal </w:t>
      </w:r>
      <w:r w:rsidR="00B94936">
        <w:rPr>
          <w:lang w:val="en-GB"/>
        </w:rPr>
        <w:t>c</w:t>
      </w:r>
      <w:r w:rsidRPr="004D2FC0">
        <w:rPr>
          <w:lang w:val="en-GB"/>
        </w:rPr>
        <w:t>ommunity</w:t>
      </w:r>
      <w:r w:rsidR="00B94936">
        <w:rPr>
          <w:lang w:val="en-GB"/>
        </w:rPr>
        <w:t>-c</w:t>
      </w:r>
      <w:r w:rsidRPr="004D2FC0">
        <w:rPr>
          <w:lang w:val="en-GB"/>
        </w:rPr>
        <w:t xml:space="preserve">ontrolled </w:t>
      </w:r>
      <w:r w:rsidR="00B94936">
        <w:rPr>
          <w:lang w:val="en-GB"/>
        </w:rPr>
        <w:t>h</w:t>
      </w:r>
      <w:r w:rsidRPr="004D2FC0">
        <w:rPr>
          <w:lang w:val="en-GB"/>
        </w:rPr>
        <w:t xml:space="preserve">ealth </w:t>
      </w:r>
      <w:r w:rsidR="00B94936">
        <w:rPr>
          <w:lang w:val="en-GB"/>
        </w:rPr>
        <w:t>o</w:t>
      </w:r>
      <w:r w:rsidRPr="004D2FC0">
        <w:rPr>
          <w:lang w:val="en-GB"/>
        </w:rPr>
        <w:t>rganisations (ACCHOs)</w:t>
      </w:r>
      <w:r w:rsidR="00B94936">
        <w:rPr>
          <w:lang w:val="en-GB"/>
        </w:rPr>
        <w:t xml:space="preserve"> across Australia</w:t>
      </w:r>
      <w:r w:rsidRPr="004D2FC0">
        <w:rPr>
          <w:lang w:val="en-GB"/>
        </w:rPr>
        <w:t xml:space="preserve">. </w:t>
      </w:r>
      <w:r w:rsidR="00BE4BB6">
        <w:rPr>
          <w:lang w:val="en-GB"/>
        </w:rPr>
        <w:t>Over 80</w:t>
      </w:r>
      <w:r w:rsidR="002B4B9C">
        <w:rPr>
          <w:lang w:val="en-GB"/>
        </w:rPr>
        <w:t xml:space="preserve"> of these are CATSI Act</w:t>
      </w:r>
      <w:r w:rsidR="00B94936">
        <w:rPr>
          <w:lang w:val="en-GB"/>
        </w:rPr>
        <w:t>-register</w:t>
      </w:r>
      <w:r w:rsidR="00F80A32">
        <w:rPr>
          <w:lang w:val="en-GB"/>
        </w:rPr>
        <w:t>e</w:t>
      </w:r>
      <w:r w:rsidR="00B94936">
        <w:rPr>
          <w:lang w:val="en-GB"/>
        </w:rPr>
        <w:t>d</w:t>
      </w:r>
      <w:r w:rsidR="002B4B9C">
        <w:rPr>
          <w:lang w:val="en-GB"/>
        </w:rPr>
        <w:t xml:space="preserve"> organisations.</w:t>
      </w:r>
      <w:r w:rsidR="00B94936">
        <w:rPr>
          <w:lang w:val="en-GB"/>
        </w:rPr>
        <w:t xml:space="preserve"> Our members form a national footprint that is accessed by over half the Aboriginal and Torres Strait Islander population. </w:t>
      </w:r>
      <w:r w:rsidR="00B94936" w:rsidRPr="004D2FC0">
        <w:rPr>
          <w:lang w:val="en-GB"/>
        </w:rPr>
        <w:t xml:space="preserve">Our </w:t>
      </w:r>
      <w:r w:rsidR="00B94936">
        <w:rPr>
          <w:lang w:val="en-GB"/>
        </w:rPr>
        <w:t xml:space="preserve">clinics </w:t>
      </w:r>
      <w:r w:rsidR="00B94936" w:rsidRPr="004D2FC0">
        <w:rPr>
          <w:lang w:val="en-GB"/>
        </w:rPr>
        <w:t>provide 3.1</w:t>
      </w:r>
      <w:r w:rsidR="00B94936">
        <w:rPr>
          <w:lang w:val="en-GB"/>
        </w:rPr>
        <w:t xml:space="preserve"> </w:t>
      </w:r>
      <w:r w:rsidR="00B94936" w:rsidRPr="004D2FC0">
        <w:rPr>
          <w:lang w:val="en-GB"/>
        </w:rPr>
        <w:t>m</w:t>
      </w:r>
      <w:r w:rsidR="00B94936">
        <w:rPr>
          <w:lang w:val="en-GB"/>
        </w:rPr>
        <w:t>illion</w:t>
      </w:r>
      <w:r w:rsidR="00B94936" w:rsidRPr="004D2FC0">
        <w:rPr>
          <w:lang w:val="en-GB"/>
        </w:rPr>
        <w:t xml:space="preserve"> episodes of care per year for </w:t>
      </w:r>
      <w:r w:rsidR="00B94936">
        <w:rPr>
          <w:lang w:val="en-GB"/>
        </w:rPr>
        <w:t xml:space="preserve">almost </w:t>
      </w:r>
      <w:r w:rsidR="00B94936" w:rsidRPr="004D2FC0">
        <w:rPr>
          <w:lang w:val="en-GB"/>
        </w:rPr>
        <w:t>410,000 people across Australia, including 1</w:t>
      </w:r>
      <w:r w:rsidR="00B94936">
        <w:rPr>
          <w:lang w:val="en-GB"/>
        </w:rPr>
        <w:t xml:space="preserve"> </w:t>
      </w:r>
      <w:r w:rsidR="00B94936" w:rsidRPr="004D2FC0">
        <w:rPr>
          <w:lang w:val="en-GB"/>
        </w:rPr>
        <w:t>m</w:t>
      </w:r>
      <w:r w:rsidR="00B94936">
        <w:rPr>
          <w:lang w:val="en-GB"/>
        </w:rPr>
        <w:t>illion</w:t>
      </w:r>
      <w:r w:rsidR="00B94936" w:rsidRPr="004D2FC0">
        <w:rPr>
          <w:lang w:val="en-GB"/>
        </w:rPr>
        <w:t xml:space="preserve"> episodes of care in remote regions. </w:t>
      </w:r>
    </w:p>
    <w:p w14:paraId="3ED2E3DE" w14:textId="7D3435E5" w:rsidR="002B4B9C" w:rsidRDefault="002B4B9C" w:rsidP="004D2FC0">
      <w:pPr>
        <w:rPr>
          <w:lang w:val="en-GB"/>
        </w:rPr>
      </w:pPr>
    </w:p>
    <w:p w14:paraId="62FC1A2B" w14:textId="75959538" w:rsidR="00B94936" w:rsidRDefault="00B94936" w:rsidP="00B94936">
      <w:pPr>
        <w:rPr>
          <w:lang w:val="en-GB"/>
        </w:rPr>
      </w:pPr>
      <w:r w:rsidRPr="004D2FC0">
        <w:rPr>
          <w:lang w:val="en-GB"/>
        </w:rPr>
        <w:t xml:space="preserve">Collectively, we employ about 7,000 staff, 54 per cent of whom are Indigenous, </w:t>
      </w:r>
      <w:r>
        <w:rPr>
          <w:lang w:val="en-GB"/>
        </w:rPr>
        <w:t>putting us in the top three</w:t>
      </w:r>
      <w:r w:rsidRPr="004D2FC0">
        <w:rPr>
          <w:lang w:val="en-GB"/>
        </w:rPr>
        <w:t xml:space="preserve"> largest employer</w:t>
      </w:r>
      <w:r>
        <w:rPr>
          <w:lang w:val="en-GB"/>
        </w:rPr>
        <w:t>s</w:t>
      </w:r>
      <w:r w:rsidRPr="004D2FC0">
        <w:rPr>
          <w:lang w:val="en-GB"/>
        </w:rPr>
        <w:t xml:space="preserve"> of Aboriginal and Torres Strait Islander people in the country. </w:t>
      </w:r>
    </w:p>
    <w:p w14:paraId="7C84C70C" w14:textId="77777777" w:rsidR="00B94936" w:rsidRPr="004D2FC0" w:rsidRDefault="00B94936" w:rsidP="00B94936">
      <w:pPr>
        <w:rPr>
          <w:lang w:val="en-GB"/>
        </w:rPr>
      </w:pPr>
    </w:p>
    <w:p w14:paraId="664D0004" w14:textId="77777777" w:rsidR="00B94936" w:rsidRDefault="004D2FC0" w:rsidP="004D2FC0">
      <w:pPr>
        <w:rPr>
          <w:lang w:val="en-GB"/>
        </w:rPr>
      </w:pPr>
      <w:r w:rsidRPr="004D2FC0">
        <w:rPr>
          <w:lang w:val="en-GB"/>
        </w:rPr>
        <w:t xml:space="preserve">NACCHO liaises with its membership, its eight state/territory affiliates, governments, and other organisations on </w:t>
      </w:r>
      <w:r w:rsidR="00B94936">
        <w:rPr>
          <w:lang w:val="en-GB"/>
        </w:rPr>
        <w:t xml:space="preserve">matters of </w:t>
      </w:r>
      <w:r w:rsidRPr="004D2FC0">
        <w:rPr>
          <w:lang w:val="en-GB"/>
        </w:rPr>
        <w:t xml:space="preserve">Aboriginal and Torres Strait Islander health and wellbeing policy and planning issues and advocacy relating to health service delivery, health information, research, public health, health financing and health programs. </w:t>
      </w:r>
    </w:p>
    <w:p w14:paraId="495DD5C3" w14:textId="77777777" w:rsidR="004D2FC0" w:rsidRDefault="004D2FC0" w:rsidP="004D2FC0">
      <w:pPr>
        <w:rPr>
          <w:lang w:val="en-GB"/>
        </w:rPr>
      </w:pPr>
    </w:p>
    <w:p w14:paraId="07090C51" w14:textId="00D36888" w:rsidR="004D2FC0" w:rsidRPr="004D2FC0" w:rsidRDefault="004D2FC0" w:rsidP="004D2FC0">
      <w:pPr>
        <w:rPr>
          <w:lang w:val="en-GB"/>
        </w:rPr>
      </w:pPr>
      <w:r w:rsidRPr="004D2FC0">
        <w:rPr>
          <w:lang w:val="en-GB"/>
        </w:rPr>
        <w:t xml:space="preserve">ACCHOs range from large multi-functional services employing several medical practitioners and providing a wide range of services, to small services which rely on Aboriginal Health Workers/Practitioners and/or nurses to provide the bulk of primary health care services, often with a preventive, health education focus. Our 143 ACCHOs provide services from about 550 clinics. </w:t>
      </w:r>
    </w:p>
    <w:p w14:paraId="0716942D" w14:textId="77777777" w:rsidR="004D2FC0" w:rsidRDefault="004D2FC0" w:rsidP="004D2FC0">
      <w:pPr>
        <w:rPr>
          <w:lang w:val="en-GB"/>
        </w:rPr>
      </w:pPr>
    </w:p>
    <w:p w14:paraId="012A40EB" w14:textId="2FDE8810" w:rsidR="004D2FC0" w:rsidRPr="004D2FC0" w:rsidRDefault="004D2FC0" w:rsidP="004D2FC0">
      <w:pPr>
        <w:rPr>
          <w:lang w:val="en-GB"/>
        </w:rPr>
      </w:pPr>
      <w:r w:rsidRPr="004D2FC0">
        <w:rPr>
          <w:lang w:val="en-GB"/>
        </w:rPr>
        <w:t xml:space="preserve">ACCHOs contribute to improving Aboriginal and Torres Strait Islander health and wellbeing through the provision of comprehensive primary health care, and by integrating and coordinating care and services. Many provide home and site visits; medical, public health and health promotion services; allied health; nursing services; assistance with making appointments and transport; help accessing childcare or dealing with the justice system; drug and alcohol services; and help with income support. </w:t>
      </w:r>
    </w:p>
    <w:p w14:paraId="7979EE6B" w14:textId="77777777" w:rsidR="004D2FC0" w:rsidRDefault="004D2FC0" w:rsidP="004D2FC0">
      <w:pPr>
        <w:rPr>
          <w:lang w:val="en-GB"/>
        </w:rPr>
      </w:pPr>
    </w:p>
    <w:p w14:paraId="0866729F" w14:textId="6AE3A798" w:rsidR="00D90547" w:rsidRDefault="004D2FC0" w:rsidP="004D2FC0">
      <w:pPr>
        <w:rPr>
          <w:lang w:val="en-GB"/>
        </w:rPr>
      </w:pPr>
      <w:r w:rsidRPr="004D2FC0">
        <w:rPr>
          <w:lang w:val="en-GB"/>
        </w:rPr>
        <w:t xml:space="preserve">During the early days of the recent pandemic, NACCHO led the sector’s response and engagement with governments to ensure that the impact was minimised amongst Australia’s First Nations, in which levels of comorbidity and socio-economic factors (e.g. overcrowding and poverty) meant that much higher death rates were expected. No deaths were recorded from COVID-19 amongst our people and our share of the caseload was 0.5 per cent when our share of the national population is 3.3 per cent. It is a remarkable story of success, when compared to the tragic outcomes experienced by First Nations people in </w:t>
      </w:r>
      <w:r w:rsidRPr="004D2FC0">
        <w:rPr>
          <w:lang w:val="en-GB"/>
        </w:rPr>
        <w:lastRenderedPageBreak/>
        <w:t>other countries (e.g. the Navajo</w:t>
      </w:r>
      <w:r w:rsidR="00D90547">
        <w:rPr>
          <w:lang w:val="en-GB"/>
        </w:rPr>
        <w:t xml:space="preserve"> and Black Feet</w:t>
      </w:r>
      <w:r w:rsidRPr="004D2FC0">
        <w:rPr>
          <w:lang w:val="en-GB"/>
        </w:rPr>
        <w:t xml:space="preserve"> in </w:t>
      </w:r>
      <w:r w:rsidR="00D90547">
        <w:rPr>
          <w:lang w:val="en-GB"/>
        </w:rPr>
        <w:t>North America</w:t>
      </w:r>
      <w:r w:rsidRPr="004D2FC0">
        <w:rPr>
          <w:lang w:val="en-GB"/>
        </w:rPr>
        <w:t xml:space="preserve"> who have the highest death rate</w:t>
      </w:r>
      <w:r w:rsidR="00D90547">
        <w:rPr>
          <w:lang w:val="en-GB"/>
        </w:rPr>
        <w:t>s</w:t>
      </w:r>
      <w:r w:rsidRPr="004D2FC0">
        <w:rPr>
          <w:lang w:val="en-GB"/>
        </w:rPr>
        <w:t xml:space="preserve"> of all groups).</w:t>
      </w:r>
      <w:r>
        <w:rPr>
          <w:rStyle w:val="FootnoteReference"/>
          <w:lang w:val="en-GB"/>
        </w:rPr>
        <w:footnoteReference w:id="1"/>
      </w:r>
      <w:r w:rsidRPr="004D2FC0">
        <w:rPr>
          <w:lang w:val="en-GB"/>
        </w:rPr>
        <w:t xml:space="preserve"> </w:t>
      </w:r>
    </w:p>
    <w:p w14:paraId="2A46B69F" w14:textId="77777777" w:rsidR="00D90547" w:rsidRDefault="00D90547" w:rsidP="004D2FC0">
      <w:pPr>
        <w:rPr>
          <w:lang w:val="en-GB"/>
        </w:rPr>
      </w:pPr>
    </w:p>
    <w:p w14:paraId="04E8537F" w14:textId="7712483E" w:rsidR="004D2FC0" w:rsidRPr="004D2FC0" w:rsidRDefault="004D2FC0" w:rsidP="004D2FC0">
      <w:pPr>
        <w:rPr>
          <w:lang w:val="en-GB"/>
        </w:rPr>
      </w:pPr>
      <w:r w:rsidRPr="004D2FC0">
        <w:rPr>
          <w:lang w:val="en-GB"/>
        </w:rPr>
        <w:t xml:space="preserve">This risk remains, but the existence of a national network of ACCHOs has been critical to the success thus far. If the pandemic has shown anything in our sector, it is that ACCHOs are flexible and effective frontline services. Now, more than ever, the network needs to be developed and supported. </w:t>
      </w:r>
      <w:r w:rsidR="00D90547">
        <w:rPr>
          <w:lang w:val="en-GB"/>
        </w:rPr>
        <w:t>Any changes in the CATSI Act need to assist ACCHOs in our sector, not impede them.</w:t>
      </w:r>
    </w:p>
    <w:p w14:paraId="3C4CA319" w14:textId="77777777" w:rsidR="004D2FC0" w:rsidRDefault="004D2FC0" w:rsidP="004D2FC0">
      <w:pPr>
        <w:rPr>
          <w:lang w:val="en-GB"/>
        </w:rPr>
      </w:pPr>
    </w:p>
    <w:p w14:paraId="050D5C8E" w14:textId="77777777" w:rsidR="002B4B9C" w:rsidRDefault="002B4B9C">
      <w:pPr>
        <w:rPr>
          <w:b/>
          <w:lang w:val="en-GB"/>
        </w:rPr>
      </w:pPr>
    </w:p>
    <w:p w14:paraId="36004878" w14:textId="0B3DD1A1" w:rsidR="002B4B9C" w:rsidRPr="002B4B9C" w:rsidRDefault="00666AD6" w:rsidP="002B4B9C">
      <w:pPr>
        <w:rPr>
          <w:b/>
          <w:lang w:val="en-GB"/>
        </w:rPr>
      </w:pPr>
      <w:r>
        <w:rPr>
          <w:b/>
          <w:lang w:val="en-GB"/>
        </w:rPr>
        <w:t>Commitment to</w:t>
      </w:r>
      <w:r w:rsidR="002B4B9C" w:rsidRPr="002B4B9C">
        <w:rPr>
          <w:b/>
          <w:lang w:val="en-GB"/>
        </w:rPr>
        <w:t xml:space="preserve"> the new National Agreement on Closing the Gap </w:t>
      </w:r>
    </w:p>
    <w:p w14:paraId="6CC7381E" w14:textId="77777777" w:rsidR="002B4B9C" w:rsidRDefault="002B4B9C" w:rsidP="002B4B9C">
      <w:pPr>
        <w:rPr>
          <w:lang w:val="en-GB"/>
        </w:rPr>
      </w:pPr>
    </w:p>
    <w:p w14:paraId="43E8F078" w14:textId="68EAE82A" w:rsidR="002B4B9C" w:rsidRPr="002B4B9C" w:rsidRDefault="002B4B9C" w:rsidP="002B4B9C">
      <w:pPr>
        <w:rPr>
          <w:lang w:val="en-GB"/>
        </w:rPr>
      </w:pPr>
      <w:r w:rsidRPr="002B4B9C">
        <w:rPr>
          <w:lang w:val="en-GB"/>
        </w:rPr>
        <w:t xml:space="preserve">NACCHO played a leading role in setting up the Coalition of Peaks that grew into a group of </w:t>
      </w:r>
      <w:r w:rsidR="004F58BD">
        <w:rPr>
          <w:lang w:val="en-GB"/>
        </w:rPr>
        <w:t xml:space="preserve">over </w:t>
      </w:r>
      <w:r w:rsidRPr="002B4B9C">
        <w:rPr>
          <w:lang w:val="en-GB"/>
        </w:rPr>
        <w:t>50 Aboriginal organisations uniting to negotiate the new National Agreement on Closing the Gap with Australian governments.</w:t>
      </w:r>
      <w:r w:rsidR="00F03CCE">
        <w:rPr>
          <w:rStyle w:val="FootnoteReference"/>
          <w:lang w:val="en-GB"/>
        </w:rPr>
        <w:footnoteReference w:id="2"/>
      </w:r>
      <w:r w:rsidRPr="002B4B9C">
        <w:rPr>
          <w:lang w:val="en-GB"/>
        </w:rPr>
        <w:t xml:space="preserve"> </w:t>
      </w:r>
    </w:p>
    <w:p w14:paraId="470D784C" w14:textId="77777777" w:rsidR="002B4B9C" w:rsidRDefault="002B4B9C" w:rsidP="002B4B9C">
      <w:pPr>
        <w:rPr>
          <w:lang w:val="en-GB"/>
        </w:rPr>
      </w:pPr>
    </w:p>
    <w:p w14:paraId="6619ECF0" w14:textId="51FBE1AD" w:rsidR="002B4B9C" w:rsidRPr="002B4B9C" w:rsidRDefault="002B4B9C" w:rsidP="002B4B9C">
      <w:pPr>
        <w:rPr>
          <w:lang w:val="en-GB"/>
        </w:rPr>
      </w:pPr>
      <w:r w:rsidRPr="002B4B9C">
        <w:rPr>
          <w:lang w:val="en-GB"/>
        </w:rPr>
        <w:t xml:space="preserve">The new National Agreement was developed around four priority reform areas. </w:t>
      </w:r>
    </w:p>
    <w:p w14:paraId="32448B78" w14:textId="71D4CD05" w:rsidR="002B4B9C" w:rsidRPr="002B4B9C" w:rsidRDefault="002B4B9C" w:rsidP="002B4B9C">
      <w:pPr>
        <w:rPr>
          <w:lang w:val="en-GB"/>
        </w:rPr>
      </w:pPr>
      <w:r w:rsidRPr="002B4B9C">
        <w:rPr>
          <w:lang w:val="en-GB"/>
        </w:rPr>
        <w:fldChar w:fldCharType="begin"/>
      </w:r>
      <w:r w:rsidR="00D623E0">
        <w:rPr>
          <w:lang w:val="en-GB"/>
        </w:rPr>
        <w:instrText xml:space="preserve"> INCLUDEPICTURE "C:\\var\\folders\\h8\\pyqs_h8x081g35t8psxs4z200000gn\\T\\com.microsoft.Word\\WebArchiveCopyPasteTempFiles\\page3image5888" \* MERGEFORMAT </w:instrText>
      </w:r>
      <w:r w:rsidRPr="002B4B9C">
        <w:rPr>
          <w:lang w:val="en-GB"/>
        </w:rPr>
        <w:fldChar w:fldCharType="separate"/>
      </w:r>
      <w:r w:rsidRPr="002B4B9C">
        <w:rPr>
          <w:noProof/>
          <w:lang w:val="en-AU" w:eastAsia="en-AU"/>
        </w:rPr>
        <w:drawing>
          <wp:inline distT="0" distB="0" distL="0" distR="0" wp14:anchorId="7DB7F6A9" wp14:editId="6085D79F">
            <wp:extent cx="9525" cy="9525"/>
            <wp:effectExtent l="0" t="0" r="0" b="0"/>
            <wp:docPr id="2" name="Picture 2" descr="page3image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58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B4B9C">
        <w:rPr>
          <w:lang w:val="en-GB"/>
        </w:rPr>
        <w:fldChar w:fldCharType="end"/>
      </w:r>
    </w:p>
    <w:p w14:paraId="0AA7570F" w14:textId="77777777" w:rsidR="002B4B9C" w:rsidRPr="00A422D6" w:rsidRDefault="002B4B9C" w:rsidP="002B4B9C">
      <w:pPr>
        <w:rPr>
          <w:b/>
          <w:i/>
          <w:lang w:val="en-GB"/>
        </w:rPr>
      </w:pPr>
      <w:r w:rsidRPr="00A422D6">
        <w:rPr>
          <w:b/>
          <w:i/>
          <w:lang w:val="en-GB"/>
        </w:rPr>
        <w:t>Table 2: National Agreement of Closing the Gap: four priority reform areas</w:t>
      </w:r>
    </w:p>
    <w:tbl>
      <w:tblPr>
        <w:tblStyle w:val="TableGrid"/>
        <w:tblW w:w="0" w:type="auto"/>
        <w:shd w:val="clear" w:color="auto" w:fill="F2F2F2" w:themeFill="background1" w:themeFillShade="F2"/>
        <w:tblLook w:val="04A0" w:firstRow="1" w:lastRow="0" w:firstColumn="1" w:lastColumn="0" w:noHBand="0" w:noVBand="1"/>
      </w:tblPr>
      <w:tblGrid>
        <w:gridCol w:w="9010"/>
      </w:tblGrid>
      <w:tr w:rsidR="002B4B9C" w:rsidRPr="00A422D6" w14:paraId="166CAE6C" w14:textId="77777777" w:rsidTr="00D77F23">
        <w:tc>
          <w:tcPr>
            <w:tcW w:w="9288" w:type="dxa"/>
            <w:shd w:val="clear" w:color="auto" w:fill="F2F2F2" w:themeFill="background1" w:themeFillShade="F2"/>
          </w:tcPr>
          <w:p w14:paraId="50C39378" w14:textId="77777777" w:rsidR="002B4B9C" w:rsidRPr="00A422D6" w:rsidRDefault="002B4B9C" w:rsidP="00D77F23">
            <w:pPr>
              <w:pStyle w:val="ListParagraph"/>
              <w:spacing w:after="100"/>
              <w:ind w:left="360"/>
              <w:textAlignment w:val="baseline"/>
              <w:rPr>
                <w:rFonts w:eastAsia="Times New Roman" w:cstheme="minorHAnsi"/>
                <w:color w:val="000000" w:themeColor="text1"/>
                <w:lang w:val="en-GB" w:eastAsia="en-AU"/>
              </w:rPr>
            </w:pPr>
          </w:p>
          <w:p w14:paraId="79FD4532" w14:textId="77777777" w:rsidR="002B4B9C" w:rsidRPr="00A422D6" w:rsidRDefault="002B4B9C" w:rsidP="002B4B9C">
            <w:pPr>
              <w:pStyle w:val="ListParagraph"/>
              <w:numPr>
                <w:ilvl w:val="0"/>
                <w:numId w:val="3"/>
              </w:numPr>
              <w:spacing w:after="100"/>
              <w:textAlignment w:val="baseline"/>
              <w:rPr>
                <w:rFonts w:eastAsia="Times New Roman" w:cstheme="minorHAnsi"/>
                <w:color w:val="000000" w:themeColor="text1"/>
                <w:lang w:val="en-GB" w:eastAsia="en-AU"/>
              </w:rPr>
            </w:pPr>
            <w:r w:rsidRPr="00A422D6">
              <w:rPr>
                <w:rFonts w:eastAsia="Times New Roman" w:cstheme="minorHAnsi"/>
                <w:b/>
                <w:color w:val="000000" w:themeColor="text1"/>
                <w:lang w:val="en-GB" w:eastAsia="en-AU"/>
              </w:rPr>
              <w:t>Shared decision-making</w:t>
            </w:r>
            <w:r w:rsidRPr="00A422D6">
              <w:rPr>
                <w:rFonts w:eastAsia="Times New Roman" w:cstheme="minorHAnsi"/>
                <w:color w:val="000000" w:themeColor="text1"/>
                <w:lang w:val="en-GB" w:eastAsia="en-AU"/>
              </w:rPr>
              <w:t>: Aboriginal and Torres Strait Islander people are empowered to share decision-making authority with governments to accelerate policy and place-based progress on Closing the Gap through formal partnership arrangements.</w:t>
            </w:r>
          </w:p>
          <w:p w14:paraId="045490DE" w14:textId="77777777" w:rsidR="002B4B9C" w:rsidRPr="00A422D6" w:rsidRDefault="002B4B9C" w:rsidP="00D77F23">
            <w:pPr>
              <w:pStyle w:val="ListParagraph"/>
              <w:spacing w:after="100"/>
              <w:ind w:left="360"/>
              <w:textAlignment w:val="baseline"/>
              <w:rPr>
                <w:rFonts w:eastAsia="Times New Roman" w:cstheme="minorHAnsi"/>
                <w:color w:val="000000" w:themeColor="text1"/>
                <w:lang w:val="en-GB" w:eastAsia="en-AU"/>
              </w:rPr>
            </w:pPr>
          </w:p>
          <w:p w14:paraId="3B46584F" w14:textId="77777777" w:rsidR="002B4B9C" w:rsidRPr="00A422D6" w:rsidRDefault="002B4B9C" w:rsidP="002B4B9C">
            <w:pPr>
              <w:pStyle w:val="ListParagraph"/>
              <w:numPr>
                <w:ilvl w:val="0"/>
                <w:numId w:val="3"/>
              </w:numPr>
              <w:spacing w:after="100"/>
              <w:textAlignment w:val="baseline"/>
              <w:rPr>
                <w:rFonts w:eastAsia="Times New Roman" w:cstheme="minorHAnsi"/>
                <w:color w:val="000000" w:themeColor="text1"/>
                <w:lang w:val="en-GB" w:eastAsia="en-AU"/>
              </w:rPr>
            </w:pPr>
            <w:r w:rsidRPr="00A422D6">
              <w:rPr>
                <w:rFonts w:eastAsia="Times New Roman" w:cstheme="minorHAnsi"/>
                <w:b/>
                <w:color w:val="000000" w:themeColor="text1"/>
                <w:lang w:val="en-GB" w:eastAsia="en-AU"/>
              </w:rPr>
              <w:t>Building the community-controlled sector</w:t>
            </w:r>
            <w:r w:rsidRPr="00A422D6">
              <w:rPr>
                <w:rFonts w:eastAsia="Times New Roman" w:cstheme="minorHAnsi"/>
                <w:color w:val="000000" w:themeColor="text1"/>
                <w:lang w:val="en-GB" w:eastAsia="en-AU"/>
              </w:rPr>
              <w:t>: There is a strong and sustainable Aboriginal and Torres Strait Islander community-controlled sector delivering high quality services to meet the needs of Aboriginal and Torres Strait Islander people across the country.</w:t>
            </w:r>
          </w:p>
          <w:p w14:paraId="14B6A95E" w14:textId="77777777" w:rsidR="002B4B9C" w:rsidRPr="00A422D6" w:rsidRDefault="002B4B9C" w:rsidP="00D77F23">
            <w:pPr>
              <w:pStyle w:val="ListParagraph"/>
              <w:spacing w:after="100"/>
              <w:ind w:left="360"/>
              <w:textAlignment w:val="baseline"/>
              <w:rPr>
                <w:rFonts w:eastAsia="Times New Roman" w:cstheme="minorHAnsi"/>
                <w:color w:val="000000" w:themeColor="text1"/>
                <w:lang w:val="en-GB" w:eastAsia="en-AU"/>
              </w:rPr>
            </w:pPr>
          </w:p>
          <w:p w14:paraId="3E8C2662" w14:textId="77777777" w:rsidR="002B4B9C" w:rsidRPr="00A422D6" w:rsidRDefault="002B4B9C" w:rsidP="002B4B9C">
            <w:pPr>
              <w:pStyle w:val="ListParagraph"/>
              <w:numPr>
                <w:ilvl w:val="0"/>
                <w:numId w:val="3"/>
              </w:numPr>
              <w:spacing w:after="100"/>
              <w:textAlignment w:val="baseline"/>
              <w:rPr>
                <w:rFonts w:eastAsia="Times New Roman" w:cstheme="minorHAnsi"/>
                <w:color w:val="000000" w:themeColor="text1"/>
                <w:lang w:val="en-GB" w:eastAsia="en-AU"/>
              </w:rPr>
            </w:pPr>
            <w:r w:rsidRPr="00A422D6">
              <w:rPr>
                <w:rFonts w:eastAsia="Times New Roman" w:cstheme="minorHAnsi"/>
                <w:b/>
                <w:color w:val="000000" w:themeColor="text1"/>
                <w:lang w:val="en-GB" w:eastAsia="en-AU"/>
              </w:rPr>
              <w:t>Improving mainstream institutions</w:t>
            </w:r>
            <w:r w:rsidRPr="00A422D6">
              <w:rPr>
                <w:rFonts w:eastAsia="Times New Roman" w:cstheme="minorHAnsi"/>
                <w:color w:val="000000" w:themeColor="text1"/>
                <w:lang w:val="en-GB" w:eastAsia="en-AU"/>
              </w:rPr>
              <w:t>: Governments, their organisations and their institutions are accountable for Closing the Gap and are culturally safe and responsive to the needs of Aboriginal and Torres Strait Islander people, including through the services they fund.</w:t>
            </w:r>
          </w:p>
          <w:p w14:paraId="21A95006" w14:textId="77777777" w:rsidR="002B4B9C" w:rsidRPr="00A422D6" w:rsidRDefault="002B4B9C" w:rsidP="00D77F23">
            <w:pPr>
              <w:pStyle w:val="ListParagraph"/>
              <w:spacing w:after="100"/>
              <w:ind w:left="360"/>
              <w:textAlignment w:val="baseline"/>
              <w:rPr>
                <w:rFonts w:eastAsia="Times New Roman" w:cstheme="minorHAnsi"/>
                <w:color w:val="000000" w:themeColor="text1"/>
                <w:lang w:val="en-GB" w:eastAsia="en-AU"/>
              </w:rPr>
            </w:pPr>
          </w:p>
          <w:p w14:paraId="776FC886" w14:textId="77777777" w:rsidR="002B4B9C" w:rsidRPr="00A422D6" w:rsidRDefault="002B4B9C" w:rsidP="002B4B9C">
            <w:pPr>
              <w:pStyle w:val="ListParagraph"/>
              <w:numPr>
                <w:ilvl w:val="0"/>
                <w:numId w:val="3"/>
              </w:numPr>
              <w:spacing w:after="100"/>
              <w:textAlignment w:val="baseline"/>
              <w:rPr>
                <w:rFonts w:eastAsia="Times New Roman" w:cstheme="minorHAnsi"/>
                <w:color w:val="000000" w:themeColor="text1"/>
                <w:lang w:val="en-GB" w:eastAsia="en-AU"/>
              </w:rPr>
            </w:pPr>
            <w:r w:rsidRPr="00A422D6">
              <w:rPr>
                <w:rFonts w:eastAsia="Times New Roman" w:cstheme="minorHAnsi"/>
                <w:b/>
                <w:color w:val="000000" w:themeColor="text1"/>
                <w:lang w:val="en-GB" w:eastAsia="en-AU"/>
              </w:rPr>
              <w:t>Aboriginal and Torres Strait Islander-led data</w:t>
            </w:r>
            <w:r w:rsidRPr="00A422D6">
              <w:rPr>
                <w:rFonts w:eastAsia="Times New Roman" w:cstheme="minorHAnsi"/>
                <w:color w:val="000000" w:themeColor="text1"/>
                <w:lang w:val="en-GB" w:eastAsia="en-AU"/>
              </w:rPr>
              <w:t>: Aboriginal and Torres Strait Islander people have access to, and the capability to use, locally-relevant data and information to set and monitor the implementation of efforts to close the gap, their priorities and drive their own development.</w:t>
            </w:r>
          </w:p>
        </w:tc>
      </w:tr>
    </w:tbl>
    <w:p w14:paraId="626C34E2" w14:textId="77777777" w:rsidR="002B4B9C" w:rsidRPr="00A422D6" w:rsidRDefault="002B4B9C" w:rsidP="002B4B9C">
      <w:pPr>
        <w:pStyle w:val="NormalWeb"/>
        <w:spacing w:before="0" w:beforeAutospacing="0" w:after="0" w:afterAutospacing="0"/>
        <w:rPr>
          <w:rFonts w:asciiTheme="minorHAnsi" w:hAnsiTheme="minorHAnsi" w:cstheme="minorHAnsi"/>
          <w:color w:val="000000" w:themeColor="text1"/>
          <w:sz w:val="22"/>
          <w:szCs w:val="22"/>
          <w:lang w:val="en-GB"/>
        </w:rPr>
      </w:pPr>
    </w:p>
    <w:p w14:paraId="4459F1C2" w14:textId="1A06912A" w:rsidR="004F58BD" w:rsidRDefault="002B4B9C" w:rsidP="004F58BD">
      <w:pPr>
        <w:rPr>
          <w:lang w:val="en-GB"/>
        </w:rPr>
      </w:pPr>
      <w:r w:rsidRPr="002B4B9C">
        <w:rPr>
          <w:lang w:val="en-GB"/>
        </w:rPr>
        <w:t xml:space="preserve">These four priority reform areas reflect what Aboriginal and Torres Strait Islanders have been telling governments for decades. They must be embraced by all parties, if real progress is to be made. The four priorities, and the principles underlying them, form the basis of much of this submission. </w:t>
      </w:r>
      <w:r w:rsidR="004F58BD" w:rsidRPr="002B4B9C">
        <w:rPr>
          <w:lang w:val="en-GB"/>
        </w:rPr>
        <w:t xml:space="preserve">NACCHO is committed to the objectives underpinning that seminal agreement. </w:t>
      </w:r>
    </w:p>
    <w:p w14:paraId="3D07641C" w14:textId="77777777" w:rsidR="00884FAB" w:rsidRDefault="00884FAB">
      <w:pPr>
        <w:rPr>
          <w:b/>
          <w:lang w:val="en-GB"/>
        </w:rPr>
      </w:pPr>
      <w:r>
        <w:rPr>
          <w:b/>
          <w:lang w:val="en-GB"/>
        </w:rPr>
        <w:br w:type="page"/>
      </w:r>
    </w:p>
    <w:p w14:paraId="0A7C5048" w14:textId="777E22BB" w:rsidR="004F58BD" w:rsidRDefault="004F58BD" w:rsidP="004F58BD">
      <w:pPr>
        <w:rPr>
          <w:b/>
          <w:lang w:val="en-GB"/>
        </w:rPr>
      </w:pPr>
      <w:r w:rsidRPr="002B4B9C">
        <w:rPr>
          <w:b/>
          <w:lang w:val="en-GB"/>
        </w:rPr>
        <w:t xml:space="preserve">Partnership, not consultation </w:t>
      </w:r>
    </w:p>
    <w:p w14:paraId="70F515B2" w14:textId="054E2FAD" w:rsidR="00BE4BB6" w:rsidRPr="00BE4BB6" w:rsidRDefault="00BE4BB6" w:rsidP="004F58BD">
      <w:pPr>
        <w:rPr>
          <w:lang w:val="en-GB"/>
        </w:rPr>
      </w:pPr>
    </w:p>
    <w:p w14:paraId="780DAC2A" w14:textId="62DAF9F7" w:rsidR="002B767D" w:rsidRDefault="002B767D" w:rsidP="002B767D">
      <w:pPr>
        <w:rPr>
          <w:lang w:val="en-GB"/>
        </w:rPr>
      </w:pPr>
      <w:r>
        <w:rPr>
          <w:lang w:val="en-GB"/>
        </w:rPr>
        <w:t xml:space="preserve">NACCHO has been disappointed in the cursory approach to </w:t>
      </w:r>
      <w:r w:rsidR="001423B7">
        <w:rPr>
          <w:lang w:val="en-GB"/>
        </w:rPr>
        <w:t>engagement</w:t>
      </w:r>
      <w:r>
        <w:rPr>
          <w:lang w:val="en-GB"/>
        </w:rPr>
        <w:t xml:space="preserve"> undertaken in the review. </w:t>
      </w:r>
      <w:r w:rsidR="00BD30FB">
        <w:rPr>
          <w:lang w:val="en-GB"/>
        </w:rPr>
        <w:t>It is NACCHOs view</w:t>
      </w:r>
      <w:r>
        <w:rPr>
          <w:lang w:val="en-GB"/>
        </w:rPr>
        <w:t xml:space="preserve"> that </w:t>
      </w:r>
      <w:r w:rsidR="00F80A32">
        <w:rPr>
          <w:lang w:val="en-GB"/>
        </w:rPr>
        <w:t xml:space="preserve">the National Indigenous Australian Agency (NIAA) </w:t>
      </w:r>
      <w:r>
        <w:rPr>
          <w:lang w:val="en-GB"/>
        </w:rPr>
        <w:t xml:space="preserve">has lost a valuable opportunity  to </w:t>
      </w:r>
      <w:r w:rsidR="00BD30FB">
        <w:rPr>
          <w:lang w:val="en-GB"/>
        </w:rPr>
        <w:t xml:space="preserve">not only </w:t>
      </w:r>
      <w:r w:rsidR="001423B7">
        <w:rPr>
          <w:lang w:val="en-GB"/>
        </w:rPr>
        <w:t>demonstrate</w:t>
      </w:r>
      <w:r>
        <w:rPr>
          <w:lang w:val="en-GB"/>
        </w:rPr>
        <w:t xml:space="preserve"> its commitment to the new process of </w:t>
      </w:r>
      <w:r w:rsidR="001423B7">
        <w:rPr>
          <w:lang w:val="en-GB"/>
        </w:rPr>
        <w:t>partnership</w:t>
      </w:r>
      <w:r>
        <w:rPr>
          <w:lang w:val="en-GB"/>
        </w:rPr>
        <w:t xml:space="preserve"> with Aboriginal and Torres Strait Islander leadership as set out in the priority reform</w:t>
      </w:r>
      <w:r w:rsidR="001423B7">
        <w:rPr>
          <w:lang w:val="en-GB"/>
        </w:rPr>
        <w:t xml:space="preserve"> area</w:t>
      </w:r>
      <w:r>
        <w:rPr>
          <w:lang w:val="en-GB"/>
        </w:rPr>
        <w:t>s of the new National Agreement on Closing the Gap</w:t>
      </w:r>
    </w:p>
    <w:p w14:paraId="3F92C31D" w14:textId="77777777" w:rsidR="002B767D" w:rsidRDefault="002B767D" w:rsidP="002B767D">
      <w:pPr>
        <w:rPr>
          <w:lang w:val="en-GB"/>
        </w:rPr>
      </w:pPr>
    </w:p>
    <w:p w14:paraId="3D290138" w14:textId="15461DC9" w:rsidR="00CF1C15" w:rsidRDefault="00666AD6" w:rsidP="00BE4BB6">
      <w:pPr>
        <w:rPr>
          <w:lang w:val="en-GB"/>
        </w:rPr>
      </w:pPr>
      <w:r>
        <w:rPr>
          <w:lang w:val="en-GB"/>
        </w:rPr>
        <w:t xml:space="preserve">The ‘consultation process’ for the technical review was a lesson in how not </w:t>
      </w:r>
      <w:r w:rsidR="001423B7">
        <w:rPr>
          <w:lang w:val="en-GB"/>
        </w:rPr>
        <w:t>to work</w:t>
      </w:r>
      <w:r>
        <w:rPr>
          <w:lang w:val="en-GB"/>
        </w:rPr>
        <w:t xml:space="preserve"> with Aboriginal and Torres Strait Islander peoples. The</w:t>
      </w:r>
      <w:r w:rsidR="00BE4BB6" w:rsidRPr="00BE4BB6">
        <w:rPr>
          <w:lang w:val="en-GB"/>
        </w:rPr>
        <w:t xml:space="preserve"> Government</w:t>
      </w:r>
      <w:r>
        <w:rPr>
          <w:lang w:val="en-GB"/>
        </w:rPr>
        <w:t>’s</w:t>
      </w:r>
      <w:r w:rsidR="00BE4BB6" w:rsidRPr="00BE4BB6">
        <w:rPr>
          <w:lang w:val="en-GB"/>
        </w:rPr>
        <w:t xml:space="preserve"> technical review </w:t>
      </w:r>
      <w:r>
        <w:rPr>
          <w:lang w:val="en-GB"/>
        </w:rPr>
        <w:t xml:space="preserve">was announced without any prior </w:t>
      </w:r>
      <w:r w:rsidR="00CF1C15">
        <w:rPr>
          <w:lang w:val="en-GB"/>
        </w:rPr>
        <w:t>engagement or discussion with Aboriginal and Torres Strait Islander representatives</w:t>
      </w:r>
      <w:r>
        <w:rPr>
          <w:lang w:val="en-GB"/>
        </w:rPr>
        <w:t xml:space="preserve">. </w:t>
      </w:r>
    </w:p>
    <w:p w14:paraId="2016EC78" w14:textId="77777777" w:rsidR="00CF1C15" w:rsidRDefault="00CF1C15" w:rsidP="00BE4BB6">
      <w:pPr>
        <w:rPr>
          <w:lang w:val="en-GB"/>
        </w:rPr>
      </w:pPr>
    </w:p>
    <w:p w14:paraId="5B9E2967" w14:textId="7A5E3820" w:rsidR="00D90547" w:rsidRDefault="00666AD6" w:rsidP="00BE4BB6">
      <w:pPr>
        <w:rPr>
          <w:lang w:val="en-GB"/>
        </w:rPr>
      </w:pPr>
      <w:r>
        <w:rPr>
          <w:lang w:val="en-GB"/>
        </w:rPr>
        <w:t xml:space="preserve">It </w:t>
      </w:r>
      <w:r w:rsidR="00CF1C15">
        <w:rPr>
          <w:lang w:val="en-GB"/>
        </w:rPr>
        <w:t xml:space="preserve">was ‘top-down’ and </w:t>
      </w:r>
      <w:r w:rsidR="00BE4BB6" w:rsidRPr="00BE4BB6">
        <w:rPr>
          <w:lang w:val="en-GB"/>
        </w:rPr>
        <w:t xml:space="preserve">had </w:t>
      </w:r>
      <w:r w:rsidR="00CF1C15">
        <w:rPr>
          <w:lang w:val="en-GB"/>
        </w:rPr>
        <w:t xml:space="preserve">very </w:t>
      </w:r>
      <w:r w:rsidR="00BE4BB6" w:rsidRPr="00BE4BB6">
        <w:rPr>
          <w:lang w:val="en-GB"/>
        </w:rPr>
        <w:t>narrow terms of reference</w:t>
      </w:r>
      <w:r w:rsidR="00CF1C15">
        <w:rPr>
          <w:lang w:val="en-GB"/>
        </w:rPr>
        <w:t>, which prohibited the exploration of critical i</w:t>
      </w:r>
      <w:r w:rsidR="00BE4BB6" w:rsidRPr="00BE4BB6">
        <w:rPr>
          <w:lang w:val="en-GB"/>
        </w:rPr>
        <w:t>ssues</w:t>
      </w:r>
      <w:r w:rsidR="00CF1C15">
        <w:rPr>
          <w:lang w:val="en-GB"/>
        </w:rPr>
        <w:t xml:space="preserve"> such as:</w:t>
      </w:r>
      <w:r w:rsidR="00BE4BB6" w:rsidRPr="00BE4BB6">
        <w:rPr>
          <w:lang w:val="en-GB"/>
        </w:rPr>
        <w:t xml:space="preserve"> whether the CATSI Act was achieving its objectives, what benefits were provided to Aboriginal and Torres Strait Islander peoples, what the implications </w:t>
      </w:r>
      <w:r w:rsidR="00CF1C15">
        <w:rPr>
          <w:lang w:val="en-GB"/>
        </w:rPr>
        <w:t>were</w:t>
      </w:r>
      <w:r w:rsidR="00BE4BB6" w:rsidRPr="00BE4BB6">
        <w:rPr>
          <w:lang w:val="en-GB"/>
        </w:rPr>
        <w:t xml:space="preserve"> of the </w:t>
      </w:r>
      <w:r w:rsidR="00F80A32">
        <w:rPr>
          <w:lang w:val="en-GB"/>
        </w:rPr>
        <w:t xml:space="preserve">former </w:t>
      </w:r>
      <w:r w:rsidR="00BE4BB6" w:rsidRPr="00BE4BB6">
        <w:rPr>
          <w:lang w:val="en-GB"/>
        </w:rPr>
        <w:t>I</w:t>
      </w:r>
      <w:r w:rsidR="00F80A32">
        <w:rPr>
          <w:lang w:val="en-GB"/>
        </w:rPr>
        <w:t xml:space="preserve">ndigenous Advancement Strategy (IAS) </w:t>
      </w:r>
      <w:r w:rsidR="00CF1C15">
        <w:rPr>
          <w:lang w:val="en-GB"/>
        </w:rPr>
        <w:t xml:space="preserve">reforms </w:t>
      </w:r>
      <w:r w:rsidR="00F80A32">
        <w:rPr>
          <w:lang w:val="en-GB"/>
        </w:rPr>
        <w:t xml:space="preserve">– </w:t>
      </w:r>
      <w:r w:rsidR="00CF1C15">
        <w:rPr>
          <w:lang w:val="en-GB"/>
        </w:rPr>
        <w:t>e.g. broad-banding programs</w:t>
      </w:r>
      <w:r w:rsidR="001423B7">
        <w:rPr>
          <w:lang w:val="en-GB"/>
        </w:rPr>
        <w:t xml:space="preserve"> in the context of funding cut</w:t>
      </w:r>
      <w:r w:rsidR="00F80A32">
        <w:rPr>
          <w:lang w:val="en-GB"/>
        </w:rPr>
        <w:t>s –</w:t>
      </w:r>
      <w:r w:rsidR="00CF1C15">
        <w:rPr>
          <w:lang w:val="en-GB"/>
        </w:rPr>
        <w:t xml:space="preserve"> </w:t>
      </w:r>
      <w:r w:rsidR="00BE4BB6" w:rsidRPr="00BE4BB6">
        <w:rPr>
          <w:lang w:val="en-GB"/>
        </w:rPr>
        <w:t xml:space="preserve">and whether there were other ways to </w:t>
      </w:r>
      <w:r w:rsidR="00D90547">
        <w:rPr>
          <w:lang w:val="en-GB"/>
        </w:rPr>
        <w:t>deliver productivity</w:t>
      </w:r>
      <w:r w:rsidR="00BE4BB6" w:rsidRPr="00BE4BB6">
        <w:rPr>
          <w:lang w:val="en-GB"/>
        </w:rPr>
        <w:t>. Submissions were not published</w:t>
      </w:r>
      <w:r w:rsidR="00D90547">
        <w:rPr>
          <w:lang w:val="en-GB"/>
        </w:rPr>
        <w:t xml:space="preserve">, </w:t>
      </w:r>
      <w:r w:rsidR="00BE4BB6" w:rsidRPr="00BE4BB6">
        <w:rPr>
          <w:lang w:val="en-GB"/>
        </w:rPr>
        <w:t xml:space="preserve">nor was a report </w:t>
      </w:r>
      <w:r w:rsidR="00CF1C15">
        <w:rPr>
          <w:lang w:val="en-GB"/>
        </w:rPr>
        <w:t>released</w:t>
      </w:r>
      <w:r w:rsidR="00BE4BB6" w:rsidRPr="00BE4BB6">
        <w:rPr>
          <w:lang w:val="en-GB"/>
        </w:rPr>
        <w:t xml:space="preserve"> on the outcomes of the review</w:t>
      </w:r>
      <w:r w:rsidR="001423B7">
        <w:rPr>
          <w:lang w:val="en-GB"/>
        </w:rPr>
        <w:t xml:space="preserve"> (until the recent report for ‘phase 2’</w:t>
      </w:r>
      <w:r w:rsidR="00D90547">
        <w:rPr>
          <w:lang w:val="en-GB"/>
        </w:rPr>
        <w:t>, which is most welcome</w:t>
      </w:r>
      <w:r w:rsidR="001423B7">
        <w:rPr>
          <w:lang w:val="en-GB"/>
        </w:rPr>
        <w:t>)</w:t>
      </w:r>
      <w:r w:rsidR="00BE4BB6" w:rsidRPr="00BE4BB6">
        <w:rPr>
          <w:lang w:val="en-GB"/>
        </w:rPr>
        <w:t xml:space="preserve">. </w:t>
      </w:r>
    </w:p>
    <w:p w14:paraId="7507A4B8" w14:textId="77777777" w:rsidR="00D90547" w:rsidRDefault="00D90547" w:rsidP="00BE4BB6">
      <w:pPr>
        <w:rPr>
          <w:lang w:val="en-GB"/>
        </w:rPr>
      </w:pPr>
    </w:p>
    <w:p w14:paraId="6079E337" w14:textId="5DA744CF" w:rsidR="001423B7" w:rsidRDefault="00BE4BB6" w:rsidP="00BE4BB6">
      <w:pPr>
        <w:rPr>
          <w:lang w:val="en-GB"/>
        </w:rPr>
      </w:pPr>
      <w:r w:rsidRPr="00BE4BB6">
        <w:rPr>
          <w:lang w:val="en-GB"/>
        </w:rPr>
        <w:t xml:space="preserve">There </w:t>
      </w:r>
      <w:r w:rsidR="00D90547">
        <w:rPr>
          <w:lang w:val="en-GB"/>
        </w:rPr>
        <w:t>wa</w:t>
      </w:r>
      <w:r w:rsidRPr="00BE4BB6">
        <w:rPr>
          <w:lang w:val="en-GB"/>
        </w:rPr>
        <w:t xml:space="preserve">s no evidence that any </w:t>
      </w:r>
      <w:r w:rsidR="00CF1C15">
        <w:rPr>
          <w:lang w:val="en-GB"/>
        </w:rPr>
        <w:t xml:space="preserve">key </w:t>
      </w:r>
      <w:r w:rsidRPr="00BE4BB6">
        <w:rPr>
          <w:lang w:val="en-GB"/>
        </w:rPr>
        <w:t xml:space="preserve">stakeholders, such as State and Territory governments, participated in the </w:t>
      </w:r>
      <w:r w:rsidR="001423B7">
        <w:rPr>
          <w:lang w:val="en-GB"/>
        </w:rPr>
        <w:t xml:space="preserve">first phase of the </w:t>
      </w:r>
      <w:r w:rsidRPr="00BE4BB6">
        <w:rPr>
          <w:lang w:val="en-GB"/>
        </w:rPr>
        <w:t>review.</w:t>
      </w:r>
      <w:r w:rsidR="001423B7">
        <w:rPr>
          <w:lang w:val="en-GB"/>
        </w:rPr>
        <w:t xml:space="preserve"> It</w:t>
      </w:r>
      <w:r w:rsidRPr="00BE4BB6">
        <w:rPr>
          <w:lang w:val="en-GB"/>
        </w:rPr>
        <w:t xml:space="preserve"> was </w:t>
      </w:r>
      <w:r w:rsidR="00CF1C15">
        <w:rPr>
          <w:lang w:val="en-GB"/>
        </w:rPr>
        <w:t xml:space="preserve">also </w:t>
      </w:r>
      <w:r w:rsidRPr="00BE4BB6">
        <w:rPr>
          <w:lang w:val="en-GB"/>
        </w:rPr>
        <w:t>undertaken by an external non-</w:t>
      </w:r>
      <w:r w:rsidR="00CF1C15">
        <w:rPr>
          <w:lang w:val="en-GB"/>
        </w:rPr>
        <w:t>Aboriginal</w:t>
      </w:r>
      <w:r w:rsidRPr="00BE4BB6">
        <w:rPr>
          <w:lang w:val="en-GB"/>
        </w:rPr>
        <w:t xml:space="preserve"> legal firm engaged by the Registrar. In our view it should have been </w:t>
      </w:r>
      <w:r w:rsidR="00CF1C15">
        <w:rPr>
          <w:lang w:val="en-GB"/>
        </w:rPr>
        <w:t xml:space="preserve">conducted by </w:t>
      </w:r>
      <w:r w:rsidRPr="00BE4BB6">
        <w:rPr>
          <w:lang w:val="en-GB"/>
        </w:rPr>
        <w:t xml:space="preserve">the Department of the Prime Minister and Cabinet to avoid any perceived conflict of interest. </w:t>
      </w:r>
      <w:r w:rsidR="001423B7">
        <w:rPr>
          <w:lang w:val="en-GB"/>
        </w:rPr>
        <w:t xml:space="preserve">It was disappointing to find a regulatory </w:t>
      </w:r>
      <w:r w:rsidR="00F80A32">
        <w:rPr>
          <w:lang w:val="en-GB"/>
        </w:rPr>
        <w:t xml:space="preserve">authority </w:t>
      </w:r>
      <w:r w:rsidR="001423B7">
        <w:rPr>
          <w:lang w:val="en-GB"/>
        </w:rPr>
        <w:t xml:space="preserve">making such a fundamental mistake in </w:t>
      </w:r>
      <w:r w:rsidR="00F80A32">
        <w:rPr>
          <w:lang w:val="en-GB"/>
        </w:rPr>
        <w:t>the management of conflict of interest</w:t>
      </w:r>
      <w:r w:rsidR="001423B7">
        <w:rPr>
          <w:lang w:val="en-GB"/>
        </w:rPr>
        <w:t>.</w:t>
      </w:r>
    </w:p>
    <w:p w14:paraId="2E500B87" w14:textId="77777777" w:rsidR="001423B7" w:rsidRDefault="001423B7" w:rsidP="00BE4BB6">
      <w:pPr>
        <w:rPr>
          <w:lang w:val="en-GB"/>
        </w:rPr>
      </w:pPr>
    </w:p>
    <w:p w14:paraId="2464FB23" w14:textId="66B66D26" w:rsidR="00BE4BB6" w:rsidRPr="00BE4BB6" w:rsidRDefault="00BD30FB" w:rsidP="00BE4BB6">
      <w:pPr>
        <w:rPr>
          <w:lang w:val="en-GB"/>
        </w:rPr>
      </w:pPr>
      <w:r>
        <w:rPr>
          <w:lang w:val="en-GB"/>
        </w:rPr>
        <w:t>NACCHO notes</w:t>
      </w:r>
      <w:r w:rsidR="00BE4BB6" w:rsidRPr="00BE4BB6">
        <w:rPr>
          <w:lang w:val="en-GB"/>
        </w:rPr>
        <w:t xml:space="preserve"> the Department of the Prime Minister and Cabinet was included in a steering committee with ORIC representatives which oversaw the review and provided a confidential report to the Minister for Indigenous Affairs on the findings of the review. However, </w:t>
      </w:r>
      <w:r w:rsidR="00CF1C15">
        <w:rPr>
          <w:lang w:val="en-GB"/>
        </w:rPr>
        <w:t xml:space="preserve">Aboriginal and Torres Strait Islander </w:t>
      </w:r>
      <w:r w:rsidR="00BE4BB6" w:rsidRPr="00BE4BB6">
        <w:rPr>
          <w:lang w:val="en-GB"/>
        </w:rPr>
        <w:t xml:space="preserve">stakeholders were not represented on the steering committee, </w:t>
      </w:r>
      <w:r w:rsidR="00CF1C15">
        <w:rPr>
          <w:lang w:val="en-GB"/>
        </w:rPr>
        <w:t xml:space="preserve">which consisted </w:t>
      </w:r>
      <w:r w:rsidR="001423B7">
        <w:rPr>
          <w:lang w:val="en-GB"/>
        </w:rPr>
        <w:t xml:space="preserve">wholly </w:t>
      </w:r>
      <w:r w:rsidR="00CF1C15">
        <w:rPr>
          <w:lang w:val="en-GB"/>
        </w:rPr>
        <w:t xml:space="preserve">of </w:t>
      </w:r>
      <w:r w:rsidR="00BE4BB6" w:rsidRPr="00BE4BB6">
        <w:rPr>
          <w:lang w:val="en-GB"/>
        </w:rPr>
        <w:t xml:space="preserve">public servants. </w:t>
      </w:r>
      <w:r>
        <w:rPr>
          <w:lang w:val="en-GB"/>
        </w:rPr>
        <w:t xml:space="preserve">The </w:t>
      </w:r>
      <w:r w:rsidR="00BE4BB6" w:rsidRPr="00BE4BB6">
        <w:rPr>
          <w:lang w:val="en-GB"/>
        </w:rPr>
        <w:t xml:space="preserve"> process left Aboriginal and Torres Strait </w:t>
      </w:r>
      <w:r w:rsidR="00F80A32">
        <w:rPr>
          <w:lang w:val="en-GB"/>
        </w:rPr>
        <w:t xml:space="preserve">Islander </w:t>
      </w:r>
      <w:r w:rsidR="00BE4BB6" w:rsidRPr="00BE4BB6">
        <w:rPr>
          <w:lang w:val="en-GB"/>
        </w:rPr>
        <w:t>peoples and their representative organisations as bystanders, only able to provide feedback to discussion papers</w:t>
      </w:r>
      <w:r>
        <w:rPr>
          <w:lang w:val="en-GB"/>
        </w:rPr>
        <w:t xml:space="preserve"> developed from a narrow terms of reference.</w:t>
      </w:r>
    </w:p>
    <w:p w14:paraId="53F0C6EA" w14:textId="7EE2F5D9" w:rsidR="00BE4BB6" w:rsidRDefault="00BE4BB6" w:rsidP="00BE4BB6">
      <w:pPr>
        <w:rPr>
          <w:lang w:val="en-GB"/>
        </w:rPr>
      </w:pPr>
    </w:p>
    <w:p w14:paraId="43D60CF6" w14:textId="7F863A85" w:rsidR="00884FAB" w:rsidRDefault="00BE4BB6">
      <w:pPr>
        <w:rPr>
          <w:lang w:val="en-GB"/>
        </w:rPr>
      </w:pPr>
      <w:r w:rsidRPr="00BE4BB6">
        <w:rPr>
          <w:lang w:val="en-GB"/>
        </w:rPr>
        <w:t xml:space="preserve">The lack of meaningful consultations continued with the Bill introduced into the Parliament without an exposure draft being provided for comment. </w:t>
      </w:r>
      <w:r w:rsidR="00CF1C15">
        <w:rPr>
          <w:lang w:val="en-GB"/>
        </w:rPr>
        <w:t xml:space="preserve">Hence, the release of the exposure draft on this second attempt is a </w:t>
      </w:r>
      <w:r w:rsidR="00D90547">
        <w:rPr>
          <w:lang w:val="en-GB"/>
        </w:rPr>
        <w:t xml:space="preserve">very </w:t>
      </w:r>
      <w:r w:rsidR="00CF1C15">
        <w:rPr>
          <w:lang w:val="en-GB"/>
        </w:rPr>
        <w:t>welcome improvement, albeit tempered by a continuing pattern of lack of engagement with Aboriginal and Torres Strait Islander leadership and peaks</w:t>
      </w:r>
      <w:r w:rsidR="00D90547">
        <w:rPr>
          <w:lang w:val="en-GB"/>
        </w:rPr>
        <w:t xml:space="preserve"> in a formal partnership</w:t>
      </w:r>
      <w:r w:rsidR="00CF1C15">
        <w:rPr>
          <w:lang w:val="en-GB"/>
        </w:rPr>
        <w:t>.</w:t>
      </w:r>
      <w:r w:rsidR="000C3B3C">
        <w:rPr>
          <w:lang w:val="en-GB"/>
        </w:rPr>
        <w:t xml:space="preserve"> </w:t>
      </w:r>
      <w:r w:rsidR="00824DF6">
        <w:rPr>
          <w:lang w:val="en-GB"/>
        </w:rPr>
        <w:t>In their own submissions</w:t>
      </w:r>
      <w:r w:rsidR="00D90547">
        <w:rPr>
          <w:lang w:val="en-GB"/>
        </w:rPr>
        <w:t xml:space="preserve"> in October 2020</w:t>
      </w:r>
      <w:r w:rsidR="00824DF6">
        <w:rPr>
          <w:lang w:val="en-GB"/>
        </w:rPr>
        <w:t xml:space="preserve">, </w:t>
      </w:r>
      <w:r w:rsidR="00E213D4">
        <w:rPr>
          <w:lang w:val="en-GB"/>
        </w:rPr>
        <w:t>Aboriginal Peak Organisations NT</w:t>
      </w:r>
      <w:r w:rsidR="00B94936">
        <w:rPr>
          <w:lang w:val="en-GB"/>
        </w:rPr>
        <w:t xml:space="preserve"> (</w:t>
      </w:r>
      <w:r w:rsidR="00824DF6">
        <w:rPr>
          <w:lang w:val="en-GB"/>
        </w:rPr>
        <w:t xml:space="preserve">at </w:t>
      </w:r>
      <w:r w:rsidR="00B94936">
        <w:rPr>
          <w:lang w:val="en-GB"/>
        </w:rPr>
        <w:t>pp. 1-2)</w:t>
      </w:r>
      <w:r w:rsidR="00E213D4">
        <w:rPr>
          <w:lang w:val="en-GB"/>
        </w:rPr>
        <w:t>, Central Australian Aboriginal Congress (pp. 4-5)</w:t>
      </w:r>
      <w:r w:rsidR="00B94936">
        <w:rPr>
          <w:lang w:val="en-GB"/>
        </w:rPr>
        <w:t xml:space="preserve"> </w:t>
      </w:r>
      <w:r w:rsidR="00824DF6">
        <w:rPr>
          <w:lang w:val="en-GB"/>
        </w:rPr>
        <w:t>and</w:t>
      </w:r>
      <w:r w:rsidR="000C3B3C">
        <w:rPr>
          <w:lang w:val="en-GB"/>
        </w:rPr>
        <w:t xml:space="preserve"> </w:t>
      </w:r>
      <w:r w:rsidR="00F80A32">
        <w:rPr>
          <w:lang w:val="en-GB"/>
        </w:rPr>
        <w:t xml:space="preserve">the </w:t>
      </w:r>
      <w:r w:rsidR="000C3B3C">
        <w:rPr>
          <w:lang w:val="en-GB"/>
        </w:rPr>
        <w:t>V</w:t>
      </w:r>
      <w:r w:rsidR="00E213D4">
        <w:rPr>
          <w:lang w:val="en-GB"/>
        </w:rPr>
        <w:t>ictorian Aboriginal Community Controlled Health Organisation</w:t>
      </w:r>
      <w:r w:rsidR="000C3B3C">
        <w:rPr>
          <w:lang w:val="en-GB"/>
        </w:rPr>
        <w:t xml:space="preserve"> </w:t>
      </w:r>
      <w:r w:rsidR="00B94936">
        <w:rPr>
          <w:lang w:val="en-GB"/>
        </w:rPr>
        <w:t>(</w:t>
      </w:r>
      <w:r w:rsidR="00824DF6">
        <w:rPr>
          <w:lang w:val="en-GB"/>
        </w:rPr>
        <w:t xml:space="preserve">at </w:t>
      </w:r>
      <w:r w:rsidR="00B94936">
        <w:rPr>
          <w:lang w:val="en-GB"/>
        </w:rPr>
        <w:t xml:space="preserve">p.2) </w:t>
      </w:r>
      <w:r w:rsidR="000C3B3C">
        <w:rPr>
          <w:lang w:val="en-GB"/>
        </w:rPr>
        <w:t xml:space="preserve">and </w:t>
      </w:r>
      <w:r w:rsidR="00824DF6">
        <w:rPr>
          <w:lang w:val="en-GB"/>
        </w:rPr>
        <w:t xml:space="preserve">a number of </w:t>
      </w:r>
      <w:r w:rsidR="000C3B3C">
        <w:rPr>
          <w:lang w:val="en-GB"/>
        </w:rPr>
        <w:t xml:space="preserve">other </w:t>
      </w:r>
      <w:r w:rsidR="00824DF6">
        <w:rPr>
          <w:lang w:val="en-GB"/>
        </w:rPr>
        <w:t xml:space="preserve">Aboriginal </w:t>
      </w:r>
      <w:r w:rsidR="000C3B3C">
        <w:rPr>
          <w:lang w:val="en-GB"/>
        </w:rPr>
        <w:t>organisations have also emphasised this point.</w:t>
      </w:r>
      <w:r w:rsidR="00824DF6">
        <w:rPr>
          <w:lang w:val="en-GB"/>
        </w:rPr>
        <w:t xml:space="preserve"> We also </w:t>
      </w:r>
      <w:r w:rsidR="00D90547">
        <w:rPr>
          <w:lang w:val="en-GB"/>
        </w:rPr>
        <w:t>included</w:t>
      </w:r>
      <w:r w:rsidR="00824DF6">
        <w:rPr>
          <w:lang w:val="en-GB"/>
        </w:rPr>
        <w:t xml:space="preserve"> this </w:t>
      </w:r>
      <w:r w:rsidR="00D90547">
        <w:rPr>
          <w:lang w:val="en-GB"/>
        </w:rPr>
        <w:t>request</w:t>
      </w:r>
      <w:r w:rsidR="00824DF6">
        <w:rPr>
          <w:lang w:val="en-GB"/>
        </w:rPr>
        <w:t xml:space="preserve"> </w:t>
      </w:r>
      <w:r w:rsidR="00D90547">
        <w:rPr>
          <w:lang w:val="en-GB"/>
        </w:rPr>
        <w:t xml:space="preserve">as </w:t>
      </w:r>
      <w:r w:rsidR="00824DF6">
        <w:rPr>
          <w:lang w:val="en-GB"/>
        </w:rPr>
        <w:t xml:space="preserve">a key plank in </w:t>
      </w:r>
      <w:r w:rsidR="00BD30FB">
        <w:rPr>
          <w:lang w:val="en-GB"/>
        </w:rPr>
        <w:t>NACCHOs</w:t>
      </w:r>
      <w:r w:rsidR="00824DF6">
        <w:rPr>
          <w:lang w:val="en-GB"/>
        </w:rPr>
        <w:t xml:space="preserve"> October 2020 submission.</w:t>
      </w:r>
    </w:p>
    <w:p w14:paraId="0E39E1E4" w14:textId="77777777" w:rsidR="00F80A32" w:rsidRDefault="00F80A32">
      <w:pPr>
        <w:rPr>
          <w:lang w:val="en-GB"/>
        </w:rPr>
      </w:pPr>
    </w:p>
    <w:p w14:paraId="08A889B7" w14:textId="77777777" w:rsidR="00824DF6" w:rsidRDefault="004F58BD" w:rsidP="004F58BD">
      <w:pPr>
        <w:rPr>
          <w:lang w:val="en-GB"/>
        </w:rPr>
      </w:pPr>
      <w:r w:rsidRPr="002B4B9C">
        <w:rPr>
          <w:lang w:val="en-GB"/>
        </w:rPr>
        <w:t xml:space="preserve">The new approach </w:t>
      </w:r>
      <w:r w:rsidR="00824DF6">
        <w:rPr>
          <w:lang w:val="en-GB"/>
        </w:rPr>
        <w:t xml:space="preserve">under the revised Closing the Gap process </w:t>
      </w:r>
      <w:r w:rsidRPr="002B4B9C">
        <w:rPr>
          <w:lang w:val="en-GB"/>
        </w:rPr>
        <w:t xml:space="preserve">of involving Aboriginal and Torres Strait Islander people in </w:t>
      </w:r>
      <w:r w:rsidRPr="00824DF6">
        <w:rPr>
          <w:i/>
          <w:lang w:val="en-GB"/>
        </w:rPr>
        <w:t>decision-making</w:t>
      </w:r>
      <w:r w:rsidRPr="002B4B9C">
        <w:rPr>
          <w:lang w:val="en-GB"/>
        </w:rPr>
        <w:t xml:space="preserve"> </w:t>
      </w:r>
      <w:r w:rsidR="00824DF6">
        <w:rPr>
          <w:lang w:val="en-GB"/>
        </w:rPr>
        <w:t xml:space="preserve">(not just consultation) </w:t>
      </w:r>
      <w:r>
        <w:rPr>
          <w:lang w:val="en-GB"/>
        </w:rPr>
        <w:t>should be embraced by all agencies</w:t>
      </w:r>
      <w:r w:rsidRPr="002B4B9C">
        <w:rPr>
          <w:lang w:val="en-GB"/>
        </w:rPr>
        <w:t xml:space="preserve">. </w:t>
      </w:r>
      <w:r w:rsidR="00B6153B">
        <w:rPr>
          <w:lang w:val="en-GB"/>
        </w:rPr>
        <w:t>The</w:t>
      </w:r>
      <w:r>
        <w:rPr>
          <w:lang w:val="en-GB"/>
        </w:rPr>
        <w:t xml:space="preserve"> main criticism we have of the process with the review of the CATSI Act is that all we have had is consultation and there has been no </w:t>
      </w:r>
      <w:r w:rsidR="008F5042">
        <w:rPr>
          <w:lang w:val="en-GB"/>
        </w:rPr>
        <w:t>clear and systematic</w:t>
      </w:r>
      <w:r>
        <w:rPr>
          <w:lang w:val="en-GB"/>
        </w:rPr>
        <w:t xml:space="preserve"> engagement with senior </w:t>
      </w:r>
      <w:r w:rsidR="00691874">
        <w:rPr>
          <w:lang w:val="en-GB"/>
        </w:rPr>
        <w:t xml:space="preserve">Aboriginal and Torres Strait Islander </w:t>
      </w:r>
      <w:r>
        <w:rPr>
          <w:lang w:val="en-GB"/>
        </w:rPr>
        <w:t>leadership</w:t>
      </w:r>
      <w:r w:rsidR="008F5042">
        <w:rPr>
          <w:lang w:val="en-GB"/>
        </w:rPr>
        <w:t xml:space="preserve"> in the process of the review and in the decision making</w:t>
      </w:r>
      <w:r w:rsidR="00691874">
        <w:rPr>
          <w:lang w:val="en-GB"/>
        </w:rPr>
        <w:t xml:space="preserve"> in relation to the drafting and the preparation of the exposure draft</w:t>
      </w:r>
      <w:r>
        <w:rPr>
          <w:lang w:val="en-GB"/>
        </w:rPr>
        <w:t xml:space="preserve">. </w:t>
      </w:r>
    </w:p>
    <w:p w14:paraId="5F66EAB3" w14:textId="77777777" w:rsidR="00824DF6" w:rsidRDefault="00824DF6" w:rsidP="004F58BD">
      <w:pPr>
        <w:rPr>
          <w:lang w:val="en-GB"/>
        </w:rPr>
      </w:pPr>
    </w:p>
    <w:p w14:paraId="6301EAD7" w14:textId="4E81D6CE" w:rsidR="004F58BD" w:rsidRDefault="008F5042" w:rsidP="004F58BD">
      <w:pPr>
        <w:rPr>
          <w:lang w:val="en-GB"/>
        </w:rPr>
      </w:pPr>
      <w:r>
        <w:rPr>
          <w:lang w:val="en-GB"/>
        </w:rPr>
        <w:t xml:space="preserve">We asked that </w:t>
      </w:r>
      <w:r w:rsidR="00824DF6">
        <w:rPr>
          <w:lang w:val="en-GB"/>
        </w:rPr>
        <w:t xml:space="preserve">the process be delayed so that </w:t>
      </w:r>
      <w:r>
        <w:rPr>
          <w:lang w:val="en-GB"/>
        </w:rPr>
        <w:t xml:space="preserve">this </w:t>
      </w:r>
      <w:r w:rsidR="00824DF6">
        <w:rPr>
          <w:lang w:val="en-GB"/>
        </w:rPr>
        <w:t>can be rectified.</w:t>
      </w:r>
    </w:p>
    <w:p w14:paraId="272F7515" w14:textId="77777777" w:rsidR="004F58BD" w:rsidRDefault="004F58BD" w:rsidP="004F58BD">
      <w:pPr>
        <w:rPr>
          <w:lang w:val="en-GB"/>
        </w:rPr>
      </w:pPr>
    </w:p>
    <w:p w14:paraId="2416D84F" w14:textId="5B7FF9D9" w:rsidR="004F58BD" w:rsidRPr="002B4B9C" w:rsidRDefault="008F5042" w:rsidP="004F58BD">
      <w:pPr>
        <w:rPr>
          <w:lang w:val="en-GB"/>
        </w:rPr>
      </w:pPr>
      <w:r>
        <w:rPr>
          <w:lang w:val="en-GB"/>
        </w:rPr>
        <w:t xml:space="preserve">Specifically, </w:t>
      </w:r>
      <w:r w:rsidR="004F58BD" w:rsidRPr="002B4B9C">
        <w:rPr>
          <w:lang w:val="en-GB"/>
        </w:rPr>
        <w:t xml:space="preserve">NACCHO </w:t>
      </w:r>
      <w:r w:rsidR="00691874">
        <w:rPr>
          <w:lang w:val="en-GB"/>
        </w:rPr>
        <w:t xml:space="preserve">has </w:t>
      </w:r>
      <w:r w:rsidR="004F58BD" w:rsidRPr="002B4B9C">
        <w:rPr>
          <w:lang w:val="en-GB"/>
        </w:rPr>
        <w:t>propose</w:t>
      </w:r>
      <w:r w:rsidR="00691874">
        <w:rPr>
          <w:lang w:val="en-GB"/>
        </w:rPr>
        <w:t>d</w:t>
      </w:r>
      <w:r w:rsidR="004F58BD" w:rsidRPr="002B4B9C">
        <w:rPr>
          <w:lang w:val="en-GB"/>
        </w:rPr>
        <w:t xml:space="preserve"> that a Joint Governance Review Group </w:t>
      </w:r>
      <w:r>
        <w:rPr>
          <w:lang w:val="en-GB"/>
        </w:rPr>
        <w:t>be</w:t>
      </w:r>
      <w:r w:rsidR="004F58BD" w:rsidRPr="002B4B9C">
        <w:rPr>
          <w:lang w:val="en-GB"/>
        </w:rPr>
        <w:t xml:space="preserve"> established, made up of leaders in the key community-controlled sectors that use the CATSI Act and senior public servants in NIAA which </w:t>
      </w:r>
      <w:r w:rsidR="00691874">
        <w:rPr>
          <w:lang w:val="en-GB"/>
        </w:rPr>
        <w:t>would</w:t>
      </w:r>
      <w:r w:rsidR="004F58BD" w:rsidRPr="002B4B9C">
        <w:rPr>
          <w:lang w:val="en-GB"/>
        </w:rPr>
        <w:t xml:space="preserve"> provide a vehicle for partnership and shared decision making with respect to the CATSI Act review</w:t>
      </w:r>
      <w:r>
        <w:rPr>
          <w:lang w:val="en-GB"/>
        </w:rPr>
        <w:t xml:space="preserve"> and its aftermath</w:t>
      </w:r>
      <w:r w:rsidR="004F58BD" w:rsidRPr="002B4B9C">
        <w:rPr>
          <w:lang w:val="en-GB"/>
        </w:rPr>
        <w:t xml:space="preserve">, including managing the community engagement process and </w:t>
      </w:r>
      <w:r>
        <w:rPr>
          <w:lang w:val="en-GB"/>
        </w:rPr>
        <w:t>in implementing</w:t>
      </w:r>
      <w:r w:rsidR="004F58BD" w:rsidRPr="002B4B9C">
        <w:rPr>
          <w:lang w:val="en-GB"/>
        </w:rPr>
        <w:t xml:space="preserve"> legislative reform. We suggest relevant peak bodies would include the National Native Title Council, National Aboriginal and Torres Islander Legal Services, First Nations Media Australia, members of the Coalition of Peaks</w:t>
      </w:r>
      <w:r w:rsidR="00691874">
        <w:rPr>
          <w:lang w:val="en-GB"/>
        </w:rPr>
        <w:t xml:space="preserve">, </w:t>
      </w:r>
      <w:r w:rsidR="00BD30FB">
        <w:rPr>
          <w:lang w:val="en-GB"/>
        </w:rPr>
        <w:t>NACCHO</w:t>
      </w:r>
      <w:r w:rsidR="00691874">
        <w:rPr>
          <w:lang w:val="en-GB"/>
        </w:rPr>
        <w:t>,</w:t>
      </w:r>
      <w:r w:rsidR="004F58BD" w:rsidRPr="002B4B9C">
        <w:rPr>
          <w:lang w:val="en-GB"/>
        </w:rPr>
        <w:t xml:space="preserve"> and representatives of other Aboriginal and Torres Strait Islander organisations that are engaged with the review of the CATSI Act. Forming a Joint Governance Review Group </w:t>
      </w:r>
      <w:r w:rsidR="00691874">
        <w:rPr>
          <w:lang w:val="en-GB"/>
        </w:rPr>
        <w:t>would</w:t>
      </w:r>
      <w:r w:rsidR="004F58BD" w:rsidRPr="002B4B9C">
        <w:rPr>
          <w:lang w:val="en-GB"/>
        </w:rPr>
        <w:t xml:space="preserve"> also enable NIAA to provide clarity on decisions made during the review process to this point, such as how it was determined that the CATSI Act remains relevant and necessary as a special measure. </w:t>
      </w:r>
    </w:p>
    <w:p w14:paraId="4614658C" w14:textId="77777777" w:rsidR="008F5042" w:rsidRDefault="008F5042" w:rsidP="004F58BD">
      <w:pPr>
        <w:rPr>
          <w:lang w:val="en-GB"/>
        </w:rPr>
      </w:pPr>
    </w:p>
    <w:p w14:paraId="758302E2" w14:textId="196356AD" w:rsidR="004F58BD" w:rsidRPr="002B4B9C" w:rsidRDefault="008F5042" w:rsidP="004F58BD">
      <w:pPr>
        <w:rPr>
          <w:lang w:val="en-GB"/>
        </w:rPr>
      </w:pPr>
      <w:r>
        <w:rPr>
          <w:lang w:val="en-GB"/>
        </w:rPr>
        <w:t>As</w:t>
      </w:r>
      <w:r w:rsidR="004F58BD" w:rsidRPr="002B4B9C">
        <w:rPr>
          <w:lang w:val="en-GB"/>
        </w:rPr>
        <w:t xml:space="preserve"> this </w:t>
      </w:r>
      <w:r>
        <w:rPr>
          <w:lang w:val="en-GB"/>
        </w:rPr>
        <w:t>has not been</w:t>
      </w:r>
      <w:r w:rsidR="004F58BD" w:rsidRPr="002B4B9C">
        <w:rPr>
          <w:lang w:val="en-GB"/>
        </w:rPr>
        <w:t xml:space="preserve"> not done, there is a strong risk that a second Bill will be brought into the Parliament </w:t>
      </w:r>
      <w:r w:rsidR="009709A8">
        <w:rPr>
          <w:lang w:val="en-GB"/>
        </w:rPr>
        <w:t>without</w:t>
      </w:r>
      <w:r w:rsidR="004F58BD" w:rsidRPr="002B4B9C">
        <w:rPr>
          <w:lang w:val="en-GB"/>
        </w:rPr>
        <w:t xml:space="preserve"> the support of key Aboriginal and Torres Strait Islander organisations and ultimately fails</w:t>
      </w:r>
      <w:r w:rsidR="00824DF6">
        <w:rPr>
          <w:lang w:val="en-GB"/>
        </w:rPr>
        <w:t xml:space="preserve">, as </w:t>
      </w:r>
      <w:r w:rsidR="009709A8">
        <w:rPr>
          <w:lang w:val="en-GB"/>
        </w:rPr>
        <w:t xml:space="preserve">it </w:t>
      </w:r>
      <w:r w:rsidR="00824DF6">
        <w:rPr>
          <w:lang w:val="en-GB"/>
        </w:rPr>
        <w:t>did previously,</w:t>
      </w:r>
      <w:r w:rsidR="004F58BD" w:rsidRPr="002B4B9C">
        <w:rPr>
          <w:lang w:val="en-GB"/>
        </w:rPr>
        <w:t xml:space="preserve"> to secure cross-party support. </w:t>
      </w:r>
    </w:p>
    <w:p w14:paraId="307AFB0B" w14:textId="77777777" w:rsidR="008F5042" w:rsidRDefault="008F5042" w:rsidP="004F58BD">
      <w:pPr>
        <w:rPr>
          <w:lang w:val="en-GB"/>
        </w:rPr>
      </w:pPr>
    </w:p>
    <w:p w14:paraId="3E129AED" w14:textId="57A0EBA6" w:rsidR="004F58BD" w:rsidRPr="002B4B9C" w:rsidRDefault="008F5042" w:rsidP="004F58BD">
      <w:pPr>
        <w:rPr>
          <w:lang w:val="en-GB"/>
        </w:rPr>
      </w:pPr>
      <w:r>
        <w:rPr>
          <w:lang w:val="en-GB"/>
        </w:rPr>
        <w:t>It is not too late for NIAA</w:t>
      </w:r>
      <w:r w:rsidR="004F58BD" w:rsidRPr="002B4B9C">
        <w:rPr>
          <w:lang w:val="en-GB"/>
        </w:rPr>
        <w:t xml:space="preserve"> </w:t>
      </w:r>
      <w:r>
        <w:rPr>
          <w:lang w:val="en-GB"/>
        </w:rPr>
        <w:t>to</w:t>
      </w:r>
      <w:r w:rsidR="004F58BD" w:rsidRPr="002B4B9C">
        <w:rPr>
          <w:lang w:val="en-GB"/>
        </w:rPr>
        <w:t xml:space="preserve"> </w:t>
      </w:r>
      <w:r w:rsidR="00BD30FB">
        <w:rPr>
          <w:lang w:val="en-GB"/>
        </w:rPr>
        <w:t xml:space="preserve">properly </w:t>
      </w:r>
      <w:r w:rsidR="004F58BD" w:rsidRPr="002B4B9C">
        <w:rPr>
          <w:lang w:val="en-GB"/>
        </w:rPr>
        <w:t>partner with Aboriginal and Torres Strait Islander leaders</w:t>
      </w:r>
      <w:r w:rsidR="00691874">
        <w:rPr>
          <w:lang w:val="en-GB"/>
        </w:rPr>
        <w:t xml:space="preserve"> and to implement a process such as the one we have requested. </w:t>
      </w:r>
    </w:p>
    <w:p w14:paraId="3DF01A17" w14:textId="77777777" w:rsidR="006B3513" w:rsidRDefault="006B3513" w:rsidP="006B3513">
      <w:pPr>
        <w:rPr>
          <w:lang w:val="en-GB"/>
        </w:rPr>
      </w:pPr>
    </w:p>
    <w:p w14:paraId="3F25AEAF" w14:textId="236DE8C4" w:rsidR="006B3513" w:rsidRPr="00BE4BB6" w:rsidRDefault="006B3513" w:rsidP="006B3513">
      <w:pPr>
        <w:rPr>
          <w:lang w:val="en-GB"/>
        </w:rPr>
      </w:pPr>
      <w:r w:rsidRPr="00BE4BB6">
        <w:rPr>
          <w:lang w:val="en-GB"/>
        </w:rPr>
        <w:t xml:space="preserve">The Government </w:t>
      </w:r>
      <w:r w:rsidR="00BD30FB">
        <w:rPr>
          <w:lang w:val="en-GB"/>
        </w:rPr>
        <w:t>advises</w:t>
      </w:r>
      <w:r w:rsidRPr="00BE4BB6">
        <w:rPr>
          <w:lang w:val="en-GB"/>
        </w:rPr>
        <w:t xml:space="preserve">  the Bill is compatible with the human rights and freedoms recognised by Australia. However, the process that has been followed </w:t>
      </w:r>
      <w:r w:rsidR="00824DF6">
        <w:rPr>
          <w:lang w:val="en-GB"/>
        </w:rPr>
        <w:t xml:space="preserve">thus far </w:t>
      </w:r>
      <w:r w:rsidRPr="00BE4BB6">
        <w:rPr>
          <w:lang w:val="en-GB"/>
        </w:rPr>
        <w:t xml:space="preserve">in reviewing the CATSI Act and drafting the Bill </w:t>
      </w:r>
      <w:r>
        <w:rPr>
          <w:lang w:val="en-GB"/>
        </w:rPr>
        <w:t xml:space="preserve">does not really </w:t>
      </w:r>
      <w:r w:rsidRPr="00BE4BB6">
        <w:rPr>
          <w:lang w:val="en-GB"/>
        </w:rPr>
        <w:t>allow us to make any judgement about whether or not this is the case. Th</w:t>
      </w:r>
      <w:r w:rsidR="00BD30FB">
        <w:rPr>
          <w:lang w:val="en-GB"/>
        </w:rPr>
        <w:t>e</w:t>
      </w:r>
      <w:r w:rsidRPr="00BE4BB6">
        <w:rPr>
          <w:lang w:val="en-GB"/>
        </w:rPr>
        <w:t xml:space="preserve"> process was not transparent or evidence-based and </w:t>
      </w:r>
      <w:r w:rsidR="00824DF6">
        <w:rPr>
          <w:lang w:val="en-GB"/>
        </w:rPr>
        <w:t>Aboriginal and Torres Strait Islander</w:t>
      </w:r>
      <w:r w:rsidRPr="00BE4BB6">
        <w:rPr>
          <w:lang w:val="en-GB"/>
        </w:rPr>
        <w:t xml:space="preserve"> stakeholders were excluded from decision-making. That does not augur well for whether the Bill complies with human rights instruments</w:t>
      </w:r>
      <w:r w:rsidR="00BD30FB">
        <w:rPr>
          <w:lang w:val="en-GB"/>
        </w:rPr>
        <w:t xml:space="preserve">.  </w:t>
      </w:r>
      <w:r w:rsidRPr="00BE4BB6">
        <w:rPr>
          <w:lang w:val="en-GB"/>
        </w:rPr>
        <w:t xml:space="preserve"> </w:t>
      </w:r>
      <w:r w:rsidR="00BD30FB">
        <w:rPr>
          <w:lang w:val="en-GB"/>
        </w:rPr>
        <w:t xml:space="preserve">Also of concern is </w:t>
      </w:r>
      <w:r w:rsidRPr="00BE4BB6">
        <w:rPr>
          <w:lang w:val="en-GB"/>
        </w:rPr>
        <w:t xml:space="preserve"> whether </w:t>
      </w:r>
      <w:r>
        <w:rPr>
          <w:lang w:val="en-GB"/>
        </w:rPr>
        <w:t>certain elements</w:t>
      </w:r>
      <w:r w:rsidRPr="00BE4BB6">
        <w:rPr>
          <w:lang w:val="en-GB"/>
        </w:rPr>
        <w:t xml:space="preserve"> may be racially discriminatory</w:t>
      </w:r>
      <w:r w:rsidR="009F1DC1">
        <w:rPr>
          <w:lang w:val="en-GB"/>
        </w:rPr>
        <w:t xml:space="preserve"> (e.g. reporting on directors’ remuneration)</w:t>
      </w:r>
      <w:r w:rsidRPr="00BE4BB6">
        <w:rPr>
          <w:lang w:val="en-GB"/>
        </w:rPr>
        <w:t xml:space="preserve">. It </w:t>
      </w:r>
      <w:r w:rsidR="009709A8">
        <w:rPr>
          <w:lang w:val="en-GB"/>
        </w:rPr>
        <w:t>would be</w:t>
      </w:r>
      <w:r w:rsidRPr="00BE4BB6">
        <w:rPr>
          <w:lang w:val="en-GB"/>
        </w:rPr>
        <w:t xml:space="preserve"> appropriate, in these circumstances, that the Committee seek the views of the Australian Human Rights Commission before reaching a position on the Government’s statement.</w:t>
      </w:r>
    </w:p>
    <w:p w14:paraId="7E402CC3" w14:textId="77777777" w:rsidR="006B3513" w:rsidRDefault="006B3513" w:rsidP="002B767D">
      <w:pPr>
        <w:rPr>
          <w:lang w:val="en-GB"/>
        </w:rPr>
      </w:pPr>
    </w:p>
    <w:p w14:paraId="3CFA8AEA" w14:textId="4B00B2A8" w:rsidR="009709A8" w:rsidRDefault="00BD30FB">
      <w:pPr>
        <w:rPr>
          <w:lang w:val="en-GB"/>
        </w:rPr>
      </w:pPr>
      <w:r>
        <w:rPr>
          <w:lang w:val="en-GB"/>
        </w:rPr>
        <w:t>On the basis of the information before us</w:t>
      </w:r>
      <w:r w:rsidR="002B767D" w:rsidRPr="00691874">
        <w:rPr>
          <w:lang w:val="en-GB"/>
        </w:rPr>
        <w:t>,</w:t>
      </w:r>
      <w:r w:rsidR="002B767D">
        <w:rPr>
          <w:lang w:val="en-GB"/>
        </w:rPr>
        <w:t xml:space="preserve"> NACCHO cannot support the review overall. We represent over 80 organisations affected by these changes and should be considered a key stakeholder and partner. </w:t>
      </w:r>
      <w:r>
        <w:rPr>
          <w:lang w:val="en-GB"/>
        </w:rPr>
        <w:t>Therefore w</w:t>
      </w:r>
      <w:r w:rsidR="002B767D">
        <w:rPr>
          <w:lang w:val="en-GB"/>
        </w:rPr>
        <w:t>ithout genuine collaboration, we cannot support the Bill.</w:t>
      </w:r>
      <w:r w:rsidR="009709A8">
        <w:rPr>
          <w:lang w:val="en-GB"/>
        </w:rPr>
        <w:br w:type="page"/>
      </w:r>
    </w:p>
    <w:p w14:paraId="770BB6C3" w14:textId="77777777" w:rsidR="009709A8" w:rsidRDefault="009709A8" w:rsidP="008F7D28">
      <w:pPr>
        <w:rPr>
          <w:b/>
          <w:lang w:val="en-GB"/>
        </w:rPr>
      </w:pPr>
    </w:p>
    <w:p w14:paraId="379AE820" w14:textId="510990FA" w:rsidR="008F7D28" w:rsidRDefault="008F7D28" w:rsidP="008F7D28">
      <w:pPr>
        <w:rPr>
          <w:b/>
          <w:lang w:val="en-GB"/>
        </w:rPr>
      </w:pPr>
      <w:r>
        <w:rPr>
          <w:b/>
          <w:lang w:val="en-GB"/>
        </w:rPr>
        <w:t>Previous submission</w:t>
      </w:r>
      <w:r w:rsidR="00F80A32">
        <w:rPr>
          <w:b/>
          <w:lang w:val="en-GB"/>
        </w:rPr>
        <w:t>s</w:t>
      </w:r>
    </w:p>
    <w:p w14:paraId="4CC7E0E0" w14:textId="77777777" w:rsidR="008F7D28" w:rsidRPr="002C1DD9" w:rsidRDefault="008F7D28" w:rsidP="008F7D28">
      <w:pPr>
        <w:rPr>
          <w:lang w:val="en-GB"/>
        </w:rPr>
      </w:pPr>
    </w:p>
    <w:p w14:paraId="43AEAB5B" w14:textId="77777777" w:rsidR="00691874" w:rsidRDefault="0053713C" w:rsidP="002C1DD9">
      <w:pPr>
        <w:rPr>
          <w:lang w:val="en-GB"/>
        </w:rPr>
      </w:pPr>
      <w:r>
        <w:rPr>
          <w:lang w:val="en-GB"/>
        </w:rPr>
        <w:t xml:space="preserve">Our previous two submissions </w:t>
      </w:r>
      <w:r w:rsidR="002C1DD9">
        <w:rPr>
          <w:lang w:val="en-GB"/>
        </w:rPr>
        <w:t>were lodged in</w:t>
      </w:r>
      <w:r w:rsidR="00691874">
        <w:rPr>
          <w:lang w:val="en-GB"/>
        </w:rPr>
        <w:t>:</w:t>
      </w:r>
    </w:p>
    <w:p w14:paraId="79BE7094" w14:textId="1EF0AD82" w:rsidR="002C1DD9" w:rsidRDefault="002C1DD9" w:rsidP="002C1DD9">
      <w:pPr>
        <w:rPr>
          <w:lang w:val="en-GB"/>
        </w:rPr>
      </w:pPr>
    </w:p>
    <w:p w14:paraId="4EAC7779" w14:textId="1A2074D1" w:rsidR="002C1DD9" w:rsidRDefault="00D51F56" w:rsidP="002C1DD9">
      <w:pPr>
        <w:pStyle w:val="ListParagraph"/>
        <w:numPr>
          <w:ilvl w:val="0"/>
          <w:numId w:val="7"/>
        </w:numPr>
        <w:rPr>
          <w:lang w:val="en-GB"/>
        </w:rPr>
      </w:pPr>
      <w:hyperlink r:id="rId16" w:history="1">
        <w:r w:rsidR="002C1DD9" w:rsidRPr="002C1DD9">
          <w:rPr>
            <w:rStyle w:val="Hyperlink"/>
            <w:lang w:val="en-GB"/>
          </w:rPr>
          <w:t>January 2019</w:t>
        </w:r>
      </w:hyperlink>
      <w:r w:rsidR="002C1DD9" w:rsidRPr="002C1DD9">
        <w:rPr>
          <w:lang w:val="en-GB"/>
        </w:rPr>
        <w:t xml:space="preserve"> </w:t>
      </w:r>
      <w:r w:rsidR="002C1DD9">
        <w:rPr>
          <w:lang w:val="en-GB"/>
        </w:rPr>
        <w:t xml:space="preserve">– </w:t>
      </w:r>
      <w:r w:rsidR="002C1DD9" w:rsidRPr="002C1DD9">
        <w:rPr>
          <w:lang w:val="en-GB"/>
        </w:rPr>
        <w:t>NACCHO Submission to the Inquiry by Senate Finance and Public Administration Legislation Committee into the Corporations (Aboriginal and Torres Strait Islander) Amendment (Strengthening Governance and Transparency) Bill 2018</w:t>
      </w:r>
      <w:r w:rsidR="002C1DD9">
        <w:rPr>
          <w:lang w:val="en-GB"/>
        </w:rPr>
        <w:t>; and</w:t>
      </w:r>
    </w:p>
    <w:p w14:paraId="0887A3CA" w14:textId="66348A24" w:rsidR="002C1DD9" w:rsidRPr="002C1DD9" w:rsidRDefault="00D51F56" w:rsidP="002C1DD9">
      <w:pPr>
        <w:pStyle w:val="ListParagraph"/>
        <w:numPr>
          <w:ilvl w:val="0"/>
          <w:numId w:val="7"/>
        </w:numPr>
        <w:rPr>
          <w:lang w:val="en-GB"/>
        </w:rPr>
      </w:pPr>
      <w:hyperlink r:id="rId17" w:history="1">
        <w:r w:rsidR="002C1DD9" w:rsidRPr="002C1DD9">
          <w:rPr>
            <w:rStyle w:val="Hyperlink"/>
            <w:lang w:val="en-GB"/>
          </w:rPr>
          <w:t>October 2020</w:t>
        </w:r>
      </w:hyperlink>
      <w:r w:rsidR="002C1DD9">
        <w:rPr>
          <w:lang w:val="en-GB"/>
        </w:rPr>
        <w:t xml:space="preserve"> – </w:t>
      </w:r>
      <w:r w:rsidR="002C1DD9" w:rsidRPr="002C1DD9">
        <w:rPr>
          <w:lang w:val="en-GB"/>
        </w:rPr>
        <w:t xml:space="preserve">NACCHO Submission to the </w:t>
      </w:r>
      <w:r w:rsidR="002C1DD9">
        <w:rPr>
          <w:lang w:val="en-GB"/>
        </w:rPr>
        <w:t>Review of the CATSI Act – Phase 2 Consultation.</w:t>
      </w:r>
    </w:p>
    <w:p w14:paraId="3F188A03" w14:textId="20E0F9E4" w:rsidR="008F7D28" w:rsidRDefault="008F7D28">
      <w:pPr>
        <w:rPr>
          <w:lang w:val="en-GB"/>
        </w:rPr>
      </w:pPr>
    </w:p>
    <w:p w14:paraId="71DF7026" w14:textId="21E7B4A3" w:rsidR="00AA1D27" w:rsidRDefault="00AA1D27">
      <w:pPr>
        <w:rPr>
          <w:lang w:val="en-GB"/>
        </w:rPr>
      </w:pPr>
      <w:r>
        <w:rPr>
          <w:lang w:val="en-GB"/>
        </w:rPr>
        <w:t xml:space="preserve">Although we have seen some gains in the drafting of the Bill since we lodged these submissions, </w:t>
      </w:r>
      <w:r w:rsidR="009709A8">
        <w:rPr>
          <w:lang w:val="en-GB"/>
        </w:rPr>
        <w:t>many of our</w:t>
      </w:r>
      <w:r>
        <w:rPr>
          <w:lang w:val="en-GB"/>
        </w:rPr>
        <w:t xml:space="preserve"> </w:t>
      </w:r>
      <w:r w:rsidR="009709A8">
        <w:rPr>
          <w:lang w:val="en-GB"/>
        </w:rPr>
        <w:t>key</w:t>
      </w:r>
      <w:r>
        <w:rPr>
          <w:lang w:val="en-GB"/>
        </w:rPr>
        <w:t xml:space="preserve"> concerns remain.</w:t>
      </w:r>
    </w:p>
    <w:p w14:paraId="4320AB8E" w14:textId="77777777" w:rsidR="00AA1D27" w:rsidRDefault="00AA1D27">
      <w:pPr>
        <w:rPr>
          <w:lang w:val="en-GB"/>
        </w:rPr>
      </w:pPr>
    </w:p>
    <w:p w14:paraId="1531F99B" w14:textId="77777777" w:rsidR="00691874" w:rsidRPr="008F5042" w:rsidRDefault="00691874">
      <w:pPr>
        <w:rPr>
          <w:lang w:val="en-GB"/>
        </w:rPr>
      </w:pPr>
    </w:p>
    <w:p w14:paraId="0B5FED46" w14:textId="15C4E6A8" w:rsidR="00921E76" w:rsidRPr="009F7A09" w:rsidRDefault="00921E76">
      <w:pPr>
        <w:rPr>
          <w:b/>
          <w:lang w:val="en-GB"/>
        </w:rPr>
      </w:pPr>
      <w:r w:rsidRPr="009F7A09">
        <w:rPr>
          <w:b/>
          <w:lang w:val="en-GB"/>
        </w:rPr>
        <w:t>General comments</w:t>
      </w:r>
    </w:p>
    <w:p w14:paraId="74C734D1" w14:textId="21DD4CFC" w:rsidR="00921E76" w:rsidRDefault="00921E76">
      <w:pPr>
        <w:rPr>
          <w:lang w:val="en-GB"/>
        </w:rPr>
      </w:pPr>
    </w:p>
    <w:p w14:paraId="5D064278" w14:textId="5171A7CE" w:rsidR="002B4B9C" w:rsidRDefault="002B4B9C" w:rsidP="002B4B9C">
      <w:pPr>
        <w:rPr>
          <w:lang w:val="en-GB"/>
        </w:rPr>
      </w:pPr>
      <w:r>
        <w:rPr>
          <w:lang w:val="en-GB"/>
        </w:rPr>
        <w:t>NACCHO recognises that t</w:t>
      </w:r>
      <w:r w:rsidRPr="002B4B9C">
        <w:rPr>
          <w:lang w:val="en-GB"/>
        </w:rPr>
        <w:t xml:space="preserve">he CATSI Act facilitates self-determination for Aboriginal and Torres Strait Islander corporations. It provides a vehicle to ensure corporations delivering services to </w:t>
      </w:r>
      <w:r w:rsidR="00AA1D27">
        <w:rPr>
          <w:lang w:val="en-GB"/>
        </w:rPr>
        <w:t>our</w:t>
      </w:r>
      <w:r w:rsidRPr="002B4B9C">
        <w:rPr>
          <w:lang w:val="en-GB"/>
        </w:rPr>
        <w:t xml:space="preserve"> people remain community-controlled. The CATSI Act is designed to reduce the inequalities faced by Aboriginal and Torres Strait Islanders and has an important role to play in </w:t>
      </w:r>
      <w:r w:rsidR="009709A8">
        <w:rPr>
          <w:lang w:val="en-GB"/>
        </w:rPr>
        <w:t>the revitalised C</w:t>
      </w:r>
      <w:r w:rsidRPr="002B4B9C">
        <w:rPr>
          <w:lang w:val="en-GB"/>
        </w:rPr>
        <w:t xml:space="preserve">losing the </w:t>
      </w:r>
      <w:r w:rsidR="009709A8">
        <w:rPr>
          <w:lang w:val="en-GB"/>
        </w:rPr>
        <w:t>G</w:t>
      </w:r>
      <w:r w:rsidRPr="002B4B9C">
        <w:rPr>
          <w:lang w:val="en-GB"/>
        </w:rPr>
        <w:t>ap</w:t>
      </w:r>
      <w:r w:rsidR="009709A8">
        <w:rPr>
          <w:lang w:val="en-GB"/>
        </w:rPr>
        <w:t xml:space="preserve"> process</w:t>
      </w:r>
      <w:r w:rsidRPr="002B4B9C">
        <w:rPr>
          <w:lang w:val="en-GB"/>
        </w:rPr>
        <w:t xml:space="preserve">. </w:t>
      </w:r>
    </w:p>
    <w:p w14:paraId="2D6A394B" w14:textId="77777777" w:rsidR="002B767D" w:rsidRDefault="002B767D" w:rsidP="002B767D">
      <w:pPr>
        <w:rPr>
          <w:lang w:val="en-GB"/>
        </w:rPr>
      </w:pPr>
    </w:p>
    <w:p w14:paraId="5F24C604" w14:textId="103F5EE2" w:rsidR="002B767D" w:rsidRDefault="002B767D" w:rsidP="002B767D">
      <w:pPr>
        <w:rPr>
          <w:lang w:val="en-GB"/>
        </w:rPr>
      </w:pPr>
      <w:r w:rsidRPr="00BE4BB6">
        <w:rPr>
          <w:lang w:val="en-GB"/>
        </w:rPr>
        <w:t>Accordingly, it is an understatement to say that the CATSI Act is important to the Aboriginal and Torres Strait Islander health sector. It is a primary vehicle that has been available, in its original form</w:t>
      </w:r>
      <w:r w:rsidR="009709A8">
        <w:rPr>
          <w:lang w:val="en-GB"/>
        </w:rPr>
        <w:t>,</w:t>
      </w:r>
      <w:r w:rsidRPr="00BE4BB6">
        <w:rPr>
          <w:lang w:val="en-GB"/>
        </w:rPr>
        <w:t xml:space="preserve"> since 1976, for Aboriginal and Torres Strait Islander people to control and take responsibility for their own health. It facilitates self-determination and sets out rules for how our members and directors ae appointed from our communities. The CATSI Act also provides the rules to establish policies for the governance of our organisations, for their financial management, control and reporting. It has </w:t>
      </w:r>
      <w:r w:rsidR="006B3513">
        <w:rPr>
          <w:lang w:val="en-GB"/>
        </w:rPr>
        <w:t xml:space="preserve">had </w:t>
      </w:r>
      <w:r w:rsidRPr="00BE4BB6">
        <w:rPr>
          <w:lang w:val="en-GB"/>
        </w:rPr>
        <w:t>a significant impact on our costs and benefits to Aboriginal and Torres Strait Islander peoples</w:t>
      </w:r>
      <w:r w:rsidR="006B3513">
        <w:rPr>
          <w:lang w:val="en-GB"/>
        </w:rPr>
        <w:t xml:space="preserve"> for about 45 years</w:t>
      </w:r>
      <w:r w:rsidRPr="00BE4BB6">
        <w:rPr>
          <w:lang w:val="en-GB"/>
        </w:rPr>
        <w:t xml:space="preserve">. </w:t>
      </w:r>
    </w:p>
    <w:p w14:paraId="79B29D2E" w14:textId="77777777" w:rsidR="006B3513" w:rsidRDefault="006B3513" w:rsidP="002B4B9C">
      <w:pPr>
        <w:rPr>
          <w:lang w:val="en-GB"/>
        </w:rPr>
      </w:pPr>
    </w:p>
    <w:p w14:paraId="11A90FB5" w14:textId="77777777" w:rsidR="009709A8" w:rsidRDefault="008F5042" w:rsidP="002B4B9C">
      <w:pPr>
        <w:rPr>
          <w:lang w:val="en-GB"/>
        </w:rPr>
      </w:pPr>
      <w:r>
        <w:rPr>
          <w:lang w:val="en-GB"/>
        </w:rPr>
        <w:t xml:space="preserve">Despite the lack of engagement with Aboriginal and Torres Strait Islander leadership, the review does seem to have resulted in a </w:t>
      </w:r>
      <w:r w:rsidR="002B767D">
        <w:rPr>
          <w:lang w:val="en-GB"/>
        </w:rPr>
        <w:t xml:space="preserve">number of positive elements included in the </w:t>
      </w:r>
      <w:r>
        <w:rPr>
          <w:lang w:val="en-GB"/>
        </w:rPr>
        <w:t xml:space="preserve">report </w:t>
      </w:r>
      <w:r w:rsidR="002B767D">
        <w:rPr>
          <w:lang w:val="en-GB"/>
        </w:rPr>
        <w:t xml:space="preserve">that </w:t>
      </w:r>
      <w:r>
        <w:rPr>
          <w:lang w:val="en-GB"/>
        </w:rPr>
        <w:t>will benefit the sector.</w:t>
      </w:r>
      <w:r w:rsidR="002B767D">
        <w:rPr>
          <w:lang w:val="en-GB"/>
        </w:rPr>
        <w:t xml:space="preserve"> </w:t>
      </w:r>
    </w:p>
    <w:p w14:paraId="41197252" w14:textId="77777777" w:rsidR="009709A8" w:rsidRDefault="009709A8" w:rsidP="002B4B9C">
      <w:pPr>
        <w:rPr>
          <w:lang w:val="en-GB"/>
        </w:rPr>
      </w:pPr>
    </w:p>
    <w:p w14:paraId="66EF192B" w14:textId="77777777" w:rsidR="009709A8" w:rsidRDefault="002B767D" w:rsidP="002B4B9C">
      <w:pPr>
        <w:rPr>
          <w:lang w:val="en-GB"/>
        </w:rPr>
      </w:pPr>
      <w:r>
        <w:rPr>
          <w:lang w:val="en-GB"/>
        </w:rPr>
        <w:t xml:space="preserve">There are also </w:t>
      </w:r>
      <w:r w:rsidR="00AA1D27">
        <w:rPr>
          <w:lang w:val="en-GB"/>
        </w:rPr>
        <w:t xml:space="preserve">a number of very </w:t>
      </w:r>
      <w:r>
        <w:rPr>
          <w:lang w:val="en-GB"/>
        </w:rPr>
        <w:t>negative aspects to the report and a number of recommendations going forward in the Bill</w:t>
      </w:r>
      <w:r w:rsidR="00AA1D27">
        <w:rPr>
          <w:lang w:val="en-GB"/>
        </w:rPr>
        <w:t xml:space="preserve"> and through other mechanisms</w:t>
      </w:r>
      <w:r w:rsidR="009709A8">
        <w:rPr>
          <w:lang w:val="en-GB"/>
        </w:rPr>
        <w:t xml:space="preserve"> that we do not support</w:t>
      </w:r>
      <w:r>
        <w:rPr>
          <w:lang w:val="en-GB"/>
        </w:rPr>
        <w:t>.</w:t>
      </w:r>
      <w:r w:rsidR="00AA1D27">
        <w:rPr>
          <w:lang w:val="en-GB"/>
        </w:rPr>
        <w:t xml:space="preserve"> </w:t>
      </w:r>
    </w:p>
    <w:p w14:paraId="4E7D8900" w14:textId="77777777" w:rsidR="009709A8" w:rsidRDefault="009709A8" w:rsidP="002B4B9C">
      <w:pPr>
        <w:rPr>
          <w:lang w:val="en-GB"/>
        </w:rPr>
      </w:pPr>
    </w:p>
    <w:p w14:paraId="35699BF0" w14:textId="5716EC02" w:rsidR="008F5042" w:rsidRPr="002B4B9C" w:rsidRDefault="009709A8" w:rsidP="002B4B9C">
      <w:pPr>
        <w:rPr>
          <w:lang w:val="en-GB"/>
        </w:rPr>
      </w:pPr>
      <w:r>
        <w:rPr>
          <w:lang w:val="en-GB"/>
        </w:rPr>
        <w:t xml:space="preserve">NACCHO’s specific feedback is </w:t>
      </w:r>
      <w:r w:rsidR="00AA1D27">
        <w:rPr>
          <w:lang w:val="en-GB"/>
        </w:rPr>
        <w:t xml:space="preserve">set out in detail in </w:t>
      </w:r>
      <w:r>
        <w:rPr>
          <w:lang w:val="en-GB"/>
        </w:rPr>
        <w:t xml:space="preserve">nine </w:t>
      </w:r>
      <w:r w:rsidR="00AA1D27">
        <w:rPr>
          <w:lang w:val="en-GB"/>
        </w:rPr>
        <w:t>section</w:t>
      </w:r>
      <w:r>
        <w:rPr>
          <w:lang w:val="en-GB"/>
        </w:rPr>
        <w:t>s</w:t>
      </w:r>
      <w:r w:rsidR="00AA1D27">
        <w:rPr>
          <w:lang w:val="en-GB"/>
        </w:rPr>
        <w:t xml:space="preserve"> below.</w:t>
      </w:r>
    </w:p>
    <w:p w14:paraId="3FD36F3D" w14:textId="785ED5EB" w:rsidR="008F5042" w:rsidRDefault="008F5042">
      <w:pPr>
        <w:rPr>
          <w:lang w:val="en-AU"/>
        </w:rPr>
      </w:pPr>
    </w:p>
    <w:p w14:paraId="66426A18" w14:textId="77777777" w:rsidR="002035EB" w:rsidRPr="009F7A09" w:rsidRDefault="002035EB" w:rsidP="002035EB">
      <w:pPr>
        <w:rPr>
          <w:lang w:val="en-GB"/>
        </w:rPr>
      </w:pPr>
    </w:p>
    <w:p w14:paraId="36A9D149" w14:textId="77777777" w:rsidR="00F80A32" w:rsidRDefault="00F80A32">
      <w:pPr>
        <w:rPr>
          <w:b/>
          <w:lang w:val="en-GB"/>
        </w:rPr>
      </w:pPr>
      <w:r>
        <w:rPr>
          <w:b/>
          <w:lang w:val="en-GB"/>
        </w:rPr>
        <w:br w:type="page"/>
      </w:r>
    </w:p>
    <w:p w14:paraId="1CED0EDC" w14:textId="140248A6" w:rsidR="002035EB" w:rsidRPr="009F7A09" w:rsidRDefault="002035EB" w:rsidP="002035EB">
      <w:pPr>
        <w:rPr>
          <w:b/>
          <w:lang w:val="en-GB"/>
        </w:rPr>
      </w:pPr>
      <w:r w:rsidRPr="009F7A09">
        <w:rPr>
          <w:b/>
          <w:lang w:val="en-GB"/>
        </w:rPr>
        <w:t>Recommendations of the report</w:t>
      </w:r>
      <w:r w:rsidR="001D0671">
        <w:rPr>
          <w:b/>
          <w:lang w:val="en-GB"/>
        </w:rPr>
        <w:t xml:space="preserve"> and changes taken up in the Bill and other contexts</w:t>
      </w:r>
    </w:p>
    <w:p w14:paraId="4D5FD63A" w14:textId="15C60CAB" w:rsidR="002035EB" w:rsidRDefault="002035EB" w:rsidP="002035EB">
      <w:pPr>
        <w:rPr>
          <w:lang w:val="en-GB"/>
        </w:rPr>
      </w:pPr>
    </w:p>
    <w:p w14:paraId="4A843A1E" w14:textId="56244B1B" w:rsidR="004E77D0" w:rsidRPr="009F7A09" w:rsidRDefault="00F80A32" w:rsidP="004E77D0">
      <w:pPr>
        <w:rPr>
          <w:u w:val="single"/>
          <w:lang w:val="en-GB"/>
        </w:rPr>
      </w:pPr>
      <w:r>
        <w:rPr>
          <w:u w:val="single"/>
          <w:lang w:val="en-GB"/>
        </w:rPr>
        <w:t xml:space="preserve">(i) </w:t>
      </w:r>
      <w:r w:rsidR="001D0671">
        <w:rPr>
          <w:u w:val="single"/>
          <w:lang w:val="en-GB"/>
        </w:rPr>
        <w:t>Commitment to the sector and key principles</w:t>
      </w:r>
    </w:p>
    <w:p w14:paraId="4DB6760D" w14:textId="77777777" w:rsidR="004E77D0" w:rsidRPr="009F7A09" w:rsidRDefault="004E77D0" w:rsidP="004E77D0">
      <w:pPr>
        <w:rPr>
          <w:lang w:val="en-GB"/>
        </w:rPr>
      </w:pPr>
    </w:p>
    <w:p w14:paraId="12C0A547" w14:textId="0BFEEA3D" w:rsidR="00CE1492" w:rsidRDefault="004E77D0" w:rsidP="004E77D0">
      <w:pPr>
        <w:rPr>
          <w:lang w:val="en-GB"/>
        </w:rPr>
      </w:pPr>
      <w:r w:rsidRPr="009F7A09">
        <w:rPr>
          <w:lang w:val="en-GB"/>
        </w:rPr>
        <w:t>Of the eight recommendations not taken up within the 72 total recommendations</w:t>
      </w:r>
      <w:r w:rsidR="00AA1D27">
        <w:rPr>
          <w:lang w:val="en-GB"/>
        </w:rPr>
        <w:t xml:space="preserve"> of the review</w:t>
      </w:r>
      <w:r w:rsidRPr="009F7A09">
        <w:rPr>
          <w:lang w:val="en-GB"/>
        </w:rPr>
        <w:t>, it is pleasing to see that seven of these seem to be because their intent is covered off through other actions or other recommendations</w:t>
      </w:r>
      <w:r w:rsidR="00CE1492">
        <w:rPr>
          <w:lang w:val="en-GB"/>
        </w:rPr>
        <w:t xml:space="preserve"> and that they are not being ‘avoided’</w:t>
      </w:r>
      <w:r w:rsidRPr="009F7A09">
        <w:rPr>
          <w:lang w:val="en-GB"/>
        </w:rPr>
        <w:t xml:space="preserve">. </w:t>
      </w:r>
    </w:p>
    <w:p w14:paraId="7649965A" w14:textId="77777777" w:rsidR="00CE1492" w:rsidRDefault="00CE1492" w:rsidP="004E77D0">
      <w:pPr>
        <w:rPr>
          <w:lang w:val="en-GB"/>
        </w:rPr>
      </w:pPr>
    </w:p>
    <w:p w14:paraId="6BDBB2CD" w14:textId="0019F6B5" w:rsidR="004E77D0" w:rsidRPr="009F7A09" w:rsidRDefault="004E77D0" w:rsidP="004E77D0">
      <w:pPr>
        <w:rPr>
          <w:lang w:val="en-GB"/>
        </w:rPr>
      </w:pPr>
      <w:r w:rsidRPr="009F7A09">
        <w:rPr>
          <w:lang w:val="en-GB"/>
        </w:rPr>
        <w:t>However, in relation to recommendation 1, we think that there has been a cursory response provided that does not justify its rejection. While it may be true to say that ‘capacity building, promoting modern governance … is already appropriately addressed by the Registrar’s functions and powers’, if this intention is not clearly articulated in the objects of the CATSI Act</w:t>
      </w:r>
      <w:r>
        <w:rPr>
          <w:lang w:val="en-GB"/>
        </w:rPr>
        <w:t>, then it will be all the more readily overlooked.</w:t>
      </w:r>
    </w:p>
    <w:p w14:paraId="7FCBBFF6" w14:textId="469040B8" w:rsidR="009F7A09" w:rsidRDefault="009F7A09">
      <w:pPr>
        <w:rPr>
          <w:lang w:val="en-GB"/>
        </w:rPr>
      </w:pPr>
    </w:p>
    <w:p w14:paraId="001F04AF" w14:textId="52FFFB4A" w:rsidR="00024FA7" w:rsidRDefault="007F4C2A">
      <w:pPr>
        <w:rPr>
          <w:lang w:val="en-GB"/>
        </w:rPr>
      </w:pPr>
      <w:r>
        <w:rPr>
          <w:lang w:val="en-GB"/>
        </w:rPr>
        <w:t xml:space="preserve">While recognising that it is hard to write a commitment to these principles into law, there could at least be an attempt made to include an overarching statement to this effect. </w:t>
      </w:r>
      <w:r w:rsidR="00CB4F47">
        <w:rPr>
          <w:lang w:val="en-GB"/>
        </w:rPr>
        <w:t xml:space="preserve">The Law Council of Australia has expressed a similar view in its own submission </w:t>
      </w:r>
      <w:r w:rsidR="00024FA7">
        <w:rPr>
          <w:lang w:val="en-GB"/>
        </w:rPr>
        <w:t>in October 2020</w:t>
      </w:r>
      <w:r w:rsidR="001A7C98">
        <w:rPr>
          <w:lang w:val="en-GB"/>
        </w:rPr>
        <w:t xml:space="preserve"> (at pp. 3-4</w:t>
      </w:r>
      <w:r w:rsidR="00CB4F47">
        <w:rPr>
          <w:lang w:val="en-GB"/>
        </w:rPr>
        <w:t xml:space="preserve">). </w:t>
      </w:r>
      <w:r w:rsidR="00024FA7">
        <w:rPr>
          <w:lang w:val="en-GB"/>
        </w:rPr>
        <w:t>Hence, w</w:t>
      </w:r>
      <w:r>
        <w:rPr>
          <w:lang w:val="en-GB"/>
        </w:rPr>
        <w:t xml:space="preserve">e urge the Government to reconsider </w:t>
      </w:r>
      <w:r w:rsidR="001A7C98">
        <w:rPr>
          <w:lang w:val="en-GB"/>
        </w:rPr>
        <w:t xml:space="preserve">including </w:t>
      </w:r>
      <w:r>
        <w:rPr>
          <w:lang w:val="en-GB"/>
        </w:rPr>
        <w:t xml:space="preserve">recommendation 1 of the review (i.e.: </w:t>
      </w:r>
      <w:r w:rsidRPr="00030871">
        <w:rPr>
          <w:lang w:val="en-GB"/>
        </w:rPr>
        <w:t xml:space="preserve">objects of the CATSI Act amended </w:t>
      </w:r>
      <w:r>
        <w:rPr>
          <w:lang w:val="en-GB"/>
        </w:rPr>
        <w:t>“</w:t>
      </w:r>
      <w:r w:rsidRPr="00030871">
        <w:rPr>
          <w:lang w:val="en-GB"/>
        </w:rPr>
        <w:t>to better reflect its role by referring to capacity building, promoting modern governance and accommodating Aboriginal and Torres Strait Islander tradition and circumstance</w:t>
      </w:r>
      <w:r>
        <w:rPr>
          <w:lang w:val="en-GB"/>
        </w:rPr>
        <w:t xml:space="preserve">”). </w:t>
      </w:r>
    </w:p>
    <w:p w14:paraId="37DA767A" w14:textId="77777777" w:rsidR="00024FA7" w:rsidRDefault="00024FA7">
      <w:pPr>
        <w:rPr>
          <w:lang w:val="en-GB"/>
        </w:rPr>
      </w:pPr>
    </w:p>
    <w:p w14:paraId="697A7367" w14:textId="0F9472A0" w:rsidR="008F5042" w:rsidRDefault="00024FA7">
      <w:pPr>
        <w:rPr>
          <w:lang w:val="en-GB"/>
        </w:rPr>
      </w:pPr>
      <w:r>
        <w:rPr>
          <w:lang w:val="en-GB"/>
        </w:rPr>
        <w:t>T</w:t>
      </w:r>
      <w:r w:rsidR="00CE1492">
        <w:rPr>
          <w:lang w:val="en-GB"/>
        </w:rPr>
        <w:t xml:space="preserve">he Commonwealth needs to be seen to be committed to </w:t>
      </w:r>
      <w:r w:rsidR="007F4C2A">
        <w:rPr>
          <w:lang w:val="en-GB"/>
        </w:rPr>
        <w:t xml:space="preserve">capacity building and in working collaboratively with our communities and their organisations. For example, </w:t>
      </w:r>
      <w:r w:rsidR="008F5042">
        <w:rPr>
          <w:lang w:val="en-GB"/>
        </w:rPr>
        <w:t>NACCHO has a very positive relationship with the Commonwealth Department of Health, built up over the 50 years of our sector’s history</w:t>
      </w:r>
      <w:r w:rsidR="001A7C98">
        <w:rPr>
          <w:lang w:val="en-GB"/>
        </w:rPr>
        <w:t>, in which we have, generally, worked collaboratively to address emerging governance issues</w:t>
      </w:r>
      <w:r w:rsidR="008F5042">
        <w:rPr>
          <w:lang w:val="en-GB"/>
        </w:rPr>
        <w:t xml:space="preserve">. However, there are still too many instances when </w:t>
      </w:r>
      <w:r w:rsidR="00573D35">
        <w:rPr>
          <w:lang w:val="en-GB"/>
        </w:rPr>
        <w:t xml:space="preserve">concerns with the governance and/or finances of one of our members are raised </w:t>
      </w:r>
      <w:r w:rsidR="00C3198C">
        <w:rPr>
          <w:lang w:val="en-GB"/>
        </w:rPr>
        <w:t xml:space="preserve">far </w:t>
      </w:r>
      <w:r w:rsidR="00573D35">
        <w:rPr>
          <w:lang w:val="en-GB"/>
        </w:rPr>
        <w:t>too late for remedial action</w:t>
      </w:r>
      <w:r w:rsidR="00C3198C">
        <w:rPr>
          <w:lang w:val="en-GB"/>
        </w:rPr>
        <w:t xml:space="preserve"> to be taken</w:t>
      </w:r>
      <w:r w:rsidR="00573D35">
        <w:rPr>
          <w:lang w:val="en-GB"/>
        </w:rPr>
        <w:t xml:space="preserve"> </w:t>
      </w:r>
      <w:r w:rsidR="00C3198C">
        <w:rPr>
          <w:lang w:val="en-GB"/>
        </w:rPr>
        <w:t>and/</w:t>
      </w:r>
      <w:r w:rsidR="00573D35">
        <w:rPr>
          <w:lang w:val="en-GB"/>
        </w:rPr>
        <w:t xml:space="preserve">or not at all before an </w:t>
      </w:r>
      <w:r w:rsidR="008F5042">
        <w:rPr>
          <w:lang w:val="en-GB"/>
        </w:rPr>
        <w:t>intervention</w:t>
      </w:r>
      <w:r w:rsidR="00573D35">
        <w:rPr>
          <w:lang w:val="en-GB"/>
        </w:rPr>
        <w:t xml:space="preserve"> takes place</w:t>
      </w:r>
      <w:r w:rsidR="001A7C98">
        <w:rPr>
          <w:lang w:val="en-GB"/>
        </w:rPr>
        <w:t xml:space="preserve"> and unintended damage occurs within the community</w:t>
      </w:r>
      <w:r w:rsidR="00573D35">
        <w:rPr>
          <w:lang w:val="en-GB"/>
        </w:rPr>
        <w:t xml:space="preserve">. It must be remembered, therefore, that no matter how good the legislation may be – in this case, the CATSI Act – it is always important to consult closely with the sector </w:t>
      </w:r>
      <w:r>
        <w:rPr>
          <w:lang w:val="en-GB"/>
        </w:rPr>
        <w:t xml:space="preserve">long </w:t>
      </w:r>
      <w:r w:rsidR="00573D35">
        <w:rPr>
          <w:lang w:val="en-GB"/>
        </w:rPr>
        <w:t xml:space="preserve">before punitive action is </w:t>
      </w:r>
      <w:r w:rsidR="00C3198C">
        <w:rPr>
          <w:lang w:val="en-GB"/>
        </w:rPr>
        <w:t>put into effect</w:t>
      </w:r>
      <w:r w:rsidR="00573D35">
        <w:rPr>
          <w:lang w:val="en-GB"/>
        </w:rPr>
        <w:t>.</w:t>
      </w:r>
      <w:r w:rsidR="001A7C98">
        <w:rPr>
          <w:lang w:val="en-GB"/>
        </w:rPr>
        <w:t xml:space="preserve"> An overarching statement as suggested in recommendation 1 would go some way in underlining this </w:t>
      </w:r>
      <w:r>
        <w:rPr>
          <w:lang w:val="en-GB"/>
        </w:rPr>
        <w:t xml:space="preserve">collaborative </w:t>
      </w:r>
      <w:r w:rsidR="001A7C98">
        <w:rPr>
          <w:lang w:val="en-GB"/>
        </w:rPr>
        <w:t>approach.</w:t>
      </w:r>
    </w:p>
    <w:p w14:paraId="209695CF" w14:textId="4BFDF267" w:rsidR="00C3198C" w:rsidRDefault="00C3198C">
      <w:pPr>
        <w:rPr>
          <w:lang w:val="en-GB"/>
        </w:rPr>
      </w:pPr>
    </w:p>
    <w:p w14:paraId="270FB287" w14:textId="3783FCFF" w:rsidR="009F7A09" w:rsidRPr="009F7A09" w:rsidRDefault="002035EB">
      <w:pPr>
        <w:rPr>
          <w:lang w:val="en-GB"/>
        </w:rPr>
      </w:pPr>
      <w:r>
        <w:rPr>
          <w:lang w:val="en-GB"/>
        </w:rPr>
        <w:t>Generally, it is true to say that t</w:t>
      </w:r>
      <w:r w:rsidR="009F7A09">
        <w:rPr>
          <w:lang w:val="en-GB"/>
        </w:rPr>
        <w:t xml:space="preserve">he legislative and regulatory framework is </w:t>
      </w:r>
      <w:r w:rsidR="00DC27B1">
        <w:rPr>
          <w:lang w:val="en-GB"/>
        </w:rPr>
        <w:t>i</w:t>
      </w:r>
      <w:r w:rsidR="009F7A09">
        <w:rPr>
          <w:lang w:val="en-GB"/>
        </w:rPr>
        <w:t>mportant and NACCHO commends the work that has been undertaken to strengthen it and to bring greater accountability and improved governance to our sector; however,</w:t>
      </w:r>
      <w:r w:rsidR="00DC27B1">
        <w:rPr>
          <w:lang w:val="en-GB"/>
        </w:rPr>
        <w:t xml:space="preserve"> legal and regulatory action should always be undertaken only as a last resort and after early and careful consultation with NACCHO as a peak and the our state/territory counterparts, so that </w:t>
      </w:r>
      <w:r w:rsidR="001A7C98">
        <w:rPr>
          <w:lang w:val="en-GB"/>
        </w:rPr>
        <w:t>support can be deployed</w:t>
      </w:r>
      <w:r w:rsidR="00DC27B1">
        <w:rPr>
          <w:lang w:val="en-GB"/>
        </w:rPr>
        <w:t xml:space="preserve"> to avoid harsher action, wherever this is practicable. Unexpected regulatory action can sometime</w:t>
      </w:r>
      <w:r w:rsidR="00E73A04">
        <w:rPr>
          <w:lang w:val="en-GB"/>
        </w:rPr>
        <w:t>s</w:t>
      </w:r>
      <w:r w:rsidR="00DC27B1">
        <w:rPr>
          <w:lang w:val="en-GB"/>
        </w:rPr>
        <w:t xml:space="preserve"> lead to far-reaching and unintended consequences in some communities, particularly those where the </w:t>
      </w:r>
      <w:r w:rsidR="00E73A04">
        <w:rPr>
          <w:lang w:val="en-GB"/>
        </w:rPr>
        <w:t>ACCHO provides</w:t>
      </w:r>
      <w:r w:rsidR="00DC27B1">
        <w:rPr>
          <w:lang w:val="en-GB"/>
        </w:rPr>
        <w:t xml:space="preserve"> the key infrastructure of that community.</w:t>
      </w:r>
    </w:p>
    <w:p w14:paraId="6AF9C358" w14:textId="5BD39DDA" w:rsidR="00921E76" w:rsidRDefault="00921E76">
      <w:pPr>
        <w:rPr>
          <w:lang w:val="en-GB"/>
        </w:rPr>
      </w:pPr>
    </w:p>
    <w:p w14:paraId="6A693EBA" w14:textId="618E5902" w:rsidR="009064DF" w:rsidRDefault="009064DF" w:rsidP="009064DF">
      <w:pPr>
        <w:rPr>
          <w:lang w:val="en-GB"/>
        </w:rPr>
      </w:pPr>
      <w:r w:rsidRPr="002B4B9C">
        <w:rPr>
          <w:lang w:val="en-GB"/>
        </w:rPr>
        <w:t xml:space="preserve">The powers and functions of the Registrar should be altered to allow for targeted, </w:t>
      </w:r>
      <w:r w:rsidRPr="001A7C98">
        <w:rPr>
          <w:i/>
          <w:lang w:val="en-GB"/>
        </w:rPr>
        <w:t>minimalist</w:t>
      </w:r>
      <w:r w:rsidRPr="002B4B9C">
        <w:rPr>
          <w:lang w:val="en-GB"/>
        </w:rPr>
        <w:t xml:space="preserve"> interventions to address concerns </w:t>
      </w:r>
      <w:r w:rsidR="007F4C2A">
        <w:rPr>
          <w:lang w:val="en-GB"/>
        </w:rPr>
        <w:t xml:space="preserve">well </w:t>
      </w:r>
      <w:r w:rsidRPr="002B4B9C">
        <w:rPr>
          <w:lang w:val="en-GB"/>
        </w:rPr>
        <w:t xml:space="preserve">before serious problems emerge. Such powers would be exercised only in circumstances where either </w:t>
      </w:r>
      <w:r w:rsidR="002035EB">
        <w:rPr>
          <w:lang w:val="en-GB"/>
        </w:rPr>
        <w:t>a b</w:t>
      </w:r>
      <w:r w:rsidRPr="002B4B9C">
        <w:rPr>
          <w:lang w:val="en-GB"/>
        </w:rPr>
        <w:t xml:space="preserve">oard has made a request, or where </w:t>
      </w:r>
      <w:r w:rsidR="002035EB">
        <w:rPr>
          <w:lang w:val="en-GB"/>
        </w:rPr>
        <w:t>ORIC</w:t>
      </w:r>
      <w:r w:rsidRPr="002B4B9C">
        <w:rPr>
          <w:lang w:val="en-GB"/>
        </w:rPr>
        <w:t xml:space="preserve"> holds a reasonable belief that doing so is in the best interest of the </w:t>
      </w:r>
      <w:r w:rsidR="002035EB">
        <w:rPr>
          <w:lang w:val="en-GB"/>
        </w:rPr>
        <w:t>m</w:t>
      </w:r>
      <w:r w:rsidRPr="002B4B9C">
        <w:rPr>
          <w:lang w:val="en-GB"/>
        </w:rPr>
        <w:t xml:space="preserve">embership. This creates an opportunity to make adjustments and improvements to corporations as they are established and grow. </w:t>
      </w:r>
      <w:r w:rsidR="00E73A04">
        <w:rPr>
          <w:lang w:val="en-GB"/>
        </w:rPr>
        <w:t>Emphasising</w:t>
      </w:r>
      <w:r w:rsidRPr="002B4B9C">
        <w:rPr>
          <w:lang w:val="en-GB"/>
        </w:rPr>
        <w:t xml:space="preserve"> a capacity building component in the functions of the Registrar will </w:t>
      </w:r>
      <w:r w:rsidR="001A7C98">
        <w:rPr>
          <w:lang w:val="en-GB"/>
        </w:rPr>
        <w:t xml:space="preserve">also </w:t>
      </w:r>
      <w:r w:rsidRPr="002B4B9C">
        <w:rPr>
          <w:lang w:val="en-GB"/>
        </w:rPr>
        <w:t xml:space="preserve">make it more likely that Aboriginal and Torres Strait Islander corporations achieve success. </w:t>
      </w:r>
    </w:p>
    <w:p w14:paraId="274B415C" w14:textId="0D173DDE" w:rsidR="000C3B3C" w:rsidRDefault="000C3B3C" w:rsidP="009064DF">
      <w:pPr>
        <w:rPr>
          <w:lang w:val="en-GB"/>
        </w:rPr>
      </w:pPr>
    </w:p>
    <w:p w14:paraId="0DA98EEF" w14:textId="67D30082" w:rsidR="000C3B3C" w:rsidRDefault="00F27CE1" w:rsidP="009064DF">
      <w:pPr>
        <w:rPr>
          <w:lang w:val="en-GB"/>
        </w:rPr>
      </w:pPr>
      <w:r>
        <w:rPr>
          <w:lang w:val="en-GB"/>
        </w:rPr>
        <w:t>In relation to ‘</w:t>
      </w:r>
      <w:r w:rsidRPr="00F27CE1">
        <w:rPr>
          <w:lang w:val="en-GB"/>
        </w:rPr>
        <w:t>439 25 Enforcement of undertakings</w:t>
      </w:r>
      <w:r>
        <w:rPr>
          <w:lang w:val="en-GB"/>
        </w:rPr>
        <w:t>’ and ‘</w:t>
      </w:r>
      <w:r w:rsidRPr="00F27CE1">
        <w:rPr>
          <w:lang w:val="en-GB"/>
        </w:rPr>
        <w:t>571 10 Matters to be included in an infringement notice</w:t>
      </w:r>
      <w:r>
        <w:rPr>
          <w:lang w:val="en-GB"/>
        </w:rPr>
        <w:t>’,</w:t>
      </w:r>
      <w:r w:rsidRPr="00F27CE1">
        <w:rPr>
          <w:lang w:val="en-GB"/>
        </w:rPr>
        <w:t xml:space="preserve"> </w:t>
      </w:r>
      <w:r w:rsidR="000C3B3C">
        <w:rPr>
          <w:lang w:val="en-GB"/>
        </w:rPr>
        <w:t xml:space="preserve">NACCHO agrees with a point made by </w:t>
      </w:r>
      <w:r w:rsidR="00E213D4">
        <w:rPr>
          <w:lang w:val="en-GB"/>
        </w:rPr>
        <w:t xml:space="preserve">Aboriginal Peak Organisations NT </w:t>
      </w:r>
      <w:r w:rsidR="000C3B3C">
        <w:rPr>
          <w:lang w:val="en-GB"/>
        </w:rPr>
        <w:t>in its October 2020 submission</w:t>
      </w:r>
      <w:r w:rsidR="000114A0">
        <w:rPr>
          <w:lang w:val="en-GB"/>
        </w:rPr>
        <w:t xml:space="preserve"> (p. 2)</w:t>
      </w:r>
      <w:r w:rsidR="000C3B3C">
        <w:rPr>
          <w:lang w:val="en-GB"/>
        </w:rPr>
        <w:t>:</w:t>
      </w:r>
    </w:p>
    <w:p w14:paraId="09C827D4" w14:textId="77777777" w:rsidR="000C3B3C" w:rsidRDefault="000C3B3C" w:rsidP="009064DF">
      <w:pPr>
        <w:rPr>
          <w:lang w:val="en-GB"/>
        </w:rPr>
      </w:pPr>
    </w:p>
    <w:p w14:paraId="20EC003B" w14:textId="5FA4F035" w:rsidR="000C3B3C" w:rsidRPr="000C3B3C" w:rsidRDefault="000C3B3C" w:rsidP="000C3B3C">
      <w:pPr>
        <w:ind w:left="567" w:right="515"/>
        <w:rPr>
          <w:i/>
          <w:lang w:val="en-GB"/>
        </w:rPr>
      </w:pPr>
      <w:r>
        <w:rPr>
          <w:i/>
          <w:lang w:val="en-GB"/>
        </w:rPr>
        <w:t>… th</w:t>
      </w:r>
      <w:r w:rsidRPr="000C3B3C">
        <w:rPr>
          <w:i/>
          <w:lang w:val="en-GB"/>
        </w:rPr>
        <w:t xml:space="preserve">at the CATSI Act be decriminalised. The current approach is too dependent on penalties and the draft discussion paper does not address the pervasiveness of the criminal provisions in the Act. There are 166 potential criminal offences that may arise from breaching the Act, which are trivial and administrative. Penalties could attract fines up to $200,000, which is disproportionately burdensome to individuals, given they often function in unpaid roles. </w:t>
      </w:r>
    </w:p>
    <w:p w14:paraId="605BAAF4" w14:textId="55A00C7A" w:rsidR="00573D35" w:rsidRDefault="00573D35">
      <w:pPr>
        <w:rPr>
          <w:lang w:val="en-GB"/>
        </w:rPr>
      </w:pPr>
    </w:p>
    <w:p w14:paraId="780B7B62" w14:textId="1BCBB929" w:rsidR="000C3B3C" w:rsidRDefault="000C3B3C">
      <w:pPr>
        <w:rPr>
          <w:lang w:val="en-GB"/>
        </w:rPr>
      </w:pPr>
      <w:r>
        <w:rPr>
          <w:lang w:val="en-GB"/>
        </w:rPr>
        <w:t xml:space="preserve">Of course, NACCHO and our </w:t>
      </w:r>
      <w:r w:rsidR="001A7C98">
        <w:rPr>
          <w:lang w:val="en-GB"/>
        </w:rPr>
        <w:t>colleagues</w:t>
      </w:r>
      <w:r>
        <w:rPr>
          <w:lang w:val="en-GB"/>
        </w:rPr>
        <w:t xml:space="preserve"> would always support penalties in genuine cases of fraud. The issue here is with unintended transgressions in situations, often arising in relation to lack of information, expertise or training of </w:t>
      </w:r>
      <w:r w:rsidR="005B2181">
        <w:rPr>
          <w:lang w:val="en-GB"/>
        </w:rPr>
        <w:t xml:space="preserve">well-intended </w:t>
      </w:r>
      <w:r w:rsidR="00E73A04">
        <w:rPr>
          <w:lang w:val="en-GB"/>
        </w:rPr>
        <w:t>and/or voluntary workers</w:t>
      </w:r>
      <w:r>
        <w:rPr>
          <w:lang w:val="en-GB"/>
        </w:rPr>
        <w:t>.</w:t>
      </w:r>
    </w:p>
    <w:p w14:paraId="10689230" w14:textId="77777777" w:rsidR="000C3B3C" w:rsidRDefault="000C3B3C">
      <w:pPr>
        <w:rPr>
          <w:lang w:val="en-GB"/>
        </w:rPr>
      </w:pPr>
    </w:p>
    <w:p w14:paraId="0F500AD4" w14:textId="77777777" w:rsidR="005B2181" w:rsidRDefault="005B2181" w:rsidP="005B2181">
      <w:pPr>
        <w:rPr>
          <w:lang w:val="en-GB"/>
        </w:rPr>
      </w:pPr>
    </w:p>
    <w:p w14:paraId="0CBC1E3E" w14:textId="40AC3950" w:rsidR="005B2181" w:rsidRPr="004B093A" w:rsidRDefault="00F80A32" w:rsidP="005B2181">
      <w:pPr>
        <w:rPr>
          <w:u w:val="single"/>
          <w:lang w:val="en-GB"/>
        </w:rPr>
      </w:pPr>
      <w:r>
        <w:rPr>
          <w:u w:val="single"/>
          <w:lang w:val="en-GB"/>
        </w:rPr>
        <w:t xml:space="preserve">(ii) </w:t>
      </w:r>
      <w:r w:rsidR="005B2181" w:rsidRPr="004B093A">
        <w:rPr>
          <w:u w:val="single"/>
          <w:lang w:val="en-GB"/>
        </w:rPr>
        <w:t>Impact in remote areas</w:t>
      </w:r>
    </w:p>
    <w:p w14:paraId="27E0DEFB" w14:textId="77777777" w:rsidR="005B2181" w:rsidRDefault="005B2181" w:rsidP="005B2181">
      <w:pPr>
        <w:rPr>
          <w:lang w:val="en-GB"/>
        </w:rPr>
      </w:pPr>
    </w:p>
    <w:p w14:paraId="007E10D0" w14:textId="77777777" w:rsidR="00E73A04" w:rsidRDefault="005B2181" w:rsidP="005B2181">
      <w:pPr>
        <w:rPr>
          <w:lang w:val="en-GB"/>
        </w:rPr>
      </w:pPr>
      <w:r w:rsidRPr="002B4B9C">
        <w:rPr>
          <w:lang w:val="en-GB"/>
        </w:rPr>
        <w:t>The practical implications of the CATSI Act are varied across corporations</w:t>
      </w:r>
      <w:r>
        <w:rPr>
          <w:lang w:val="en-GB"/>
        </w:rPr>
        <w:t>. In particular, c</w:t>
      </w:r>
      <w:r w:rsidRPr="002B4B9C">
        <w:rPr>
          <w:lang w:val="en-GB"/>
        </w:rPr>
        <w:t>orporations in remote and very remote areas account for 40% of all CATSI corporations</w:t>
      </w:r>
      <w:r>
        <w:rPr>
          <w:lang w:val="en-GB"/>
        </w:rPr>
        <w:t xml:space="preserve"> and face operating environments very different from regional and urban Australia</w:t>
      </w:r>
      <w:r w:rsidRPr="002B4B9C">
        <w:rPr>
          <w:lang w:val="en-GB"/>
        </w:rPr>
        <w:t>.</w:t>
      </w:r>
      <w:r>
        <w:rPr>
          <w:rStyle w:val="FootnoteReference"/>
          <w:lang w:val="en-GB"/>
        </w:rPr>
        <w:footnoteReference w:id="3"/>
      </w:r>
      <w:r w:rsidRPr="002B4B9C">
        <w:rPr>
          <w:lang w:val="en-GB"/>
        </w:rPr>
        <w:t xml:space="preserve"> </w:t>
      </w:r>
    </w:p>
    <w:p w14:paraId="6438C967" w14:textId="77777777" w:rsidR="00E73A04" w:rsidRDefault="00E73A04" w:rsidP="005B2181">
      <w:pPr>
        <w:rPr>
          <w:lang w:val="en-GB"/>
        </w:rPr>
      </w:pPr>
    </w:p>
    <w:p w14:paraId="78D70E55" w14:textId="7F57BE9F" w:rsidR="005B2181" w:rsidRDefault="005B2181" w:rsidP="005B2181">
      <w:pPr>
        <w:rPr>
          <w:lang w:val="en-GB"/>
        </w:rPr>
      </w:pPr>
      <w:r w:rsidRPr="002B4B9C">
        <w:rPr>
          <w:lang w:val="en-GB"/>
        </w:rPr>
        <w:t xml:space="preserve">In remote Australia, </w:t>
      </w:r>
      <w:r>
        <w:rPr>
          <w:lang w:val="en-GB"/>
        </w:rPr>
        <w:t>Aboriginal and Torres Strait Islander</w:t>
      </w:r>
      <w:r w:rsidRPr="00BE4BB6">
        <w:rPr>
          <w:lang w:val="en-GB"/>
        </w:rPr>
        <w:t xml:space="preserve"> </w:t>
      </w:r>
      <w:r w:rsidRPr="002B4B9C">
        <w:rPr>
          <w:lang w:val="en-GB"/>
        </w:rPr>
        <w:t xml:space="preserve">languages remain strong as does traditional law and custom. It is essential that traditional law and custom provisions be acknowledged in the revised CATSI Act. Direct consultation and decisions made in partnership with Aboriginal and Torres Strait Islander corporations – especially those in remote areas – will enable the Act to be adjusted to better pursue economic and community development opportunities. </w:t>
      </w:r>
    </w:p>
    <w:p w14:paraId="6D4DDA32" w14:textId="77777777" w:rsidR="005B2181" w:rsidRDefault="005B2181" w:rsidP="005B2181">
      <w:pPr>
        <w:rPr>
          <w:lang w:val="en-GB"/>
        </w:rPr>
      </w:pPr>
    </w:p>
    <w:p w14:paraId="5EB8B22A" w14:textId="77777777" w:rsidR="005B2181" w:rsidRPr="002B4B9C" w:rsidRDefault="005B2181" w:rsidP="005B2181">
      <w:pPr>
        <w:rPr>
          <w:lang w:val="en-GB"/>
        </w:rPr>
      </w:pPr>
      <w:r w:rsidRPr="002B4B9C">
        <w:rPr>
          <w:lang w:val="en-GB"/>
        </w:rPr>
        <w:t xml:space="preserve">For example, a remote corporation may have a highly transient membership base making contact difficult without recourse to posting notices on noticeboards in health services or outback stores. It is important that governance structures in the CATSI Act are flexible enough to accommodate such situations without unnecessary compliance burdens. </w:t>
      </w:r>
    </w:p>
    <w:p w14:paraId="7C7A0C57" w14:textId="77777777" w:rsidR="005B2181" w:rsidRDefault="005B2181">
      <w:pPr>
        <w:rPr>
          <w:lang w:val="en-GB"/>
        </w:rPr>
      </w:pPr>
    </w:p>
    <w:p w14:paraId="17F086F6" w14:textId="77777777" w:rsidR="00F80A32" w:rsidRDefault="00F80A32">
      <w:pPr>
        <w:rPr>
          <w:u w:val="single"/>
          <w:lang w:val="en-GB"/>
        </w:rPr>
      </w:pPr>
      <w:r>
        <w:rPr>
          <w:u w:val="single"/>
          <w:lang w:val="en-GB"/>
        </w:rPr>
        <w:br w:type="page"/>
      </w:r>
    </w:p>
    <w:p w14:paraId="74817D59" w14:textId="6909B8F8" w:rsidR="009F7A09" w:rsidRPr="009F7A09" w:rsidRDefault="00F80A32">
      <w:pPr>
        <w:rPr>
          <w:u w:val="single"/>
          <w:lang w:val="en-GB"/>
        </w:rPr>
      </w:pPr>
      <w:r>
        <w:rPr>
          <w:u w:val="single"/>
          <w:lang w:val="en-GB"/>
        </w:rPr>
        <w:t xml:space="preserve">(iii) </w:t>
      </w:r>
      <w:r w:rsidR="00FB064F">
        <w:rPr>
          <w:u w:val="single"/>
          <w:lang w:val="en-GB"/>
        </w:rPr>
        <w:t>Increasing flexibility</w:t>
      </w:r>
      <w:r w:rsidR="005B2181">
        <w:rPr>
          <w:u w:val="single"/>
          <w:lang w:val="en-GB"/>
        </w:rPr>
        <w:t xml:space="preserve"> in governance</w:t>
      </w:r>
    </w:p>
    <w:p w14:paraId="1E4F54F1" w14:textId="647A6595" w:rsidR="00FB064F" w:rsidRDefault="00FB064F">
      <w:pPr>
        <w:rPr>
          <w:lang w:val="en-GB"/>
        </w:rPr>
      </w:pPr>
    </w:p>
    <w:p w14:paraId="469802A2" w14:textId="71937285" w:rsidR="00FB064F" w:rsidRDefault="00FB064F">
      <w:pPr>
        <w:rPr>
          <w:lang w:val="en-GB"/>
        </w:rPr>
      </w:pPr>
      <w:r>
        <w:rPr>
          <w:lang w:val="en-GB"/>
        </w:rPr>
        <w:t>Recommendation 18 (</w:t>
      </w:r>
      <w:r w:rsidR="0093020D">
        <w:rPr>
          <w:lang w:val="en-GB"/>
        </w:rPr>
        <w:t xml:space="preserve">i.e. making </w:t>
      </w:r>
      <w:r w:rsidRPr="00FB064F">
        <w:rPr>
          <w:lang w:val="en-GB"/>
        </w:rPr>
        <w:t>it easier for corporations to establish subsidiaries and joint ventures</w:t>
      </w:r>
      <w:r>
        <w:rPr>
          <w:lang w:val="en-GB"/>
        </w:rPr>
        <w:t>) provides the necessary flexibility for many of our members to grow themselves and to adjust to changing circumstances and to take advantage of regional opportunities where joint ventures may</w:t>
      </w:r>
      <w:r w:rsidR="00E73A04">
        <w:rPr>
          <w:lang w:val="en-GB"/>
        </w:rPr>
        <w:t xml:space="preserve"> </w:t>
      </w:r>
      <w:r>
        <w:rPr>
          <w:lang w:val="en-GB"/>
        </w:rPr>
        <w:t>be necessary.</w:t>
      </w:r>
    </w:p>
    <w:p w14:paraId="5559EA2C" w14:textId="757986DA" w:rsidR="00FB064F" w:rsidRDefault="00FB064F">
      <w:pPr>
        <w:rPr>
          <w:lang w:val="en-GB"/>
        </w:rPr>
      </w:pPr>
    </w:p>
    <w:p w14:paraId="4B62697A" w14:textId="52F40807" w:rsidR="0093020D" w:rsidRDefault="00FB064F">
      <w:pPr>
        <w:rPr>
          <w:lang w:val="en-GB"/>
        </w:rPr>
      </w:pPr>
      <w:r>
        <w:rPr>
          <w:lang w:val="en-GB"/>
        </w:rPr>
        <w:t>Recommendation 27 (</w:t>
      </w:r>
      <w:r w:rsidR="0093020D">
        <w:rPr>
          <w:lang w:val="en-GB"/>
        </w:rPr>
        <w:t xml:space="preserve">i.e. </w:t>
      </w:r>
      <w:r w:rsidRPr="00FB064F">
        <w:rPr>
          <w:lang w:val="en-GB"/>
        </w:rPr>
        <w:t>special rules introduced by the Registrar in response to COVID-19 that have enabled corporations to hold their meetings virtually, particularly voting</w:t>
      </w:r>
      <w:r>
        <w:rPr>
          <w:lang w:val="en-GB"/>
        </w:rPr>
        <w:t xml:space="preserve">) </w:t>
      </w:r>
      <w:r w:rsidR="0093020D">
        <w:rPr>
          <w:lang w:val="en-GB"/>
        </w:rPr>
        <w:t>and recommendations 11-12 (i.e. modernising provisions re: contact details, etc.)</w:t>
      </w:r>
      <w:r>
        <w:rPr>
          <w:lang w:val="en-GB"/>
        </w:rPr>
        <w:t xml:space="preserve"> also </w:t>
      </w:r>
      <w:r w:rsidR="00E73A04">
        <w:rPr>
          <w:lang w:val="en-GB"/>
        </w:rPr>
        <w:t>concern</w:t>
      </w:r>
      <w:r>
        <w:rPr>
          <w:lang w:val="en-GB"/>
        </w:rPr>
        <w:t xml:space="preserve"> flexibility and helping o</w:t>
      </w:r>
      <w:r w:rsidR="007F4C2A">
        <w:rPr>
          <w:lang w:val="en-GB"/>
        </w:rPr>
        <w:t>u</w:t>
      </w:r>
      <w:r>
        <w:rPr>
          <w:lang w:val="en-GB"/>
        </w:rPr>
        <w:t>r members overcome unforeseen obstacles in governance due to the pan</w:t>
      </w:r>
      <w:r w:rsidR="00806408">
        <w:rPr>
          <w:lang w:val="en-GB"/>
        </w:rPr>
        <w:t>demic</w:t>
      </w:r>
      <w:r w:rsidR="0093020D">
        <w:rPr>
          <w:lang w:val="en-GB"/>
        </w:rPr>
        <w:t xml:space="preserve"> and</w:t>
      </w:r>
      <w:r w:rsidR="005B2181">
        <w:rPr>
          <w:lang w:val="en-GB"/>
        </w:rPr>
        <w:t>/or</w:t>
      </w:r>
      <w:r w:rsidR="0093020D">
        <w:rPr>
          <w:lang w:val="en-GB"/>
        </w:rPr>
        <w:t xml:space="preserve"> archaic governance requirements</w:t>
      </w:r>
      <w:r w:rsidR="007F4C2A">
        <w:rPr>
          <w:lang w:val="en-GB"/>
        </w:rPr>
        <w:t xml:space="preserve">. As such, </w:t>
      </w:r>
      <w:r w:rsidR="005B2181">
        <w:rPr>
          <w:lang w:val="en-GB"/>
        </w:rPr>
        <w:t>these changes as reflected in the exposure draft of the Bill are</w:t>
      </w:r>
      <w:r w:rsidR="007F4C2A">
        <w:rPr>
          <w:lang w:val="en-GB"/>
        </w:rPr>
        <w:t xml:space="preserve"> </w:t>
      </w:r>
      <w:r w:rsidR="00806408">
        <w:rPr>
          <w:lang w:val="en-GB"/>
        </w:rPr>
        <w:t xml:space="preserve">supported. </w:t>
      </w:r>
    </w:p>
    <w:p w14:paraId="42BF0700" w14:textId="77777777" w:rsidR="0093020D" w:rsidRDefault="0093020D">
      <w:pPr>
        <w:rPr>
          <w:lang w:val="en-GB"/>
        </w:rPr>
      </w:pPr>
    </w:p>
    <w:p w14:paraId="5237567A" w14:textId="4A95B93A" w:rsidR="00FB064F" w:rsidRDefault="00806408">
      <w:pPr>
        <w:rPr>
          <w:lang w:val="en-GB"/>
        </w:rPr>
      </w:pPr>
      <w:r>
        <w:rPr>
          <w:lang w:val="en-GB"/>
        </w:rPr>
        <w:t xml:space="preserve">If it were not for </w:t>
      </w:r>
      <w:r w:rsidR="00CE1492" w:rsidRPr="00CE1492">
        <w:rPr>
          <w:lang w:val="en-GB"/>
        </w:rPr>
        <w:t>the Treasurer</w:t>
      </w:r>
      <w:r w:rsidR="00CE1492">
        <w:rPr>
          <w:lang w:val="en-GB"/>
        </w:rPr>
        <w:t>’s</w:t>
      </w:r>
      <w:r w:rsidR="00CE1492" w:rsidRPr="00CE1492">
        <w:rPr>
          <w:lang w:val="en-GB"/>
        </w:rPr>
        <w:t xml:space="preserve"> temporary </w:t>
      </w:r>
      <w:r w:rsidR="00CE1492">
        <w:rPr>
          <w:lang w:val="en-GB"/>
        </w:rPr>
        <w:t>provision</w:t>
      </w:r>
      <w:r w:rsidR="00CE1492" w:rsidRPr="00CE1492">
        <w:rPr>
          <w:lang w:val="en-GB"/>
        </w:rPr>
        <w:t xml:space="preserve">, titled: </w:t>
      </w:r>
      <w:r w:rsidR="00CE1492" w:rsidRPr="007F4C2A">
        <w:rPr>
          <w:i/>
          <w:lang w:val="en-GB"/>
        </w:rPr>
        <w:t>Corporations (Coronavirus Economic Response) Determination (No. 1) 2020</w:t>
      </w:r>
      <w:r w:rsidR="00CE1492" w:rsidRPr="00CE1492">
        <w:rPr>
          <w:lang w:val="en-GB"/>
        </w:rPr>
        <w:t xml:space="preserve">, </w:t>
      </w:r>
      <w:r w:rsidR="00CE1492">
        <w:rPr>
          <w:lang w:val="en-GB"/>
        </w:rPr>
        <w:t>that allowed the</w:t>
      </w:r>
      <w:r w:rsidR="00CE1492" w:rsidRPr="00CE1492">
        <w:rPr>
          <w:lang w:val="en-GB"/>
        </w:rPr>
        <w:t xml:space="preserve"> overrid</w:t>
      </w:r>
      <w:r w:rsidR="00CE1492">
        <w:rPr>
          <w:lang w:val="en-GB"/>
        </w:rPr>
        <w:t>ing of</w:t>
      </w:r>
      <w:r w:rsidR="00CE1492" w:rsidRPr="00CE1492">
        <w:rPr>
          <w:lang w:val="en-GB"/>
        </w:rPr>
        <w:t xml:space="preserve"> companies' constitutional requirements that m</w:t>
      </w:r>
      <w:r w:rsidR="00CE1492">
        <w:rPr>
          <w:lang w:val="en-GB"/>
        </w:rPr>
        <w:t>ay have</w:t>
      </w:r>
      <w:r w:rsidR="00CE1492" w:rsidRPr="00CE1492">
        <w:rPr>
          <w:lang w:val="en-GB"/>
        </w:rPr>
        <w:t xml:space="preserve"> inhibit</w:t>
      </w:r>
      <w:r w:rsidR="00CE1492">
        <w:rPr>
          <w:lang w:val="en-GB"/>
        </w:rPr>
        <w:t>ed</w:t>
      </w:r>
      <w:r w:rsidR="00CE1492" w:rsidRPr="00CE1492">
        <w:rPr>
          <w:lang w:val="en-GB"/>
        </w:rPr>
        <w:t xml:space="preserve"> them from holding virtual or hybrid AGMs</w:t>
      </w:r>
      <w:r w:rsidR="007F4C2A">
        <w:rPr>
          <w:lang w:val="en-GB"/>
        </w:rPr>
        <w:t xml:space="preserve"> in 2020-21</w:t>
      </w:r>
      <w:r w:rsidR="00CE1492">
        <w:rPr>
          <w:lang w:val="en-GB"/>
        </w:rPr>
        <w:t>, NACCHO itself would have struggled to hold its 2020 calendar year AGM</w:t>
      </w:r>
      <w:r w:rsidR="00CE1492" w:rsidRPr="00CE1492">
        <w:rPr>
          <w:lang w:val="en-GB"/>
        </w:rPr>
        <w:t xml:space="preserve">. </w:t>
      </w:r>
      <w:r w:rsidR="00CE1492">
        <w:rPr>
          <w:lang w:val="en-GB"/>
        </w:rPr>
        <w:t xml:space="preserve">Many of our members faced </w:t>
      </w:r>
      <w:r w:rsidR="005B2181">
        <w:rPr>
          <w:lang w:val="en-GB"/>
        </w:rPr>
        <w:t xml:space="preserve">a </w:t>
      </w:r>
      <w:r w:rsidR="00CE1492">
        <w:rPr>
          <w:lang w:val="en-GB"/>
        </w:rPr>
        <w:t>similar dilemma and this change is welcome</w:t>
      </w:r>
      <w:r w:rsidR="005B2181">
        <w:rPr>
          <w:lang w:val="en-GB"/>
        </w:rPr>
        <w:t xml:space="preserve"> for our sector</w:t>
      </w:r>
      <w:r w:rsidR="00CE1492">
        <w:rPr>
          <w:lang w:val="en-GB"/>
        </w:rPr>
        <w:t xml:space="preserve">. </w:t>
      </w:r>
    </w:p>
    <w:p w14:paraId="375AF399" w14:textId="373FF9F7" w:rsidR="00C84490" w:rsidRDefault="00C84490">
      <w:pPr>
        <w:rPr>
          <w:lang w:val="en-GB"/>
        </w:rPr>
      </w:pPr>
    </w:p>
    <w:p w14:paraId="2C655A37" w14:textId="6CEFBE8F" w:rsidR="00C84490" w:rsidRDefault="00C84490">
      <w:pPr>
        <w:rPr>
          <w:lang w:val="en-GB"/>
        </w:rPr>
      </w:pPr>
      <w:r>
        <w:rPr>
          <w:lang w:val="en-GB"/>
        </w:rPr>
        <w:t>Other provisions allowing for modern circumstances and greater use of IT (e.g. recommendation 44 re</w:t>
      </w:r>
      <w:r w:rsidR="005B2181">
        <w:rPr>
          <w:lang w:val="en-GB"/>
        </w:rPr>
        <w:t>:</w:t>
      </w:r>
      <w:r>
        <w:rPr>
          <w:lang w:val="en-GB"/>
        </w:rPr>
        <w:t xml:space="preserve"> storage of information) are also supported by NACCHO.</w:t>
      </w:r>
    </w:p>
    <w:p w14:paraId="3EB52E39" w14:textId="48DC7988" w:rsidR="00C84490" w:rsidRDefault="00C84490">
      <w:pPr>
        <w:rPr>
          <w:lang w:val="en-GB"/>
        </w:rPr>
      </w:pPr>
    </w:p>
    <w:p w14:paraId="4D2F27DA" w14:textId="77777777" w:rsidR="002C6BF2" w:rsidRDefault="002C6BF2">
      <w:pPr>
        <w:rPr>
          <w:lang w:val="en-GB"/>
        </w:rPr>
      </w:pPr>
    </w:p>
    <w:p w14:paraId="6D66DC04" w14:textId="6945703F" w:rsidR="00C84490" w:rsidRPr="00C84490" w:rsidRDefault="00F80A32">
      <w:pPr>
        <w:rPr>
          <w:u w:val="single"/>
          <w:lang w:val="en-GB"/>
        </w:rPr>
      </w:pPr>
      <w:r>
        <w:rPr>
          <w:u w:val="single"/>
          <w:lang w:val="en-GB"/>
        </w:rPr>
        <w:t xml:space="preserve">(iv) </w:t>
      </w:r>
      <w:r w:rsidR="00C84490" w:rsidRPr="00C84490">
        <w:rPr>
          <w:u w:val="single"/>
          <w:lang w:val="en-GB"/>
        </w:rPr>
        <w:t xml:space="preserve">Independent directors </w:t>
      </w:r>
    </w:p>
    <w:p w14:paraId="782E60B0" w14:textId="77777777" w:rsidR="00C84490" w:rsidRDefault="00C84490">
      <w:pPr>
        <w:rPr>
          <w:lang w:val="en-GB"/>
        </w:rPr>
      </w:pPr>
    </w:p>
    <w:p w14:paraId="6CF135F6" w14:textId="6FC431A8" w:rsidR="005B2181" w:rsidRDefault="000226C3">
      <w:pPr>
        <w:rPr>
          <w:lang w:val="en-GB"/>
        </w:rPr>
      </w:pPr>
      <w:r>
        <w:rPr>
          <w:lang w:val="en-GB"/>
        </w:rPr>
        <w:t xml:space="preserve">In relation to recommendation 40 </w:t>
      </w:r>
      <w:r w:rsidR="005B2181">
        <w:rPr>
          <w:lang w:val="en-GB"/>
        </w:rPr>
        <w:t xml:space="preserve">in the review </w:t>
      </w:r>
      <w:r>
        <w:rPr>
          <w:lang w:val="en-GB"/>
        </w:rPr>
        <w:t xml:space="preserve">(i.e. </w:t>
      </w:r>
      <w:r w:rsidR="005B2181">
        <w:rPr>
          <w:lang w:val="en-GB"/>
        </w:rPr>
        <w:t xml:space="preserve">the capacity to appoint </w:t>
      </w:r>
      <w:r>
        <w:rPr>
          <w:lang w:val="en-GB"/>
        </w:rPr>
        <w:t>independent directors</w:t>
      </w:r>
      <w:r w:rsidR="0066020E">
        <w:rPr>
          <w:lang w:val="en-GB"/>
        </w:rPr>
        <w:t xml:space="preserve"> = ‘</w:t>
      </w:r>
      <w:r w:rsidR="0066020E" w:rsidRPr="0066020E">
        <w:rPr>
          <w:lang w:val="en-GB"/>
        </w:rPr>
        <w:t>246 17 Directors may appoint independent directors</w:t>
      </w:r>
      <w:r w:rsidR="0066020E">
        <w:rPr>
          <w:lang w:val="en-GB"/>
        </w:rPr>
        <w:t>’</w:t>
      </w:r>
      <w:r>
        <w:rPr>
          <w:lang w:val="en-GB"/>
        </w:rPr>
        <w:t>)</w:t>
      </w:r>
      <w:r w:rsidR="00E73A04">
        <w:rPr>
          <w:lang w:val="en-GB"/>
        </w:rPr>
        <w:t>,</w:t>
      </w:r>
      <w:r>
        <w:rPr>
          <w:lang w:val="en-GB"/>
        </w:rPr>
        <w:t xml:space="preserve"> </w:t>
      </w:r>
      <w:r w:rsidR="005B2181">
        <w:rPr>
          <w:lang w:val="en-GB"/>
        </w:rPr>
        <w:t xml:space="preserve">NACCHO has received some very different views from </w:t>
      </w:r>
      <w:r>
        <w:rPr>
          <w:lang w:val="en-GB"/>
        </w:rPr>
        <w:t xml:space="preserve">our members and affiliates. </w:t>
      </w:r>
      <w:r w:rsidR="005B2181">
        <w:rPr>
          <w:lang w:val="en-GB"/>
        </w:rPr>
        <w:t>S</w:t>
      </w:r>
      <w:r>
        <w:rPr>
          <w:lang w:val="en-GB"/>
        </w:rPr>
        <w:t>ome argue that th</w:t>
      </w:r>
      <w:r w:rsidR="005B2181">
        <w:rPr>
          <w:lang w:val="en-GB"/>
        </w:rPr>
        <w:t>is</w:t>
      </w:r>
      <w:r>
        <w:rPr>
          <w:lang w:val="en-GB"/>
        </w:rPr>
        <w:t xml:space="preserve"> flexibility is needed to bring </w:t>
      </w:r>
      <w:r w:rsidR="005B2181">
        <w:rPr>
          <w:lang w:val="en-GB"/>
        </w:rPr>
        <w:t xml:space="preserve">in </w:t>
      </w:r>
      <w:r>
        <w:rPr>
          <w:lang w:val="en-GB"/>
        </w:rPr>
        <w:t>specific expertise onto boards</w:t>
      </w:r>
      <w:r w:rsidR="005B2181">
        <w:rPr>
          <w:lang w:val="en-GB"/>
        </w:rPr>
        <w:t xml:space="preserve"> (e.g. </w:t>
      </w:r>
      <w:r w:rsidR="00E73A04">
        <w:rPr>
          <w:lang w:val="en-GB"/>
        </w:rPr>
        <w:t xml:space="preserve">recruiting </w:t>
      </w:r>
      <w:r w:rsidR="005B2181">
        <w:rPr>
          <w:lang w:val="en-GB"/>
        </w:rPr>
        <w:t>a child psychologist in an area where there may be a cluster of youth suicides);</w:t>
      </w:r>
      <w:r>
        <w:rPr>
          <w:lang w:val="en-GB"/>
        </w:rPr>
        <w:t xml:space="preserve"> </w:t>
      </w:r>
      <w:r w:rsidR="005B2181">
        <w:rPr>
          <w:lang w:val="en-GB"/>
        </w:rPr>
        <w:t xml:space="preserve">while </w:t>
      </w:r>
      <w:r>
        <w:rPr>
          <w:lang w:val="en-GB"/>
        </w:rPr>
        <w:t xml:space="preserve">others argue that </w:t>
      </w:r>
      <w:r w:rsidR="005B2181">
        <w:rPr>
          <w:lang w:val="en-GB"/>
        </w:rPr>
        <w:t>these appointments are</w:t>
      </w:r>
      <w:r>
        <w:rPr>
          <w:lang w:val="en-GB"/>
        </w:rPr>
        <w:t xml:space="preserve"> counter to the fundamental principle of Aboriginal community control</w:t>
      </w:r>
      <w:r w:rsidR="005B2181">
        <w:rPr>
          <w:lang w:val="en-GB"/>
        </w:rPr>
        <w:t xml:space="preserve"> and that expertise can be accessed outside of a board appointment</w:t>
      </w:r>
      <w:r>
        <w:rPr>
          <w:lang w:val="en-GB"/>
        </w:rPr>
        <w:t xml:space="preserve">. </w:t>
      </w:r>
    </w:p>
    <w:p w14:paraId="0A7225B9" w14:textId="77777777" w:rsidR="005B2181" w:rsidRDefault="005B2181">
      <w:pPr>
        <w:rPr>
          <w:lang w:val="en-GB"/>
        </w:rPr>
      </w:pPr>
    </w:p>
    <w:p w14:paraId="207EBB31" w14:textId="0E7EE823" w:rsidR="000226C3" w:rsidRDefault="005B2181">
      <w:pPr>
        <w:rPr>
          <w:lang w:val="en-GB"/>
        </w:rPr>
      </w:pPr>
      <w:r>
        <w:rPr>
          <w:lang w:val="en-GB"/>
        </w:rPr>
        <w:t xml:space="preserve">NACCHO can see both views. </w:t>
      </w:r>
      <w:r w:rsidR="000226C3">
        <w:rPr>
          <w:lang w:val="en-GB"/>
        </w:rPr>
        <w:t xml:space="preserve">Overall, NACCHO prefers to see arrangements in place that allow this flexibility and that, ultimately, it is up to the boards and their community </w:t>
      </w:r>
      <w:r>
        <w:rPr>
          <w:lang w:val="en-GB"/>
        </w:rPr>
        <w:t>m</w:t>
      </w:r>
      <w:r w:rsidR="000226C3">
        <w:rPr>
          <w:lang w:val="en-GB"/>
        </w:rPr>
        <w:t xml:space="preserve">embers at the local level to decide whether they use such a provision or not. </w:t>
      </w:r>
      <w:r>
        <w:rPr>
          <w:lang w:val="en-GB"/>
        </w:rPr>
        <w:t>Furthermore, t</w:t>
      </w:r>
      <w:r w:rsidR="000226C3">
        <w:rPr>
          <w:lang w:val="en-GB"/>
        </w:rPr>
        <w:t>he on</w:t>
      </w:r>
      <w:r>
        <w:rPr>
          <w:lang w:val="en-GB"/>
        </w:rPr>
        <w:t>e</w:t>
      </w:r>
      <w:r w:rsidR="000226C3">
        <w:rPr>
          <w:lang w:val="en-GB"/>
        </w:rPr>
        <w:t>-year timeframe for th</w:t>
      </w:r>
      <w:r>
        <w:rPr>
          <w:lang w:val="en-GB"/>
        </w:rPr>
        <w:t>es</w:t>
      </w:r>
      <w:r w:rsidR="00CF4699">
        <w:rPr>
          <w:lang w:val="en-GB"/>
        </w:rPr>
        <w:t>e</w:t>
      </w:r>
      <w:r w:rsidR="000226C3">
        <w:rPr>
          <w:lang w:val="en-GB"/>
        </w:rPr>
        <w:t xml:space="preserve"> </w:t>
      </w:r>
      <w:r>
        <w:rPr>
          <w:lang w:val="en-GB"/>
        </w:rPr>
        <w:t>appointments</w:t>
      </w:r>
      <w:r w:rsidR="000226C3">
        <w:rPr>
          <w:lang w:val="en-GB"/>
        </w:rPr>
        <w:t xml:space="preserve"> should guard against misuse or the potential dilution of community control</w:t>
      </w:r>
      <w:r w:rsidR="00CF4699">
        <w:rPr>
          <w:lang w:val="en-GB"/>
        </w:rPr>
        <w:t xml:space="preserve"> in situations where there is some dysfunction on a board or with a </w:t>
      </w:r>
      <w:r w:rsidR="00E73A04">
        <w:rPr>
          <w:lang w:val="en-GB"/>
        </w:rPr>
        <w:t xml:space="preserve">temporarily </w:t>
      </w:r>
      <w:r w:rsidR="00CF4699">
        <w:rPr>
          <w:lang w:val="en-GB"/>
        </w:rPr>
        <w:t xml:space="preserve">divided </w:t>
      </w:r>
      <w:r w:rsidR="00E73A04">
        <w:rPr>
          <w:lang w:val="en-GB"/>
        </w:rPr>
        <w:t>member-base</w:t>
      </w:r>
      <w:r w:rsidR="000226C3">
        <w:rPr>
          <w:lang w:val="en-GB"/>
        </w:rPr>
        <w:t>.</w:t>
      </w:r>
    </w:p>
    <w:p w14:paraId="47083090" w14:textId="77777777" w:rsidR="000226C3" w:rsidRDefault="000226C3">
      <w:pPr>
        <w:rPr>
          <w:lang w:val="en-GB"/>
        </w:rPr>
      </w:pPr>
    </w:p>
    <w:p w14:paraId="4B1792CF" w14:textId="77777777" w:rsidR="00FB064F" w:rsidRPr="009F7A09" w:rsidRDefault="00FB064F">
      <w:pPr>
        <w:rPr>
          <w:lang w:val="en-GB"/>
        </w:rPr>
      </w:pPr>
    </w:p>
    <w:p w14:paraId="5A4A0E85" w14:textId="721D5F80" w:rsidR="00921E76" w:rsidRPr="009F7A09" w:rsidRDefault="00F80A32">
      <w:pPr>
        <w:rPr>
          <w:u w:val="single"/>
          <w:lang w:val="en-GB"/>
        </w:rPr>
      </w:pPr>
      <w:r>
        <w:rPr>
          <w:u w:val="single"/>
          <w:lang w:val="en-GB"/>
        </w:rPr>
        <w:t xml:space="preserve">(v) </w:t>
      </w:r>
      <w:r w:rsidR="00634B0B">
        <w:rPr>
          <w:u w:val="single"/>
          <w:lang w:val="en-GB"/>
        </w:rPr>
        <w:t>Further reviews</w:t>
      </w:r>
    </w:p>
    <w:p w14:paraId="1A727D79" w14:textId="354453CA" w:rsidR="007F4C2A" w:rsidRDefault="007F4C2A">
      <w:pPr>
        <w:rPr>
          <w:lang w:val="en-GB"/>
        </w:rPr>
      </w:pPr>
    </w:p>
    <w:p w14:paraId="6D5C2D71" w14:textId="101CC299" w:rsidR="00D54BCE" w:rsidRDefault="007F4C2A">
      <w:pPr>
        <w:rPr>
          <w:lang w:val="en-GB"/>
        </w:rPr>
      </w:pPr>
      <w:r>
        <w:rPr>
          <w:lang w:val="en-GB"/>
        </w:rPr>
        <w:t>Recommendation</w:t>
      </w:r>
      <w:r w:rsidR="007F534B">
        <w:rPr>
          <w:lang w:val="en-GB"/>
        </w:rPr>
        <w:t>s</w:t>
      </w:r>
      <w:r>
        <w:rPr>
          <w:lang w:val="en-GB"/>
        </w:rPr>
        <w:t xml:space="preserve"> </w:t>
      </w:r>
      <w:r w:rsidR="007F534B">
        <w:rPr>
          <w:lang w:val="en-GB"/>
        </w:rPr>
        <w:t xml:space="preserve">21 and </w:t>
      </w:r>
      <w:r>
        <w:rPr>
          <w:lang w:val="en-GB"/>
        </w:rPr>
        <w:t xml:space="preserve">32 (i.e. a </w:t>
      </w:r>
      <w:r w:rsidRPr="007F4C2A">
        <w:rPr>
          <w:lang w:val="en-GB"/>
        </w:rPr>
        <w:t>targeted review</w:t>
      </w:r>
      <w:r w:rsidR="007F534B">
        <w:rPr>
          <w:lang w:val="en-GB"/>
        </w:rPr>
        <w:t>s</w:t>
      </w:r>
      <w:r w:rsidRPr="007F4C2A">
        <w:rPr>
          <w:lang w:val="en-GB"/>
        </w:rPr>
        <w:t xml:space="preserve"> undertaken to consider further streamlining arrangements for corporations that are also registered charities</w:t>
      </w:r>
      <w:r w:rsidR="00D54BCE">
        <w:rPr>
          <w:lang w:val="en-GB"/>
        </w:rPr>
        <w:t xml:space="preserve"> and</w:t>
      </w:r>
      <w:r w:rsidR="00D54BCE" w:rsidRPr="00D54BCE">
        <w:t xml:space="preserve"> </w:t>
      </w:r>
      <w:r w:rsidR="00D54BCE">
        <w:t>e</w:t>
      </w:r>
      <w:r w:rsidR="00D54BCE" w:rsidRPr="00D54BCE">
        <w:rPr>
          <w:lang w:val="en-GB"/>
        </w:rPr>
        <w:t>stablishing a special class of corporation in relation to for-profit entities</w:t>
      </w:r>
      <w:r>
        <w:rPr>
          <w:lang w:val="en-GB"/>
        </w:rPr>
        <w:t xml:space="preserve">) </w:t>
      </w:r>
      <w:r w:rsidRPr="009F7A09">
        <w:rPr>
          <w:lang w:val="en-GB"/>
        </w:rPr>
        <w:t>need further information and</w:t>
      </w:r>
      <w:r>
        <w:rPr>
          <w:lang w:val="en-GB"/>
        </w:rPr>
        <w:t>, if pursued</w:t>
      </w:r>
      <w:r w:rsidR="00CF4699">
        <w:rPr>
          <w:lang w:val="en-GB"/>
        </w:rPr>
        <w:t xml:space="preserve"> further</w:t>
      </w:r>
      <w:r>
        <w:rPr>
          <w:lang w:val="en-GB"/>
        </w:rPr>
        <w:t xml:space="preserve">, </w:t>
      </w:r>
      <w:r w:rsidR="00CF4699">
        <w:rPr>
          <w:lang w:val="en-GB"/>
        </w:rPr>
        <w:t xml:space="preserve">would require </w:t>
      </w:r>
      <w:r w:rsidRPr="009F7A09">
        <w:rPr>
          <w:lang w:val="en-GB"/>
        </w:rPr>
        <w:t>close engagement with Aboriginal and Torres Strait Islander leadership</w:t>
      </w:r>
      <w:r w:rsidR="00CF4699">
        <w:rPr>
          <w:lang w:val="en-GB"/>
        </w:rPr>
        <w:t xml:space="preserve"> to garner support</w:t>
      </w:r>
      <w:r w:rsidRPr="009F7A09">
        <w:rPr>
          <w:lang w:val="en-GB"/>
        </w:rPr>
        <w:t xml:space="preserve">. </w:t>
      </w:r>
    </w:p>
    <w:p w14:paraId="605FA185" w14:textId="77777777" w:rsidR="00D54BCE" w:rsidRDefault="00D54BCE">
      <w:pPr>
        <w:rPr>
          <w:lang w:val="en-GB"/>
        </w:rPr>
      </w:pPr>
    </w:p>
    <w:p w14:paraId="161CF54C" w14:textId="0C2CADCF" w:rsidR="00D54BCE" w:rsidRDefault="00CF4699">
      <w:pPr>
        <w:rPr>
          <w:lang w:val="en-GB"/>
        </w:rPr>
      </w:pPr>
      <w:r>
        <w:rPr>
          <w:lang w:val="en-GB"/>
        </w:rPr>
        <w:t>The rationale behind these two targeted reviews</w:t>
      </w:r>
      <w:r w:rsidR="007F4C2A">
        <w:rPr>
          <w:lang w:val="en-GB"/>
        </w:rPr>
        <w:t xml:space="preserve"> needs to be spelt out more clearly</w:t>
      </w:r>
      <w:r>
        <w:rPr>
          <w:lang w:val="en-GB"/>
        </w:rPr>
        <w:t xml:space="preserve">. It also needs to be explained how such a </w:t>
      </w:r>
      <w:r w:rsidR="00D54BCE">
        <w:rPr>
          <w:lang w:val="en-GB"/>
        </w:rPr>
        <w:t xml:space="preserve">lengthy processes of review </w:t>
      </w:r>
      <w:r>
        <w:rPr>
          <w:lang w:val="en-GB"/>
        </w:rPr>
        <w:t xml:space="preserve">(now in its third year) </w:t>
      </w:r>
      <w:r w:rsidR="00D54BCE">
        <w:rPr>
          <w:lang w:val="en-GB"/>
        </w:rPr>
        <w:t>and consultation</w:t>
      </w:r>
      <w:r>
        <w:rPr>
          <w:lang w:val="en-GB"/>
        </w:rPr>
        <w:t>s</w:t>
      </w:r>
      <w:r w:rsidR="00D54BCE">
        <w:rPr>
          <w:lang w:val="en-GB"/>
        </w:rPr>
        <w:t xml:space="preserve"> have not already served to tease-out the issues. </w:t>
      </w:r>
      <w:r>
        <w:rPr>
          <w:lang w:val="en-GB"/>
        </w:rPr>
        <w:t>NACCHO is not convinced that the</w:t>
      </w:r>
      <w:r w:rsidR="00765400">
        <w:rPr>
          <w:lang w:val="en-GB"/>
        </w:rPr>
        <w:t>se</w:t>
      </w:r>
      <w:r>
        <w:rPr>
          <w:lang w:val="en-GB"/>
        </w:rPr>
        <w:t xml:space="preserve"> reviews are </w:t>
      </w:r>
      <w:r w:rsidR="00765400">
        <w:rPr>
          <w:lang w:val="en-GB"/>
        </w:rPr>
        <w:t>a sensible use of resources</w:t>
      </w:r>
      <w:r>
        <w:rPr>
          <w:lang w:val="en-GB"/>
        </w:rPr>
        <w:t>.</w:t>
      </w:r>
    </w:p>
    <w:p w14:paraId="10C91F4B" w14:textId="77777777" w:rsidR="00D54BCE" w:rsidRDefault="00D54BCE">
      <w:pPr>
        <w:rPr>
          <w:lang w:val="en-GB"/>
        </w:rPr>
      </w:pPr>
    </w:p>
    <w:p w14:paraId="34709292" w14:textId="57F3D21D" w:rsidR="007F4C2A" w:rsidRDefault="00765400">
      <w:pPr>
        <w:rPr>
          <w:lang w:val="en-GB"/>
        </w:rPr>
      </w:pPr>
      <w:r>
        <w:rPr>
          <w:lang w:val="en-GB"/>
        </w:rPr>
        <w:t xml:space="preserve">If they are to proceed, </w:t>
      </w:r>
      <w:r w:rsidR="00D54BCE">
        <w:rPr>
          <w:lang w:val="en-GB"/>
        </w:rPr>
        <w:t>it will be necessary to engage with us closely on the</w:t>
      </w:r>
      <w:r w:rsidR="00CF4699">
        <w:rPr>
          <w:lang w:val="en-GB"/>
        </w:rPr>
        <w:t>m</w:t>
      </w:r>
      <w:r w:rsidR="00D54BCE">
        <w:rPr>
          <w:lang w:val="en-GB"/>
        </w:rPr>
        <w:t>,</w:t>
      </w:r>
      <w:r w:rsidR="007F4C2A">
        <w:rPr>
          <w:lang w:val="en-GB"/>
        </w:rPr>
        <w:t xml:space="preserve"> lest we have </w:t>
      </w:r>
      <w:r w:rsidR="00D54BCE">
        <w:rPr>
          <w:lang w:val="en-GB"/>
        </w:rPr>
        <w:t>further</w:t>
      </w:r>
      <w:r w:rsidR="007F4C2A">
        <w:rPr>
          <w:lang w:val="en-GB"/>
        </w:rPr>
        <w:t xml:space="preserve"> instance</w:t>
      </w:r>
      <w:r w:rsidR="00D54BCE">
        <w:rPr>
          <w:lang w:val="en-GB"/>
        </w:rPr>
        <w:t>s</w:t>
      </w:r>
      <w:r w:rsidR="007F4C2A">
        <w:rPr>
          <w:lang w:val="en-GB"/>
        </w:rPr>
        <w:t xml:space="preserve"> where the terms of reference are too narrow and there is</w:t>
      </w:r>
      <w:r w:rsidR="007F534B">
        <w:rPr>
          <w:lang w:val="en-GB"/>
        </w:rPr>
        <w:t>, subsequently,</w:t>
      </w:r>
      <w:r w:rsidR="007F4C2A">
        <w:rPr>
          <w:lang w:val="en-GB"/>
        </w:rPr>
        <w:t xml:space="preserve"> </w:t>
      </w:r>
      <w:r w:rsidR="00CF4699">
        <w:rPr>
          <w:lang w:val="en-GB"/>
        </w:rPr>
        <w:t>little</w:t>
      </w:r>
      <w:r w:rsidR="007F4C2A">
        <w:rPr>
          <w:lang w:val="en-GB"/>
        </w:rPr>
        <w:t xml:space="preserve"> genuine engagement with the sector and</w:t>
      </w:r>
      <w:r>
        <w:rPr>
          <w:lang w:val="en-GB"/>
        </w:rPr>
        <w:t>/or</w:t>
      </w:r>
      <w:r w:rsidR="007F4C2A">
        <w:rPr>
          <w:lang w:val="en-GB"/>
        </w:rPr>
        <w:t xml:space="preserve"> the Aboriginal and Torres Strait </w:t>
      </w:r>
      <w:r w:rsidR="00CF4699">
        <w:rPr>
          <w:lang w:val="en-GB"/>
        </w:rPr>
        <w:t>I</w:t>
      </w:r>
      <w:r w:rsidR="007F4C2A">
        <w:rPr>
          <w:lang w:val="en-GB"/>
        </w:rPr>
        <w:t xml:space="preserve">slander leadership. </w:t>
      </w:r>
      <w:r w:rsidR="00D54BCE">
        <w:rPr>
          <w:lang w:val="en-GB"/>
        </w:rPr>
        <w:t xml:space="preserve">Again, if NIAA and other agencies are serious about priority reform area 1 of the new National Agreement on Closing the Gap, then they have </w:t>
      </w:r>
      <w:r w:rsidR="00CF4699">
        <w:rPr>
          <w:lang w:val="en-GB"/>
        </w:rPr>
        <w:t xml:space="preserve">a </w:t>
      </w:r>
      <w:r w:rsidR="006E3AD5">
        <w:rPr>
          <w:lang w:val="en-GB"/>
        </w:rPr>
        <w:t xml:space="preserve">perquisite </w:t>
      </w:r>
      <w:r w:rsidR="00D54BCE">
        <w:rPr>
          <w:lang w:val="en-GB"/>
        </w:rPr>
        <w:t>opportunity to demonstrate this by genuinely engaging with us.</w:t>
      </w:r>
    </w:p>
    <w:p w14:paraId="267755E1" w14:textId="4B2664F1" w:rsidR="00634B0B" w:rsidRDefault="00634B0B">
      <w:pPr>
        <w:rPr>
          <w:lang w:val="en-GB"/>
        </w:rPr>
      </w:pPr>
    </w:p>
    <w:p w14:paraId="541CC429" w14:textId="602450A4" w:rsidR="006E3AD5" w:rsidRDefault="006E3AD5" w:rsidP="004B093A">
      <w:pPr>
        <w:rPr>
          <w:rFonts w:ascii="Calibri" w:hAnsi="Calibri" w:cs="Calibri"/>
          <w:lang w:val="en-GB"/>
        </w:rPr>
      </w:pPr>
      <w:r>
        <w:rPr>
          <w:lang w:val="en-GB"/>
        </w:rPr>
        <w:t>NACCHO has</w:t>
      </w:r>
      <w:r w:rsidR="004B093A">
        <w:rPr>
          <w:lang w:val="en-GB"/>
        </w:rPr>
        <w:t xml:space="preserve"> similar concerns about recommendation 3</w:t>
      </w:r>
      <w:r w:rsidR="00F27CE1">
        <w:rPr>
          <w:lang w:val="en-GB"/>
        </w:rPr>
        <w:t xml:space="preserve"> (</w:t>
      </w:r>
      <w:r w:rsidR="00884FAB">
        <w:rPr>
          <w:lang w:val="en-GB"/>
        </w:rPr>
        <w:t xml:space="preserve">= </w:t>
      </w:r>
      <w:r w:rsidR="00F27CE1">
        <w:rPr>
          <w:lang w:val="en-GB"/>
        </w:rPr>
        <w:t>‘</w:t>
      </w:r>
      <w:r w:rsidR="00F27CE1" w:rsidRPr="00F27CE1">
        <w:rPr>
          <w:lang w:val="en-GB"/>
        </w:rPr>
        <w:t>643 1 Review of operation of Act</w:t>
      </w:r>
      <w:r w:rsidR="00F27CE1">
        <w:rPr>
          <w:lang w:val="en-GB"/>
        </w:rPr>
        <w:t>’)</w:t>
      </w:r>
      <w:r w:rsidR="004B093A">
        <w:rPr>
          <w:lang w:val="en-GB"/>
        </w:rPr>
        <w:t xml:space="preserve">. In principle, </w:t>
      </w:r>
      <w:r w:rsidR="004B093A" w:rsidRPr="002B4B9C">
        <w:rPr>
          <w:lang w:val="en-GB"/>
        </w:rPr>
        <w:t xml:space="preserve">NACCHO supports </w:t>
      </w:r>
      <w:r>
        <w:rPr>
          <w:lang w:val="en-GB"/>
        </w:rPr>
        <w:t>periodic</w:t>
      </w:r>
      <w:r w:rsidR="004B093A" w:rsidRPr="002B4B9C">
        <w:rPr>
          <w:lang w:val="en-GB"/>
        </w:rPr>
        <w:t xml:space="preserve"> legislative review </w:t>
      </w:r>
      <w:r w:rsidR="004B093A">
        <w:rPr>
          <w:lang w:val="en-GB"/>
        </w:rPr>
        <w:t xml:space="preserve">and the timeframe of seven years seems appropriate, but </w:t>
      </w:r>
      <w:r w:rsidR="009A7D9D">
        <w:rPr>
          <w:lang w:val="en-GB"/>
        </w:rPr>
        <w:t>the loose cap of 18 months for completion will have the effect of encouraging tardiness and prolonging uncertainty within our sector</w:t>
      </w:r>
      <w:r>
        <w:rPr>
          <w:lang w:val="en-GB"/>
        </w:rPr>
        <w:t xml:space="preserve"> during its term</w:t>
      </w:r>
      <w:r w:rsidR="009A7D9D">
        <w:rPr>
          <w:lang w:val="en-GB"/>
        </w:rPr>
        <w:t>. If we have a lengthy and disruptive 1</w:t>
      </w:r>
      <w:r w:rsidR="009A7D9D">
        <w:rPr>
          <w:rFonts w:ascii="Calibri" w:hAnsi="Calibri" w:cs="Calibri"/>
          <w:lang w:val="en-GB"/>
        </w:rPr>
        <w:t>½</w:t>
      </w:r>
      <w:r>
        <w:rPr>
          <w:rFonts w:ascii="Calibri" w:hAnsi="Calibri" w:cs="Calibri"/>
          <w:lang w:val="en-GB"/>
        </w:rPr>
        <w:t>-</w:t>
      </w:r>
      <w:r w:rsidR="009578AB">
        <w:rPr>
          <w:rFonts w:ascii="Calibri" w:hAnsi="Calibri" w:cs="Calibri"/>
          <w:lang w:val="en-GB"/>
        </w:rPr>
        <w:t xml:space="preserve">year review within every seven-year period it will feel as if we are in a constant cycle of review. </w:t>
      </w:r>
      <w:r w:rsidRPr="002B4B9C">
        <w:rPr>
          <w:lang w:val="en-GB"/>
        </w:rPr>
        <w:t>Aboriginal and Torres Strait Islander</w:t>
      </w:r>
      <w:r>
        <w:rPr>
          <w:lang w:val="en-GB"/>
        </w:rPr>
        <w:t xml:space="preserve"> people are already over-reviewed, monitored and </w:t>
      </w:r>
      <w:r w:rsidR="00765400">
        <w:rPr>
          <w:lang w:val="en-GB"/>
        </w:rPr>
        <w:t>scrutinised</w:t>
      </w:r>
      <w:r>
        <w:rPr>
          <w:lang w:val="en-GB"/>
        </w:rPr>
        <w:t>.</w:t>
      </w:r>
    </w:p>
    <w:p w14:paraId="48D32806" w14:textId="77777777" w:rsidR="006E3AD5" w:rsidRDefault="006E3AD5" w:rsidP="004B093A">
      <w:pPr>
        <w:rPr>
          <w:rFonts w:ascii="Calibri" w:hAnsi="Calibri" w:cs="Calibri"/>
          <w:lang w:val="en-GB"/>
        </w:rPr>
      </w:pPr>
    </w:p>
    <w:p w14:paraId="03508E35" w14:textId="77777777" w:rsidR="00765400" w:rsidRDefault="009578AB" w:rsidP="004B093A">
      <w:pPr>
        <w:rPr>
          <w:rFonts w:ascii="Calibri" w:hAnsi="Calibri" w:cs="Calibri"/>
          <w:lang w:val="en-GB"/>
        </w:rPr>
      </w:pPr>
      <w:r>
        <w:rPr>
          <w:rFonts w:ascii="Calibri" w:hAnsi="Calibri" w:cs="Calibri"/>
          <w:lang w:val="en-GB"/>
        </w:rPr>
        <w:t>Th</w:t>
      </w:r>
      <w:r w:rsidR="006E3AD5">
        <w:rPr>
          <w:rFonts w:ascii="Calibri" w:hAnsi="Calibri" w:cs="Calibri"/>
          <w:lang w:val="en-GB"/>
        </w:rPr>
        <w:t>erefore, the periodic review process</w:t>
      </w:r>
      <w:r>
        <w:rPr>
          <w:rFonts w:ascii="Calibri" w:hAnsi="Calibri" w:cs="Calibri"/>
          <w:lang w:val="en-GB"/>
        </w:rPr>
        <w:t xml:space="preserve"> needs to be tightened up. However, if the 18-month period of these reviews cannot be </w:t>
      </w:r>
      <w:r w:rsidRPr="006E3AD5">
        <w:rPr>
          <w:rFonts w:ascii="Calibri" w:hAnsi="Calibri" w:cs="Calibri"/>
          <w:i/>
          <w:lang w:val="en-GB"/>
        </w:rPr>
        <w:t>shortened</w:t>
      </w:r>
      <w:r w:rsidR="006E3AD5">
        <w:rPr>
          <w:rFonts w:ascii="Calibri" w:hAnsi="Calibri" w:cs="Calibri"/>
          <w:lang w:val="en-GB"/>
        </w:rPr>
        <w:t xml:space="preserve"> (due to Parliamentary timeframes)</w:t>
      </w:r>
      <w:r>
        <w:rPr>
          <w:rFonts w:ascii="Calibri" w:hAnsi="Calibri" w:cs="Calibri"/>
          <w:lang w:val="en-GB"/>
        </w:rPr>
        <w:t xml:space="preserve">, then the period between </w:t>
      </w:r>
      <w:r w:rsidR="006E3AD5">
        <w:rPr>
          <w:rFonts w:ascii="Calibri" w:hAnsi="Calibri" w:cs="Calibri"/>
          <w:lang w:val="en-GB"/>
        </w:rPr>
        <w:t xml:space="preserve">the </w:t>
      </w:r>
      <w:r>
        <w:rPr>
          <w:rFonts w:ascii="Calibri" w:hAnsi="Calibri" w:cs="Calibri"/>
          <w:lang w:val="en-GB"/>
        </w:rPr>
        <w:t xml:space="preserve">reviews needs to be </w:t>
      </w:r>
      <w:r w:rsidRPr="006E3AD5">
        <w:rPr>
          <w:rFonts w:ascii="Calibri" w:hAnsi="Calibri" w:cs="Calibri"/>
          <w:i/>
          <w:lang w:val="en-GB"/>
        </w:rPr>
        <w:t>lengthened</w:t>
      </w:r>
      <w:r>
        <w:rPr>
          <w:rFonts w:ascii="Calibri" w:hAnsi="Calibri" w:cs="Calibri"/>
          <w:lang w:val="en-GB"/>
        </w:rPr>
        <w:t xml:space="preserve"> to reduce the impost on our members and consequent disruption.</w:t>
      </w:r>
      <w:r w:rsidR="006E3AD5">
        <w:rPr>
          <w:rFonts w:ascii="Calibri" w:hAnsi="Calibri" w:cs="Calibri"/>
          <w:lang w:val="en-GB"/>
        </w:rPr>
        <w:t xml:space="preserve"> </w:t>
      </w:r>
    </w:p>
    <w:p w14:paraId="089CD806" w14:textId="77777777" w:rsidR="00765400" w:rsidRDefault="00765400" w:rsidP="004B093A">
      <w:pPr>
        <w:rPr>
          <w:rFonts w:ascii="Calibri" w:hAnsi="Calibri" w:cs="Calibri"/>
          <w:lang w:val="en-GB"/>
        </w:rPr>
      </w:pPr>
    </w:p>
    <w:p w14:paraId="305FC433" w14:textId="21694625" w:rsidR="004B093A" w:rsidRDefault="006E3AD5" w:rsidP="004B093A">
      <w:pPr>
        <w:rPr>
          <w:lang w:val="en-GB"/>
        </w:rPr>
      </w:pPr>
      <w:r>
        <w:rPr>
          <w:rFonts w:ascii="Calibri" w:hAnsi="Calibri" w:cs="Calibri"/>
          <w:lang w:val="en-GB"/>
        </w:rPr>
        <w:t xml:space="preserve">Ideally, NACCHO suggests a six-month review </w:t>
      </w:r>
      <w:r w:rsidR="00B87517">
        <w:rPr>
          <w:rFonts w:ascii="Calibri" w:hAnsi="Calibri" w:cs="Calibri"/>
          <w:lang w:val="en-GB"/>
        </w:rPr>
        <w:t xml:space="preserve">(with one three-month extension </w:t>
      </w:r>
      <w:r w:rsidR="00765400">
        <w:rPr>
          <w:rFonts w:ascii="Calibri" w:hAnsi="Calibri" w:cs="Calibri"/>
          <w:lang w:val="en-GB"/>
        </w:rPr>
        <w:t xml:space="preserve">period </w:t>
      </w:r>
      <w:r w:rsidR="00B87517">
        <w:rPr>
          <w:rFonts w:ascii="Calibri" w:hAnsi="Calibri" w:cs="Calibri"/>
          <w:lang w:val="en-GB"/>
        </w:rPr>
        <w:t>allowed</w:t>
      </w:r>
      <w:r w:rsidR="00765400">
        <w:rPr>
          <w:rFonts w:ascii="Calibri" w:hAnsi="Calibri" w:cs="Calibri"/>
          <w:lang w:val="en-GB"/>
        </w:rPr>
        <w:t>,</w:t>
      </w:r>
      <w:r w:rsidR="00B87517">
        <w:rPr>
          <w:rFonts w:ascii="Calibri" w:hAnsi="Calibri" w:cs="Calibri"/>
          <w:lang w:val="en-GB"/>
        </w:rPr>
        <w:t xml:space="preserve"> upon request) </w:t>
      </w:r>
      <w:r>
        <w:rPr>
          <w:rFonts w:ascii="Calibri" w:hAnsi="Calibri" w:cs="Calibri"/>
          <w:lang w:val="en-GB"/>
        </w:rPr>
        <w:t>held within every seven-year period.</w:t>
      </w:r>
    </w:p>
    <w:p w14:paraId="0869C27F" w14:textId="77777777" w:rsidR="004B093A" w:rsidRDefault="004B093A" w:rsidP="004B093A">
      <w:pPr>
        <w:rPr>
          <w:lang w:val="en-GB"/>
        </w:rPr>
      </w:pPr>
    </w:p>
    <w:p w14:paraId="31D0EA79" w14:textId="77777777" w:rsidR="007F534B" w:rsidRDefault="007F534B">
      <w:pPr>
        <w:rPr>
          <w:lang w:val="en-GB"/>
        </w:rPr>
      </w:pPr>
    </w:p>
    <w:p w14:paraId="110F3711" w14:textId="65D39B74" w:rsidR="007F534B" w:rsidRPr="009F7A09" w:rsidRDefault="00F80A32" w:rsidP="007F534B">
      <w:pPr>
        <w:rPr>
          <w:u w:val="single"/>
          <w:lang w:val="en-GB"/>
        </w:rPr>
      </w:pPr>
      <w:r>
        <w:rPr>
          <w:u w:val="single"/>
          <w:lang w:val="en-GB"/>
        </w:rPr>
        <w:t xml:space="preserve">(vi) </w:t>
      </w:r>
      <w:r w:rsidR="007F534B">
        <w:rPr>
          <w:u w:val="single"/>
          <w:lang w:val="en-GB"/>
        </w:rPr>
        <w:t>Two-member corporations</w:t>
      </w:r>
    </w:p>
    <w:p w14:paraId="5AC53F4A" w14:textId="77777777" w:rsidR="007F534B" w:rsidRDefault="007F534B">
      <w:pPr>
        <w:rPr>
          <w:lang w:val="en-GB"/>
        </w:rPr>
      </w:pPr>
    </w:p>
    <w:p w14:paraId="63ADB3E4" w14:textId="2572EC9D" w:rsidR="005019C5" w:rsidRDefault="007F534B">
      <w:pPr>
        <w:rPr>
          <w:lang w:val="en-GB"/>
        </w:rPr>
      </w:pPr>
      <w:r>
        <w:rPr>
          <w:lang w:val="en-GB"/>
        </w:rPr>
        <w:t xml:space="preserve">NACCHO does not support </w:t>
      </w:r>
      <w:r w:rsidR="006E3AD5">
        <w:rPr>
          <w:lang w:val="en-GB"/>
        </w:rPr>
        <w:t>r</w:t>
      </w:r>
      <w:r>
        <w:rPr>
          <w:lang w:val="en-GB"/>
        </w:rPr>
        <w:t xml:space="preserve">ecommendation 19 (i.e. a </w:t>
      </w:r>
      <w:r w:rsidRPr="007F534B">
        <w:rPr>
          <w:lang w:val="en-GB"/>
        </w:rPr>
        <w:t>change to allow for the incorporation of two-member corporations where only one member is Indigenous</w:t>
      </w:r>
      <w:r w:rsidR="00F27CE1">
        <w:rPr>
          <w:lang w:val="en-GB"/>
        </w:rPr>
        <w:t xml:space="preserve"> = ‘</w:t>
      </w:r>
      <w:r w:rsidR="00F27CE1" w:rsidRPr="00F27CE1">
        <w:rPr>
          <w:lang w:val="en-GB"/>
        </w:rPr>
        <w:t>201 117 How many votes a member has—corporation with only 2 members</w:t>
      </w:r>
      <w:r w:rsidR="00F27CE1">
        <w:rPr>
          <w:lang w:val="en-GB"/>
        </w:rPr>
        <w:t>’</w:t>
      </w:r>
      <w:r>
        <w:rPr>
          <w:lang w:val="en-GB"/>
        </w:rPr>
        <w:t>)</w:t>
      </w:r>
      <w:r w:rsidR="006E3AD5">
        <w:rPr>
          <w:lang w:val="en-GB"/>
        </w:rPr>
        <w:t>,</w:t>
      </w:r>
      <w:r>
        <w:rPr>
          <w:lang w:val="en-GB"/>
        </w:rPr>
        <w:t xml:space="preserve"> as it does not seem to be in accord with the general principle of Aboriginal community control</w:t>
      </w:r>
      <w:r w:rsidR="006E3AD5">
        <w:rPr>
          <w:lang w:val="en-GB"/>
        </w:rPr>
        <w:t xml:space="preserve"> and, critically, as there is a real danger that this provision may be </w:t>
      </w:r>
      <w:r w:rsidR="00E213D4">
        <w:rPr>
          <w:lang w:val="en-GB"/>
        </w:rPr>
        <w:t>‘</w:t>
      </w:r>
      <w:r w:rsidR="006E3AD5">
        <w:rPr>
          <w:lang w:val="en-GB"/>
        </w:rPr>
        <w:t>rorted</w:t>
      </w:r>
      <w:r w:rsidR="00E213D4">
        <w:rPr>
          <w:lang w:val="en-GB"/>
        </w:rPr>
        <w:t>’</w:t>
      </w:r>
      <w:r>
        <w:rPr>
          <w:lang w:val="en-GB"/>
        </w:rPr>
        <w:t>.</w:t>
      </w:r>
      <w:r w:rsidR="006E3AD5">
        <w:rPr>
          <w:lang w:val="en-GB"/>
        </w:rPr>
        <w:t xml:space="preserve"> For example, </w:t>
      </w:r>
      <w:r>
        <w:rPr>
          <w:lang w:val="en-GB"/>
        </w:rPr>
        <w:t xml:space="preserve">there </w:t>
      </w:r>
      <w:r w:rsidR="005019C5">
        <w:rPr>
          <w:lang w:val="en-GB"/>
        </w:rPr>
        <w:t>may</w:t>
      </w:r>
      <w:r>
        <w:rPr>
          <w:lang w:val="en-GB"/>
        </w:rPr>
        <w:t xml:space="preserve"> be a serious unintended consequence in which partnerships are formed in which Aboriginal and Torres Strait Islander people are manipulated by other interest</w:t>
      </w:r>
      <w:r w:rsidR="005019C5">
        <w:rPr>
          <w:lang w:val="en-GB"/>
        </w:rPr>
        <w:t>ed partie</w:t>
      </w:r>
      <w:r>
        <w:rPr>
          <w:lang w:val="en-GB"/>
        </w:rPr>
        <w:t xml:space="preserve">s seeking to profit from organisations with an Aboriginal status (e.g. advantages in Government procurement exercises). </w:t>
      </w:r>
    </w:p>
    <w:p w14:paraId="0832590F" w14:textId="77777777" w:rsidR="005019C5" w:rsidRDefault="005019C5">
      <w:pPr>
        <w:rPr>
          <w:lang w:val="en-GB"/>
        </w:rPr>
      </w:pPr>
    </w:p>
    <w:p w14:paraId="71CAAD43" w14:textId="686E9195" w:rsidR="007F534B" w:rsidRDefault="005019C5">
      <w:pPr>
        <w:rPr>
          <w:lang w:val="en-GB"/>
        </w:rPr>
      </w:pPr>
      <w:r>
        <w:rPr>
          <w:lang w:val="en-GB"/>
        </w:rPr>
        <w:t xml:space="preserve">At the very least, this measure needs further explanation. </w:t>
      </w:r>
      <w:r w:rsidR="0093020D">
        <w:rPr>
          <w:lang w:val="en-GB"/>
        </w:rPr>
        <w:t xml:space="preserve">Fact sheet 4 provides a single sentence to explain </w:t>
      </w:r>
      <w:r>
        <w:rPr>
          <w:lang w:val="en-GB"/>
        </w:rPr>
        <w:t>it</w:t>
      </w:r>
      <w:r w:rsidR="00540360">
        <w:rPr>
          <w:lang w:val="en-GB"/>
        </w:rPr>
        <w:t>, which is insufficient</w:t>
      </w:r>
      <w:r w:rsidR="0093020D">
        <w:rPr>
          <w:lang w:val="en-GB"/>
        </w:rPr>
        <w:t>.</w:t>
      </w:r>
    </w:p>
    <w:p w14:paraId="47F5DDA4" w14:textId="77777777" w:rsidR="00F80A32" w:rsidRDefault="00F80A32">
      <w:pPr>
        <w:rPr>
          <w:u w:val="single"/>
          <w:lang w:val="en-GB"/>
        </w:rPr>
      </w:pPr>
      <w:r>
        <w:rPr>
          <w:u w:val="single"/>
          <w:lang w:val="en-GB"/>
        </w:rPr>
        <w:br w:type="page"/>
      </w:r>
    </w:p>
    <w:p w14:paraId="23672E03" w14:textId="7BF8A09B" w:rsidR="00921E76" w:rsidRPr="009F7A09" w:rsidRDefault="00F80A32">
      <w:pPr>
        <w:rPr>
          <w:u w:val="single"/>
          <w:lang w:val="en-GB"/>
        </w:rPr>
      </w:pPr>
      <w:r>
        <w:rPr>
          <w:u w:val="single"/>
          <w:lang w:val="en-GB"/>
        </w:rPr>
        <w:t xml:space="preserve">(vii) </w:t>
      </w:r>
      <w:r w:rsidR="00634B0B">
        <w:rPr>
          <w:u w:val="single"/>
          <w:lang w:val="en-GB"/>
        </w:rPr>
        <w:t>R</w:t>
      </w:r>
      <w:r w:rsidR="00D54BCE">
        <w:rPr>
          <w:u w:val="single"/>
          <w:lang w:val="en-GB"/>
        </w:rPr>
        <w:t>educed accountability</w:t>
      </w:r>
      <w:r w:rsidR="00DC27B1">
        <w:rPr>
          <w:u w:val="single"/>
          <w:lang w:val="en-GB"/>
        </w:rPr>
        <w:t xml:space="preserve"> </w:t>
      </w:r>
    </w:p>
    <w:p w14:paraId="64EF8888" w14:textId="77777777" w:rsidR="009F7A09" w:rsidRPr="009F7A09" w:rsidRDefault="009F7A09">
      <w:pPr>
        <w:rPr>
          <w:lang w:val="en-GB"/>
        </w:rPr>
      </w:pPr>
    </w:p>
    <w:p w14:paraId="3EE13C76" w14:textId="390E3990" w:rsidR="005019C5" w:rsidRDefault="00921E76" w:rsidP="00634B0B">
      <w:pPr>
        <w:rPr>
          <w:lang w:val="en-GB"/>
        </w:rPr>
      </w:pPr>
      <w:r w:rsidRPr="00634B0B">
        <w:rPr>
          <w:lang w:val="en-GB"/>
        </w:rPr>
        <w:t xml:space="preserve">NACCHO </w:t>
      </w:r>
      <w:r w:rsidR="00634B0B" w:rsidRPr="00634B0B">
        <w:rPr>
          <w:lang w:val="en-GB"/>
        </w:rPr>
        <w:t>does</w:t>
      </w:r>
      <w:r w:rsidR="001D1357" w:rsidRPr="00634B0B">
        <w:rPr>
          <w:lang w:val="en-GB"/>
        </w:rPr>
        <w:t xml:space="preserve"> not support </w:t>
      </w:r>
      <w:r w:rsidR="00634B0B">
        <w:rPr>
          <w:lang w:val="en-GB"/>
        </w:rPr>
        <w:t>changes that reduce an organisation’s accountability to members</w:t>
      </w:r>
      <w:r w:rsidR="001D0671">
        <w:rPr>
          <w:lang w:val="en-GB"/>
        </w:rPr>
        <w:t xml:space="preserve"> </w:t>
      </w:r>
      <w:r w:rsidR="001D0671" w:rsidRPr="001D0671">
        <w:rPr>
          <w:lang w:val="en-GB"/>
        </w:rPr>
        <w:t>(</w:t>
      </w:r>
      <w:r w:rsidR="001D0671">
        <w:rPr>
          <w:lang w:val="en-GB"/>
        </w:rPr>
        <w:t xml:space="preserve">e.g. </w:t>
      </w:r>
      <w:r w:rsidR="001D0671" w:rsidRPr="001D0671">
        <w:rPr>
          <w:lang w:val="en-GB"/>
        </w:rPr>
        <w:t>recommendations 24, 39)</w:t>
      </w:r>
      <w:r w:rsidR="00634B0B" w:rsidRPr="001D0671">
        <w:rPr>
          <w:lang w:val="en-GB"/>
        </w:rPr>
        <w:t>. Th</w:t>
      </w:r>
      <w:r w:rsidR="00540360">
        <w:rPr>
          <w:lang w:val="en-GB"/>
        </w:rPr>
        <w:t>ey are</w:t>
      </w:r>
      <w:r w:rsidR="00634B0B" w:rsidRPr="001D0671">
        <w:rPr>
          <w:lang w:val="en-GB"/>
        </w:rPr>
        <w:t xml:space="preserve"> counter to the fundamental principle of community</w:t>
      </w:r>
      <w:r w:rsidR="00634B0B">
        <w:rPr>
          <w:lang w:val="en-GB"/>
        </w:rPr>
        <w:t xml:space="preserve"> control.</w:t>
      </w:r>
      <w:r w:rsidR="001D0671">
        <w:rPr>
          <w:lang w:val="en-GB"/>
        </w:rPr>
        <w:t xml:space="preserve"> </w:t>
      </w:r>
      <w:r w:rsidR="00634B0B">
        <w:rPr>
          <w:lang w:val="en-GB"/>
        </w:rPr>
        <w:t xml:space="preserve">We do not, therefore support recommendations that allow </w:t>
      </w:r>
      <w:r w:rsidR="001D1357" w:rsidRPr="00634B0B">
        <w:rPr>
          <w:lang w:val="en-GB"/>
        </w:rPr>
        <w:t>small corporations to avoid holding</w:t>
      </w:r>
      <w:r w:rsidR="00634B0B">
        <w:rPr>
          <w:lang w:val="en-GB"/>
        </w:rPr>
        <w:t xml:space="preserve"> </w:t>
      </w:r>
      <w:r w:rsidR="001D1357" w:rsidRPr="00634B0B">
        <w:rPr>
          <w:lang w:val="en-GB"/>
        </w:rPr>
        <w:t>AGMs</w:t>
      </w:r>
      <w:r w:rsidR="0066020E">
        <w:rPr>
          <w:lang w:val="en-GB"/>
        </w:rPr>
        <w:t xml:space="preserve"> (= ‘</w:t>
      </w:r>
      <w:r w:rsidR="0066020E" w:rsidRPr="0066020E">
        <w:rPr>
          <w:lang w:val="en-GB"/>
        </w:rPr>
        <w:t>201 175 Resolution by corporation not to hold upcoming AGMs</w:t>
      </w:r>
      <w:r w:rsidR="0066020E">
        <w:rPr>
          <w:lang w:val="en-GB"/>
        </w:rPr>
        <w:t>’)</w:t>
      </w:r>
      <w:r w:rsidR="001D1357" w:rsidRPr="00634B0B">
        <w:rPr>
          <w:lang w:val="en-GB"/>
        </w:rPr>
        <w:t xml:space="preserve">. </w:t>
      </w:r>
      <w:r w:rsidR="00F27CE1">
        <w:rPr>
          <w:lang w:val="en-GB"/>
        </w:rPr>
        <w:t>However, NACCHO does support the flexibility included in the exposure draft to allow adjustments to AGM dates</w:t>
      </w:r>
      <w:r w:rsidR="0066020E">
        <w:rPr>
          <w:lang w:val="en-GB"/>
        </w:rPr>
        <w:t>,</w:t>
      </w:r>
      <w:r w:rsidR="00F27CE1">
        <w:rPr>
          <w:lang w:val="en-GB"/>
        </w:rPr>
        <w:t xml:space="preserve"> </w:t>
      </w:r>
      <w:r w:rsidR="0066020E">
        <w:rPr>
          <w:lang w:val="en-GB"/>
        </w:rPr>
        <w:t>due to natural disasters or significant events</w:t>
      </w:r>
      <w:r w:rsidR="00F27CE1">
        <w:rPr>
          <w:lang w:val="en-GB"/>
        </w:rPr>
        <w:t xml:space="preserve"> (</w:t>
      </w:r>
      <w:r w:rsidR="0066020E">
        <w:rPr>
          <w:lang w:val="en-GB"/>
        </w:rPr>
        <w:t xml:space="preserve">= </w:t>
      </w:r>
      <w:r w:rsidR="00F27CE1">
        <w:rPr>
          <w:lang w:val="en-GB"/>
        </w:rPr>
        <w:t>‘</w:t>
      </w:r>
      <w:r w:rsidR="00F27CE1" w:rsidRPr="00F27CE1">
        <w:rPr>
          <w:lang w:val="en-GB"/>
        </w:rPr>
        <w:t>201 37 Altering place, date or time of meeting in certain circumstances</w:t>
      </w:r>
      <w:r w:rsidR="00F27CE1">
        <w:rPr>
          <w:lang w:val="en-GB"/>
        </w:rPr>
        <w:t>’)</w:t>
      </w:r>
      <w:r w:rsidR="00540360">
        <w:rPr>
          <w:lang w:val="en-GB"/>
        </w:rPr>
        <w:t>.</w:t>
      </w:r>
    </w:p>
    <w:p w14:paraId="693A596F" w14:textId="77777777" w:rsidR="005019C5" w:rsidRDefault="005019C5" w:rsidP="00634B0B">
      <w:pPr>
        <w:rPr>
          <w:lang w:val="en-GB"/>
        </w:rPr>
      </w:pPr>
    </w:p>
    <w:p w14:paraId="4112E94F" w14:textId="71C31104" w:rsidR="001D1357" w:rsidRPr="002B4B9C" w:rsidRDefault="001D1357" w:rsidP="00634B0B">
      <w:pPr>
        <w:rPr>
          <w:lang w:val="en-GB"/>
        </w:rPr>
      </w:pPr>
      <w:r w:rsidRPr="00634B0B">
        <w:rPr>
          <w:lang w:val="en-GB"/>
        </w:rPr>
        <w:t>Transparency and accountability to members is very important and we</w:t>
      </w:r>
      <w:r w:rsidRPr="002B4B9C">
        <w:rPr>
          <w:lang w:val="en-GB"/>
        </w:rPr>
        <w:t xml:space="preserve"> encourage any revisions to be targeted towards greater transparency around operations and membership. Further</w:t>
      </w:r>
      <w:r w:rsidR="005019C5">
        <w:rPr>
          <w:lang w:val="en-GB"/>
        </w:rPr>
        <w:t>more</w:t>
      </w:r>
      <w:r w:rsidRPr="002B4B9C">
        <w:rPr>
          <w:lang w:val="en-GB"/>
        </w:rPr>
        <w:t>, AGMs serve as a touch</w:t>
      </w:r>
      <w:r w:rsidR="005019C5">
        <w:rPr>
          <w:lang w:val="en-GB"/>
        </w:rPr>
        <w:t>-</w:t>
      </w:r>
      <w:r w:rsidRPr="002B4B9C">
        <w:rPr>
          <w:lang w:val="en-GB"/>
        </w:rPr>
        <w:t xml:space="preserve">point for the communities the corporations serve and provide </w:t>
      </w:r>
      <w:r w:rsidR="005019C5">
        <w:rPr>
          <w:lang w:val="en-GB"/>
        </w:rPr>
        <w:t>a familiar means</w:t>
      </w:r>
      <w:r w:rsidRPr="002B4B9C">
        <w:rPr>
          <w:lang w:val="en-GB"/>
        </w:rPr>
        <w:t xml:space="preserve"> for members to ask questions about their management and results</w:t>
      </w:r>
      <w:r w:rsidR="005019C5">
        <w:rPr>
          <w:lang w:val="en-GB"/>
        </w:rPr>
        <w:t xml:space="preserve"> achieved (or lacking)</w:t>
      </w:r>
      <w:r w:rsidRPr="002B4B9C">
        <w:rPr>
          <w:lang w:val="en-GB"/>
        </w:rPr>
        <w:t xml:space="preserve">. </w:t>
      </w:r>
    </w:p>
    <w:p w14:paraId="0D8D479B" w14:textId="77777777" w:rsidR="001D1357" w:rsidRDefault="001D1357" w:rsidP="001D1357">
      <w:pPr>
        <w:rPr>
          <w:lang w:val="en-GB"/>
        </w:rPr>
      </w:pPr>
    </w:p>
    <w:p w14:paraId="1A46B12F" w14:textId="573BA1D0" w:rsidR="00634B0B" w:rsidRDefault="001D1357" w:rsidP="001D1357">
      <w:pPr>
        <w:rPr>
          <w:lang w:val="en-GB"/>
        </w:rPr>
      </w:pPr>
      <w:r w:rsidRPr="002B4B9C">
        <w:rPr>
          <w:lang w:val="en-GB"/>
        </w:rPr>
        <w:t xml:space="preserve">We also support the notion that organisations should be able to determine the nature of the contact with their </w:t>
      </w:r>
      <w:r w:rsidR="00634B0B">
        <w:rPr>
          <w:lang w:val="en-GB"/>
        </w:rPr>
        <w:t>m</w:t>
      </w:r>
      <w:r w:rsidRPr="002B4B9C">
        <w:rPr>
          <w:lang w:val="en-GB"/>
        </w:rPr>
        <w:t>embers that is acceptable</w:t>
      </w:r>
      <w:r w:rsidR="00634B0B">
        <w:rPr>
          <w:lang w:val="en-GB"/>
        </w:rPr>
        <w:t>,</w:t>
      </w:r>
      <w:r w:rsidRPr="002B4B9C">
        <w:rPr>
          <w:lang w:val="en-GB"/>
        </w:rPr>
        <w:t xml:space="preserve"> in consultation with their </w:t>
      </w:r>
      <w:r w:rsidR="00634B0B">
        <w:rPr>
          <w:lang w:val="en-GB"/>
        </w:rPr>
        <w:t>m</w:t>
      </w:r>
      <w:r w:rsidRPr="002B4B9C">
        <w:rPr>
          <w:lang w:val="en-GB"/>
        </w:rPr>
        <w:t xml:space="preserve">embers. </w:t>
      </w:r>
      <w:r w:rsidR="00540360">
        <w:rPr>
          <w:lang w:val="en-GB"/>
        </w:rPr>
        <w:t xml:space="preserve">This is a matter of self-determination. </w:t>
      </w:r>
      <w:r w:rsidRPr="002B4B9C">
        <w:rPr>
          <w:lang w:val="en-GB"/>
        </w:rPr>
        <w:t xml:space="preserve">For example, this </w:t>
      </w:r>
      <w:r w:rsidR="00540360">
        <w:rPr>
          <w:lang w:val="en-GB"/>
        </w:rPr>
        <w:t>process</w:t>
      </w:r>
      <w:r w:rsidRPr="002B4B9C">
        <w:rPr>
          <w:lang w:val="en-GB"/>
        </w:rPr>
        <w:t xml:space="preserve"> should be made at a general meeting by way of resolution and revised annually to ensure </w:t>
      </w:r>
      <w:r w:rsidR="00634B0B">
        <w:rPr>
          <w:lang w:val="en-GB"/>
        </w:rPr>
        <w:t>m</w:t>
      </w:r>
      <w:r w:rsidRPr="002B4B9C">
        <w:rPr>
          <w:lang w:val="en-GB"/>
        </w:rPr>
        <w:t xml:space="preserve">embers remain satisfied with the method and frequency of contact. </w:t>
      </w:r>
    </w:p>
    <w:p w14:paraId="4156AA65" w14:textId="37830419" w:rsidR="00634B0B" w:rsidRDefault="00634B0B" w:rsidP="001D1357">
      <w:pPr>
        <w:rPr>
          <w:lang w:val="en-GB"/>
        </w:rPr>
      </w:pPr>
    </w:p>
    <w:p w14:paraId="38410907" w14:textId="77777777" w:rsidR="00634B0B" w:rsidRDefault="00634B0B" w:rsidP="001D1357">
      <w:pPr>
        <w:rPr>
          <w:lang w:val="en-GB"/>
        </w:rPr>
      </w:pPr>
    </w:p>
    <w:p w14:paraId="38DCC91E" w14:textId="74AEEABD" w:rsidR="00634B0B" w:rsidRPr="00634B0B" w:rsidRDefault="00F80A32" w:rsidP="001D1357">
      <w:pPr>
        <w:rPr>
          <w:u w:val="single"/>
          <w:lang w:val="en-GB"/>
        </w:rPr>
      </w:pPr>
      <w:r>
        <w:rPr>
          <w:u w:val="single"/>
          <w:lang w:val="en-GB"/>
        </w:rPr>
        <w:t xml:space="preserve">(viii) </w:t>
      </w:r>
      <w:r w:rsidR="00634B0B">
        <w:rPr>
          <w:u w:val="single"/>
          <w:lang w:val="en-GB"/>
        </w:rPr>
        <w:t xml:space="preserve">Redaction of member information </w:t>
      </w:r>
    </w:p>
    <w:p w14:paraId="1C4B5B1E" w14:textId="77777777" w:rsidR="00634B0B" w:rsidRDefault="00634B0B" w:rsidP="001D1357">
      <w:pPr>
        <w:rPr>
          <w:lang w:val="en-GB"/>
        </w:rPr>
      </w:pPr>
    </w:p>
    <w:p w14:paraId="0000B8DD" w14:textId="48510A1A" w:rsidR="001D1357" w:rsidRPr="002B4B9C" w:rsidRDefault="001D1357" w:rsidP="001D1357">
      <w:pPr>
        <w:rPr>
          <w:lang w:val="en-GB"/>
        </w:rPr>
      </w:pPr>
      <w:r w:rsidRPr="002B4B9C">
        <w:rPr>
          <w:lang w:val="en-GB"/>
        </w:rPr>
        <w:t xml:space="preserve">NACCHO </w:t>
      </w:r>
      <w:r w:rsidR="00634B0B">
        <w:rPr>
          <w:lang w:val="en-GB"/>
        </w:rPr>
        <w:t xml:space="preserve">strongly </w:t>
      </w:r>
      <w:r w:rsidRPr="002B4B9C">
        <w:rPr>
          <w:lang w:val="en-GB"/>
        </w:rPr>
        <w:t>supports recommendation</w:t>
      </w:r>
      <w:r w:rsidR="001D0671">
        <w:rPr>
          <w:lang w:val="en-GB"/>
        </w:rPr>
        <w:t xml:space="preserve"> 13 </w:t>
      </w:r>
      <w:r w:rsidR="00F27CE1">
        <w:rPr>
          <w:lang w:val="en-GB"/>
        </w:rPr>
        <w:t>(</w:t>
      </w:r>
      <w:r w:rsidR="00884FAB">
        <w:rPr>
          <w:lang w:val="en-GB"/>
        </w:rPr>
        <w:t>=</w:t>
      </w:r>
      <w:r w:rsidR="00F27CE1">
        <w:rPr>
          <w:lang w:val="en-GB"/>
        </w:rPr>
        <w:t xml:space="preserve"> ‘</w:t>
      </w:r>
      <w:r w:rsidR="00F27CE1" w:rsidRPr="00F27CE1">
        <w:rPr>
          <w:lang w:val="en-GB"/>
        </w:rPr>
        <w:t>180 26 Member or former member may request redaction of information</w:t>
      </w:r>
      <w:r w:rsidR="00F27CE1">
        <w:rPr>
          <w:lang w:val="en-GB"/>
        </w:rPr>
        <w:t>’, etc.) in which</w:t>
      </w:r>
      <w:r w:rsidR="001D0671">
        <w:rPr>
          <w:lang w:val="en-GB"/>
        </w:rPr>
        <w:t xml:space="preserve"> changes </w:t>
      </w:r>
      <w:r w:rsidR="00F27CE1">
        <w:rPr>
          <w:lang w:val="en-GB"/>
        </w:rPr>
        <w:t xml:space="preserve">have been drafted </w:t>
      </w:r>
      <w:r w:rsidR="001D0671">
        <w:rPr>
          <w:lang w:val="en-GB"/>
        </w:rPr>
        <w:t>allowing</w:t>
      </w:r>
      <w:r w:rsidRPr="002B4B9C">
        <w:rPr>
          <w:lang w:val="en-GB"/>
        </w:rPr>
        <w:t xml:space="preserve"> personal information of members </w:t>
      </w:r>
      <w:r w:rsidR="001D0671">
        <w:rPr>
          <w:lang w:val="en-GB"/>
        </w:rPr>
        <w:t>to</w:t>
      </w:r>
      <w:r w:rsidRPr="002B4B9C">
        <w:rPr>
          <w:lang w:val="en-GB"/>
        </w:rPr>
        <w:t xml:space="preserve"> be able to be redacted</w:t>
      </w:r>
      <w:r w:rsidR="001D0671">
        <w:rPr>
          <w:lang w:val="en-GB"/>
        </w:rPr>
        <w:t>,</w:t>
      </w:r>
      <w:r w:rsidRPr="002B4B9C">
        <w:rPr>
          <w:lang w:val="en-GB"/>
        </w:rPr>
        <w:t xml:space="preserve"> if requested. This provides a safety net for members who may be experiencing domestic violence or other exceptional circumstances. </w:t>
      </w:r>
      <w:r w:rsidR="00540360">
        <w:rPr>
          <w:lang w:val="en-GB"/>
        </w:rPr>
        <w:t>NIAA should be congratulated for listening to the sector’s concerns about this issue and drafting the legislation to accommodate the change.</w:t>
      </w:r>
    </w:p>
    <w:p w14:paraId="2BC0D4B4" w14:textId="1E798B18" w:rsidR="00DC27B1" w:rsidRDefault="00DC27B1" w:rsidP="00DC27B1">
      <w:pPr>
        <w:rPr>
          <w:lang w:val="en-GB"/>
        </w:rPr>
      </w:pPr>
    </w:p>
    <w:p w14:paraId="37D9D024" w14:textId="3A12C64D" w:rsidR="00634B0B" w:rsidRDefault="00634B0B" w:rsidP="00DC27B1">
      <w:pPr>
        <w:rPr>
          <w:lang w:val="en-GB"/>
        </w:rPr>
      </w:pPr>
    </w:p>
    <w:p w14:paraId="7D4E4DE9" w14:textId="39ACA5C4" w:rsidR="00634B0B" w:rsidRPr="001D0671" w:rsidRDefault="00F80A32" w:rsidP="00DC27B1">
      <w:pPr>
        <w:rPr>
          <w:u w:val="single"/>
          <w:lang w:val="en-GB"/>
        </w:rPr>
      </w:pPr>
      <w:r>
        <w:rPr>
          <w:u w:val="single"/>
          <w:lang w:val="en-GB"/>
        </w:rPr>
        <w:t xml:space="preserve">(ix) </w:t>
      </w:r>
      <w:r w:rsidR="001D0671" w:rsidRPr="001D0671">
        <w:rPr>
          <w:u w:val="single"/>
          <w:lang w:val="en-GB"/>
        </w:rPr>
        <w:t>Administrative burden and discriminatory standards</w:t>
      </w:r>
    </w:p>
    <w:p w14:paraId="64FC9FE7" w14:textId="4A8F532F" w:rsidR="001D0671" w:rsidRDefault="001D0671" w:rsidP="00DC27B1">
      <w:pPr>
        <w:rPr>
          <w:lang w:val="en-GB"/>
        </w:rPr>
      </w:pPr>
    </w:p>
    <w:p w14:paraId="2D13C18D" w14:textId="43E5110E" w:rsidR="001D0671" w:rsidRDefault="001D0671" w:rsidP="001D0671">
      <w:pPr>
        <w:rPr>
          <w:lang w:val="en-GB"/>
        </w:rPr>
      </w:pPr>
      <w:r>
        <w:rPr>
          <w:lang w:val="en-GB"/>
        </w:rPr>
        <w:t>Some of the changes (and existing provisions, for that matter) are</w:t>
      </w:r>
      <w:r w:rsidRPr="00FB064F">
        <w:rPr>
          <w:lang w:val="en-GB"/>
        </w:rPr>
        <w:t xml:space="preserve"> discriminatory</w:t>
      </w:r>
      <w:r>
        <w:rPr>
          <w:lang w:val="en-GB"/>
        </w:rPr>
        <w:t xml:space="preserve"> in that different standards are expected for Aboriginal organisations. The CATSI Act and many of the changes </w:t>
      </w:r>
      <w:r w:rsidRPr="00FB064F">
        <w:rPr>
          <w:lang w:val="en-GB"/>
        </w:rPr>
        <w:t xml:space="preserve">set higher standards and penalties for </w:t>
      </w:r>
      <w:r>
        <w:rPr>
          <w:lang w:val="en-GB"/>
        </w:rPr>
        <w:t>d</w:t>
      </w:r>
      <w:r w:rsidRPr="00FB064F">
        <w:rPr>
          <w:lang w:val="en-GB"/>
        </w:rPr>
        <w:t xml:space="preserve">irectors and </w:t>
      </w:r>
      <w:r>
        <w:rPr>
          <w:lang w:val="en-GB"/>
        </w:rPr>
        <w:t>o</w:t>
      </w:r>
      <w:r w:rsidRPr="00FB064F">
        <w:rPr>
          <w:lang w:val="en-GB"/>
        </w:rPr>
        <w:t xml:space="preserve">fficers than what </w:t>
      </w:r>
      <w:r w:rsidR="003C4632">
        <w:rPr>
          <w:lang w:val="en-GB"/>
        </w:rPr>
        <w:t>other</w:t>
      </w:r>
      <w:r w:rsidRPr="00FB064F">
        <w:rPr>
          <w:lang w:val="en-GB"/>
        </w:rPr>
        <w:t xml:space="preserve"> Australians are expected to meet under the </w:t>
      </w:r>
      <w:r w:rsidRPr="001D0671">
        <w:rPr>
          <w:i/>
          <w:lang w:val="en-GB"/>
        </w:rPr>
        <w:t>Corporations Act 200</w:t>
      </w:r>
      <w:r>
        <w:rPr>
          <w:i/>
          <w:lang w:val="en-GB"/>
        </w:rPr>
        <w:t>1</w:t>
      </w:r>
      <w:r>
        <w:rPr>
          <w:lang w:val="en-GB"/>
        </w:rPr>
        <w:t xml:space="preserve"> and regulatory framework of the </w:t>
      </w:r>
      <w:r w:rsidRPr="00FB064F">
        <w:rPr>
          <w:lang w:val="en-GB"/>
        </w:rPr>
        <w:t>Australian Securities Investment Commission (ASIC) and the Australian Charities and No</w:t>
      </w:r>
      <w:r>
        <w:rPr>
          <w:lang w:val="en-GB"/>
        </w:rPr>
        <w:t>t-for</w:t>
      </w:r>
      <w:r w:rsidRPr="00FB064F">
        <w:rPr>
          <w:lang w:val="en-GB"/>
        </w:rPr>
        <w:t>-</w:t>
      </w:r>
      <w:r>
        <w:rPr>
          <w:lang w:val="en-GB"/>
        </w:rPr>
        <w:t>p</w:t>
      </w:r>
      <w:r w:rsidRPr="00FB064F">
        <w:rPr>
          <w:lang w:val="en-GB"/>
        </w:rPr>
        <w:t>rofit</w:t>
      </w:r>
      <w:r>
        <w:rPr>
          <w:lang w:val="en-GB"/>
        </w:rPr>
        <w:t>s</w:t>
      </w:r>
      <w:r w:rsidRPr="00FB064F">
        <w:rPr>
          <w:lang w:val="en-GB"/>
        </w:rPr>
        <w:t xml:space="preserve"> Commission (ACNC). </w:t>
      </w:r>
    </w:p>
    <w:p w14:paraId="2D8824DC" w14:textId="77777777" w:rsidR="00B94936" w:rsidRDefault="00B94936" w:rsidP="001D0671">
      <w:pPr>
        <w:rPr>
          <w:lang w:val="en-GB"/>
        </w:rPr>
      </w:pPr>
    </w:p>
    <w:p w14:paraId="5597A06B" w14:textId="7826D9B1" w:rsidR="00CB4F47" w:rsidRDefault="00CB4F47" w:rsidP="001D0671">
      <w:pPr>
        <w:rPr>
          <w:lang w:val="en-GB"/>
        </w:rPr>
      </w:pPr>
      <w:r>
        <w:rPr>
          <w:lang w:val="en-GB"/>
        </w:rPr>
        <w:t xml:space="preserve">NACCHO acknowledges that some effort has been made to bring the CATSI Act requirements in organisations more closely into line with the </w:t>
      </w:r>
      <w:r w:rsidRPr="00CB4F47">
        <w:rPr>
          <w:i/>
          <w:lang w:val="en-GB"/>
        </w:rPr>
        <w:t>Corporations Act 2001</w:t>
      </w:r>
      <w:r>
        <w:rPr>
          <w:lang w:val="en-GB"/>
        </w:rPr>
        <w:t xml:space="preserve"> (as </w:t>
      </w:r>
      <w:r w:rsidR="006B70CB">
        <w:rPr>
          <w:lang w:val="en-GB"/>
        </w:rPr>
        <w:t>claimed</w:t>
      </w:r>
      <w:r>
        <w:rPr>
          <w:lang w:val="en-GB"/>
        </w:rPr>
        <w:t xml:space="preserve"> in Factsheet 14), but there are still </w:t>
      </w:r>
      <w:r w:rsidR="006B70CB">
        <w:rPr>
          <w:lang w:val="en-GB"/>
        </w:rPr>
        <w:t xml:space="preserve">troubling </w:t>
      </w:r>
      <w:r>
        <w:rPr>
          <w:lang w:val="en-GB"/>
        </w:rPr>
        <w:t>differences in the changes that discriminate unnecessarily.</w:t>
      </w:r>
    </w:p>
    <w:p w14:paraId="69F51390" w14:textId="77777777" w:rsidR="001D0671" w:rsidRPr="002B4B9C" w:rsidRDefault="001D0671" w:rsidP="001D0671">
      <w:pPr>
        <w:rPr>
          <w:lang w:val="en-GB"/>
        </w:rPr>
      </w:pPr>
    </w:p>
    <w:p w14:paraId="4E85F99A" w14:textId="2316CC74" w:rsidR="00BE4BB6" w:rsidRPr="00BE4BB6" w:rsidRDefault="00CB4F47" w:rsidP="00BE4BB6">
      <w:pPr>
        <w:rPr>
          <w:lang w:val="en-GB"/>
        </w:rPr>
      </w:pPr>
      <w:r>
        <w:rPr>
          <w:lang w:val="en-GB"/>
        </w:rPr>
        <w:t>The most</w:t>
      </w:r>
      <w:r w:rsidR="00BE4BB6" w:rsidRPr="00BE4BB6">
        <w:rPr>
          <w:lang w:val="en-GB"/>
        </w:rPr>
        <w:t xml:space="preserve"> </w:t>
      </w:r>
      <w:r>
        <w:rPr>
          <w:lang w:val="en-GB"/>
        </w:rPr>
        <w:t>concerning</w:t>
      </w:r>
      <w:r w:rsidR="00BE4BB6" w:rsidRPr="00BE4BB6">
        <w:rPr>
          <w:lang w:val="en-GB"/>
        </w:rPr>
        <w:t xml:space="preserve"> </w:t>
      </w:r>
      <w:r w:rsidR="001D0671">
        <w:rPr>
          <w:lang w:val="en-GB"/>
        </w:rPr>
        <w:t>issue relates to the</w:t>
      </w:r>
      <w:r w:rsidR="00BE4BB6" w:rsidRPr="00BE4BB6">
        <w:rPr>
          <w:lang w:val="en-GB"/>
        </w:rPr>
        <w:t xml:space="preserve"> reporting arrangements for corporations (including their subsidiaries) to members and ORIC concerning the work history and remuneration of </w:t>
      </w:r>
      <w:r w:rsidR="001D0671">
        <w:rPr>
          <w:lang w:val="en-GB"/>
        </w:rPr>
        <w:t>k</w:t>
      </w:r>
      <w:r w:rsidR="00BE4BB6" w:rsidRPr="00BE4BB6">
        <w:rPr>
          <w:lang w:val="en-GB"/>
        </w:rPr>
        <w:t xml:space="preserve">ey </w:t>
      </w:r>
      <w:r w:rsidR="001D0671">
        <w:rPr>
          <w:lang w:val="en-GB"/>
        </w:rPr>
        <w:t>m</w:t>
      </w:r>
      <w:r w:rsidR="00BE4BB6" w:rsidRPr="00BE4BB6">
        <w:rPr>
          <w:lang w:val="en-GB"/>
        </w:rPr>
        <w:t xml:space="preserve">anagement </w:t>
      </w:r>
      <w:r w:rsidR="001D0671">
        <w:rPr>
          <w:lang w:val="en-GB"/>
        </w:rPr>
        <w:t>p</w:t>
      </w:r>
      <w:r w:rsidR="00BE4BB6" w:rsidRPr="00BE4BB6">
        <w:rPr>
          <w:lang w:val="en-GB"/>
        </w:rPr>
        <w:t>ersonnel</w:t>
      </w:r>
      <w:r>
        <w:rPr>
          <w:lang w:val="en-GB"/>
        </w:rPr>
        <w:t xml:space="preserve"> (recommendations 33-</w:t>
      </w:r>
      <w:r w:rsidR="005019C5">
        <w:rPr>
          <w:lang w:val="en-GB"/>
        </w:rPr>
        <w:t>4</w:t>
      </w:r>
      <w:r w:rsidR="006B70CB">
        <w:rPr>
          <w:lang w:val="en-GB"/>
        </w:rPr>
        <w:t xml:space="preserve"> in the review</w:t>
      </w:r>
      <w:r w:rsidR="0066020E">
        <w:rPr>
          <w:lang w:val="en-GB"/>
        </w:rPr>
        <w:t xml:space="preserve"> </w:t>
      </w:r>
      <w:r w:rsidR="00884FAB">
        <w:rPr>
          <w:lang w:val="en-GB"/>
        </w:rPr>
        <w:t>[</w:t>
      </w:r>
      <w:r w:rsidR="0066020E">
        <w:rPr>
          <w:lang w:val="en-GB"/>
        </w:rPr>
        <w:t>= ‘</w:t>
      </w:r>
      <w:r w:rsidR="0066020E" w:rsidRPr="0066020E">
        <w:rPr>
          <w:lang w:val="en-GB"/>
        </w:rPr>
        <w:t>148  Section 333 5</w:t>
      </w:r>
      <w:r w:rsidR="0066020E">
        <w:rPr>
          <w:lang w:val="en-GB"/>
        </w:rPr>
        <w:t>’</w:t>
      </w:r>
      <w:r w:rsidR="00884FAB">
        <w:rPr>
          <w:lang w:val="en-GB"/>
        </w:rPr>
        <w:t>,</w:t>
      </w:r>
      <w:r w:rsidR="0066020E">
        <w:rPr>
          <w:lang w:val="en-GB"/>
        </w:rPr>
        <w:t xml:space="preserve"> etc. in Part 8</w:t>
      </w:r>
      <w:r w:rsidR="00884FAB">
        <w:rPr>
          <w:lang w:val="en-GB"/>
        </w:rPr>
        <w:t>]</w:t>
      </w:r>
      <w:r>
        <w:rPr>
          <w:lang w:val="en-GB"/>
        </w:rPr>
        <w:t>)</w:t>
      </w:r>
      <w:r w:rsidR="00BE4BB6" w:rsidRPr="00BE4BB6">
        <w:rPr>
          <w:lang w:val="en-GB"/>
        </w:rPr>
        <w:t xml:space="preserve">. </w:t>
      </w:r>
      <w:r w:rsidR="00B94936">
        <w:rPr>
          <w:lang w:val="en-GB"/>
        </w:rPr>
        <w:t xml:space="preserve">This was also an issue expressed by one of our members, Danila Dilba, in its own submission in October </w:t>
      </w:r>
      <w:r w:rsidR="006B70CB">
        <w:rPr>
          <w:lang w:val="en-GB"/>
        </w:rPr>
        <w:t xml:space="preserve">2020 </w:t>
      </w:r>
      <w:r w:rsidR="00B94936">
        <w:rPr>
          <w:lang w:val="en-GB"/>
        </w:rPr>
        <w:t>(</w:t>
      </w:r>
      <w:r w:rsidR="006B70CB">
        <w:rPr>
          <w:lang w:val="en-GB"/>
        </w:rPr>
        <w:t xml:space="preserve">at </w:t>
      </w:r>
      <w:r w:rsidR="00B94936">
        <w:rPr>
          <w:lang w:val="en-GB"/>
        </w:rPr>
        <w:t>p. 5)</w:t>
      </w:r>
      <w:r w:rsidR="003C4632">
        <w:rPr>
          <w:lang w:val="en-GB"/>
        </w:rPr>
        <w:t>, which we fully support</w:t>
      </w:r>
      <w:r w:rsidR="00B94936">
        <w:rPr>
          <w:lang w:val="en-GB"/>
        </w:rPr>
        <w:t xml:space="preserve">. </w:t>
      </w:r>
      <w:r w:rsidR="00BE4BB6" w:rsidRPr="00BE4BB6">
        <w:rPr>
          <w:lang w:val="en-GB"/>
        </w:rPr>
        <w:t>The Government has justified this</w:t>
      </w:r>
      <w:r w:rsidR="006B70CB">
        <w:rPr>
          <w:lang w:val="en-GB"/>
        </w:rPr>
        <w:t xml:space="preserve"> approach</w:t>
      </w:r>
      <w:r w:rsidR="00BE4BB6" w:rsidRPr="00BE4BB6">
        <w:rPr>
          <w:lang w:val="en-GB"/>
        </w:rPr>
        <w:t xml:space="preserve"> by stating that it is consistent with the remuneration reporting done by listed companies. However, listed companies are large businesses on the ASX trading in shares. </w:t>
      </w:r>
      <w:r w:rsidR="001D0671">
        <w:rPr>
          <w:lang w:val="en-GB"/>
        </w:rPr>
        <w:t>Many Aboriginal and Torres Strait Islander</w:t>
      </w:r>
      <w:r w:rsidR="00BE4BB6" w:rsidRPr="00BE4BB6">
        <w:rPr>
          <w:lang w:val="en-GB"/>
        </w:rPr>
        <w:t xml:space="preserve"> corporations are not of this nature nor size. Remuneration reports are not a requirement for normal companies including not-for-profits incorporated under the </w:t>
      </w:r>
      <w:r w:rsidR="00BE4BB6" w:rsidRPr="001D0671">
        <w:rPr>
          <w:i/>
          <w:lang w:val="en-GB"/>
        </w:rPr>
        <w:t>Corporations Act 2001</w:t>
      </w:r>
      <w:r w:rsidR="00BE4BB6" w:rsidRPr="00BE4BB6">
        <w:rPr>
          <w:lang w:val="en-GB"/>
        </w:rPr>
        <w:t xml:space="preserve"> including </w:t>
      </w:r>
      <w:r w:rsidR="001D0671">
        <w:rPr>
          <w:lang w:val="en-GB"/>
        </w:rPr>
        <w:t>Aboriginal and Torres Strait Islander</w:t>
      </w:r>
      <w:r w:rsidR="001D0671" w:rsidRPr="00BE4BB6">
        <w:rPr>
          <w:lang w:val="en-GB"/>
        </w:rPr>
        <w:t xml:space="preserve"> </w:t>
      </w:r>
      <w:r w:rsidR="00BE4BB6" w:rsidRPr="00BE4BB6">
        <w:rPr>
          <w:lang w:val="en-GB"/>
        </w:rPr>
        <w:t xml:space="preserve">companies. We are not opposed to greater transparency around remuneration </w:t>
      </w:r>
      <w:r w:rsidR="001D0671">
        <w:rPr>
          <w:lang w:val="en-GB"/>
        </w:rPr>
        <w:t>‘</w:t>
      </w:r>
      <w:r w:rsidR="00BE4BB6" w:rsidRPr="00BE4BB6">
        <w:rPr>
          <w:lang w:val="en-GB"/>
        </w:rPr>
        <w:t>in principle</w:t>
      </w:r>
      <w:r w:rsidR="001D0671">
        <w:rPr>
          <w:lang w:val="en-GB"/>
        </w:rPr>
        <w:t>’</w:t>
      </w:r>
      <w:r w:rsidR="00BE4BB6" w:rsidRPr="00BE4BB6">
        <w:rPr>
          <w:lang w:val="en-GB"/>
        </w:rPr>
        <w:t xml:space="preserve"> for all corporations if it will have a positive impact</w:t>
      </w:r>
      <w:r w:rsidR="001D0671">
        <w:rPr>
          <w:lang w:val="en-GB"/>
        </w:rPr>
        <w:t>, but the requirements should not discriminate</w:t>
      </w:r>
      <w:r w:rsidR="00BE4BB6" w:rsidRPr="00BE4BB6">
        <w:rPr>
          <w:lang w:val="en-GB"/>
        </w:rPr>
        <w:t>.</w:t>
      </w:r>
    </w:p>
    <w:p w14:paraId="0BDD07D6" w14:textId="77777777" w:rsidR="001D0671" w:rsidRDefault="001D0671" w:rsidP="00BE4BB6">
      <w:pPr>
        <w:rPr>
          <w:lang w:val="en-GB"/>
        </w:rPr>
      </w:pPr>
    </w:p>
    <w:p w14:paraId="04C576CB" w14:textId="15DA6668" w:rsidR="00BE4BB6" w:rsidRDefault="00BE4BB6" w:rsidP="00BE4BB6">
      <w:pPr>
        <w:rPr>
          <w:lang w:val="en-GB"/>
        </w:rPr>
      </w:pPr>
      <w:r w:rsidRPr="00BE4BB6">
        <w:rPr>
          <w:lang w:val="en-GB"/>
        </w:rPr>
        <w:t xml:space="preserve">We </w:t>
      </w:r>
      <w:r w:rsidR="004B093A">
        <w:rPr>
          <w:lang w:val="en-GB"/>
        </w:rPr>
        <w:t>are not sure whether or not</w:t>
      </w:r>
      <w:r w:rsidRPr="00BE4BB6">
        <w:rPr>
          <w:lang w:val="en-GB"/>
        </w:rPr>
        <w:t xml:space="preserve"> the Government perceives th</w:t>
      </w:r>
      <w:r w:rsidR="004B093A">
        <w:rPr>
          <w:lang w:val="en-GB"/>
        </w:rPr>
        <w:t>at th</w:t>
      </w:r>
      <w:r w:rsidRPr="00BE4BB6">
        <w:rPr>
          <w:lang w:val="en-GB"/>
        </w:rPr>
        <w:t>ere is a problem with remuneration being too high in CATSI corporations</w:t>
      </w:r>
      <w:r w:rsidR="004B093A">
        <w:rPr>
          <w:lang w:val="en-GB"/>
        </w:rPr>
        <w:t>. If so</w:t>
      </w:r>
      <w:r w:rsidRPr="00BE4BB6">
        <w:rPr>
          <w:lang w:val="en-GB"/>
        </w:rPr>
        <w:t>, we need evidence that justifies that this is</w:t>
      </w:r>
      <w:r w:rsidR="003C4632">
        <w:rPr>
          <w:lang w:val="en-GB"/>
        </w:rPr>
        <w:t>,</w:t>
      </w:r>
      <w:r w:rsidRPr="00BE4BB6">
        <w:rPr>
          <w:lang w:val="en-GB"/>
        </w:rPr>
        <w:t xml:space="preserve"> in fact</w:t>
      </w:r>
      <w:r w:rsidR="003C4632">
        <w:rPr>
          <w:lang w:val="en-GB"/>
        </w:rPr>
        <w:t>,</w:t>
      </w:r>
      <w:r w:rsidRPr="00BE4BB6">
        <w:rPr>
          <w:lang w:val="en-GB"/>
        </w:rPr>
        <w:t xml:space="preserve"> the case and evidence that its solution </w:t>
      </w:r>
      <w:r w:rsidR="004B093A">
        <w:rPr>
          <w:lang w:val="en-GB"/>
        </w:rPr>
        <w:t xml:space="preserve">in the Bill </w:t>
      </w:r>
      <w:r w:rsidRPr="00BE4BB6">
        <w:rPr>
          <w:lang w:val="en-GB"/>
        </w:rPr>
        <w:t xml:space="preserve">is the best </w:t>
      </w:r>
      <w:r w:rsidR="004B093A">
        <w:rPr>
          <w:lang w:val="en-GB"/>
        </w:rPr>
        <w:t>approach</w:t>
      </w:r>
      <w:r w:rsidRPr="00BE4BB6">
        <w:rPr>
          <w:lang w:val="en-GB"/>
        </w:rPr>
        <w:t xml:space="preserve">. In the meantime, there is no doubt for us that the measure will be disruptive and impact on our capacity to recruit and maintain </w:t>
      </w:r>
      <w:r w:rsidR="004B093A">
        <w:rPr>
          <w:lang w:val="en-GB"/>
        </w:rPr>
        <w:t>k</w:t>
      </w:r>
      <w:r w:rsidRPr="00BE4BB6">
        <w:rPr>
          <w:lang w:val="en-GB"/>
        </w:rPr>
        <w:t xml:space="preserve">ey </w:t>
      </w:r>
      <w:r w:rsidR="004B093A">
        <w:rPr>
          <w:lang w:val="en-GB"/>
        </w:rPr>
        <w:t>m</w:t>
      </w:r>
      <w:r w:rsidRPr="00BE4BB6">
        <w:rPr>
          <w:lang w:val="en-GB"/>
        </w:rPr>
        <w:t xml:space="preserve">anagement </w:t>
      </w:r>
      <w:r w:rsidR="004B093A">
        <w:rPr>
          <w:lang w:val="en-GB"/>
        </w:rPr>
        <w:t>p</w:t>
      </w:r>
      <w:r w:rsidRPr="00BE4BB6">
        <w:rPr>
          <w:lang w:val="en-GB"/>
        </w:rPr>
        <w:t>ersonnel</w:t>
      </w:r>
      <w:r w:rsidR="003C4632">
        <w:rPr>
          <w:lang w:val="en-GB"/>
        </w:rPr>
        <w:t xml:space="preserve"> and directors</w:t>
      </w:r>
      <w:r w:rsidRPr="00BE4BB6">
        <w:rPr>
          <w:lang w:val="en-GB"/>
        </w:rPr>
        <w:t>.</w:t>
      </w:r>
    </w:p>
    <w:p w14:paraId="19B5C989" w14:textId="77777777" w:rsidR="004B093A" w:rsidRPr="00BE4BB6" w:rsidRDefault="004B093A" w:rsidP="00BE4BB6">
      <w:pPr>
        <w:rPr>
          <w:lang w:val="en-GB"/>
        </w:rPr>
      </w:pPr>
    </w:p>
    <w:p w14:paraId="497470B2" w14:textId="3567C719" w:rsidR="00BE4BB6" w:rsidRDefault="00BE4BB6" w:rsidP="00BE4BB6">
      <w:pPr>
        <w:rPr>
          <w:lang w:val="en-GB"/>
        </w:rPr>
      </w:pPr>
      <w:r w:rsidRPr="00BE4BB6">
        <w:rPr>
          <w:lang w:val="en-GB"/>
        </w:rPr>
        <w:t xml:space="preserve">If it is not appropriate to introduce this measure for mainstream companies similar in size and nature to CATSI corporations, the Government needs to explain why. Otherwise, there is a serious risk that </w:t>
      </w:r>
      <w:r w:rsidR="004B093A">
        <w:rPr>
          <w:lang w:val="en-GB"/>
        </w:rPr>
        <w:t>Aboriginal and Torres Strait Islander</w:t>
      </w:r>
      <w:r w:rsidR="004B093A" w:rsidRPr="00BE4BB6">
        <w:rPr>
          <w:lang w:val="en-GB"/>
        </w:rPr>
        <w:t xml:space="preserve"> </w:t>
      </w:r>
      <w:r w:rsidRPr="00BE4BB6">
        <w:rPr>
          <w:lang w:val="en-GB"/>
        </w:rPr>
        <w:t>stakeholders will perceive this measure as racially discriminatory</w:t>
      </w:r>
      <w:r w:rsidR="00E15BB7">
        <w:rPr>
          <w:lang w:val="en-GB"/>
        </w:rPr>
        <w:t>,</w:t>
      </w:r>
      <w:r w:rsidRPr="00BE4BB6">
        <w:rPr>
          <w:lang w:val="en-GB"/>
        </w:rPr>
        <w:t xml:space="preserve"> whatever the intentions of the Government. </w:t>
      </w:r>
    </w:p>
    <w:p w14:paraId="0B2DD103" w14:textId="77B80AA5" w:rsidR="00BE4BB6" w:rsidRDefault="00BE4BB6" w:rsidP="00DC27B1">
      <w:pPr>
        <w:rPr>
          <w:lang w:val="en-GB"/>
        </w:rPr>
      </w:pPr>
    </w:p>
    <w:p w14:paraId="780C4366" w14:textId="46873E8F" w:rsidR="00BE4BB6" w:rsidRPr="009F7A09" w:rsidRDefault="00BE4BB6" w:rsidP="00DC27B1">
      <w:pPr>
        <w:rPr>
          <w:lang w:val="en-GB"/>
        </w:rPr>
      </w:pPr>
      <w:r w:rsidRPr="00BE4BB6">
        <w:rPr>
          <w:lang w:val="en-GB"/>
        </w:rPr>
        <w:t xml:space="preserve">We have other concerns including the penalty provisions in the legislation which are difficult to understand and appear to be </w:t>
      </w:r>
      <w:r w:rsidR="003C4632">
        <w:rPr>
          <w:lang w:val="en-GB"/>
        </w:rPr>
        <w:t xml:space="preserve">wholly </w:t>
      </w:r>
      <w:r w:rsidRPr="00BE4BB6">
        <w:rPr>
          <w:lang w:val="en-GB"/>
        </w:rPr>
        <w:t xml:space="preserve">at the discretion of the Registrar. </w:t>
      </w:r>
      <w:r w:rsidR="00E15BB7">
        <w:rPr>
          <w:lang w:val="en-GB"/>
        </w:rPr>
        <w:t>More clarity needs to be provided to safeguard against excess or misuse.</w:t>
      </w:r>
    </w:p>
    <w:p w14:paraId="529417C3" w14:textId="77777777" w:rsidR="004E77D0" w:rsidRDefault="004E77D0" w:rsidP="004E77D0">
      <w:pPr>
        <w:rPr>
          <w:lang w:val="en-GB"/>
        </w:rPr>
      </w:pPr>
    </w:p>
    <w:p w14:paraId="1D262191" w14:textId="77777777" w:rsidR="002B4B9C" w:rsidRPr="002B4B9C" w:rsidRDefault="002B4B9C" w:rsidP="002B4B9C">
      <w:pPr>
        <w:rPr>
          <w:lang w:val="en-GB"/>
        </w:rPr>
      </w:pPr>
    </w:p>
    <w:p w14:paraId="3BB12348" w14:textId="77777777" w:rsidR="002B4B9C" w:rsidRPr="00D566F7" w:rsidRDefault="002B4B9C" w:rsidP="002B4B9C">
      <w:pPr>
        <w:rPr>
          <w:b/>
          <w:lang w:val="en-GB"/>
        </w:rPr>
      </w:pPr>
      <w:r w:rsidRPr="00D566F7">
        <w:rPr>
          <w:b/>
          <w:lang w:val="en-GB"/>
        </w:rPr>
        <w:t xml:space="preserve">Conclusion </w:t>
      </w:r>
    </w:p>
    <w:p w14:paraId="16CE1E91" w14:textId="77777777" w:rsidR="00D566F7" w:rsidRDefault="00D566F7" w:rsidP="002B4B9C">
      <w:pPr>
        <w:rPr>
          <w:lang w:val="en-GB"/>
        </w:rPr>
      </w:pPr>
    </w:p>
    <w:p w14:paraId="4AC71D61" w14:textId="7460A5CB" w:rsidR="00E15BB7" w:rsidRDefault="002B4B9C" w:rsidP="002B4B9C">
      <w:pPr>
        <w:rPr>
          <w:lang w:val="en-GB"/>
        </w:rPr>
      </w:pPr>
      <w:r w:rsidRPr="002B4B9C">
        <w:rPr>
          <w:lang w:val="en-GB"/>
        </w:rPr>
        <w:t xml:space="preserve">NACCHO supports NIAA’s </w:t>
      </w:r>
      <w:r w:rsidR="002C6BF2">
        <w:rPr>
          <w:lang w:val="en-GB"/>
        </w:rPr>
        <w:t>intent</w:t>
      </w:r>
      <w:r w:rsidRPr="002B4B9C">
        <w:rPr>
          <w:lang w:val="en-GB"/>
        </w:rPr>
        <w:t xml:space="preserve"> in bring</w:t>
      </w:r>
      <w:r w:rsidR="002C6BF2">
        <w:rPr>
          <w:lang w:val="en-GB"/>
        </w:rPr>
        <w:t>ing</w:t>
      </w:r>
      <w:r w:rsidRPr="002B4B9C">
        <w:rPr>
          <w:lang w:val="en-GB"/>
        </w:rPr>
        <w:t xml:space="preserve"> the CATSI Act in line with other Commonwealth legislation with </w:t>
      </w:r>
      <w:r w:rsidR="002C6BF2">
        <w:rPr>
          <w:lang w:val="en-GB"/>
        </w:rPr>
        <w:t xml:space="preserve">a Bill and with </w:t>
      </w:r>
      <w:r w:rsidRPr="002B4B9C">
        <w:rPr>
          <w:lang w:val="en-GB"/>
        </w:rPr>
        <w:t>regular reviews and improved governance</w:t>
      </w:r>
      <w:r w:rsidR="002C6BF2">
        <w:rPr>
          <w:lang w:val="en-GB"/>
        </w:rPr>
        <w:t>, but repeats the point that it has headlined in its previous two submissions</w:t>
      </w:r>
      <w:r w:rsidR="00E15BB7">
        <w:rPr>
          <w:lang w:val="en-GB"/>
        </w:rPr>
        <w:t xml:space="preserve"> </w:t>
      </w:r>
      <w:r w:rsidR="00EC513A">
        <w:rPr>
          <w:lang w:val="en-GB"/>
        </w:rPr>
        <w:t xml:space="preserve">that the Government needs to involve Aboriginal and Torres Strait Islander leadership in </w:t>
      </w:r>
      <w:r w:rsidR="00EC513A" w:rsidRPr="00E15BB7">
        <w:rPr>
          <w:i/>
          <w:lang w:val="en-GB"/>
        </w:rPr>
        <w:t>shared</w:t>
      </w:r>
      <w:r w:rsidR="00EC513A">
        <w:rPr>
          <w:lang w:val="en-GB"/>
        </w:rPr>
        <w:t xml:space="preserve"> </w:t>
      </w:r>
      <w:r w:rsidR="00EC513A" w:rsidRPr="00E15BB7">
        <w:rPr>
          <w:i/>
          <w:lang w:val="en-GB"/>
        </w:rPr>
        <w:t>decision making</w:t>
      </w:r>
      <w:r w:rsidR="00EC513A">
        <w:rPr>
          <w:lang w:val="en-GB"/>
        </w:rPr>
        <w:t>. This is a point that</w:t>
      </w:r>
      <w:r w:rsidR="00E15BB7">
        <w:rPr>
          <w:lang w:val="en-GB"/>
        </w:rPr>
        <w:t xml:space="preserve"> has also been made strongly by other prominent Aboriginal </w:t>
      </w:r>
      <w:r w:rsidR="00F80A32">
        <w:rPr>
          <w:lang w:val="en-GB"/>
        </w:rPr>
        <w:t>organisations</w:t>
      </w:r>
      <w:r w:rsidR="00E15BB7">
        <w:rPr>
          <w:lang w:val="en-GB"/>
        </w:rPr>
        <w:t xml:space="preserve"> (e.g. </w:t>
      </w:r>
      <w:r w:rsidR="00E213D4">
        <w:rPr>
          <w:lang w:val="en-GB"/>
        </w:rPr>
        <w:t>Aboriginal Peak Organisations NT, Central Australian Aboriginal Congress, Victorian Aboriginal Community Controlled Health Organisation, etc.</w:t>
      </w:r>
      <w:r w:rsidR="00E15BB7">
        <w:rPr>
          <w:lang w:val="en-GB"/>
        </w:rPr>
        <w:t>)</w:t>
      </w:r>
      <w:r w:rsidR="00C510CC">
        <w:rPr>
          <w:lang w:val="en-GB"/>
        </w:rPr>
        <w:t>.</w:t>
      </w:r>
      <w:r w:rsidR="00E15BB7">
        <w:rPr>
          <w:lang w:val="en-GB"/>
        </w:rPr>
        <w:t xml:space="preserve"> </w:t>
      </w:r>
    </w:p>
    <w:p w14:paraId="600E9A71" w14:textId="77777777" w:rsidR="00E15BB7" w:rsidRDefault="00E15BB7" w:rsidP="002B4B9C">
      <w:pPr>
        <w:rPr>
          <w:lang w:val="en-GB"/>
        </w:rPr>
      </w:pPr>
    </w:p>
    <w:p w14:paraId="1C7F9CE1" w14:textId="48404352" w:rsidR="00526131" w:rsidRDefault="00526131" w:rsidP="002B4B9C">
      <w:pPr>
        <w:rPr>
          <w:lang w:val="en-GB"/>
        </w:rPr>
      </w:pPr>
      <w:r>
        <w:rPr>
          <w:lang w:val="en-GB"/>
        </w:rPr>
        <w:t xml:space="preserve">Including a </w:t>
      </w:r>
      <w:r w:rsidR="002C6BF2">
        <w:rPr>
          <w:lang w:val="en-GB"/>
        </w:rPr>
        <w:t xml:space="preserve">compartmentalised consultation element is not enough. Moreover, the lack of involvement of organisations like NACCHO in the decision-making process </w:t>
      </w:r>
      <w:r>
        <w:rPr>
          <w:lang w:val="en-GB"/>
        </w:rPr>
        <w:t xml:space="preserve">or in a steering group to providing advice, </w:t>
      </w:r>
      <w:r w:rsidR="002C6BF2">
        <w:rPr>
          <w:lang w:val="en-GB"/>
        </w:rPr>
        <w:t>suggests that the G</w:t>
      </w:r>
      <w:r>
        <w:rPr>
          <w:lang w:val="en-GB"/>
        </w:rPr>
        <w:t>o</w:t>
      </w:r>
      <w:r w:rsidR="002C6BF2">
        <w:rPr>
          <w:lang w:val="en-GB"/>
        </w:rPr>
        <w:t xml:space="preserve">vernment </w:t>
      </w:r>
      <w:r>
        <w:rPr>
          <w:lang w:val="en-GB"/>
        </w:rPr>
        <w:t>in this instance has lost a critical opportunity to demonstrate its commitment to the</w:t>
      </w:r>
      <w:r w:rsidR="002C6BF2">
        <w:rPr>
          <w:lang w:val="en-GB"/>
        </w:rPr>
        <w:t xml:space="preserve"> first priority reform </w:t>
      </w:r>
      <w:r w:rsidR="00B94936">
        <w:rPr>
          <w:lang w:val="en-GB"/>
        </w:rPr>
        <w:t xml:space="preserve">area </w:t>
      </w:r>
      <w:r w:rsidR="002C6BF2">
        <w:rPr>
          <w:lang w:val="en-GB"/>
        </w:rPr>
        <w:t>under the new National Agreement on Closing the Gap</w:t>
      </w:r>
      <w:r>
        <w:rPr>
          <w:lang w:val="en-GB"/>
        </w:rPr>
        <w:t xml:space="preserve"> (</w:t>
      </w:r>
      <w:r w:rsidR="00E15BB7">
        <w:rPr>
          <w:lang w:val="en-GB"/>
        </w:rPr>
        <w:t xml:space="preserve">i.e. </w:t>
      </w:r>
      <w:r>
        <w:rPr>
          <w:lang w:val="en-GB"/>
        </w:rPr>
        <w:t>“</w:t>
      </w:r>
      <w:r w:rsidRPr="00A422D6">
        <w:rPr>
          <w:rFonts w:eastAsia="Times New Roman" w:cstheme="minorHAnsi"/>
          <w:color w:val="000000" w:themeColor="text1"/>
          <w:lang w:val="en-GB" w:eastAsia="en-AU"/>
        </w:rPr>
        <w:t>Aboriginal and Torres Strait Islander people are empowered to share decision-making authority with governments to accelerate policy and place-based progress on Closing the Gap through formal partnership arrangements</w:t>
      </w:r>
      <w:r>
        <w:rPr>
          <w:rFonts w:eastAsia="Times New Roman" w:cstheme="minorHAnsi"/>
          <w:color w:val="000000" w:themeColor="text1"/>
          <w:lang w:val="en-GB" w:eastAsia="en-AU"/>
        </w:rPr>
        <w:t>”</w:t>
      </w:r>
      <w:r>
        <w:rPr>
          <w:lang w:val="en-GB"/>
        </w:rPr>
        <w:t>)</w:t>
      </w:r>
      <w:r w:rsidR="002C6BF2">
        <w:rPr>
          <w:lang w:val="en-GB"/>
        </w:rPr>
        <w:t xml:space="preserve">. </w:t>
      </w:r>
    </w:p>
    <w:p w14:paraId="5E0E12A7" w14:textId="77777777" w:rsidR="00526131" w:rsidRDefault="00526131" w:rsidP="002B4B9C">
      <w:pPr>
        <w:rPr>
          <w:lang w:val="en-GB"/>
        </w:rPr>
      </w:pPr>
    </w:p>
    <w:p w14:paraId="01E20DEC" w14:textId="44334F79" w:rsidR="002C6BF2" w:rsidRDefault="002C6BF2" w:rsidP="002B4B9C">
      <w:pPr>
        <w:rPr>
          <w:lang w:val="en-GB"/>
        </w:rPr>
      </w:pPr>
      <w:r>
        <w:rPr>
          <w:lang w:val="en-GB"/>
        </w:rPr>
        <w:t>As such, we cannot support the review or the Bill.</w:t>
      </w:r>
    </w:p>
    <w:p w14:paraId="2D8E1DA8" w14:textId="77777777" w:rsidR="002C6BF2" w:rsidRDefault="002C6BF2" w:rsidP="002B4B9C">
      <w:pPr>
        <w:rPr>
          <w:lang w:val="en-GB"/>
        </w:rPr>
      </w:pPr>
    </w:p>
    <w:p w14:paraId="51303370" w14:textId="0F7CC5AF" w:rsidR="002C6BF2" w:rsidRDefault="00526131" w:rsidP="002B4B9C">
      <w:pPr>
        <w:rPr>
          <w:lang w:val="en-GB"/>
        </w:rPr>
      </w:pPr>
      <w:r>
        <w:rPr>
          <w:lang w:val="en-GB"/>
        </w:rPr>
        <w:t>Unless the approach changes, t</w:t>
      </w:r>
      <w:r w:rsidR="002C6BF2">
        <w:rPr>
          <w:lang w:val="en-GB"/>
        </w:rPr>
        <w:t xml:space="preserve">he plans for </w:t>
      </w:r>
      <w:r>
        <w:rPr>
          <w:lang w:val="en-GB"/>
        </w:rPr>
        <w:t xml:space="preserve">two </w:t>
      </w:r>
      <w:r w:rsidR="002C6BF2">
        <w:rPr>
          <w:lang w:val="en-GB"/>
        </w:rPr>
        <w:t xml:space="preserve">targeted reviews and </w:t>
      </w:r>
      <w:r>
        <w:rPr>
          <w:lang w:val="en-GB"/>
        </w:rPr>
        <w:t xml:space="preserve">a </w:t>
      </w:r>
      <w:r w:rsidR="00E15BB7">
        <w:rPr>
          <w:lang w:val="en-GB"/>
        </w:rPr>
        <w:t xml:space="preserve">cycle of </w:t>
      </w:r>
      <w:r w:rsidR="002C6BF2">
        <w:rPr>
          <w:lang w:val="en-GB"/>
        </w:rPr>
        <w:t>seven-year reviews</w:t>
      </w:r>
      <w:r>
        <w:rPr>
          <w:lang w:val="en-GB"/>
        </w:rPr>
        <w:t xml:space="preserve"> for </w:t>
      </w:r>
      <w:r w:rsidR="002C6BF2">
        <w:rPr>
          <w:lang w:val="en-GB"/>
        </w:rPr>
        <w:t xml:space="preserve">the </w:t>
      </w:r>
      <w:r w:rsidR="00E15BB7">
        <w:rPr>
          <w:lang w:val="en-GB"/>
        </w:rPr>
        <w:t>A</w:t>
      </w:r>
      <w:r w:rsidR="002C6BF2">
        <w:rPr>
          <w:lang w:val="en-GB"/>
        </w:rPr>
        <w:t xml:space="preserve">ct </w:t>
      </w:r>
      <w:r>
        <w:rPr>
          <w:lang w:val="en-GB"/>
        </w:rPr>
        <w:t>will labour under the same criticism.</w:t>
      </w:r>
    </w:p>
    <w:p w14:paraId="7C3E97F3" w14:textId="77777777" w:rsidR="00526131" w:rsidRDefault="00526131" w:rsidP="00526131">
      <w:pPr>
        <w:rPr>
          <w:lang w:val="en-GB"/>
        </w:rPr>
      </w:pPr>
    </w:p>
    <w:p w14:paraId="3EAE48EA" w14:textId="77777777" w:rsidR="00EC513A" w:rsidRDefault="00E15BB7" w:rsidP="00526131">
      <w:pPr>
        <w:rPr>
          <w:lang w:val="en-GB"/>
        </w:rPr>
      </w:pPr>
      <w:r>
        <w:rPr>
          <w:lang w:val="en-GB"/>
        </w:rPr>
        <w:t>NACCH</w:t>
      </w:r>
      <w:r w:rsidR="000F5A47">
        <w:rPr>
          <w:lang w:val="en-GB"/>
        </w:rPr>
        <w:t>O</w:t>
      </w:r>
      <w:r>
        <w:rPr>
          <w:lang w:val="en-GB"/>
        </w:rPr>
        <w:t xml:space="preserve"> is</w:t>
      </w:r>
      <w:r w:rsidR="00526131">
        <w:rPr>
          <w:lang w:val="en-GB"/>
        </w:rPr>
        <w:t xml:space="preserve"> also concerned that some measures will result in an increased </w:t>
      </w:r>
      <w:r w:rsidR="00526131" w:rsidRPr="002B4B9C">
        <w:rPr>
          <w:lang w:val="en-GB"/>
        </w:rPr>
        <w:t xml:space="preserve">administrative and compliance burden for corporations </w:t>
      </w:r>
      <w:r w:rsidR="00526131">
        <w:rPr>
          <w:lang w:val="en-GB"/>
        </w:rPr>
        <w:t>and may even be discriminatory. There are also certain measures that we oppose. We do not support any of the amendments that dilute accountability and transparency for members (e.g. less frequent AGMs). Nor do we support the inclusion of ‘two-director’ organisations, given the strong possibility of manipulation of this provision by non-Aboriginal people who may wish to take advantage o</w:t>
      </w:r>
      <w:r w:rsidR="00EC513A">
        <w:rPr>
          <w:lang w:val="en-GB"/>
        </w:rPr>
        <w:t>f</w:t>
      </w:r>
      <w:r w:rsidR="00526131">
        <w:rPr>
          <w:lang w:val="en-GB"/>
        </w:rPr>
        <w:t xml:space="preserve"> Aboriginal status. </w:t>
      </w:r>
    </w:p>
    <w:p w14:paraId="32CB7AF2" w14:textId="77777777" w:rsidR="00EC513A" w:rsidRDefault="00EC513A" w:rsidP="00526131">
      <w:pPr>
        <w:rPr>
          <w:lang w:val="en-GB"/>
        </w:rPr>
      </w:pPr>
    </w:p>
    <w:p w14:paraId="08584EC6" w14:textId="61ABA0AD" w:rsidR="00526131" w:rsidRPr="002B4B9C" w:rsidRDefault="00641A9D" w:rsidP="00526131">
      <w:pPr>
        <w:rPr>
          <w:lang w:val="en-GB"/>
        </w:rPr>
      </w:pPr>
      <w:r>
        <w:rPr>
          <w:lang w:val="en-GB"/>
        </w:rPr>
        <w:t xml:space="preserve">We also urge the Government to reconsider the rejection of recommendation 1 of the review. A clear statement acknowledging community </w:t>
      </w:r>
      <w:r w:rsidR="00E15BB7">
        <w:rPr>
          <w:lang w:val="en-GB"/>
        </w:rPr>
        <w:t xml:space="preserve">capacity </w:t>
      </w:r>
      <w:r>
        <w:rPr>
          <w:lang w:val="en-GB"/>
        </w:rPr>
        <w:t xml:space="preserve">and the significance of </w:t>
      </w:r>
      <w:r w:rsidR="00526131" w:rsidRPr="002B4B9C">
        <w:rPr>
          <w:lang w:val="en-GB"/>
        </w:rPr>
        <w:t>cultural traditions and safety in the operations of the CATSI Act</w:t>
      </w:r>
      <w:r>
        <w:rPr>
          <w:lang w:val="en-GB"/>
        </w:rPr>
        <w:t xml:space="preserve"> would earn significant goodwill</w:t>
      </w:r>
      <w:r w:rsidR="008E098E">
        <w:rPr>
          <w:lang w:val="en-GB"/>
        </w:rPr>
        <w:t xml:space="preserve"> and guard against hasty punitive action when other solutions are available</w:t>
      </w:r>
      <w:r w:rsidR="00526131" w:rsidRPr="002B4B9C">
        <w:rPr>
          <w:lang w:val="en-GB"/>
        </w:rPr>
        <w:t xml:space="preserve">. </w:t>
      </w:r>
    </w:p>
    <w:p w14:paraId="3FA8EC99" w14:textId="77777777" w:rsidR="002C6BF2" w:rsidRDefault="002C6BF2" w:rsidP="002B4B9C">
      <w:pPr>
        <w:rPr>
          <w:lang w:val="en-GB"/>
        </w:rPr>
      </w:pPr>
    </w:p>
    <w:p w14:paraId="63D8CC3C" w14:textId="53923EBF" w:rsidR="002B4B9C" w:rsidRDefault="002C6BF2">
      <w:pPr>
        <w:rPr>
          <w:lang w:val="en-GB"/>
        </w:rPr>
      </w:pPr>
      <w:r>
        <w:rPr>
          <w:lang w:val="en-GB"/>
        </w:rPr>
        <w:t>Notwithstanding th</w:t>
      </w:r>
      <w:r w:rsidR="00526131">
        <w:rPr>
          <w:lang w:val="en-GB"/>
        </w:rPr>
        <w:t>es</w:t>
      </w:r>
      <w:r w:rsidR="00E15BB7">
        <w:rPr>
          <w:lang w:val="en-GB"/>
        </w:rPr>
        <w:t>e</w:t>
      </w:r>
      <w:r>
        <w:rPr>
          <w:lang w:val="en-GB"/>
        </w:rPr>
        <w:t xml:space="preserve"> serious concern</w:t>
      </w:r>
      <w:r w:rsidR="00526131">
        <w:rPr>
          <w:lang w:val="en-GB"/>
        </w:rPr>
        <w:t>s</w:t>
      </w:r>
      <w:r>
        <w:rPr>
          <w:lang w:val="en-GB"/>
        </w:rPr>
        <w:t xml:space="preserve">, </w:t>
      </w:r>
      <w:r w:rsidR="00E15BB7">
        <w:rPr>
          <w:lang w:val="en-GB"/>
        </w:rPr>
        <w:t>NACCHO does</w:t>
      </w:r>
      <w:r>
        <w:rPr>
          <w:lang w:val="en-GB"/>
        </w:rPr>
        <w:t xml:space="preserve"> support certain elements in the exposure draft of the Bill. In particular, we support the modernisation of certain governance arrangements </w:t>
      </w:r>
      <w:r w:rsidR="00526131">
        <w:rPr>
          <w:lang w:val="en-GB"/>
        </w:rPr>
        <w:t>an</w:t>
      </w:r>
      <w:r w:rsidR="00E15BB7">
        <w:rPr>
          <w:lang w:val="en-GB"/>
        </w:rPr>
        <w:t>d the measures conceived to deliver</w:t>
      </w:r>
      <w:r w:rsidR="00526131">
        <w:rPr>
          <w:lang w:val="en-GB"/>
        </w:rPr>
        <w:t xml:space="preserve"> greater flexibility, as well as </w:t>
      </w:r>
      <w:r>
        <w:rPr>
          <w:lang w:val="en-GB"/>
        </w:rPr>
        <w:t>the ability to appoint independent directors for 12-month pe</w:t>
      </w:r>
      <w:r w:rsidR="00526131">
        <w:rPr>
          <w:lang w:val="en-GB"/>
        </w:rPr>
        <w:t>r</w:t>
      </w:r>
      <w:r>
        <w:rPr>
          <w:lang w:val="en-GB"/>
        </w:rPr>
        <w:t>iods</w:t>
      </w:r>
      <w:r w:rsidR="008E098E">
        <w:rPr>
          <w:lang w:val="en-GB"/>
        </w:rPr>
        <w:t>,</w:t>
      </w:r>
      <w:r w:rsidR="00526131">
        <w:rPr>
          <w:lang w:val="en-GB"/>
        </w:rPr>
        <w:t xml:space="preserve"> and the ability to </w:t>
      </w:r>
      <w:r>
        <w:rPr>
          <w:lang w:val="en-GB"/>
        </w:rPr>
        <w:t>redact sensitive personal information</w:t>
      </w:r>
      <w:r w:rsidR="00526131">
        <w:rPr>
          <w:lang w:val="en-GB"/>
        </w:rPr>
        <w:t xml:space="preserve"> to protect </w:t>
      </w:r>
      <w:r w:rsidR="008E098E">
        <w:rPr>
          <w:lang w:val="en-GB"/>
        </w:rPr>
        <w:t>vulnerable</w:t>
      </w:r>
      <w:r w:rsidR="00526131">
        <w:rPr>
          <w:lang w:val="en-GB"/>
        </w:rPr>
        <w:t xml:space="preserve"> members.</w:t>
      </w:r>
      <w:r>
        <w:rPr>
          <w:lang w:val="en-GB"/>
        </w:rPr>
        <w:t xml:space="preserve"> </w:t>
      </w:r>
    </w:p>
    <w:p w14:paraId="10BCB2C3" w14:textId="32228A7A" w:rsidR="00E15BB7" w:rsidRDefault="00E15BB7">
      <w:pPr>
        <w:rPr>
          <w:lang w:val="en-GB"/>
        </w:rPr>
      </w:pPr>
    </w:p>
    <w:p w14:paraId="72274787" w14:textId="16B1B739" w:rsidR="00E15BB7" w:rsidRDefault="00E15BB7">
      <w:pPr>
        <w:rPr>
          <w:lang w:val="en-GB"/>
        </w:rPr>
      </w:pPr>
      <w:r>
        <w:rPr>
          <w:lang w:val="en-GB"/>
        </w:rPr>
        <w:t xml:space="preserve">NACCHO remains open to engaging closely with NIAA, ORIC and others should a more collaborative process be </w:t>
      </w:r>
      <w:r w:rsidR="00A13DE7">
        <w:rPr>
          <w:lang w:val="en-GB"/>
        </w:rPr>
        <w:t>developed. W</w:t>
      </w:r>
      <w:r>
        <w:rPr>
          <w:lang w:val="en-GB"/>
        </w:rPr>
        <w:t>e urge the Commonwealth to reconsider its approach before proceeding further with the draft Bill.</w:t>
      </w:r>
    </w:p>
    <w:p w14:paraId="079CC32D" w14:textId="77777777" w:rsidR="00E15BB7" w:rsidRPr="009F7A09" w:rsidRDefault="00E15BB7">
      <w:pPr>
        <w:rPr>
          <w:lang w:val="en-GB"/>
        </w:rPr>
      </w:pPr>
    </w:p>
    <w:sectPr w:rsidR="00E15BB7" w:rsidRPr="009F7A09" w:rsidSect="00F03CCE">
      <w:headerReference w:type="even" r:id="rId18"/>
      <w:headerReference w:type="default" r:id="rId19"/>
      <w:footerReference w:type="even" r:id="rId20"/>
      <w:footerReference w:type="default" r:id="rId21"/>
      <w:headerReference w:type="first" r:id="rId22"/>
      <w:footerReference w:type="first" r:id="rId23"/>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44422" w14:textId="77777777" w:rsidR="00100818" w:rsidRDefault="00100818" w:rsidP="004D2FC0">
      <w:r>
        <w:separator/>
      </w:r>
    </w:p>
  </w:endnote>
  <w:endnote w:type="continuationSeparator" w:id="0">
    <w:p w14:paraId="75DAEFE6" w14:textId="77777777" w:rsidR="00100818" w:rsidRDefault="00100818" w:rsidP="004D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19341182"/>
      <w:docPartObj>
        <w:docPartGallery w:val="Page Numbers (Bottom of Page)"/>
        <w:docPartUnique/>
      </w:docPartObj>
    </w:sdtPr>
    <w:sdtEndPr>
      <w:rPr>
        <w:rStyle w:val="PageNumber"/>
      </w:rPr>
    </w:sdtEndPr>
    <w:sdtContent>
      <w:p w14:paraId="55EA2577" w14:textId="74A412AD" w:rsidR="00526131" w:rsidRDefault="00526131" w:rsidP="00F03C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3C8C96" w14:textId="77777777" w:rsidR="00526131" w:rsidRDefault="00526131" w:rsidP="002B4B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89873838"/>
      <w:docPartObj>
        <w:docPartGallery w:val="Page Numbers (Bottom of Page)"/>
        <w:docPartUnique/>
      </w:docPartObj>
    </w:sdtPr>
    <w:sdtEndPr>
      <w:rPr>
        <w:rStyle w:val="PageNumber"/>
      </w:rPr>
    </w:sdtEndPr>
    <w:sdtContent>
      <w:p w14:paraId="4360BC27" w14:textId="223C613E" w:rsidR="00526131" w:rsidRDefault="00526131" w:rsidP="005261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51F56">
          <w:rPr>
            <w:rStyle w:val="PageNumber"/>
            <w:noProof/>
          </w:rPr>
          <w:t>1</w:t>
        </w:r>
        <w:r>
          <w:rPr>
            <w:rStyle w:val="PageNumber"/>
          </w:rPr>
          <w:fldChar w:fldCharType="end"/>
        </w:r>
      </w:p>
    </w:sdtContent>
  </w:sdt>
  <w:p w14:paraId="2C7FFBC4" w14:textId="77777777" w:rsidR="00526131" w:rsidRDefault="00526131" w:rsidP="00F03CCE">
    <w:pPr>
      <w:pStyle w:val="Footer"/>
      <w:framePr w:wrap="auto" w:vAnchor="text" w:hAnchor="page" w:x="1587" w:y="-68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EA2C2" w14:textId="77777777" w:rsidR="00526131" w:rsidRDefault="00526131" w:rsidP="00F03C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962F0" w14:textId="77777777" w:rsidR="00100818" w:rsidRDefault="00100818" w:rsidP="004D2FC0">
      <w:r>
        <w:separator/>
      </w:r>
    </w:p>
  </w:footnote>
  <w:footnote w:type="continuationSeparator" w:id="0">
    <w:p w14:paraId="4E793EA7" w14:textId="77777777" w:rsidR="00100818" w:rsidRDefault="00100818" w:rsidP="004D2FC0">
      <w:r>
        <w:continuationSeparator/>
      </w:r>
    </w:p>
  </w:footnote>
  <w:footnote w:id="1">
    <w:p w14:paraId="7A19CEAD" w14:textId="5527EB63" w:rsidR="00526131" w:rsidRPr="004D2FC0" w:rsidRDefault="00526131" w:rsidP="00884FAB">
      <w:pPr>
        <w:pStyle w:val="NormalWeb"/>
        <w:spacing w:before="0" w:beforeAutospacing="0" w:after="0" w:afterAutospacing="0"/>
      </w:pPr>
      <w:r>
        <w:rPr>
          <w:rStyle w:val="FootnoteReference"/>
        </w:rPr>
        <w:footnoteRef/>
      </w:r>
      <w:r>
        <w:t xml:space="preserve"> </w:t>
      </w:r>
      <w:r>
        <w:rPr>
          <w:rFonts w:ascii="Calibri" w:hAnsi="Calibri" w:cs="Calibri"/>
          <w:sz w:val="20"/>
          <w:szCs w:val="20"/>
        </w:rPr>
        <w:t xml:space="preserve">J. Arrazola, M. M. Masiello, S. Joshi, et al., ‘COVID-19 Mortality Among American Indian and Alaska Native Persons: 14 States, January-June 2020’ in Centre for Disease Control and Prevention </w:t>
      </w:r>
      <w:r>
        <w:rPr>
          <w:rFonts w:ascii="Calibri" w:hAnsi="Calibri" w:cs="Calibri"/>
          <w:i/>
          <w:iCs/>
          <w:color w:val="0000FF"/>
          <w:sz w:val="20"/>
          <w:szCs w:val="20"/>
        </w:rPr>
        <w:t xml:space="preserve">MMW </w:t>
      </w:r>
      <w:r>
        <w:rPr>
          <w:rFonts w:ascii="Calibri" w:hAnsi="Calibri" w:cs="Calibri"/>
          <w:i/>
          <w:iCs/>
          <w:sz w:val="20"/>
          <w:szCs w:val="20"/>
        </w:rPr>
        <w:t>Report</w:t>
      </w:r>
      <w:r>
        <w:rPr>
          <w:rFonts w:ascii="Calibri" w:hAnsi="Calibri" w:cs="Calibri"/>
          <w:sz w:val="20"/>
          <w:szCs w:val="20"/>
        </w:rPr>
        <w:t xml:space="preserve">, no. 69, 2020, pp. 1,853-6. </w:t>
      </w:r>
    </w:p>
  </w:footnote>
  <w:footnote w:id="2">
    <w:p w14:paraId="16D97CD6" w14:textId="3F5CEDE7" w:rsidR="00526131" w:rsidRPr="00F03CCE" w:rsidRDefault="00526131">
      <w:pPr>
        <w:pStyle w:val="FootnoteText"/>
      </w:pPr>
      <w:r>
        <w:rPr>
          <w:rStyle w:val="FootnoteReference"/>
        </w:rPr>
        <w:footnoteRef/>
      </w:r>
      <w:r>
        <w:t xml:space="preserve"> </w:t>
      </w:r>
      <w:r w:rsidRPr="001011D6">
        <w:t>https://coalitionofpeaks.org.au/wp-content/uploads/2021/04/ctg-national-agreement-apr-21-1-1.pdf</w:t>
      </w:r>
      <w:r>
        <w:t>.</w:t>
      </w:r>
    </w:p>
  </w:footnote>
  <w:footnote w:id="3">
    <w:p w14:paraId="6E97D4CA" w14:textId="77777777" w:rsidR="005B2181" w:rsidRPr="004B093A" w:rsidRDefault="005B2181" w:rsidP="005B2181">
      <w:pPr>
        <w:pStyle w:val="FootnoteText"/>
        <w:rPr>
          <w:lang w:val="en-AU"/>
        </w:rPr>
      </w:pPr>
      <w:r w:rsidRPr="004B093A">
        <w:rPr>
          <w:rStyle w:val="FootnoteReference"/>
        </w:rPr>
        <w:footnoteRef/>
      </w:r>
      <w:r w:rsidRPr="004B093A">
        <w:t xml:space="preserve"> </w:t>
      </w:r>
      <w:r w:rsidRPr="004B093A">
        <w:rPr>
          <w:lang w:val="en-GB"/>
        </w:rPr>
        <w:t xml:space="preserve">NIAA, </w:t>
      </w:r>
      <w:r w:rsidRPr="00E73A04">
        <w:rPr>
          <w:i/>
          <w:lang w:val="en-GB"/>
        </w:rPr>
        <w:t>Objects of the CATSI Act fact sheet</w:t>
      </w:r>
      <w:r w:rsidRPr="004B093A">
        <w:rPr>
          <w:lang w:val="en-GB"/>
        </w:rPr>
        <w:t>, p. 3</w:t>
      </w:r>
      <w:r>
        <w:rPr>
          <w:lang w:val="en-GB"/>
        </w:rPr>
        <w:t xml:space="preserve"> (</w:t>
      </w:r>
      <w:r w:rsidRPr="004B093A">
        <w:rPr>
          <w:lang w:val="en-GB"/>
        </w:rPr>
        <w:t>https://www.niaa.gov.au/sites/default/files/publications/objects-of-catsi-act-factsheet.pdf</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4D42D" w14:textId="77777777" w:rsidR="00D51F56" w:rsidRDefault="00D51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114EF" w14:textId="77777777" w:rsidR="00D51F56" w:rsidRDefault="00D51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FE7C5" w14:textId="77777777" w:rsidR="00D51F56" w:rsidRDefault="00D51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0E4B"/>
    <w:multiLevelType w:val="multilevel"/>
    <w:tmpl w:val="315045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B1035"/>
    <w:multiLevelType w:val="multilevel"/>
    <w:tmpl w:val="E4B6C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574D35"/>
    <w:multiLevelType w:val="multilevel"/>
    <w:tmpl w:val="83DA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F1704C"/>
    <w:multiLevelType w:val="hybridMultilevel"/>
    <w:tmpl w:val="B9B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C736B"/>
    <w:multiLevelType w:val="hybridMultilevel"/>
    <w:tmpl w:val="31D04F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D87F1E"/>
    <w:multiLevelType w:val="multilevel"/>
    <w:tmpl w:val="D2384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612868"/>
    <w:multiLevelType w:val="hybridMultilevel"/>
    <w:tmpl w:val="C6D4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2E"/>
    <w:rsid w:val="000114A0"/>
    <w:rsid w:val="000226C3"/>
    <w:rsid w:val="00024FA7"/>
    <w:rsid w:val="00030871"/>
    <w:rsid w:val="0005387F"/>
    <w:rsid w:val="000B5B2E"/>
    <w:rsid w:val="000C3B3C"/>
    <w:rsid w:val="000F5A47"/>
    <w:rsid w:val="00100818"/>
    <w:rsid w:val="001011D6"/>
    <w:rsid w:val="001423B7"/>
    <w:rsid w:val="00144FEF"/>
    <w:rsid w:val="001A082E"/>
    <w:rsid w:val="001A7C98"/>
    <w:rsid w:val="001D0671"/>
    <w:rsid w:val="001D1357"/>
    <w:rsid w:val="002035EB"/>
    <w:rsid w:val="002425A5"/>
    <w:rsid w:val="00255969"/>
    <w:rsid w:val="002B4B9C"/>
    <w:rsid w:val="002B767D"/>
    <w:rsid w:val="002C1DD9"/>
    <w:rsid w:val="002C6BF2"/>
    <w:rsid w:val="00331B20"/>
    <w:rsid w:val="00332960"/>
    <w:rsid w:val="00345317"/>
    <w:rsid w:val="00377D98"/>
    <w:rsid w:val="00394BB4"/>
    <w:rsid w:val="003C4632"/>
    <w:rsid w:val="004A7976"/>
    <w:rsid w:val="004B093A"/>
    <w:rsid w:val="004D2FC0"/>
    <w:rsid w:val="004E77D0"/>
    <w:rsid w:val="004F58BD"/>
    <w:rsid w:val="005019C5"/>
    <w:rsid w:val="00526131"/>
    <w:rsid w:val="0053713C"/>
    <w:rsid w:val="00540360"/>
    <w:rsid w:val="00573D35"/>
    <w:rsid w:val="00596B93"/>
    <w:rsid w:val="005B2181"/>
    <w:rsid w:val="005D5018"/>
    <w:rsid w:val="00634B0B"/>
    <w:rsid w:val="00641A9D"/>
    <w:rsid w:val="0066020E"/>
    <w:rsid w:val="00666AD6"/>
    <w:rsid w:val="00691874"/>
    <w:rsid w:val="006B3513"/>
    <w:rsid w:val="006B70CB"/>
    <w:rsid w:val="006E3AD5"/>
    <w:rsid w:val="006F5492"/>
    <w:rsid w:val="00765400"/>
    <w:rsid w:val="007B1BA9"/>
    <w:rsid w:val="007F4C2A"/>
    <w:rsid w:val="007F534B"/>
    <w:rsid w:val="007F6B59"/>
    <w:rsid w:val="00806408"/>
    <w:rsid w:val="00824DF6"/>
    <w:rsid w:val="00825D48"/>
    <w:rsid w:val="0085785C"/>
    <w:rsid w:val="00884FAB"/>
    <w:rsid w:val="008A3A74"/>
    <w:rsid w:val="008D271F"/>
    <w:rsid w:val="008E098E"/>
    <w:rsid w:val="008F5042"/>
    <w:rsid w:val="008F7D28"/>
    <w:rsid w:val="009064DF"/>
    <w:rsid w:val="00921E76"/>
    <w:rsid w:val="0093020D"/>
    <w:rsid w:val="009578AB"/>
    <w:rsid w:val="009709A8"/>
    <w:rsid w:val="009A7D9D"/>
    <w:rsid w:val="009F1DC1"/>
    <w:rsid w:val="009F7A09"/>
    <w:rsid w:val="00A036B3"/>
    <w:rsid w:val="00A13DE7"/>
    <w:rsid w:val="00AA1D27"/>
    <w:rsid w:val="00B45F9E"/>
    <w:rsid w:val="00B6153B"/>
    <w:rsid w:val="00B87517"/>
    <w:rsid w:val="00B94936"/>
    <w:rsid w:val="00BD30FB"/>
    <w:rsid w:val="00BE4BB6"/>
    <w:rsid w:val="00C21DDA"/>
    <w:rsid w:val="00C3198C"/>
    <w:rsid w:val="00C510CC"/>
    <w:rsid w:val="00C80657"/>
    <w:rsid w:val="00C84490"/>
    <w:rsid w:val="00CB4F47"/>
    <w:rsid w:val="00CE1492"/>
    <w:rsid w:val="00CF1C15"/>
    <w:rsid w:val="00CF4699"/>
    <w:rsid w:val="00D51F56"/>
    <w:rsid w:val="00D54BCE"/>
    <w:rsid w:val="00D566F7"/>
    <w:rsid w:val="00D623E0"/>
    <w:rsid w:val="00D7552A"/>
    <w:rsid w:val="00D77F23"/>
    <w:rsid w:val="00D80325"/>
    <w:rsid w:val="00D90547"/>
    <w:rsid w:val="00D978CD"/>
    <w:rsid w:val="00DC27B1"/>
    <w:rsid w:val="00E15BB7"/>
    <w:rsid w:val="00E213D4"/>
    <w:rsid w:val="00E73A04"/>
    <w:rsid w:val="00EC513A"/>
    <w:rsid w:val="00F03CCE"/>
    <w:rsid w:val="00F15278"/>
    <w:rsid w:val="00F27CE1"/>
    <w:rsid w:val="00F46FB9"/>
    <w:rsid w:val="00F748F5"/>
    <w:rsid w:val="00F80A32"/>
    <w:rsid w:val="00FA0EF7"/>
    <w:rsid w:val="00FB064F"/>
    <w:rsid w:val="00FF0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9AC52"/>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21DDA"/>
    <w:pPr>
      <w:spacing w:before="100" w:beforeAutospacing="1" w:after="100" w:afterAutospacing="1"/>
      <w:outlineLvl w:val="1"/>
    </w:pPr>
    <w:rPr>
      <w:rFonts w:ascii="Times New Roman" w:eastAsia="Times New Roman" w:hAnsi="Times New Roman" w:cs="Times New Roman"/>
      <w:b/>
      <w:bCs/>
      <w:sz w:val="36"/>
      <w:szCs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B2E"/>
    <w:rPr>
      <w:color w:val="0563C1" w:themeColor="hyperlink"/>
      <w:u w:val="single"/>
    </w:rPr>
  </w:style>
  <w:style w:type="character" w:customStyle="1" w:styleId="UnresolvedMention">
    <w:name w:val="Unresolved Mention"/>
    <w:basedOn w:val="DefaultParagraphFont"/>
    <w:uiPriority w:val="99"/>
    <w:rsid w:val="000B5B2E"/>
    <w:rPr>
      <w:color w:val="605E5C"/>
      <w:shd w:val="clear" w:color="auto" w:fill="E1DFDD"/>
    </w:rPr>
  </w:style>
  <w:style w:type="paragraph" w:styleId="ListParagraph">
    <w:name w:val="List Paragraph"/>
    <w:aliases w:val="Bullet point,List Paragraph1,List Paragraph11,Recommendation,First level bullet point,List Paragraph Number,L,Bullet Point,List Bullet 1,Body Bullets 1,Bulleted Para,NFP GP Bulleted List,bullet point list,Bullet points,List Paragraph111"/>
    <w:basedOn w:val="Normal"/>
    <w:link w:val="ListParagraphChar"/>
    <w:uiPriority w:val="34"/>
    <w:qFormat/>
    <w:rsid w:val="00DC27B1"/>
    <w:pPr>
      <w:ind w:left="720"/>
      <w:contextualSpacing/>
    </w:pPr>
  </w:style>
  <w:style w:type="paragraph" w:styleId="NormalWeb">
    <w:name w:val="Normal (Web)"/>
    <w:basedOn w:val="Normal"/>
    <w:uiPriority w:val="99"/>
    <w:unhideWhenUsed/>
    <w:rsid w:val="004D2FC0"/>
    <w:pPr>
      <w:spacing w:before="100" w:beforeAutospacing="1" w:after="100" w:afterAutospacing="1"/>
    </w:pPr>
    <w:rPr>
      <w:rFonts w:ascii="Times New Roman" w:eastAsia="Times New Roman" w:hAnsi="Times New Roman" w:cs="Times New Roman"/>
      <w:lang w:val="en-AU"/>
    </w:rPr>
  </w:style>
  <w:style w:type="paragraph" w:styleId="FootnoteText">
    <w:name w:val="footnote text"/>
    <w:basedOn w:val="Normal"/>
    <w:link w:val="FootnoteTextChar"/>
    <w:uiPriority w:val="99"/>
    <w:semiHidden/>
    <w:unhideWhenUsed/>
    <w:rsid w:val="004D2FC0"/>
    <w:rPr>
      <w:sz w:val="20"/>
      <w:szCs w:val="20"/>
    </w:rPr>
  </w:style>
  <w:style w:type="character" w:customStyle="1" w:styleId="FootnoteTextChar">
    <w:name w:val="Footnote Text Char"/>
    <w:basedOn w:val="DefaultParagraphFont"/>
    <w:link w:val="FootnoteText"/>
    <w:uiPriority w:val="99"/>
    <w:semiHidden/>
    <w:rsid w:val="004D2FC0"/>
    <w:rPr>
      <w:sz w:val="20"/>
      <w:szCs w:val="20"/>
    </w:rPr>
  </w:style>
  <w:style w:type="character" w:styleId="FootnoteReference">
    <w:name w:val="footnote reference"/>
    <w:basedOn w:val="DefaultParagraphFont"/>
    <w:uiPriority w:val="99"/>
    <w:semiHidden/>
    <w:unhideWhenUsed/>
    <w:rsid w:val="004D2FC0"/>
    <w:rPr>
      <w:vertAlign w:val="superscript"/>
    </w:rPr>
  </w:style>
  <w:style w:type="table" w:styleId="TableGrid">
    <w:name w:val="Table Grid"/>
    <w:basedOn w:val="TableNormal"/>
    <w:uiPriority w:val="39"/>
    <w:rsid w:val="002B4B9C"/>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List Paragraph1 Char,List Paragraph11 Char,Recommendation Char,First level bullet point Char,List Paragraph Number Char,L Char,Bullet Point Char,List Bullet 1 Char,Body Bullets 1 Char,Bulleted Para Char"/>
    <w:basedOn w:val="DefaultParagraphFont"/>
    <w:link w:val="ListParagraph"/>
    <w:uiPriority w:val="34"/>
    <w:qFormat/>
    <w:locked/>
    <w:rsid w:val="002B4B9C"/>
  </w:style>
  <w:style w:type="paragraph" w:styleId="Footer">
    <w:name w:val="footer"/>
    <w:basedOn w:val="Normal"/>
    <w:link w:val="FooterChar"/>
    <w:uiPriority w:val="99"/>
    <w:unhideWhenUsed/>
    <w:rsid w:val="002B4B9C"/>
    <w:pPr>
      <w:tabs>
        <w:tab w:val="center" w:pos="4513"/>
        <w:tab w:val="right" w:pos="9026"/>
      </w:tabs>
    </w:pPr>
  </w:style>
  <w:style w:type="character" w:customStyle="1" w:styleId="FooterChar">
    <w:name w:val="Footer Char"/>
    <w:basedOn w:val="DefaultParagraphFont"/>
    <w:link w:val="Footer"/>
    <w:uiPriority w:val="99"/>
    <w:rsid w:val="002B4B9C"/>
  </w:style>
  <w:style w:type="character" w:styleId="PageNumber">
    <w:name w:val="page number"/>
    <w:basedOn w:val="DefaultParagraphFont"/>
    <w:uiPriority w:val="99"/>
    <w:semiHidden/>
    <w:unhideWhenUsed/>
    <w:rsid w:val="002B4B9C"/>
  </w:style>
  <w:style w:type="character" w:styleId="FollowedHyperlink">
    <w:name w:val="FollowedHyperlink"/>
    <w:basedOn w:val="DefaultParagraphFont"/>
    <w:uiPriority w:val="99"/>
    <w:semiHidden/>
    <w:unhideWhenUsed/>
    <w:rsid w:val="002C1DD9"/>
    <w:rPr>
      <w:color w:val="954F72" w:themeColor="followedHyperlink"/>
      <w:u w:val="single"/>
    </w:rPr>
  </w:style>
  <w:style w:type="character" w:customStyle="1" w:styleId="Heading2Char">
    <w:name w:val="Heading 2 Char"/>
    <w:basedOn w:val="DefaultParagraphFont"/>
    <w:link w:val="Heading2"/>
    <w:uiPriority w:val="9"/>
    <w:rsid w:val="00C21DDA"/>
    <w:rPr>
      <w:rFonts w:ascii="Times New Roman" w:eastAsia="Times New Roman" w:hAnsi="Times New Roman" w:cs="Times New Roman"/>
      <w:b/>
      <w:bCs/>
      <w:sz w:val="36"/>
      <w:szCs w:val="36"/>
      <w:lang w:val="en-AU"/>
    </w:rPr>
  </w:style>
  <w:style w:type="paragraph" w:styleId="Header">
    <w:name w:val="header"/>
    <w:basedOn w:val="Normal"/>
    <w:link w:val="HeaderChar"/>
    <w:uiPriority w:val="99"/>
    <w:unhideWhenUsed/>
    <w:rsid w:val="00F03CCE"/>
    <w:pPr>
      <w:tabs>
        <w:tab w:val="center" w:pos="4513"/>
        <w:tab w:val="right" w:pos="9026"/>
      </w:tabs>
    </w:pPr>
  </w:style>
  <w:style w:type="character" w:customStyle="1" w:styleId="HeaderChar">
    <w:name w:val="Header Char"/>
    <w:basedOn w:val="DefaultParagraphFont"/>
    <w:link w:val="Header"/>
    <w:uiPriority w:val="99"/>
    <w:rsid w:val="00F03CCE"/>
  </w:style>
  <w:style w:type="paragraph" w:styleId="BalloonText">
    <w:name w:val="Balloon Text"/>
    <w:basedOn w:val="Normal"/>
    <w:link w:val="BalloonTextChar"/>
    <w:uiPriority w:val="99"/>
    <w:semiHidden/>
    <w:unhideWhenUsed/>
    <w:rsid w:val="00377D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7D9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7068">
      <w:bodyDiv w:val="1"/>
      <w:marLeft w:val="0"/>
      <w:marRight w:val="0"/>
      <w:marTop w:val="0"/>
      <w:marBottom w:val="0"/>
      <w:divBdr>
        <w:top w:val="none" w:sz="0" w:space="0" w:color="auto"/>
        <w:left w:val="none" w:sz="0" w:space="0" w:color="auto"/>
        <w:bottom w:val="none" w:sz="0" w:space="0" w:color="auto"/>
        <w:right w:val="none" w:sz="0" w:space="0" w:color="auto"/>
      </w:divBdr>
      <w:divsChild>
        <w:div w:id="268853281">
          <w:marLeft w:val="0"/>
          <w:marRight w:val="0"/>
          <w:marTop w:val="0"/>
          <w:marBottom w:val="0"/>
          <w:divBdr>
            <w:top w:val="none" w:sz="0" w:space="0" w:color="auto"/>
            <w:left w:val="none" w:sz="0" w:space="0" w:color="auto"/>
            <w:bottom w:val="none" w:sz="0" w:space="0" w:color="auto"/>
            <w:right w:val="none" w:sz="0" w:space="0" w:color="auto"/>
          </w:divBdr>
          <w:divsChild>
            <w:div w:id="1688554395">
              <w:marLeft w:val="0"/>
              <w:marRight w:val="0"/>
              <w:marTop w:val="0"/>
              <w:marBottom w:val="0"/>
              <w:divBdr>
                <w:top w:val="none" w:sz="0" w:space="0" w:color="auto"/>
                <w:left w:val="none" w:sz="0" w:space="0" w:color="auto"/>
                <w:bottom w:val="none" w:sz="0" w:space="0" w:color="auto"/>
                <w:right w:val="none" w:sz="0" w:space="0" w:color="auto"/>
              </w:divBdr>
              <w:divsChild>
                <w:div w:id="2039089178">
                  <w:marLeft w:val="0"/>
                  <w:marRight w:val="0"/>
                  <w:marTop w:val="0"/>
                  <w:marBottom w:val="0"/>
                  <w:divBdr>
                    <w:top w:val="none" w:sz="0" w:space="0" w:color="auto"/>
                    <w:left w:val="none" w:sz="0" w:space="0" w:color="auto"/>
                    <w:bottom w:val="none" w:sz="0" w:space="0" w:color="auto"/>
                    <w:right w:val="none" w:sz="0" w:space="0" w:color="auto"/>
                  </w:divBdr>
                  <w:divsChild>
                    <w:div w:id="16651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61967">
      <w:bodyDiv w:val="1"/>
      <w:marLeft w:val="0"/>
      <w:marRight w:val="0"/>
      <w:marTop w:val="0"/>
      <w:marBottom w:val="0"/>
      <w:divBdr>
        <w:top w:val="none" w:sz="0" w:space="0" w:color="auto"/>
        <w:left w:val="none" w:sz="0" w:space="0" w:color="auto"/>
        <w:bottom w:val="none" w:sz="0" w:space="0" w:color="auto"/>
        <w:right w:val="none" w:sz="0" w:space="0" w:color="auto"/>
      </w:divBdr>
      <w:divsChild>
        <w:div w:id="72819063">
          <w:marLeft w:val="0"/>
          <w:marRight w:val="0"/>
          <w:marTop w:val="0"/>
          <w:marBottom w:val="0"/>
          <w:divBdr>
            <w:top w:val="none" w:sz="0" w:space="0" w:color="auto"/>
            <w:left w:val="none" w:sz="0" w:space="0" w:color="auto"/>
            <w:bottom w:val="none" w:sz="0" w:space="0" w:color="auto"/>
            <w:right w:val="none" w:sz="0" w:space="0" w:color="auto"/>
          </w:divBdr>
          <w:divsChild>
            <w:div w:id="1846046895">
              <w:marLeft w:val="0"/>
              <w:marRight w:val="0"/>
              <w:marTop w:val="0"/>
              <w:marBottom w:val="0"/>
              <w:divBdr>
                <w:top w:val="none" w:sz="0" w:space="0" w:color="auto"/>
                <w:left w:val="none" w:sz="0" w:space="0" w:color="auto"/>
                <w:bottom w:val="none" w:sz="0" w:space="0" w:color="auto"/>
                <w:right w:val="none" w:sz="0" w:space="0" w:color="auto"/>
              </w:divBdr>
              <w:divsChild>
                <w:div w:id="7452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683">
          <w:marLeft w:val="0"/>
          <w:marRight w:val="0"/>
          <w:marTop w:val="0"/>
          <w:marBottom w:val="0"/>
          <w:divBdr>
            <w:top w:val="none" w:sz="0" w:space="0" w:color="auto"/>
            <w:left w:val="none" w:sz="0" w:space="0" w:color="auto"/>
            <w:bottom w:val="none" w:sz="0" w:space="0" w:color="auto"/>
            <w:right w:val="none" w:sz="0" w:space="0" w:color="auto"/>
          </w:divBdr>
          <w:divsChild>
            <w:div w:id="124079470">
              <w:marLeft w:val="0"/>
              <w:marRight w:val="0"/>
              <w:marTop w:val="0"/>
              <w:marBottom w:val="0"/>
              <w:divBdr>
                <w:top w:val="none" w:sz="0" w:space="0" w:color="auto"/>
                <w:left w:val="none" w:sz="0" w:space="0" w:color="auto"/>
                <w:bottom w:val="none" w:sz="0" w:space="0" w:color="auto"/>
                <w:right w:val="none" w:sz="0" w:space="0" w:color="auto"/>
              </w:divBdr>
              <w:divsChild>
                <w:div w:id="907492687">
                  <w:marLeft w:val="0"/>
                  <w:marRight w:val="0"/>
                  <w:marTop w:val="0"/>
                  <w:marBottom w:val="0"/>
                  <w:divBdr>
                    <w:top w:val="none" w:sz="0" w:space="0" w:color="auto"/>
                    <w:left w:val="none" w:sz="0" w:space="0" w:color="auto"/>
                    <w:bottom w:val="none" w:sz="0" w:space="0" w:color="auto"/>
                    <w:right w:val="none" w:sz="0" w:space="0" w:color="auto"/>
                  </w:divBdr>
                </w:div>
              </w:divsChild>
            </w:div>
            <w:div w:id="1409572422">
              <w:marLeft w:val="0"/>
              <w:marRight w:val="0"/>
              <w:marTop w:val="0"/>
              <w:marBottom w:val="0"/>
              <w:divBdr>
                <w:top w:val="none" w:sz="0" w:space="0" w:color="auto"/>
                <w:left w:val="none" w:sz="0" w:space="0" w:color="auto"/>
                <w:bottom w:val="none" w:sz="0" w:space="0" w:color="auto"/>
                <w:right w:val="none" w:sz="0" w:space="0" w:color="auto"/>
              </w:divBdr>
              <w:divsChild>
                <w:div w:id="18105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3745">
          <w:marLeft w:val="0"/>
          <w:marRight w:val="0"/>
          <w:marTop w:val="0"/>
          <w:marBottom w:val="0"/>
          <w:divBdr>
            <w:top w:val="none" w:sz="0" w:space="0" w:color="auto"/>
            <w:left w:val="none" w:sz="0" w:space="0" w:color="auto"/>
            <w:bottom w:val="none" w:sz="0" w:space="0" w:color="auto"/>
            <w:right w:val="none" w:sz="0" w:space="0" w:color="auto"/>
          </w:divBdr>
          <w:divsChild>
            <w:div w:id="38434839">
              <w:marLeft w:val="0"/>
              <w:marRight w:val="0"/>
              <w:marTop w:val="0"/>
              <w:marBottom w:val="0"/>
              <w:divBdr>
                <w:top w:val="none" w:sz="0" w:space="0" w:color="auto"/>
                <w:left w:val="none" w:sz="0" w:space="0" w:color="auto"/>
                <w:bottom w:val="none" w:sz="0" w:space="0" w:color="auto"/>
                <w:right w:val="none" w:sz="0" w:space="0" w:color="auto"/>
              </w:divBdr>
              <w:divsChild>
                <w:div w:id="1706561684">
                  <w:marLeft w:val="0"/>
                  <w:marRight w:val="0"/>
                  <w:marTop w:val="0"/>
                  <w:marBottom w:val="0"/>
                  <w:divBdr>
                    <w:top w:val="none" w:sz="0" w:space="0" w:color="auto"/>
                    <w:left w:val="none" w:sz="0" w:space="0" w:color="auto"/>
                    <w:bottom w:val="none" w:sz="0" w:space="0" w:color="auto"/>
                    <w:right w:val="none" w:sz="0" w:space="0" w:color="auto"/>
                  </w:divBdr>
                </w:div>
              </w:divsChild>
            </w:div>
            <w:div w:id="239485542">
              <w:marLeft w:val="0"/>
              <w:marRight w:val="0"/>
              <w:marTop w:val="0"/>
              <w:marBottom w:val="0"/>
              <w:divBdr>
                <w:top w:val="none" w:sz="0" w:space="0" w:color="auto"/>
                <w:left w:val="none" w:sz="0" w:space="0" w:color="auto"/>
                <w:bottom w:val="none" w:sz="0" w:space="0" w:color="auto"/>
                <w:right w:val="none" w:sz="0" w:space="0" w:color="auto"/>
              </w:divBdr>
              <w:divsChild>
                <w:div w:id="11702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7295">
          <w:marLeft w:val="0"/>
          <w:marRight w:val="0"/>
          <w:marTop w:val="0"/>
          <w:marBottom w:val="0"/>
          <w:divBdr>
            <w:top w:val="none" w:sz="0" w:space="0" w:color="auto"/>
            <w:left w:val="none" w:sz="0" w:space="0" w:color="auto"/>
            <w:bottom w:val="none" w:sz="0" w:space="0" w:color="auto"/>
            <w:right w:val="none" w:sz="0" w:space="0" w:color="auto"/>
          </w:divBdr>
          <w:divsChild>
            <w:div w:id="302346532">
              <w:marLeft w:val="0"/>
              <w:marRight w:val="0"/>
              <w:marTop w:val="0"/>
              <w:marBottom w:val="0"/>
              <w:divBdr>
                <w:top w:val="none" w:sz="0" w:space="0" w:color="auto"/>
                <w:left w:val="none" w:sz="0" w:space="0" w:color="auto"/>
                <w:bottom w:val="none" w:sz="0" w:space="0" w:color="auto"/>
                <w:right w:val="none" w:sz="0" w:space="0" w:color="auto"/>
              </w:divBdr>
              <w:divsChild>
                <w:div w:id="166410514">
                  <w:marLeft w:val="0"/>
                  <w:marRight w:val="0"/>
                  <w:marTop w:val="0"/>
                  <w:marBottom w:val="0"/>
                  <w:divBdr>
                    <w:top w:val="none" w:sz="0" w:space="0" w:color="auto"/>
                    <w:left w:val="none" w:sz="0" w:space="0" w:color="auto"/>
                    <w:bottom w:val="none" w:sz="0" w:space="0" w:color="auto"/>
                    <w:right w:val="none" w:sz="0" w:space="0" w:color="auto"/>
                  </w:divBdr>
                </w:div>
              </w:divsChild>
            </w:div>
            <w:div w:id="446699541">
              <w:marLeft w:val="0"/>
              <w:marRight w:val="0"/>
              <w:marTop w:val="0"/>
              <w:marBottom w:val="0"/>
              <w:divBdr>
                <w:top w:val="none" w:sz="0" w:space="0" w:color="auto"/>
                <w:left w:val="none" w:sz="0" w:space="0" w:color="auto"/>
                <w:bottom w:val="none" w:sz="0" w:space="0" w:color="auto"/>
                <w:right w:val="none" w:sz="0" w:space="0" w:color="auto"/>
              </w:divBdr>
              <w:divsChild>
                <w:div w:id="6251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87086">
      <w:bodyDiv w:val="1"/>
      <w:marLeft w:val="0"/>
      <w:marRight w:val="0"/>
      <w:marTop w:val="0"/>
      <w:marBottom w:val="0"/>
      <w:divBdr>
        <w:top w:val="none" w:sz="0" w:space="0" w:color="auto"/>
        <w:left w:val="none" w:sz="0" w:space="0" w:color="auto"/>
        <w:bottom w:val="none" w:sz="0" w:space="0" w:color="auto"/>
        <w:right w:val="none" w:sz="0" w:space="0" w:color="auto"/>
      </w:divBdr>
    </w:div>
    <w:div w:id="616571897">
      <w:bodyDiv w:val="1"/>
      <w:marLeft w:val="0"/>
      <w:marRight w:val="0"/>
      <w:marTop w:val="0"/>
      <w:marBottom w:val="0"/>
      <w:divBdr>
        <w:top w:val="none" w:sz="0" w:space="0" w:color="auto"/>
        <w:left w:val="none" w:sz="0" w:space="0" w:color="auto"/>
        <w:bottom w:val="none" w:sz="0" w:space="0" w:color="auto"/>
        <w:right w:val="none" w:sz="0" w:space="0" w:color="auto"/>
      </w:divBdr>
      <w:divsChild>
        <w:div w:id="662245585">
          <w:marLeft w:val="0"/>
          <w:marRight w:val="0"/>
          <w:marTop w:val="0"/>
          <w:marBottom w:val="0"/>
          <w:divBdr>
            <w:top w:val="none" w:sz="0" w:space="0" w:color="auto"/>
            <w:left w:val="none" w:sz="0" w:space="0" w:color="auto"/>
            <w:bottom w:val="none" w:sz="0" w:space="0" w:color="auto"/>
            <w:right w:val="none" w:sz="0" w:space="0" w:color="auto"/>
          </w:divBdr>
          <w:divsChild>
            <w:div w:id="1785154089">
              <w:marLeft w:val="0"/>
              <w:marRight w:val="0"/>
              <w:marTop w:val="0"/>
              <w:marBottom w:val="0"/>
              <w:divBdr>
                <w:top w:val="none" w:sz="0" w:space="0" w:color="auto"/>
                <w:left w:val="none" w:sz="0" w:space="0" w:color="auto"/>
                <w:bottom w:val="none" w:sz="0" w:space="0" w:color="auto"/>
                <w:right w:val="none" w:sz="0" w:space="0" w:color="auto"/>
              </w:divBdr>
              <w:divsChild>
                <w:div w:id="358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35807">
      <w:bodyDiv w:val="1"/>
      <w:marLeft w:val="0"/>
      <w:marRight w:val="0"/>
      <w:marTop w:val="0"/>
      <w:marBottom w:val="0"/>
      <w:divBdr>
        <w:top w:val="none" w:sz="0" w:space="0" w:color="auto"/>
        <w:left w:val="none" w:sz="0" w:space="0" w:color="auto"/>
        <w:bottom w:val="none" w:sz="0" w:space="0" w:color="auto"/>
        <w:right w:val="none" w:sz="0" w:space="0" w:color="auto"/>
      </w:divBdr>
      <w:divsChild>
        <w:div w:id="716078830">
          <w:marLeft w:val="0"/>
          <w:marRight w:val="0"/>
          <w:marTop w:val="0"/>
          <w:marBottom w:val="0"/>
          <w:divBdr>
            <w:top w:val="none" w:sz="0" w:space="0" w:color="auto"/>
            <w:left w:val="none" w:sz="0" w:space="0" w:color="auto"/>
            <w:bottom w:val="none" w:sz="0" w:space="0" w:color="auto"/>
            <w:right w:val="none" w:sz="0" w:space="0" w:color="auto"/>
          </w:divBdr>
          <w:divsChild>
            <w:div w:id="1338313783">
              <w:marLeft w:val="0"/>
              <w:marRight w:val="0"/>
              <w:marTop w:val="0"/>
              <w:marBottom w:val="0"/>
              <w:divBdr>
                <w:top w:val="none" w:sz="0" w:space="0" w:color="auto"/>
                <w:left w:val="none" w:sz="0" w:space="0" w:color="auto"/>
                <w:bottom w:val="none" w:sz="0" w:space="0" w:color="auto"/>
                <w:right w:val="none" w:sz="0" w:space="0" w:color="auto"/>
              </w:divBdr>
              <w:divsChild>
                <w:div w:id="16416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5448">
      <w:bodyDiv w:val="1"/>
      <w:marLeft w:val="0"/>
      <w:marRight w:val="0"/>
      <w:marTop w:val="0"/>
      <w:marBottom w:val="0"/>
      <w:divBdr>
        <w:top w:val="none" w:sz="0" w:space="0" w:color="auto"/>
        <w:left w:val="none" w:sz="0" w:space="0" w:color="auto"/>
        <w:bottom w:val="none" w:sz="0" w:space="0" w:color="auto"/>
        <w:right w:val="none" w:sz="0" w:space="0" w:color="auto"/>
      </w:divBdr>
      <w:divsChild>
        <w:div w:id="372388509">
          <w:marLeft w:val="0"/>
          <w:marRight w:val="0"/>
          <w:marTop w:val="0"/>
          <w:marBottom w:val="0"/>
          <w:divBdr>
            <w:top w:val="none" w:sz="0" w:space="0" w:color="auto"/>
            <w:left w:val="none" w:sz="0" w:space="0" w:color="auto"/>
            <w:bottom w:val="none" w:sz="0" w:space="0" w:color="auto"/>
            <w:right w:val="none" w:sz="0" w:space="0" w:color="auto"/>
          </w:divBdr>
          <w:divsChild>
            <w:div w:id="596862406">
              <w:marLeft w:val="0"/>
              <w:marRight w:val="0"/>
              <w:marTop w:val="0"/>
              <w:marBottom w:val="0"/>
              <w:divBdr>
                <w:top w:val="none" w:sz="0" w:space="0" w:color="auto"/>
                <w:left w:val="none" w:sz="0" w:space="0" w:color="auto"/>
                <w:bottom w:val="none" w:sz="0" w:space="0" w:color="auto"/>
                <w:right w:val="none" w:sz="0" w:space="0" w:color="auto"/>
              </w:divBdr>
              <w:divsChild>
                <w:div w:id="1348673726">
                  <w:marLeft w:val="0"/>
                  <w:marRight w:val="0"/>
                  <w:marTop w:val="0"/>
                  <w:marBottom w:val="0"/>
                  <w:divBdr>
                    <w:top w:val="none" w:sz="0" w:space="0" w:color="auto"/>
                    <w:left w:val="none" w:sz="0" w:space="0" w:color="auto"/>
                    <w:bottom w:val="none" w:sz="0" w:space="0" w:color="auto"/>
                    <w:right w:val="none" w:sz="0" w:space="0" w:color="auto"/>
                  </w:divBdr>
                </w:div>
              </w:divsChild>
            </w:div>
            <w:div w:id="1605649615">
              <w:marLeft w:val="0"/>
              <w:marRight w:val="0"/>
              <w:marTop w:val="0"/>
              <w:marBottom w:val="0"/>
              <w:divBdr>
                <w:top w:val="none" w:sz="0" w:space="0" w:color="auto"/>
                <w:left w:val="none" w:sz="0" w:space="0" w:color="auto"/>
                <w:bottom w:val="none" w:sz="0" w:space="0" w:color="auto"/>
                <w:right w:val="none" w:sz="0" w:space="0" w:color="auto"/>
              </w:divBdr>
              <w:divsChild>
                <w:div w:id="596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18584">
      <w:bodyDiv w:val="1"/>
      <w:marLeft w:val="0"/>
      <w:marRight w:val="0"/>
      <w:marTop w:val="0"/>
      <w:marBottom w:val="0"/>
      <w:divBdr>
        <w:top w:val="none" w:sz="0" w:space="0" w:color="auto"/>
        <w:left w:val="none" w:sz="0" w:space="0" w:color="auto"/>
        <w:bottom w:val="none" w:sz="0" w:space="0" w:color="auto"/>
        <w:right w:val="none" w:sz="0" w:space="0" w:color="auto"/>
      </w:divBdr>
      <w:divsChild>
        <w:div w:id="1294291492">
          <w:marLeft w:val="0"/>
          <w:marRight w:val="0"/>
          <w:marTop w:val="0"/>
          <w:marBottom w:val="0"/>
          <w:divBdr>
            <w:top w:val="none" w:sz="0" w:space="0" w:color="auto"/>
            <w:left w:val="none" w:sz="0" w:space="0" w:color="auto"/>
            <w:bottom w:val="none" w:sz="0" w:space="0" w:color="auto"/>
            <w:right w:val="none" w:sz="0" w:space="0" w:color="auto"/>
          </w:divBdr>
          <w:divsChild>
            <w:div w:id="808785590">
              <w:marLeft w:val="0"/>
              <w:marRight w:val="0"/>
              <w:marTop w:val="0"/>
              <w:marBottom w:val="0"/>
              <w:divBdr>
                <w:top w:val="none" w:sz="0" w:space="0" w:color="auto"/>
                <w:left w:val="none" w:sz="0" w:space="0" w:color="auto"/>
                <w:bottom w:val="none" w:sz="0" w:space="0" w:color="auto"/>
                <w:right w:val="none" w:sz="0" w:space="0" w:color="auto"/>
              </w:divBdr>
              <w:divsChild>
                <w:div w:id="18791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1730">
      <w:bodyDiv w:val="1"/>
      <w:marLeft w:val="0"/>
      <w:marRight w:val="0"/>
      <w:marTop w:val="0"/>
      <w:marBottom w:val="0"/>
      <w:divBdr>
        <w:top w:val="none" w:sz="0" w:space="0" w:color="auto"/>
        <w:left w:val="none" w:sz="0" w:space="0" w:color="auto"/>
        <w:bottom w:val="none" w:sz="0" w:space="0" w:color="auto"/>
        <w:right w:val="none" w:sz="0" w:space="0" w:color="auto"/>
      </w:divBdr>
      <w:divsChild>
        <w:div w:id="231894356">
          <w:marLeft w:val="0"/>
          <w:marRight w:val="0"/>
          <w:marTop w:val="0"/>
          <w:marBottom w:val="0"/>
          <w:divBdr>
            <w:top w:val="none" w:sz="0" w:space="0" w:color="auto"/>
            <w:left w:val="none" w:sz="0" w:space="0" w:color="auto"/>
            <w:bottom w:val="none" w:sz="0" w:space="0" w:color="auto"/>
            <w:right w:val="none" w:sz="0" w:space="0" w:color="auto"/>
          </w:divBdr>
          <w:divsChild>
            <w:div w:id="591082954">
              <w:marLeft w:val="0"/>
              <w:marRight w:val="0"/>
              <w:marTop w:val="0"/>
              <w:marBottom w:val="0"/>
              <w:divBdr>
                <w:top w:val="none" w:sz="0" w:space="0" w:color="auto"/>
                <w:left w:val="none" w:sz="0" w:space="0" w:color="auto"/>
                <w:bottom w:val="none" w:sz="0" w:space="0" w:color="auto"/>
                <w:right w:val="none" w:sz="0" w:space="0" w:color="auto"/>
              </w:divBdr>
              <w:divsChild>
                <w:div w:id="118378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1572">
      <w:bodyDiv w:val="1"/>
      <w:marLeft w:val="0"/>
      <w:marRight w:val="0"/>
      <w:marTop w:val="0"/>
      <w:marBottom w:val="0"/>
      <w:divBdr>
        <w:top w:val="none" w:sz="0" w:space="0" w:color="auto"/>
        <w:left w:val="none" w:sz="0" w:space="0" w:color="auto"/>
        <w:bottom w:val="none" w:sz="0" w:space="0" w:color="auto"/>
        <w:right w:val="none" w:sz="0" w:space="0" w:color="auto"/>
      </w:divBdr>
      <w:divsChild>
        <w:div w:id="1478106303">
          <w:marLeft w:val="0"/>
          <w:marRight w:val="0"/>
          <w:marTop w:val="0"/>
          <w:marBottom w:val="0"/>
          <w:divBdr>
            <w:top w:val="none" w:sz="0" w:space="0" w:color="auto"/>
            <w:left w:val="none" w:sz="0" w:space="0" w:color="auto"/>
            <w:bottom w:val="none" w:sz="0" w:space="0" w:color="auto"/>
            <w:right w:val="none" w:sz="0" w:space="0" w:color="auto"/>
          </w:divBdr>
          <w:divsChild>
            <w:div w:id="1168179262">
              <w:marLeft w:val="0"/>
              <w:marRight w:val="0"/>
              <w:marTop w:val="0"/>
              <w:marBottom w:val="0"/>
              <w:divBdr>
                <w:top w:val="none" w:sz="0" w:space="0" w:color="auto"/>
                <w:left w:val="none" w:sz="0" w:space="0" w:color="auto"/>
                <w:bottom w:val="none" w:sz="0" w:space="0" w:color="auto"/>
                <w:right w:val="none" w:sz="0" w:space="0" w:color="auto"/>
              </w:divBdr>
              <w:divsChild>
                <w:div w:id="4540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6714">
      <w:bodyDiv w:val="1"/>
      <w:marLeft w:val="0"/>
      <w:marRight w:val="0"/>
      <w:marTop w:val="0"/>
      <w:marBottom w:val="0"/>
      <w:divBdr>
        <w:top w:val="none" w:sz="0" w:space="0" w:color="auto"/>
        <w:left w:val="none" w:sz="0" w:space="0" w:color="auto"/>
        <w:bottom w:val="none" w:sz="0" w:space="0" w:color="auto"/>
        <w:right w:val="none" w:sz="0" w:space="0" w:color="auto"/>
      </w:divBdr>
      <w:divsChild>
        <w:div w:id="505167301">
          <w:marLeft w:val="0"/>
          <w:marRight w:val="0"/>
          <w:marTop w:val="0"/>
          <w:marBottom w:val="0"/>
          <w:divBdr>
            <w:top w:val="none" w:sz="0" w:space="0" w:color="auto"/>
            <w:left w:val="none" w:sz="0" w:space="0" w:color="auto"/>
            <w:bottom w:val="none" w:sz="0" w:space="0" w:color="auto"/>
            <w:right w:val="none" w:sz="0" w:space="0" w:color="auto"/>
          </w:divBdr>
          <w:divsChild>
            <w:div w:id="455637285">
              <w:marLeft w:val="0"/>
              <w:marRight w:val="0"/>
              <w:marTop w:val="0"/>
              <w:marBottom w:val="0"/>
              <w:divBdr>
                <w:top w:val="none" w:sz="0" w:space="0" w:color="auto"/>
                <w:left w:val="none" w:sz="0" w:space="0" w:color="auto"/>
                <w:bottom w:val="none" w:sz="0" w:space="0" w:color="auto"/>
                <w:right w:val="none" w:sz="0" w:space="0" w:color="auto"/>
              </w:divBdr>
              <w:divsChild>
                <w:div w:id="1247375715">
                  <w:marLeft w:val="0"/>
                  <w:marRight w:val="0"/>
                  <w:marTop w:val="0"/>
                  <w:marBottom w:val="0"/>
                  <w:divBdr>
                    <w:top w:val="none" w:sz="0" w:space="0" w:color="auto"/>
                    <w:left w:val="none" w:sz="0" w:space="0" w:color="auto"/>
                    <w:bottom w:val="none" w:sz="0" w:space="0" w:color="auto"/>
                    <w:right w:val="none" w:sz="0" w:space="0" w:color="auto"/>
                  </w:divBdr>
                </w:div>
              </w:divsChild>
            </w:div>
            <w:div w:id="808547121">
              <w:marLeft w:val="0"/>
              <w:marRight w:val="0"/>
              <w:marTop w:val="0"/>
              <w:marBottom w:val="0"/>
              <w:divBdr>
                <w:top w:val="none" w:sz="0" w:space="0" w:color="auto"/>
                <w:left w:val="none" w:sz="0" w:space="0" w:color="auto"/>
                <w:bottom w:val="none" w:sz="0" w:space="0" w:color="auto"/>
                <w:right w:val="none" w:sz="0" w:space="0" w:color="auto"/>
              </w:divBdr>
              <w:divsChild>
                <w:div w:id="884757781">
                  <w:marLeft w:val="0"/>
                  <w:marRight w:val="0"/>
                  <w:marTop w:val="0"/>
                  <w:marBottom w:val="0"/>
                  <w:divBdr>
                    <w:top w:val="none" w:sz="0" w:space="0" w:color="auto"/>
                    <w:left w:val="none" w:sz="0" w:space="0" w:color="auto"/>
                    <w:bottom w:val="none" w:sz="0" w:space="0" w:color="auto"/>
                    <w:right w:val="none" w:sz="0" w:space="0" w:color="auto"/>
                  </w:divBdr>
                  <w:divsChild>
                    <w:div w:id="10451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3725">
              <w:marLeft w:val="0"/>
              <w:marRight w:val="0"/>
              <w:marTop w:val="0"/>
              <w:marBottom w:val="0"/>
              <w:divBdr>
                <w:top w:val="none" w:sz="0" w:space="0" w:color="auto"/>
                <w:left w:val="none" w:sz="0" w:space="0" w:color="auto"/>
                <w:bottom w:val="none" w:sz="0" w:space="0" w:color="auto"/>
                <w:right w:val="none" w:sz="0" w:space="0" w:color="auto"/>
              </w:divBdr>
              <w:divsChild>
                <w:div w:id="209554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5660">
      <w:bodyDiv w:val="1"/>
      <w:marLeft w:val="0"/>
      <w:marRight w:val="0"/>
      <w:marTop w:val="0"/>
      <w:marBottom w:val="0"/>
      <w:divBdr>
        <w:top w:val="none" w:sz="0" w:space="0" w:color="auto"/>
        <w:left w:val="none" w:sz="0" w:space="0" w:color="auto"/>
        <w:bottom w:val="none" w:sz="0" w:space="0" w:color="auto"/>
        <w:right w:val="none" w:sz="0" w:space="0" w:color="auto"/>
      </w:divBdr>
      <w:divsChild>
        <w:div w:id="544560264">
          <w:marLeft w:val="0"/>
          <w:marRight w:val="0"/>
          <w:marTop w:val="0"/>
          <w:marBottom w:val="0"/>
          <w:divBdr>
            <w:top w:val="none" w:sz="0" w:space="0" w:color="auto"/>
            <w:left w:val="none" w:sz="0" w:space="0" w:color="auto"/>
            <w:bottom w:val="none" w:sz="0" w:space="0" w:color="auto"/>
            <w:right w:val="none" w:sz="0" w:space="0" w:color="auto"/>
          </w:divBdr>
          <w:divsChild>
            <w:div w:id="1009260600">
              <w:marLeft w:val="0"/>
              <w:marRight w:val="0"/>
              <w:marTop w:val="0"/>
              <w:marBottom w:val="0"/>
              <w:divBdr>
                <w:top w:val="none" w:sz="0" w:space="0" w:color="auto"/>
                <w:left w:val="none" w:sz="0" w:space="0" w:color="auto"/>
                <w:bottom w:val="none" w:sz="0" w:space="0" w:color="auto"/>
                <w:right w:val="none" w:sz="0" w:space="0" w:color="auto"/>
              </w:divBdr>
              <w:divsChild>
                <w:div w:id="11871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niaa.gov.au/indigenous-affairs/economic-development/review-catsi-act/catsi-act-review-second-phase-written-submiss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h.gov.au/Parliamentary_Business/Committees/Senate/Finance_and_Public_Administration/CATSIAmendmentBill2018/Submiss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eption@naccho.org.a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ORIC</TermName>
          <TermId xmlns="http://schemas.microsoft.com/office/infopath/2007/PartnerControls">d151c637-14dd-4e1a-a8c5-ebf2e3d90de4</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DOC21-229172</ShareHubID>
    <TaxCatchAll xmlns="166541c0-0594-4e6a-9105-c24d4b6de6f7">
      <Value>62</Value>
      <Value>18</Value>
      <Value>57</Value>
      <Value>28</Value>
    </TaxCatchAll>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9E6A332C-DFFB-4A7B-A1DE-FDA7DC05B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6EEEE-DC0B-4B0D-A473-275FB758B981}">
  <ds:schemaRefs>
    <ds:schemaRef ds:uri="http://schemas.microsoft.com/sharepoint/v3/contenttype/forms"/>
  </ds:schemaRefs>
</ds:datastoreItem>
</file>

<file path=customXml/itemProps3.xml><?xml version="1.0" encoding="utf-8"?>
<ds:datastoreItem xmlns:ds="http://schemas.openxmlformats.org/officeDocument/2006/customXml" ds:itemID="{8654E978-5223-4031-8E3F-B8D37856DCD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685f9fda-bd71-4433-b331-92feb9553089"/>
    <ds:schemaRef ds:uri="166541c0-0594-4e6a-9105-c24d4b6de6f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5027</Words>
  <Characters>28654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2021-08-09T23:01:00Z</dcterms:created>
  <dcterms:modified xsi:type="dcterms:W3CDTF">2021-08-09T23:01:00Z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28;#ORIC|d151c637-14dd-4e1a-a8c5-ebf2e3d90de4;#62;#COVID-19|c1da604a-829f-435b-844b-fd97e09d1455;#18;#Cabinet|84cba657-17c1-4642-9e59-a0df180c2be5</vt:lpwstr>
  </property>
  <property fmtid="{D5CDD505-2E9C-101B-9397-08002B2CF9AE}" pid="5" name="HPRMSecurityLevel">
    <vt:lpwstr>57;#OFFICIAL|11463c70-78df-4e3b-b0ff-f66cd3cb26ec</vt:lpwstr>
  </property>
  <property fmtid="{D5CDD505-2E9C-101B-9397-08002B2CF9AE}" pid="6" name="HPRMSecurityCaveat">
    <vt:lpwstr/>
  </property>
  <property fmtid="{D5CDD505-2E9C-101B-9397-08002B2CF9AE}" pid="7" name="PMC.ESearch.TagGeneratedTime">
    <vt:lpwstr>2021-08-10T09:02:16</vt:lpwstr>
  </property>
</Properties>
</file>