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1E3A4" w14:textId="77777777" w:rsidR="007C680A" w:rsidRPr="00F5725B" w:rsidRDefault="007C680A" w:rsidP="00C54E8E">
      <w:pPr>
        <w:spacing w:after="0" w:line="276" w:lineRule="auto"/>
        <w:rPr>
          <w:rFonts w:ascii="Franklin Gothic Book" w:eastAsia="Times New Roman" w:hAnsi="Franklin Gothic Book" w:cs="Calibri"/>
        </w:rPr>
      </w:pPr>
      <w:r w:rsidRPr="00F5725B">
        <w:rPr>
          <w:rFonts w:ascii="Franklin Gothic Book" w:hAnsi="Franklin Gothic Book"/>
          <w:noProof/>
          <w:lang w:eastAsia="en-AU"/>
        </w:rPr>
        <w:drawing>
          <wp:inline distT="0" distB="0" distL="0" distR="0" wp14:anchorId="45C0AB55" wp14:editId="0B79A384">
            <wp:extent cx="3604260" cy="723265"/>
            <wp:effectExtent l="0" t="0" r="0" b="635"/>
            <wp:docPr id="1" name="Picture 1" descr="C:\Users\Georgie Sutton\AppData\Local\Microsoft\Windows\INetCache\Content.Word\clc_logo_strap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orgie Sutton\AppData\Local\Microsoft\Windows\INetCache\Content.Word\clc_logo_strap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4260" cy="723265"/>
                    </a:xfrm>
                    <a:prstGeom prst="rect">
                      <a:avLst/>
                    </a:prstGeom>
                    <a:noFill/>
                    <a:ln>
                      <a:noFill/>
                    </a:ln>
                  </pic:spPr>
                </pic:pic>
              </a:graphicData>
            </a:graphic>
          </wp:inline>
        </w:drawing>
      </w:r>
    </w:p>
    <w:p w14:paraId="2326BBF5" w14:textId="77777777" w:rsidR="007C680A" w:rsidRPr="00F5725B" w:rsidRDefault="007C680A" w:rsidP="00C54E8E">
      <w:pPr>
        <w:spacing w:after="0" w:line="276" w:lineRule="auto"/>
        <w:rPr>
          <w:rFonts w:ascii="Franklin Gothic Book" w:eastAsia="Times New Roman" w:hAnsi="Franklin Gothic Book" w:cs="Calibri"/>
        </w:rPr>
      </w:pPr>
    </w:p>
    <w:p w14:paraId="20057462" w14:textId="77777777" w:rsidR="007C680A" w:rsidRPr="00F5725B" w:rsidRDefault="007C680A" w:rsidP="00C54E8E">
      <w:pPr>
        <w:pStyle w:val="Default"/>
        <w:spacing w:line="276" w:lineRule="auto"/>
        <w:rPr>
          <w:sz w:val="40"/>
          <w:szCs w:val="40"/>
        </w:rPr>
      </w:pPr>
    </w:p>
    <w:p w14:paraId="0C4E86EE" w14:textId="77777777" w:rsidR="00C54E8E" w:rsidRPr="00F5725B" w:rsidRDefault="00C54E8E" w:rsidP="00C54E8E">
      <w:pPr>
        <w:pStyle w:val="Default"/>
        <w:spacing w:line="276" w:lineRule="auto"/>
        <w:rPr>
          <w:sz w:val="40"/>
          <w:szCs w:val="40"/>
        </w:rPr>
      </w:pPr>
    </w:p>
    <w:p w14:paraId="3B9B1C32" w14:textId="77777777" w:rsidR="00C54E8E" w:rsidRPr="00F5725B" w:rsidRDefault="00C54E8E" w:rsidP="00C54E8E">
      <w:pPr>
        <w:pStyle w:val="Default"/>
        <w:spacing w:line="276" w:lineRule="auto"/>
        <w:rPr>
          <w:sz w:val="40"/>
          <w:szCs w:val="40"/>
        </w:rPr>
      </w:pPr>
    </w:p>
    <w:p w14:paraId="48958BCC" w14:textId="77777777" w:rsidR="007C680A" w:rsidRPr="00F5725B" w:rsidRDefault="007C680A" w:rsidP="00C54E8E">
      <w:pPr>
        <w:pStyle w:val="Default"/>
        <w:spacing w:line="276" w:lineRule="auto"/>
        <w:rPr>
          <w:b/>
          <w:sz w:val="40"/>
          <w:szCs w:val="40"/>
        </w:rPr>
      </w:pPr>
      <w:r w:rsidRPr="00F5725B">
        <w:rPr>
          <w:b/>
          <w:sz w:val="40"/>
          <w:szCs w:val="40"/>
        </w:rPr>
        <w:t>CATSI Amendment Bill exposure draft</w:t>
      </w:r>
    </w:p>
    <w:p w14:paraId="2C20DE96" w14:textId="77777777" w:rsidR="007C680A" w:rsidRPr="00F5725B" w:rsidRDefault="007C680A" w:rsidP="00C54E8E">
      <w:pPr>
        <w:pStyle w:val="Default"/>
        <w:spacing w:line="276" w:lineRule="auto"/>
        <w:rPr>
          <w:sz w:val="40"/>
          <w:szCs w:val="40"/>
        </w:rPr>
      </w:pPr>
    </w:p>
    <w:p w14:paraId="0407F34B" w14:textId="77777777" w:rsidR="007C680A" w:rsidRPr="00F5725B" w:rsidRDefault="007C680A" w:rsidP="00C54E8E">
      <w:pPr>
        <w:pStyle w:val="Default"/>
        <w:spacing w:line="276" w:lineRule="auto"/>
        <w:rPr>
          <w:i/>
          <w:iCs/>
          <w:sz w:val="32"/>
          <w:szCs w:val="32"/>
        </w:rPr>
      </w:pPr>
    </w:p>
    <w:p w14:paraId="400D2CB5" w14:textId="77777777" w:rsidR="007C680A" w:rsidRPr="00F5725B" w:rsidRDefault="007C680A" w:rsidP="00C54E8E">
      <w:pPr>
        <w:pStyle w:val="Default"/>
        <w:spacing w:line="276" w:lineRule="auto"/>
        <w:rPr>
          <w:i/>
          <w:iCs/>
          <w:sz w:val="32"/>
          <w:szCs w:val="32"/>
        </w:rPr>
      </w:pPr>
    </w:p>
    <w:p w14:paraId="5478F8E4" w14:textId="77777777" w:rsidR="00C370C5" w:rsidRPr="00F5725B" w:rsidRDefault="00C370C5" w:rsidP="00C54E8E">
      <w:pPr>
        <w:pStyle w:val="Default"/>
        <w:spacing w:line="276" w:lineRule="auto"/>
        <w:rPr>
          <w:i/>
          <w:iCs/>
          <w:sz w:val="32"/>
          <w:szCs w:val="32"/>
        </w:rPr>
      </w:pPr>
    </w:p>
    <w:p w14:paraId="3FF11433" w14:textId="77777777" w:rsidR="00C370C5" w:rsidRPr="00F5725B" w:rsidRDefault="00C370C5" w:rsidP="00C54E8E">
      <w:pPr>
        <w:pStyle w:val="Default"/>
        <w:spacing w:line="276" w:lineRule="auto"/>
        <w:rPr>
          <w:i/>
          <w:iCs/>
          <w:sz w:val="32"/>
          <w:szCs w:val="32"/>
        </w:rPr>
      </w:pPr>
    </w:p>
    <w:p w14:paraId="1EA0CC69" w14:textId="77777777" w:rsidR="00C370C5" w:rsidRPr="00F5725B" w:rsidRDefault="00C370C5" w:rsidP="00C54E8E">
      <w:pPr>
        <w:pStyle w:val="Default"/>
        <w:spacing w:line="276" w:lineRule="auto"/>
        <w:rPr>
          <w:i/>
          <w:iCs/>
          <w:sz w:val="32"/>
          <w:szCs w:val="32"/>
        </w:rPr>
      </w:pPr>
    </w:p>
    <w:p w14:paraId="19CE907E" w14:textId="77777777" w:rsidR="007C680A" w:rsidRPr="00F5725B" w:rsidRDefault="007C680A" w:rsidP="00C54E8E">
      <w:pPr>
        <w:pStyle w:val="Default"/>
        <w:spacing w:line="276" w:lineRule="auto"/>
        <w:rPr>
          <w:sz w:val="32"/>
          <w:szCs w:val="32"/>
        </w:rPr>
      </w:pPr>
      <w:r w:rsidRPr="00F5725B">
        <w:rPr>
          <w:i/>
          <w:iCs/>
          <w:sz w:val="32"/>
          <w:szCs w:val="32"/>
        </w:rPr>
        <w:t xml:space="preserve">Submission by the Central Land Council </w:t>
      </w:r>
    </w:p>
    <w:p w14:paraId="2489FC08" w14:textId="77777777" w:rsidR="007C680A" w:rsidRPr="00F5725B" w:rsidRDefault="007C680A" w:rsidP="00C54E8E">
      <w:pPr>
        <w:spacing w:after="0" w:line="276" w:lineRule="auto"/>
        <w:rPr>
          <w:rFonts w:ascii="Franklin Gothic Book" w:hAnsi="Franklin Gothic Book"/>
          <w:sz w:val="32"/>
          <w:szCs w:val="32"/>
        </w:rPr>
      </w:pPr>
    </w:p>
    <w:p w14:paraId="5C96729B" w14:textId="77777777" w:rsidR="007C680A" w:rsidRPr="00F5725B" w:rsidRDefault="007C680A" w:rsidP="00C54E8E">
      <w:pPr>
        <w:spacing w:after="0" w:line="276" w:lineRule="auto"/>
        <w:rPr>
          <w:rFonts w:ascii="Franklin Gothic Book" w:hAnsi="Franklin Gothic Book"/>
          <w:sz w:val="32"/>
          <w:szCs w:val="32"/>
        </w:rPr>
      </w:pPr>
    </w:p>
    <w:p w14:paraId="12B78AE3" w14:textId="77777777" w:rsidR="007C680A" w:rsidRPr="00F5725B" w:rsidRDefault="007C680A" w:rsidP="00C54E8E">
      <w:pPr>
        <w:spacing w:after="0" w:line="276" w:lineRule="auto"/>
        <w:rPr>
          <w:rFonts w:ascii="Franklin Gothic Book" w:hAnsi="Franklin Gothic Book"/>
          <w:sz w:val="32"/>
          <w:szCs w:val="32"/>
        </w:rPr>
      </w:pPr>
    </w:p>
    <w:p w14:paraId="2657F37E" w14:textId="77777777" w:rsidR="007C680A" w:rsidRPr="00F5725B" w:rsidRDefault="007C680A" w:rsidP="00C54E8E">
      <w:pPr>
        <w:spacing w:after="0" w:line="276" w:lineRule="auto"/>
        <w:rPr>
          <w:rFonts w:ascii="Franklin Gothic Book" w:hAnsi="Franklin Gothic Book"/>
          <w:sz w:val="32"/>
          <w:szCs w:val="32"/>
        </w:rPr>
      </w:pPr>
    </w:p>
    <w:p w14:paraId="1724F820" w14:textId="77777777" w:rsidR="00C370C5" w:rsidRPr="00F5725B" w:rsidRDefault="00C370C5" w:rsidP="00C54E8E">
      <w:pPr>
        <w:spacing w:after="0" w:line="276" w:lineRule="auto"/>
        <w:rPr>
          <w:rFonts w:ascii="Franklin Gothic Book" w:hAnsi="Franklin Gothic Book"/>
          <w:sz w:val="32"/>
          <w:szCs w:val="32"/>
        </w:rPr>
      </w:pPr>
    </w:p>
    <w:p w14:paraId="004FA4D1" w14:textId="77777777" w:rsidR="00C370C5" w:rsidRPr="00F5725B" w:rsidRDefault="00C370C5" w:rsidP="00C54E8E">
      <w:pPr>
        <w:spacing w:after="0" w:line="276" w:lineRule="auto"/>
        <w:rPr>
          <w:rFonts w:ascii="Franklin Gothic Book" w:hAnsi="Franklin Gothic Book"/>
          <w:sz w:val="32"/>
          <w:szCs w:val="32"/>
        </w:rPr>
      </w:pPr>
    </w:p>
    <w:p w14:paraId="0A729A74" w14:textId="77777777" w:rsidR="007C680A" w:rsidRPr="00F5725B" w:rsidRDefault="007C680A" w:rsidP="00C54E8E">
      <w:pPr>
        <w:spacing w:after="0" w:line="276" w:lineRule="auto"/>
        <w:rPr>
          <w:rFonts w:ascii="Franklin Gothic Book" w:eastAsia="Times New Roman" w:hAnsi="Franklin Gothic Book" w:cs="Calibri"/>
        </w:rPr>
      </w:pPr>
      <w:r w:rsidRPr="00F5725B">
        <w:rPr>
          <w:rFonts w:ascii="Franklin Gothic Book" w:hAnsi="Franklin Gothic Book"/>
          <w:sz w:val="32"/>
          <w:szCs w:val="32"/>
        </w:rPr>
        <w:t>9 August 2021</w:t>
      </w:r>
    </w:p>
    <w:p w14:paraId="699C1447" w14:textId="77777777" w:rsidR="007C680A" w:rsidRPr="00F5725B" w:rsidRDefault="007C680A" w:rsidP="00C54E8E">
      <w:pPr>
        <w:spacing w:after="0" w:line="276" w:lineRule="auto"/>
        <w:rPr>
          <w:rFonts w:ascii="Franklin Gothic Book" w:eastAsia="Times New Roman" w:hAnsi="Franklin Gothic Book" w:cs="Calibri"/>
        </w:rPr>
      </w:pPr>
    </w:p>
    <w:p w14:paraId="23C2E298" w14:textId="45AAD6D5" w:rsidR="007C680A" w:rsidRPr="00F5725B" w:rsidRDefault="007C680A" w:rsidP="00C54E8E">
      <w:pPr>
        <w:spacing w:line="276" w:lineRule="auto"/>
        <w:rPr>
          <w:rFonts w:ascii="Franklin Gothic Book" w:eastAsia="Times New Roman" w:hAnsi="Franklin Gothic Book" w:cs="Calibri"/>
        </w:rPr>
      </w:pPr>
      <w:r w:rsidRPr="00F5725B">
        <w:rPr>
          <w:rFonts w:ascii="Franklin Gothic Book" w:eastAsia="Times New Roman" w:hAnsi="Franklin Gothic Book" w:cs="Calibri"/>
        </w:rPr>
        <w:br w:type="page"/>
      </w:r>
    </w:p>
    <w:p w14:paraId="067BA09D" w14:textId="77777777" w:rsidR="00C370C5" w:rsidRPr="00F5725B" w:rsidRDefault="00C370C5" w:rsidP="00804421">
      <w:pPr>
        <w:pStyle w:val="Heading1"/>
      </w:pPr>
      <w:bookmarkStart w:id="0" w:name="_Toc52437511"/>
      <w:r w:rsidRPr="00F5725B">
        <w:lastRenderedPageBreak/>
        <w:t>Abbreviations and acronyms used in this submission</w:t>
      </w:r>
      <w:bookmarkEnd w:id="0"/>
    </w:p>
    <w:tbl>
      <w:tblPr>
        <w:tblStyle w:val="TableGrid"/>
        <w:tblW w:w="0" w:type="auto"/>
        <w:tblLook w:val="04A0" w:firstRow="1" w:lastRow="0" w:firstColumn="1" w:lastColumn="0" w:noHBand="0" w:noVBand="1"/>
      </w:tblPr>
      <w:tblGrid>
        <w:gridCol w:w="2263"/>
        <w:gridCol w:w="6753"/>
      </w:tblGrid>
      <w:tr w:rsidR="00C370C5" w:rsidRPr="00F5725B" w14:paraId="75DE0350" w14:textId="77777777" w:rsidTr="008573F3">
        <w:tc>
          <w:tcPr>
            <w:tcW w:w="2263" w:type="dxa"/>
          </w:tcPr>
          <w:p w14:paraId="4FCD4DC6" w14:textId="77777777" w:rsidR="00C370C5" w:rsidRPr="00F5725B" w:rsidRDefault="00C370C5" w:rsidP="00C54E8E">
            <w:pPr>
              <w:spacing w:line="276" w:lineRule="auto"/>
              <w:rPr>
                <w:rFonts w:ascii="Franklin Gothic Book" w:hAnsi="Franklin Gothic Book" w:cstheme="minorHAnsi"/>
              </w:rPr>
            </w:pPr>
            <w:r w:rsidRPr="00F5725B">
              <w:rPr>
                <w:rFonts w:ascii="Franklin Gothic Book" w:hAnsi="Franklin Gothic Book" w:cstheme="minorHAnsi"/>
              </w:rPr>
              <w:t>ALRA</w:t>
            </w:r>
          </w:p>
        </w:tc>
        <w:tc>
          <w:tcPr>
            <w:tcW w:w="6753" w:type="dxa"/>
          </w:tcPr>
          <w:p w14:paraId="122D7B40" w14:textId="77777777" w:rsidR="00C370C5" w:rsidRPr="00F5725B" w:rsidRDefault="00C370C5" w:rsidP="00C54E8E">
            <w:pPr>
              <w:spacing w:line="276" w:lineRule="auto"/>
              <w:rPr>
                <w:rFonts w:ascii="Franklin Gothic Book" w:hAnsi="Franklin Gothic Book" w:cstheme="minorHAnsi"/>
                <w:i/>
              </w:rPr>
            </w:pPr>
            <w:r w:rsidRPr="00F5725B">
              <w:rPr>
                <w:rFonts w:ascii="Franklin Gothic Book" w:hAnsi="Franklin Gothic Book" w:cstheme="minorHAnsi"/>
                <w:i/>
              </w:rPr>
              <w:t xml:space="preserve">Aboriginal Land Rights (Northern Territory) Act 1976 </w:t>
            </w:r>
            <w:r w:rsidRPr="00F5725B">
              <w:rPr>
                <w:rFonts w:ascii="Franklin Gothic Book" w:hAnsi="Franklin Gothic Book" w:cstheme="minorHAnsi"/>
              </w:rPr>
              <w:t>(</w:t>
            </w:r>
            <w:proofErr w:type="spellStart"/>
            <w:r w:rsidRPr="00F5725B">
              <w:rPr>
                <w:rFonts w:ascii="Franklin Gothic Book" w:hAnsi="Franklin Gothic Book" w:cstheme="minorHAnsi"/>
              </w:rPr>
              <w:t>Cth</w:t>
            </w:r>
            <w:proofErr w:type="spellEnd"/>
            <w:r w:rsidRPr="00F5725B">
              <w:rPr>
                <w:rFonts w:ascii="Franklin Gothic Book" w:hAnsi="Franklin Gothic Book" w:cstheme="minorHAnsi"/>
              </w:rPr>
              <w:t>)</w:t>
            </w:r>
          </w:p>
        </w:tc>
      </w:tr>
      <w:tr w:rsidR="00C370C5" w:rsidRPr="00F5725B" w14:paraId="411845EE" w14:textId="77777777" w:rsidTr="008573F3">
        <w:tc>
          <w:tcPr>
            <w:tcW w:w="2263" w:type="dxa"/>
          </w:tcPr>
          <w:p w14:paraId="613215B0" w14:textId="77777777" w:rsidR="00C370C5" w:rsidRPr="00F5725B" w:rsidRDefault="00C370C5" w:rsidP="00C54E8E">
            <w:pPr>
              <w:spacing w:line="276" w:lineRule="auto"/>
              <w:rPr>
                <w:rFonts w:ascii="Franklin Gothic Book" w:hAnsi="Franklin Gothic Book" w:cstheme="minorHAnsi"/>
              </w:rPr>
            </w:pPr>
            <w:r w:rsidRPr="00F5725B">
              <w:rPr>
                <w:rFonts w:ascii="Franklin Gothic Book" w:hAnsi="Franklin Gothic Book" w:cstheme="minorHAnsi"/>
              </w:rPr>
              <w:t>CATSI Act</w:t>
            </w:r>
          </w:p>
        </w:tc>
        <w:tc>
          <w:tcPr>
            <w:tcW w:w="6753" w:type="dxa"/>
          </w:tcPr>
          <w:p w14:paraId="5976E411" w14:textId="77777777" w:rsidR="00C370C5" w:rsidRPr="00F5725B" w:rsidRDefault="00C370C5" w:rsidP="00C54E8E">
            <w:pPr>
              <w:spacing w:line="276" w:lineRule="auto"/>
              <w:rPr>
                <w:rFonts w:ascii="Franklin Gothic Book" w:hAnsi="Franklin Gothic Book" w:cstheme="minorHAnsi"/>
              </w:rPr>
            </w:pPr>
            <w:r w:rsidRPr="00F5725B">
              <w:rPr>
                <w:rFonts w:ascii="Franklin Gothic Book" w:hAnsi="Franklin Gothic Book" w:cstheme="minorHAnsi"/>
                <w:i/>
              </w:rPr>
              <w:t xml:space="preserve">Corporations (Aboriginal and Torres Strait Islander) Act 2006 </w:t>
            </w:r>
            <w:r w:rsidRPr="00F5725B">
              <w:rPr>
                <w:rFonts w:ascii="Franklin Gothic Book" w:hAnsi="Franklin Gothic Book" w:cstheme="minorHAnsi"/>
              </w:rPr>
              <w:t>(</w:t>
            </w:r>
            <w:proofErr w:type="spellStart"/>
            <w:r w:rsidRPr="00F5725B">
              <w:rPr>
                <w:rFonts w:ascii="Franklin Gothic Book" w:hAnsi="Franklin Gothic Book" w:cstheme="minorHAnsi"/>
              </w:rPr>
              <w:t>Cth</w:t>
            </w:r>
            <w:proofErr w:type="spellEnd"/>
            <w:r w:rsidRPr="00F5725B">
              <w:rPr>
                <w:rFonts w:ascii="Franklin Gothic Book" w:hAnsi="Franklin Gothic Book" w:cstheme="minorHAnsi"/>
              </w:rPr>
              <w:t>)</w:t>
            </w:r>
          </w:p>
        </w:tc>
      </w:tr>
      <w:tr w:rsidR="00C370C5" w:rsidRPr="00F5725B" w14:paraId="16AB4DEC" w14:textId="77777777" w:rsidTr="008573F3">
        <w:tc>
          <w:tcPr>
            <w:tcW w:w="2263" w:type="dxa"/>
          </w:tcPr>
          <w:p w14:paraId="5B3F8890" w14:textId="77777777" w:rsidR="00C370C5" w:rsidRPr="00F5725B" w:rsidRDefault="00C370C5" w:rsidP="00C54E8E">
            <w:pPr>
              <w:spacing w:line="276" w:lineRule="auto"/>
              <w:rPr>
                <w:rFonts w:ascii="Franklin Gothic Book" w:hAnsi="Franklin Gothic Book" w:cstheme="minorHAnsi"/>
              </w:rPr>
            </w:pPr>
            <w:r w:rsidRPr="00F5725B">
              <w:rPr>
                <w:rFonts w:ascii="Franklin Gothic Book" w:hAnsi="Franklin Gothic Book" w:cstheme="minorHAnsi"/>
              </w:rPr>
              <w:t>CATSI Act Review</w:t>
            </w:r>
          </w:p>
        </w:tc>
        <w:tc>
          <w:tcPr>
            <w:tcW w:w="6753" w:type="dxa"/>
          </w:tcPr>
          <w:p w14:paraId="2F66D2A2" w14:textId="77777777" w:rsidR="00C370C5" w:rsidRPr="00F5725B" w:rsidRDefault="00C370C5" w:rsidP="00C54E8E">
            <w:pPr>
              <w:spacing w:line="276" w:lineRule="auto"/>
              <w:rPr>
                <w:rFonts w:ascii="Franklin Gothic Book" w:hAnsi="Franklin Gothic Book" w:cstheme="minorHAnsi"/>
              </w:rPr>
            </w:pPr>
            <w:r w:rsidRPr="00F5725B">
              <w:rPr>
                <w:rFonts w:ascii="Franklin Gothic Book" w:hAnsi="Franklin Gothic Book" w:cstheme="minorHAnsi"/>
              </w:rPr>
              <w:t>Comprehensive Review of the CATSI Act 2019-20</w:t>
            </w:r>
          </w:p>
        </w:tc>
      </w:tr>
      <w:tr w:rsidR="00C370C5" w:rsidRPr="00F5725B" w14:paraId="0417E82B" w14:textId="77777777" w:rsidTr="008573F3">
        <w:tc>
          <w:tcPr>
            <w:tcW w:w="2263" w:type="dxa"/>
          </w:tcPr>
          <w:p w14:paraId="6F909281" w14:textId="77777777" w:rsidR="00C370C5" w:rsidRPr="00F5725B" w:rsidRDefault="00C370C5" w:rsidP="00C54E8E">
            <w:pPr>
              <w:spacing w:line="276" w:lineRule="auto"/>
              <w:rPr>
                <w:rFonts w:ascii="Franklin Gothic Book" w:hAnsi="Franklin Gothic Book" w:cstheme="minorHAnsi"/>
              </w:rPr>
            </w:pPr>
            <w:r w:rsidRPr="00F5725B">
              <w:rPr>
                <w:rFonts w:ascii="Franklin Gothic Book" w:hAnsi="Franklin Gothic Book" w:cstheme="minorHAnsi"/>
              </w:rPr>
              <w:t>CLC</w:t>
            </w:r>
          </w:p>
        </w:tc>
        <w:tc>
          <w:tcPr>
            <w:tcW w:w="6753" w:type="dxa"/>
          </w:tcPr>
          <w:p w14:paraId="18515ADF" w14:textId="77777777" w:rsidR="00C370C5" w:rsidRPr="00F5725B" w:rsidRDefault="00C370C5" w:rsidP="00C54E8E">
            <w:pPr>
              <w:spacing w:line="276" w:lineRule="auto"/>
              <w:rPr>
                <w:rFonts w:ascii="Franklin Gothic Book" w:hAnsi="Franklin Gothic Book" w:cstheme="minorHAnsi"/>
              </w:rPr>
            </w:pPr>
            <w:r w:rsidRPr="00F5725B">
              <w:rPr>
                <w:rFonts w:ascii="Franklin Gothic Book" w:hAnsi="Franklin Gothic Book" w:cstheme="minorHAnsi"/>
              </w:rPr>
              <w:t>Central Land Council (ABN: 71 679 619 393)</w:t>
            </w:r>
          </w:p>
        </w:tc>
      </w:tr>
      <w:tr w:rsidR="00490BBF" w:rsidRPr="00F5725B" w14:paraId="0899156E" w14:textId="77777777" w:rsidTr="008573F3">
        <w:tc>
          <w:tcPr>
            <w:tcW w:w="2263" w:type="dxa"/>
          </w:tcPr>
          <w:p w14:paraId="1AFBAD76" w14:textId="0F13DF33" w:rsidR="00490BBF" w:rsidRPr="00F5725B" w:rsidRDefault="00490BBF" w:rsidP="00C54E8E">
            <w:pPr>
              <w:spacing w:line="276" w:lineRule="auto"/>
              <w:rPr>
                <w:rFonts w:ascii="Franklin Gothic Book" w:hAnsi="Franklin Gothic Book" w:cstheme="minorHAnsi"/>
              </w:rPr>
            </w:pPr>
            <w:r w:rsidRPr="00F5725B">
              <w:rPr>
                <w:rFonts w:ascii="Franklin Gothic Book" w:hAnsi="Franklin Gothic Book" w:cstheme="minorHAnsi"/>
              </w:rPr>
              <w:t>Corporations Act</w:t>
            </w:r>
          </w:p>
        </w:tc>
        <w:tc>
          <w:tcPr>
            <w:tcW w:w="6753" w:type="dxa"/>
          </w:tcPr>
          <w:p w14:paraId="443A3892" w14:textId="04AE4F03" w:rsidR="00490BBF" w:rsidRPr="00F5725B" w:rsidRDefault="00490BBF" w:rsidP="00C54E8E">
            <w:pPr>
              <w:spacing w:line="276" w:lineRule="auto"/>
              <w:rPr>
                <w:rFonts w:ascii="Franklin Gothic Book" w:hAnsi="Franklin Gothic Book" w:cstheme="minorHAnsi"/>
              </w:rPr>
            </w:pPr>
            <w:r w:rsidRPr="00F5725B">
              <w:rPr>
                <w:rFonts w:ascii="Franklin Gothic Book" w:hAnsi="Franklin Gothic Book" w:cstheme="minorHAnsi"/>
                <w:i/>
              </w:rPr>
              <w:t>Corporations Act 2001</w:t>
            </w:r>
            <w:r w:rsidRPr="00F5725B">
              <w:rPr>
                <w:rFonts w:ascii="Franklin Gothic Book" w:hAnsi="Franklin Gothic Book" w:cstheme="minorHAnsi"/>
              </w:rPr>
              <w:t xml:space="preserve"> (</w:t>
            </w:r>
            <w:proofErr w:type="spellStart"/>
            <w:r w:rsidRPr="00F5725B">
              <w:rPr>
                <w:rFonts w:ascii="Franklin Gothic Book" w:hAnsi="Franklin Gothic Book" w:cstheme="minorHAnsi"/>
              </w:rPr>
              <w:t>Cth</w:t>
            </w:r>
            <w:proofErr w:type="spellEnd"/>
            <w:r w:rsidRPr="00F5725B">
              <w:rPr>
                <w:rFonts w:ascii="Franklin Gothic Book" w:hAnsi="Franklin Gothic Book" w:cstheme="minorHAnsi"/>
              </w:rPr>
              <w:t>)</w:t>
            </w:r>
          </w:p>
        </w:tc>
      </w:tr>
      <w:tr w:rsidR="00CA6AAA" w:rsidRPr="00F5725B" w14:paraId="27C65091" w14:textId="77777777" w:rsidTr="008573F3">
        <w:tc>
          <w:tcPr>
            <w:tcW w:w="2263" w:type="dxa"/>
          </w:tcPr>
          <w:p w14:paraId="7C6C3613" w14:textId="48030D41" w:rsidR="00CA6AAA" w:rsidRPr="00F5725B" w:rsidRDefault="00CA6AAA" w:rsidP="008E0F07">
            <w:pPr>
              <w:spacing w:line="276" w:lineRule="auto"/>
              <w:rPr>
                <w:rFonts w:ascii="Franklin Gothic Book" w:hAnsi="Franklin Gothic Book" w:cstheme="minorHAnsi"/>
              </w:rPr>
            </w:pPr>
            <w:r w:rsidRPr="00F5725B">
              <w:rPr>
                <w:rFonts w:ascii="Franklin Gothic Book" w:hAnsi="Franklin Gothic Book" w:cstheme="minorHAnsi"/>
              </w:rPr>
              <w:t>Draft</w:t>
            </w:r>
            <w:r w:rsidR="008E0F07" w:rsidRPr="00F5725B">
              <w:rPr>
                <w:rFonts w:ascii="Franklin Gothic Book" w:hAnsi="Franklin Gothic Book" w:cstheme="minorHAnsi"/>
              </w:rPr>
              <w:t xml:space="preserve"> Bill</w:t>
            </w:r>
          </w:p>
        </w:tc>
        <w:tc>
          <w:tcPr>
            <w:tcW w:w="6753" w:type="dxa"/>
          </w:tcPr>
          <w:p w14:paraId="5E636FD6" w14:textId="43788908" w:rsidR="00CA6AAA" w:rsidRPr="00F5725B" w:rsidRDefault="00CA6AAA" w:rsidP="00C54E8E">
            <w:pPr>
              <w:spacing w:line="276" w:lineRule="auto"/>
              <w:rPr>
                <w:rFonts w:ascii="Franklin Gothic Book" w:hAnsi="Franklin Gothic Book" w:cstheme="minorHAnsi"/>
              </w:rPr>
            </w:pPr>
            <w:r w:rsidRPr="00F5725B">
              <w:rPr>
                <w:rFonts w:ascii="Franklin Gothic Book" w:hAnsi="Franklin Gothic Book" w:cstheme="minorHAnsi"/>
              </w:rPr>
              <w:t>CATSI Act Amendment Bill exposure draft</w:t>
            </w:r>
          </w:p>
        </w:tc>
      </w:tr>
      <w:tr w:rsidR="00C370C5" w:rsidRPr="00F5725B" w14:paraId="2B3F29D5" w14:textId="77777777" w:rsidTr="008573F3">
        <w:tc>
          <w:tcPr>
            <w:tcW w:w="2263" w:type="dxa"/>
          </w:tcPr>
          <w:p w14:paraId="74144E6F" w14:textId="77777777" w:rsidR="00C370C5" w:rsidRPr="00F5725B" w:rsidRDefault="00C370C5" w:rsidP="00C54E8E">
            <w:pPr>
              <w:spacing w:line="276" w:lineRule="auto"/>
              <w:rPr>
                <w:rFonts w:ascii="Franklin Gothic Book" w:hAnsi="Franklin Gothic Book" w:cstheme="minorHAnsi"/>
              </w:rPr>
            </w:pPr>
            <w:r w:rsidRPr="00F5725B">
              <w:rPr>
                <w:rFonts w:ascii="Franklin Gothic Book" w:hAnsi="Franklin Gothic Book" w:cstheme="minorHAnsi"/>
              </w:rPr>
              <w:t>NIAA</w:t>
            </w:r>
          </w:p>
        </w:tc>
        <w:tc>
          <w:tcPr>
            <w:tcW w:w="6753" w:type="dxa"/>
          </w:tcPr>
          <w:p w14:paraId="4A11E306" w14:textId="77777777" w:rsidR="00C370C5" w:rsidRPr="00F5725B" w:rsidRDefault="00C370C5" w:rsidP="00C54E8E">
            <w:pPr>
              <w:spacing w:line="276" w:lineRule="auto"/>
              <w:rPr>
                <w:rFonts w:ascii="Franklin Gothic Book" w:hAnsi="Franklin Gothic Book" w:cstheme="minorHAnsi"/>
              </w:rPr>
            </w:pPr>
            <w:r w:rsidRPr="00F5725B">
              <w:rPr>
                <w:rFonts w:ascii="Franklin Gothic Book" w:hAnsi="Franklin Gothic Book" w:cstheme="minorHAnsi"/>
              </w:rPr>
              <w:t>National Indigenous Australians Agency</w:t>
            </w:r>
          </w:p>
        </w:tc>
      </w:tr>
      <w:tr w:rsidR="00C370C5" w:rsidRPr="00F5725B" w14:paraId="620D1302" w14:textId="77777777" w:rsidTr="008573F3">
        <w:tc>
          <w:tcPr>
            <w:tcW w:w="2263" w:type="dxa"/>
          </w:tcPr>
          <w:p w14:paraId="3134A340" w14:textId="77777777" w:rsidR="00C370C5" w:rsidRPr="00F5725B" w:rsidRDefault="00C370C5" w:rsidP="00C54E8E">
            <w:pPr>
              <w:spacing w:line="276" w:lineRule="auto"/>
              <w:rPr>
                <w:rFonts w:ascii="Franklin Gothic Book" w:hAnsi="Franklin Gothic Book" w:cstheme="minorHAnsi"/>
              </w:rPr>
            </w:pPr>
            <w:r w:rsidRPr="00F5725B">
              <w:rPr>
                <w:rFonts w:ascii="Franklin Gothic Book" w:hAnsi="Franklin Gothic Book" w:cstheme="minorHAnsi"/>
              </w:rPr>
              <w:t>NTA</w:t>
            </w:r>
          </w:p>
        </w:tc>
        <w:tc>
          <w:tcPr>
            <w:tcW w:w="6753" w:type="dxa"/>
          </w:tcPr>
          <w:p w14:paraId="4B67A40B" w14:textId="77777777" w:rsidR="00C370C5" w:rsidRPr="00F5725B" w:rsidRDefault="00C370C5" w:rsidP="00C54E8E">
            <w:pPr>
              <w:spacing w:line="276" w:lineRule="auto"/>
              <w:rPr>
                <w:rFonts w:ascii="Franklin Gothic Book" w:hAnsi="Franklin Gothic Book" w:cstheme="minorHAnsi"/>
                <w:i/>
              </w:rPr>
            </w:pPr>
            <w:r w:rsidRPr="00F5725B">
              <w:rPr>
                <w:rFonts w:ascii="Franklin Gothic Book" w:hAnsi="Franklin Gothic Book" w:cstheme="minorHAnsi"/>
                <w:i/>
              </w:rPr>
              <w:t xml:space="preserve">Native Title Act 1993 </w:t>
            </w:r>
            <w:r w:rsidRPr="00F5725B">
              <w:rPr>
                <w:rFonts w:ascii="Franklin Gothic Book" w:hAnsi="Franklin Gothic Book" w:cstheme="minorHAnsi"/>
              </w:rPr>
              <w:t>(</w:t>
            </w:r>
            <w:proofErr w:type="spellStart"/>
            <w:r w:rsidRPr="00F5725B">
              <w:rPr>
                <w:rFonts w:ascii="Franklin Gothic Book" w:hAnsi="Franklin Gothic Book" w:cstheme="minorHAnsi"/>
              </w:rPr>
              <w:t>Cth</w:t>
            </w:r>
            <w:proofErr w:type="spellEnd"/>
            <w:r w:rsidRPr="00F5725B">
              <w:rPr>
                <w:rFonts w:ascii="Franklin Gothic Book" w:hAnsi="Franklin Gothic Book" w:cstheme="minorHAnsi"/>
              </w:rPr>
              <w:t>)</w:t>
            </w:r>
          </w:p>
        </w:tc>
      </w:tr>
      <w:tr w:rsidR="00C370C5" w:rsidRPr="00F5725B" w14:paraId="35085C8D" w14:textId="77777777" w:rsidTr="008573F3">
        <w:tc>
          <w:tcPr>
            <w:tcW w:w="2263" w:type="dxa"/>
          </w:tcPr>
          <w:p w14:paraId="2A9F2BD7" w14:textId="77777777" w:rsidR="00C370C5" w:rsidRPr="00F5725B" w:rsidRDefault="00C370C5" w:rsidP="00C54E8E">
            <w:pPr>
              <w:spacing w:line="276" w:lineRule="auto"/>
              <w:rPr>
                <w:rFonts w:ascii="Franklin Gothic Book" w:hAnsi="Franklin Gothic Book" w:cstheme="minorHAnsi"/>
              </w:rPr>
            </w:pPr>
            <w:r w:rsidRPr="00F5725B">
              <w:rPr>
                <w:rFonts w:ascii="Franklin Gothic Book" w:hAnsi="Franklin Gothic Book" w:cstheme="minorHAnsi"/>
              </w:rPr>
              <w:t>ORIC</w:t>
            </w:r>
          </w:p>
        </w:tc>
        <w:tc>
          <w:tcPr>
            <w:tcW w:w="6753" w:type="dxa"/>
          </w:tcPr>
          <w:p w14:paraId="3761911A" w14:textId="77777777" w:rsidR="00C370C5" w:rsidRPr="00F5725B" w:rsidRDefault="00C370C5" w:rsidP="00C54E8E">
            <w:pPr>
              <w:spacing w:line="276" w:lineRule="auto"/>
              <w:rPr>
                <w:rFonts w:ascii="Franklin Gothic Book" w:hAnsi="Franklin Gothic Book" w:cstheme="minorHAnsi"/>
              </w:rPr>
            </w:pPr>
            <w:r w:rsidRPr="00F5725B">
              <w:rPr>
                <w:rFonts w:ascii="Franklin Gothic Book" w:hAnsi="Franklin Gothic Book" w:cstheme="minorHAnsi"/>
              </w:rPr>
              <w:t>Office of the Registrar of Indigenous Corporations</w:t>
            </w:r>
          </w:p>
        </w:tc>
      </w:tr>
      <w:tr w:rsidR="00C370C5" w:rsidRPr="00F5725B" w14:paraId="0517FE98" w14:textId="77777777" w:rsidTr="008573F3">
        <w:tc>
          <w:tcPr>
            <w:tcW w:w="2263" w:type="dxa"/>
          </w:tcPr>
          <w:p w14:paraId="657569F4" w14:textId="77777777" w:rsidR="00C370C5" w:rsidRPr="00F5725B" w:rsidRDefault="00C370C5" w:rsidP="00C54E8E">
            <w:pPr>
              <w:spacing w:line="276" w:lineRule="auto"/>
              <w:rPr>
                <w:rFonts w:ascii="Franklin Gothic Book" w:hAnsi="Franklin Gothic Book" w:cstheme="minorHAnsi"/>
              </w:rPr>
            </w:pPr>
            <w:r w:rsidRPr="00F5725B">
              <w:rPr>
                <w:rFonts w:ascii="Franklin Gothic Book" w:hAnsi="Franklin Gothic Book" w:cstheme="minorHAnsi"/>
              </w:rPr>
              <w:t>RNTBC</w:t>
            </w:r>
          </w:p>
        </w:tc>
        <w:tc>
          <w:tcPr>
            <w:tcW w:w="6753" w:type="dxa"/>
          </w:tcPr>
          <w:p w14:paraId="646EAE0C" w14:textId="77777777" w:rsidR="00C370C5" w:rsidRPr="00F5725B" w:rsidRDefault="00C370C5" w:rsidP="00C54E8E">
            <w:pPr>
              <w:spacing w:line="276" w:lineRule="auto"/>
              <w:rPr>
                <w:rFonts w:ascii="Franklin Gothic Book" w:hAnsi="Franklin Gothic Book" w:cstheme="minorHAnsi"/>
              </w:rPr>
            </w:pPr>
            <w:r w:rsidRPr="00F5725B">
              <w:rPr>
                <w:rFonts w:ascii="Franklin Gothic Book" w:hAnsi="Franklin Gothic Book" w:cstheme="minorHAnsi"/>
              </w:rPr>
              <w:t>Registered Native Title Body Corporate (also called a prescribed body corporate) that holds native title in trust or as agent for the common law holders once a native title determination has been made under the NTA</w:t>
            </w:r>
          </w:p>
        </w:tc>
      </w:tr>
      <w:tr w:rsidR="00C370C5" w:rsidRPr="00F5725B" w14:paraId="5F892DAA" w14:textId="77777777" w:rsidTr="008573F3">
        <w:tc>
          <w:tcPr>
            <w:tcW w:w="2263" w:type="dxa"/>
          </w:tcPr>
          <w:p w14:paraId="048EC6D8" w14:textId="77777777" w:rsidR="00C370C5" w:rsidRPr="00F5725B" w:rsidRDefault="00C370C5" w:rsidP="00C54E8E">
            <w:pPr>
              <w:spacing w:line="276" w:lineRule="auto"/>
              <w:rPr>
                <w:rFonts w:ascii="Franklin Gothic Book" w:hAnsi="Franklin Gothic Book" w:cstheme="minorHAnsi"/>
              </w:rPr>
            </w:pPr>
            <w:r w:rsidRPr="00F5725B">
              <w:rPr>
                <w:rFonts w:ascii="Franklin Gothic Book" w:hAnsi="Franklin Gothic Book" w:cstheme="minorHAnsi"/>
              </w:rPr>
              <w:t>Registrar</w:t>
            </w:r>
          </w:p>
        </w:tc>
        <w:tc>
          <w:tcPr>
            <w:tcW w:w="6753" w:type="dxa"/>
          </w:tcPr>
          <w:p w14:paraId="746EF3BA" w14:textId="6547DDF7" w:rsidR="00C370C5" w:rsidRPr="00F5725B" w:rsidRDefault="00C370C5" w:rsidP="00C54E8E">
            <w:pPr>
              <w:spacing w:line="276" w:lineRule="auto"/>
              <w:rPr>
                <w:rFonts w:ascii="Franklin Gothic Book" w:hAnsi="Franklin Gothic Book" w:cstheme="minorHAnsi"/>
              </w:rPr>
            </w:pPr>
            <w:r w:rsidRPr="00F5725B">
              <w:rPr>
                <w:rFonts w:ascii="Franklin Gothic Book" w:hAnsi="Franklin Gothic Book" w:cstheme="minorHAnsi"/>
              </w:rPr>
              <w:t>Registrar of Indigenous Corporations</w:t>
            </w:r>
          </w:p>
        </w:tc>
      </w:tr>
    </w:tbl>
    <w:p w14:paraId="2CA9BFC8" w14:textId="77777777" w:rsidR="00C370C5" w:rsidRPr="00F5725B" w:rsidRDefault="00C370C5" w:rsidP="00C54E8E">
      <w:pPr>
        <w:spacing w:line="276" w:lineRule="auto"/>
        <w:rPr>
          <w:rFonts w:ascii="Franklin Gothic Book" w:hAnsi="Franklin Gothic Book"/>
        </w:rPr>
      </w:pPr>
    </w:p>
    <w:p w14:paraId="072F1A26" w14:textId="77777777" w:rsidR="00C370C5" w:rsidRPr="00F5725B" w:rsidRDefault="00C370C5" w:rsidP="00804421">
      <w:pPr>
        <w:pStyle w:val="Heading1"/>
      </w:pPr>
      <w:bookmarkStart w:id="1" w:name="_Toc52437512"/>
      <w:r w:rsidRPr="00F5725B">
        <w:t>Introduction</w:t>
      </w:r>
      <w:bookmarkEnd w:id="1"/>
    </w:p>
    <w:p w14:paraId="350AEA03" w14:textId="4768D051" w:rsidR="00C370C5" w:rsidRPr="00622F0E" w:rsidRDefault="00C370C5" w:rsidP="00622F0E">
      <w:pPr>
        <w:pStyle w:val="Style4"/>
        <w:spacing w:line="276" w:lineRule="auto"/>
        <w:ind w:left="851"/>
        <w:rPr>
          <w:rFonts w:ascii="Franklin Gothic Book" w:hAnsi="Franklin Gothic Book"/>
          <w:sz w:val="23"/>
          <w:szCs w:val="23"/>
        </w:rPr>
      </w:pPr>
      <w:r w:rsidRPr="00622F0E">
        <w:rPr>
          <w:rFonts w:ascii="Franklin Gothic Book" w:hAnsi="Franklin Gothic Book"/>
          <w:sz w:val="23"/>
          <w:szCs w:val="23"/>
        </w:rPr>
        <w:t xml:space="preserve">The Central Land Council </w:t>
      </w:r>
      <w:r w:rsidR="00576BE2" w:rsidRPr="00622F0E">
        <w:rPr>
          <w:rFonts w:ascii="Franklin Gothic Book" w:hAnsi="Franklin Gothic Book"/>
          <w:sz w:val="23"/>
          <w:szCs w:val="23"/>
        </w:rPr>
        <w:t>appreciates</w:t>
      </w:r>
      <w:r w:rsidRPr="00622F0E">
        <w:rPr>
          <w:rFonts w:ascii="Franklin Gothic Book" w:hAnsi="Franklin Gothic Book"/>
          <w:sz w:val="23"/>
          <w:szCs w:val="23"/>
        </w:rPr>
        <w:t xml:space="preserve"> the opportunity to comment on the CATSI</w:t>
      </w:r>
      <w:r w:rsidR="00C54E8E" w:rsidRPr="00622F0E">
        <w:rPr>
          <w:rFonts w:ascii="Franklin Gothic Book" w:hAnsi="Franklin Gothic Book"/>
          <w:sz w:val="23"/>
          <w:szCs w:val="23"/>
        </w:rPr>
        <w:t xml:space="preserve"> Amendment Bill exposure draft</w:t>
      </w:r>
      <w:r w:rsidRPr="00622F0E">
        <w:rPr>
          <w:rFonts w:ascii="Franklin Gothic Book" w:hAnsi="Franklin Gothic Book"/>
          <w:sz w:val="23"/>
          <w:szCs w:val="23"/>
        </w:rPr>
        <w:t>.</w:t>
      </w:r>
    </w:p>
    <w:p w14:paraId="7EC0567E" w14:textId="77777777" w:rsidR="00C370C5" w:rsidRPr="00622F0E" w:rsidRDefault="00C370C5" w:rsidP="00622F0E">
      <w:pPr>
        <w:pStyle w:val="Style4"/>
        <w:spacing w:line="276" w:lineRule="auto"/>
        <w:ind w:left="851"/>
        <w:rPr>
          <w:rFonts w:ascii="Franklin Gothic Book" w:hAnsi="Franklin Gothic Book"/>
          <w:sz w:val="23"/>
          <w:szCs w:val="23"/>
        </w:rPr>
      </w:pPr>
      <w:r w:rsidRPr="00622F0E">
        <w:rPr>
          <w:rFonts w:ascii="Franklin Gothic Book" w:hAnsi="Franklin Gothic Book"/>
          <w:sz w:val="23"/>
          <w:szCs w:val="23"/>
        </w:rPr>
        <w:t>The CLC represents Aboriginal people in Central Australia and supports them to manage their land, make the most of the opportunities it offers and promote their rights. The CLC is a statutory corporation established by the ALRA and also is a native title representative body under the NTA. The CLC is responsible for an area of almost 777, 000 square kilometres.</w:t>
      </w:r>
    </w:p>
    <w:p w14:paraId="33C32512" w14:textId="77777777" w:rsidR="00C370C5" w:rsidRPr="00622F0E" w:rsidRDefault="00C370C5" w:rsidP="00622F0E">
      <w:pPr>
        <w:pStyle w:val="Style4"/>
        <w:spacing w:line="276" w:lineRule="auto"/>
        <w:ind w:left="851"/>
        <w:rPr>
          <w:rFonts w:ascii="Franklin Gothic Book" w:hAnsi="Franklin Gothic Book"/>
          <w:sz w:val="23"/>
          <w:szCs w:val="23"/>
        </w:rPr>
      </w:pPr>
      <w:r w:rsidRPr="00622F0E">
        <w:rPr>
          <w:rFonts w:ascii="Franklin Gothic Book" w:hAnsi="Franklin Gothic Book"/>
          <w:sz w:val="23"/>
          <w:szCs w:val="23"/>
        </w:rPr>
        <w:t xml:space="preserve">Since its establishment at a meeting of Central Australian Aboriginal communities in 1975, and through its elected representative Council of 90 Aboriginal community delegates, the CLC has represented the aspirations and interests of approximately 17,500 traditional Aboriginal landowners and other Aboriginal people resident in its region, on a wide range of land-based and socio-political issues. </w:t>
      </w:r>
    </w:p>
    <w:p w14:paraId="2BD9F315" w14:textId="6AC1D4E4" w:rsidR="005045F2" w:rsidRPr="00622F0E" w:rsidRDefault="00C370C5" w:rsidP="00622F0E">
      <w:pPr>
        <w:pStyle w:val="Style4"/>
        <w:spacing w:line="276" w:lineRule="auto"/>
        <w:ind w:left="851"/>
        <w:rPr>
          <w:rFonts w:ascii="Franklin Gothic Book" w:hAnsi="Franklin Gothic Book"/>
          <w:sz w:val="23"/>
          <w:szCs w:val="23"/>
        </w:rPr>
      </w:pPr>
      <w:r w:rsidRPr="00622F0E">
        <w:rPr>
          <w:rFonts w:ascii="Franklin Gothic Book" w:hAnsi="Franklin Gothic Book"/>
          <w:sz w:val="23"/>
          <w:szCs w:val="23"/>
        </w:rPr>
        <w:t>In carrying out its functions under the ALRA and the NTA, the CLC provides assistance to over one hundred corporations registered under the CATSI Act. The majority of these corporations are largely dependent on the CLC’s assistance for their continuing operation, due to a lack of financial resources.</w:t>
      </w:r>
      <w:r w:rsidR="005045F2" w:rsidRPr="00622F0E" w:rsidDel="005045F2">
        <w:rPr>
          <w:rFonts w:ascii="Franklin Gothic Book" w:hAnsi="Franklin Gothic Book"/>
          <w:sz w:val="23"/>
          <w:szCs w:val="23"/>
        </w:rPr>
        <w:t xml:space="preserve"> </w:t>
      </w:r>
    </w:p>
    <w:p w14:paraId="0135F15F" w14:textId="77777777" w:rsidR="00FF08B1" w:rsidRPr="00F5725B" w:rsidRDefault="00FF08B1">
      <w:pPr>
        <w:rPr>
          <w:rFonts w:ascii="Franklin Gothic Book" w:eastAsia="Times New Roman" w:hAnsi="Franklin Gothic Book" w:cs="Times New Roman"/>
          <w:b/>
          <w:bCs/>
          <w:kern w:val="36"/>
          <w:sz w:val="32"/>
          <w:szCs w:val="32"/>
          <w:lang w:eastAsia="en-AU"/>
        </w:rPr>
      </w:pPr>
      <w:r w:rsidRPr="00F5725B">
        <w:rPr>
          <w:rFonts w:ascii="Franklin Gothic Book" w:hAnsi="Franklin Gothic Book"/>
        </w:rPr>
        <w:br w:type="page"/>
      </w:r>
    </w:p>
    <w:p w14:paraId="3AFCABA8" w14:textId="2079F197" w:rsidR="00A16F5C" w:rsidRPr="00F5725B" w:rsidRDefault="00A16F5C" w:rsidP="00804421">
      <w:pPr>
        <w:pStyle w:val="Heading1"/>
      </w:pPr>
      <w:r w:rsidRPr="00F5725B">
        <w:lastRenderedPageBreak/>
        <w:t>Previous submission</w:t>
      </w:r>
    </w:p>
    <w:p w14:paraId="5987C3C1" w14:textId="6C9CF303" w:rsidR="00D04108" w:rsidRPr="00622F0E" w:rsidRDefault="004050AC" w:rsidP="00622F0E">
      <w:pPr>
        <w:pStyle w:val="Style4"/>
        <w:spacing w:line="276" w:lineRule="auto"/>
        <w:ind w:left="851"/>
        <w:rPr>
          <w:rFonts w:ascii="Franklin Gothic Book" w:hAnsi="Franklin Gothic Book"/>
          <w:sz w:val="23"/>
          <w:szCs w:val="23"/>
        </w:rPr>
      </w:pPr>
      <w:r w:rsidRPr="00622F0E">
        <w:rPr>
          <w:rFonts w:ascii="Franklin Gothic Book" w:hAnsi="Franklin Gothic Book"/>
          <w:sz w:val="23"/>
          <w:szCs w:val="23"/>
        </w:rPr>
        <w:t xml:space="preserve">In October 2020, the CLC provided an extensive </w:t>
      </w:r>
      <w:r w:rsidR="00CA6AAA" w:rsidRPr="00622F0E">
        <w:rPr>
          <w:rFonts w:ascii="Franklin Gothic Book" w:hAnsi="Franklin Gothic Book"/>
          <w:sz w:val="23"/>
          <w:szCs w:val="23"/>
        </w:rPr>
        <w:t xml:space="preserve">submission in </w:t>
      </w:r>
      <w:r w:rsidRPr="00622F0E">
        <w:rPr>
          <w:rFonts w:ascii="Franklin Gothic Book" w:hAnsi="Franklin Gothic Book"/>
          <w:sz w:val="23"/>
          <w:szCs w:val="23"/>
        </w:rPr>
        <w:t xml:space="preserve">response to the </w:t>
      </w:r>
      <w:r w:rsidR="003D04AC" w:rsidRPr="00622F0E">
        <w:rPr>
          <w:rFonts w:ascii="Franklin Gothic Book" w:hAnsi="Franklin Gothic Book"/>
          <w:sz w:val="23"/>
          <w:szCs w:val="23"/>
        </w:rPr>
        <w:t xml:space="preserve">CATSI Act Review. It is disappointing that the majority of CLC’s </w:t>
      </w:r>
      <w:r w:rsidR="00CA6AAA" w:rsidRPr="00622F0E">
        <w:rPr>
          <w:rFonts w:ascii="Franklin Gothic Book" w:hAnsi="Franklin Gothic Book"/>
          <w:sz w:val="23"/>
          <w:szCs w:val="23"/>
        </w:rPr>
        <w:t>recommendations</w:t>
      </w:r>
      <w:r w:rsidR="003D04AC" w:rsidRPr="00622F0E">
        <w:rPr>
          <w:rFonts w:ascii="Franklin Gothic Book" w:hAnsi="Franklin Gothic Book"/>
          <w:sz w:val="23"/>
          <w:szCs w:val="23"/>
        </w:rPr>
        <w:t xml:space="preserve"> were </w:t>
      </w:r>
      <w:r w:rsidR="00E11E28" w:rsidRPr="00622F0E">
        <w:rPr>
          <w:rFonts w:ascii="Franklin Gothic Book" w:hAnsi="Franklin Gothic Book"/>
          <w:sz w:val="23"/>
          <w:szCs w:val="23"/>
        </w:rPr>
        <w:t xml:space="preserve">not supported </w:t>
      </w:r>
      <w:r w:rsidR="003D04AC" w:rsidRPr="00622F0E">
        <w:rPr>
          <w:rFonts w:ascii="Franklin Gothic Book" w:hAnsi="Franklin Gothic Book"/>
          <w:sz w:val="23"/>
          <w:szCs w:val="23"/>
        </w:rPr>
        <w:t>in the subsequent NIAA CATSI Act Review Final Report. Thus, many of CLC’s suggestions are absent from th</w:t>
      </w:r>
      <w:r w:rsidR="008057EB" w:rsidRPr="00622F0E">
        <w:rPr>
          <w:rFonts w:ascii="Franklin Gothic Book" w:hAnsi="Franklin Gothic Book"/>
          <w:sz w:val="23"/>
          <w:szCs w:val="23"/>
        </w:rPr>
        <w:t xml:space="preserve">e </w:t>
      </w:r>
      <w:r w:rsidR="00CA6AAA" w:rsidRPr="00622F0E">
        <w:rPr>
          <w:rFonts w:ascii="Franklin Gothic Book" w:hAnsi="Franklin Gothic Book"/>
          <w:sz w:val="23"/>
          <w:szCs w:val="23"/>
        </w:rPr>
        <w:t xml:space="preserve">draft </w:t>
      </w:r>
      <w:r w:rsidR="008057EB" w:rsidRPr="00622F0E">
        <w:rPr>
          <w:rFonts w:ascii="Franklin Gothic Book" w:hAnsi="Franklin Gothic Book"/>
          <w:sz w:val="23"/>
          <w:szCs w:val="23"/>
        </w:rPr>
        <w:t>B</w:t>
      </w:r>
      <w:r w:rsidR="00CA6AAA" w:rsidRPr="00622F0E">
        <w:rPr>
          <w:rFonts w:ascii="Franklin Gothic Book" w:hAnsi="Franklin Gothic Book"/>
          <w:sz w:val="23"/>
          <w:szCs w:val="23"/>
        </w:rPr>
        <w:t>ill</w:t>
      </w:r>
      <w:r w:rsidR="003D04AC" w:rsidRPr="00622F0E">
        <w:rPr>
          <w:rFonts w:ascii="Franklin Gothic Book" w:hAnsi="Franklin Gothic Book"/>
          <w:sz w:val="23"/>
          <w:szCs w:val="23"/>
        </w:rPr>
        <w:t>.</w:t>
      </w:r>
      <w:r w:rsidR="00CE2B81" w:rsidRPr="00622F0E">
        <w:rPr>
          <w:rFonts w:ascii="Franklin Gothic Book" w:hAnsi="Franklin Gothic Book"/>
          <w:sz w:val="23"/>
          <w:szCs w:val="23"/>
        </w:rPr>
        <w:t xml:space="preserve"> </w:t>
      </w:r>
    </w:p>
    <w:p w14:paraId="2BBB267F" w14:textId="6D2E26F6" w:rsidR="007C680A" w:rsidRPr="00622F0E" w:rsidRDefault="00D04108" w:rsidP="00622F0E">
      <w:pPr>
        <w:pStyle w:val="Style4"/>
        <w:spacing w:line="276" w:lineRule="auto"/>
        <w:ind w:left="851"/>
        <w:rPr>
          <w:rFonts w:ascii="Franklin Gothic Book" w:hAnsi="Franklin Gothic Book"/>
          <w:sz w:val="23"/>
          <w:szCs w:val="23"/>
        </w:rPr>
      </w:pPr>
      <w:r w:rsidRPr="00622F0E">
        <w:rPr>
          <w:rFonts w:ascii="Franklin Gothic Book" w:hAnsi="Franklin Gothic Book"/>
          <w:sz w:val="23"/>
          <w:szCs w:val="23"/>
        </w:rPr>
        <w:t xml:space="preserve">The CLC’s position on the Act remains unchanged from the recommendations made in the previous submission. </w:t>
      </w:r>
      <w:r w:rsidR="003D04AC" w:rsidRPr="00622F0E">
        <w:rPr>
          <w:rFonts w:ascii="Franklin Gothic Book" w:hAnsi="Franklin Gothic Book"/>
          <w:sz w:val="23"/>
          <w:szCs w:val="23"/>
        </w:rPr>
        <w:t xml:space="preserve">Nonetheless, </w:t>
      </w:r>
      <w:r w:rsidR="00CA6AAA" w:rsidRPr="00622F0E">
        <w:rPr>
          <w:rFonts w:ascii="Franklin Gothic Book" w:hAnsi="Franklin Gothic Book"/>
          <w:sz w:val="23"/>
          <w:szCs w:val="23"/>
        </w:rPr>
        <w:t xml:space="preserve">the </w:t>
      </w:r>
      <w:r w:rsidR="001C2BC4" w:rsidRPr="00622F0E">
        <w:rPr>
          <w:rFonts w:ascii="Franklin Gothic Book" w:hAnsi="Franklin Gothic Book"/>
          <w:sz w:val="23"/>
          <w:szCs w:val="23"/>
        </w:rPr>
        <w:t>CLC</w:t>
      </w:r>
      <w:r w:rsidR="00CA6AAA" w:rsidRPr="00622F0E">
        <w:rPr>
          <w:rFonts w:ascii="Franklin Gothic Book" w:hAnsi="Franklin Gothic Book"/>
          <w:sz w:val="23"/>
          <w:szCs w:val="23"/>
        </w:rPr>
        <w:t xml:space="preserve"> has sought to continue to engage constructively with this process, and has provided comments and feedback on</w:t>
      </w:r>
      <w:r w:rsidR="000A7D49" w:rsidRPr="00622F0E">
        <w:rPr>
          <w:rFonts w:ascii="Franklin Gothic Book" w:hAnsi="Franklin Gothic Book"/>
          <w:sz w:val="23"/>
          <w:szCs w:val="23"/>
        </w:rPr>
        <w:t xml:space="preserve"> some aspects of</w:t>
      </w:r>
      <w:r w:rsidR="00CA6AAA" w:rsidRPr="00622F0E">
        <w:rPr>
          <w:rFonts w:ascii="Franklin Gothic Book" w:hAnsi="Franklin Gothic Book"/>
          <w:sz w:val="23"/>
          <w:szCs w:val="23"/>
        </w:rPr>
        <w:t xml:space="preserve"> the </w:t>
      </w:r>
      <w:r w:rsidR="008057EB" w:rsidRPr="00622F0E">
        <w:rPr>
          <w:rFonts w:ascii="Franklin Gothic Book" w:hAnsi="Franklin Gothic Book"/>
          <w:sz w:val="23"/>
          <w:szCs w:val="23"/>
        </w:rPr>
        <w:t>draft Bill</w:t>
      </w:r>
      <w:r w:rsidR="00CA6AAA" w:rsidRPr="00622F0E">
        <w:rPr>
          <w:rFonts w:ascii="Franklin Gothic Book" w:hAnsi="Franklin Gothic Book"/>
          <w:sz w:val="23"/>
          <w:szCs w:val="23"/>
        </w:rPr>
        <w:t xml:space="preserve">. </w:t>
      </w:r>
    </w:p>
    <w:p w14:paraId="5DFFF672" w14:textId="3AC8843E" w:rsidR="00F90201" w:rsidRPr="00F5725B" w:rsidRDefault="00F90201" w:rsidP="00804421">
      <w:pPr>
        <w:pStyle w:val="Heading1"/>
      </w:pPr>
      <w:r w:rsidRPr="00F5725B">
        <w:t xml:space="preserve">Feedback on the </w:t>
      </w:r>
      <w:r w:rsidR="008057EB" w:rsidRPr="00F5725B">
        <w:t>draft Bill</w:t>
      </w:r>
    </w:p>
    <w:p w14:paraId="5122276C" w14:textId="77777777" w:rsidR="00C7271F" w:rsidRPr="00F5725B" w:rsidRDefault="00C7271F" w:rsidP="00C7271F">
      <w:pPr>
        <w:pStyle w:val="Style4"/>
        <w:numPr>
          <w:ilvl w:val="0"/>
          <w:numId w:val="0"/>
        </w:numPr>
        <w:spacing w:line="276" w:lineRule="auto"/>
        <w:ind w:left="357" w:hanging="357"/>
        <w:rPr>
          <w:rFonts w:ascii="Franklin Gothic Book" w:hAnsi="Franklin Gothic Book"/>
        </w:rPr>
      </w:pPr>
      <w:r w:rsidRPr="00F5725B">
        <w:rPr>
          <w:rFonts w:ascii="Franklin Gothic Book" w:hAnsi="Franklin Gothic Book"/>
          <w:b/>
          <w:bCs/>
        </w:rPr>
        <w:t>Infringement notices (draft Bill clause 22)</w:t>
      </w:r>
    </w:p>
    <w:p w14:paraId="264F3892" w14:textId="3EF33AAF" w:rsidR="00C7271F" w:rsidRPr="00622F0E" w:rsidRDefault="00F61885" w:rsidP="00622F0E">
      <w:pPr>
        <w:pStyle w:val="Style4"/>
        <w:spacing w:line="276" w:lineRule="auto"/>
        <w:ind w:left="851" w:hanging="425"/>
        <w:rPr>
          <w:rFonts w:ascii="Franklin Gothic Book" w:hAnsi="Franklin Gothic Book"/>
          <w:sz w:val="23"/>
          <w:szCs w:val="23"/>
        </w:rPr>
      </w:pPr>
      <w:r w:rsidRPr="00622F0E">
        <w:rPr>
          <w:rFonts w:ascii="Franklin Gothic Book" w:hAnsi="Franklin Gothic Book"/>
          <w:sz w:val="23"/>
          <w:szCs w:val="23"/>
        </w:rPr>
        <w:t xml:space="preserve">The </w:t>
      </w:r>
      <w:r w:rsidR="00424899" w:rsidRPr="00622F0E">
        <w:rPr>
          <w:rFonts w:ascii="Franklin Gothic Book" w:hAnsi="Franklin Gothic Book"/>
          <w:sz w:val="23"/>
          <w:szCs w:val="23"/>
        </w:rPr>
        <w:t>d</w:t>
      </w:r>
      <w:r w:rsidRPr="00622F0E">
        <w:rPr>
          <w:rFonts w:ascii="Franklin Gothic Book" w:hAnsi="Franklin Gothic Book"/>
          <w:sz w:val="23"/>
          <w:szCs w:val="23"/>
        </w:rPr>
        <w:t xml:space="preserve">raft Bill establishes a </w:t>
      </w:r>
      <w:r w:rsidR="00303448" w:rsidRPr="00622F0E">
        <w:rPr>
          <w:rFonts w:ascii="Franklin Gothic Book" w:hAnsi="Franklin Gothic Book"/>
          <w:sz w:val="23"/>
          <w:szCs w:val="23"/>
        </w:rPr>
        <w:t xml:space="preserve">legislative </w:t>
      </w:r>
      <w:r w:rsidRPr="00622F0E">
        <w:rPr>
          <w:rFonts w:ascii="Franklin Gothic Book" w:hAnsi="Franklin Gothic Book"/>
          <w:sz w:val="23"/>
          <w:szCs w:val="23"/>
        </w:rPr>
        <w:t xml:space="preserve">framework for the Registrar to issue infringement notices. </w:t>
      </w:r>
      <w:r w:rsidR="00FD637E" w:rsidRPr="00622F0E">
        <w:rPr>
          <w:rFonts w:ascii="Franklin Gothic Book" w:hAnsi="Franklin Gothic Book"/>
          <w:sz w:val="23"/>
          <w:szCs w:val="23"/>
        </w:rPr>
        <w:t xml:space="preserve">The CLC understands that NIAA intends that initially only a small number of offences, with relatively modest financial penalties, will be prescribed for the purposes of the issuing of infringement notices. However, this </w:t>
      </w:r>
      <w:r w:rsidRPr="00622F0E">
        <w:rPr>
          <w:rFonts w:ascii="Franklin Gothic Book" w:hAnsi="Franklin Gothic Book"/>
          <w:sz w:val="23"/>
          <w:szCs w:val="23"/>
        </w:rPr>
        <w:t>is a substantial legislative reform with complex policy implications</w:t>
      </w:r>
      <w:r w:rsidR="009D04DB" w:rsidRPr="00622F0E">
        <w:rPr>
          <w:rFonts w:ascii="Franklin Gothic Book" w:hAnsi="Franklin Gothic Book"/>
          <w:sz w:val="23"/>
          <w:szCs w:val="23"/>
        </w:rPr>
        <w:t>. It is inevitable that further offences will be prescribed over time.</w:t>
      </w:r>
      <w:r w:rsidR="00424899" w:rsidRPr="00622F0E">
        <w:rPr>
          <w:rFonts w:ascii="Franklin Gothic Book" w:hAnsi="Franklin Gothic Book"/>
          <w:sz w:val="23"/>
          <w:szCs w:val="23"/>
        </w:rPr>
        <w:t xml:space="preserve"> Lessons learned from t</w:t>
      </w:r>
      <w:r w:rsidR="009D04DB" w:rsidRPr="00622F0E">
        <w:rPr>
          <w:rFonts w:ascii="Franklin Gothic Book" w:hAnsi="Franklin Gothic Book"/>
          <w:sz w:val="23"/>
          <w:szCs w:val="23"/>
        </w:rPr>
        <w:t>he</w:t>
      </w:r>
      <w:r w:rsidR="00424899" w:rsidRPr="00622F0E">
        <w:rPr>
          <w:rFonts w:ascii="Franklin Gothic Book" w:hAnsi="Franklin Gothic Book"/>
          <w:sz w:val="23"/>
          <w:szCs w:val="23"/>
        </w:rPr>
        <w:t xml:space="preserve"> </w:t>
      </w:r>
      <w:r w:rsidR="009D04DB" w:rsidRPr="00622F0E">
        <w:rPr>
          <w:rFonts w:ascii="Franklin Gothic Book" w:hAnsi="Franklin Gothic Book"/>
          <w:sz w:val="23"/>
          <w:szCs w:val="23"/>
        </w:rPr>
        <w:t xml:space="preserve">general corporate and criminal law </w:t>
      </w:r>
      <w:r w:rsidR="00424899" w:rsidRPr="00622F0E">
        <w:rPr>
          <w:rFonts w:ascii="Franklin Gothic Book" w:hAnsi="Franklin Gothic Book"/>
          <w:sz w:val="23"/>
          <w:szCs w:val="23"/>
        </w:rPr>
        <w:t>contexts should be applied to the d</w:t>
      </w:r>
      <w:r w:rsidR="0037331A" w:rsidRPr="00622F0E">
        <w:rPr>
          <w:rFonts w:ascii="Franklin Gothic Book" w:hAnsi="Franklin Gothic Book"/>
          <w:sz w:val="23"/>
          <w:szCs w:val="23"/>
        </w:rPr>
        <w:t>raft Bill, and the framework established should be sound</w:t>
      </w:r>
      <w:r w:rsidR="00B06BC7" w:rsidRPr="00622F0E">
        <w:rPr>
          <w:rFonts w:ascii="Franklin Gothic Book" w:hAnsi="Franklin Gothic Book"/>
          <w:sz w:val="23"/>
          <w:szCs w:val="23"/>
        </w:rPr>
        <w:t xml:space="preserve"> and </w:t>
      </w:r>
      <w:r w:rsidR="00877432" w:rsidRPr="00622F0E">
        <w:rPr>
          <w:rFonts w:ascii="Franklin Gothic Book" w:hAnsi="Franklin Gothic Book"/>
          <w:sz w:val="23"/>
          <w:szCs w:val="23"/>
        </w:rPr>
        <w:t>well-</w:t>
      </w:r>
      <w:r w:rsidR="00B06BC7" w:rsidRPr="00622F0E">
        <w:rPr>
          <w:rFonts w:ascii="Franklin Gothic Book" w:hAnsi="Franklin Gothic Book"/>
          <w:sz w:val="23"/>
          <w:szCs w:val="23"/>
        </w:rPr>
        <w:t>tailored</w:t>
      </w:r>
      <w:r w:rsidR="0037331A" w:rsidRPr="00622F0E">
        <w:rPr>
          <w:rFonts w:ascii="Franklin Gothic Book" w:hAnsi="Franklin Gothic Book"/>
          <w:sz w:val="23"/>
          <w:szCs w:val="23"/>
        </w:rPr>
        <w:t>.</w:t>
      </w:r>
    </w:p>
    <w:p w14:paraId="06D0FF28" w14:textId="1958E983" w:rsidR="00424899" w:rsidRPr="00622F0E" w:rsidRDefault="00C10967" w:rsidP="00622F0E">
      <w:pPr>
        <w:pStyle w:val="Style4"/>
        <w:spacing w:line="276" w:lineRule="auto"/>
        <w:ind w:left="851" w:hanging="425"/>
        <w:rPr>
          <w:rFonts w:ascii="Franklin Gothic Book" w:hAnsi="Franklin Gothic Book"/>
          <w:sz w:val="23"/>
          <w:szCs w:val="23"/>
        </w:rPr>
      </w:pPr>
      <w:r w:rsidRPr="00622F0E">
        <w:rPr>
          <w:rFonts w:ascii="Franklin Gothic Book" w:hAnsi="Franklin Gothic Book"/>
          <w:sz w:val="23"/>
          <w:szCs w:val="23"/>
        </w:rPr>
        <w:t>The infringement notices arrangements established in the draft Bill appear to be modelled on those in the Corporations Act.</w:t>
      </w:r>
      <w:r w:rsidR="00E719A5" w:rsidRPr="00622F0E">
        <w:rPr>
          <w:rFonts w:ascii="Franklin Gothic Book" w:hAnsi="Franklin Gothic Book"/>
          <w:sz w:val="23"/>
          <w:szCs w:val="23"/>
        </w:rPr>
        <w:t xml:space="preserve"> </w:t>
      </w:r>
      <w:r w:rsidR="000D31AB" w:rsidRPr="00622F0E">
        <w:rPr>
          <w:rFonts w:ascii="Franklin Gothic Book" w:hAnsi="Franklin Gothic Book"/>
          <w:sz w:val="23"/>
          <w:szCs w:val="23"/>
        </w:rPr>
        <w:t xml:space="preserve">An important difference between that Act and the CATSI Act is that the latter is a </w:t>
      </w:r>
      <w:r w:rsidR="00752BF3" w:rsidRPr="00622F0E">
        <w:rPr>
          <w:rFonts w:ascii="Franklin Gothic Book" w:hAnsi="Franklin Gothic Book"/>
          <w:sz w:val="23"/>
          <w:szCs w:val="23"/>
        </w:rPr>
        <w:t>special measure</w:t>
      </w:r>
      <w:r w:rsidR="000D31AB" w:rsidRPr="00622F0E">
        <w:rPr>
          <w:rFonts w:ascii="Franklin Gothic Book" w:hAnsi="Franklin Gothic Book"/>
          <w:sz w:val="23"/>
          <w:szCs w:val="23"/>
        </w:rPr>
        <w:t xml:space="preserve"> for the advancement and protection of Aboriginal peoples and Torres Strait Islanders</w:t>
      </w:r>
      <w:r w:rsidR="00752BF3" w:rsidRPr="00622F0E">
        <w:rPr>
          <w:rFonts w:ascii="Franklin Gothic Book" w:hAnsi="Franklin Gothic Book"/>
          <w:sz w:val="23"/>
          <w:szCs w:val="23"/>
        </w:rPr>
        <w:t>.</w:t>
      </w:r>
      <w:r w:rsidR="003B5F9B" w:rsidRPr="00622F0E">
        <w:rPr>
          <w:rFonts w:ascii="Franklin Gothic Book" w:hAnsi="Franklin Gothic Book"/>
          <w:sz w:val="23"/>
          <w:szCs w:val="23"/>
        </w:rPr>
        <w:t xml:space="preserve"> I</w:t>
      </w:r>
      <w:r w:rsidR="009E4BB5" w:rsidRPr="00622F0E">
        <w:rPr>
          <w:rFonts w:ascii="Franklin Gothic Book" w:hAnsi="Franklin Gothic Book"/>
          <w:sz w:val="23"/>
          <w:szCs w:val="23"/>
        </w:rPr>
        <w:t>t</w:t>
      </w:r>
      <w:r w:rsidR="003B5F9B" w:rsidRPr="00622F0E">
        <w:rPr>
          <w:rFonts w:ascii="Franklin Gothic Book" w:hAnsi="Franklin Gothic Book"/>
          <w:sz w:val="23"/>
          <w:szCs w:val="23"/>
        </w:rPr>
        <w:t xml:space="preserve"> is </w:t>
      </w:r>
      <w:r w:rsidR="00DC2890" w:rsidRPr="00622F0E">
        <w:rPr>
          <w:rFonts w:ascii="Franklin Gothic Book" w:hAnsi="Franklin Gothic Book"/>
          <w:sz w:val="23"/>
          <w:szCs w:val="23"/>
        </w:rPr>
        <w:t xml:space="preserve">important to note </w:t>
      </w:r>
      <w:r w:rsidR="003B5F9B" w:rsidRPr="00622F0E">
        <w:rPr>
          <w:rFonts w:ascii="Franklin Gothic Book" w:hAnsi="Franklin Gothic Book"/>
          <w:sz w:val="23"/>
          <w:szCs w:val="23"/>
        </w:rPr>
        <w:t>that</w:t>
      </w:r>
      <w:r w:rsidR="0072594D" w:rsidRPr="00622F0E">
        <w:rPr>
          <w:rFonts w:ascii="Franklin Gothic Book" w:hAnsi="Franklin Gothic Book"/>
          <w:sz w:val="23"/>
          <w:szCs w:val="23"/>
        </w:rPr>
        <w:t>, unlike other interventions such as special administration,</w:t>
      </w:r>
      <w:r w:rsidR="003B5F9B" w:rsidRPr="00622F0E">
        <w:rPr>
          <w:rFonts w:ascii="Franklin Gothic Book" w:hAnsi="Franklin Gothic Book"/>
          <w:sz w:val="23"/>
          <w:szCs w:val="23"/>
        </w:rPr>
        <w:t xml:space="preserve"> infringement notices </w:t>
      </w:r>
      <w:r w:rsidR="0072594D" w:rsidRPr="00622F0E">
        <w:rPr>
          <w:rFonts w:ascii="Franklin Gothic Book" w:hAnsi="Franklin Gothic Book"/>
          <w:sz w:val="23"/>
          <w:szCs w:val="23"/>
        </w:rPr>
        <w:t>can</w:t>
      </w:r>
      <w:r w:rsidR="003B5F9B" w:rsidRPr="00622F0E">
        <w:rPr>
          <w:rFonts w:ascii="Franklin Gothic Book" w:hAnsi="Franklin Gothic Book"/>
          <w:sz w:val="23"/>
          <w:szCs w:val="23"/>
        </w:rPr>
        <w:t xml:space="preserve">not operate </w:t>
      </w:r>
      <w:r w:rsidR="0072594D" w:rsidRPr="00622F0E">
        <w:rPr>
          <w:rFonts w:ascii="Franklin Gothic Book" w:hAnsi="Franklin Gothic Book"/>
          <w:sz w:val="23"/>
          <w:szCs w:val="23"/>
        </w:rPr>
        <w:t xml:space="preserve">to </w:t>
      </w:r>
      <w:r w:rsidR="00E534F8" w:rsidRPr="00622F0E">
        <w:rPr>
          <w:rFonts w:ascii="Franklin Gothic Book" w:hAnsi="Franklin Gothic Book"/>
          <w:sz w:val="23"/>
          <w:szCs w:val="23"/>
        </w:rPr>
        <w:t xml:space="preserve">advance </w:t>
      </w:r>
      <w:r w:rsidR="0072594D" w:rsidRPr="00622F0E">
        <w:rPr>
          <w:rFonts w:ascii="Franklin Gothic Book" w:hAnsi="Franklin Gothic Book"/>
          <w:sz w:val="23"/>
          <w:szCs w:val="23"/>
        </w:rPr>
        <w:t xml:space="preserve">the interests of </w:t>
      </w:r>
      <w:r w:rsidR="00C72D7B" w:rsidRPr="00622F0E">
        <w:rPr>
          <w:rFonts w:ascii="Franklin Gothic Book" w:hAnsi="Franklin Gothic Book"/>
          <w:sz w:val="23"/>
          <w:szCs w:val="23"/>
        </w:rPr>
        <w:t xml:space="preserve">corporations or </w:t>
      </w:r>
      <w:r w:rsidR="0072594D" w:rsidRPr="00622F0E">
        <w:rPr>
          <w:rFonts w:ascii="Franklin Gothic Book" w:hAnsi="Franklin Gothic Book"/>
          <w:sz w:val="23"/>
          <w:szCs w:val="23"/>
        </w:rPr>
        <w:t>members</w:t>
      </w:r>
      <w:r w:rsidR="00E57290" w:rsidRPr="00622F0E">
        <w:rPr>
          <w:rFonts w:ascii="Franklin Gothic Book" w:hAnsi="Franklin Gothic Book"/>
          <w:sz w:val="23"/>
          <w:szCs w:val="23"/>
        </w:rPr>
        <w:t xml:space="preserve">. </w:t>
      </w:r>
      <w:r w:rsidR="003947F9" w:rsidRPr="00622F0E">
        <w:rPr>
          <w:rFonts w:ascii="Franklin Gothic Book" w:hAnsi="Franklin Gothic Book"/>
          <w:sz w:val="23"/>
          <w:szCs w:val="23"/>
        </w:rPr>
        <w:t xml:space="preserve">An infringement notice penalises directors, members and the corporation </w:t>
      </w:r>
      <w:r w:rsidR="00474784" w:rsidRPr="00622F0E">
        <w:rPr>
          <w:rFonts w:ascii="Franklin Gothic Book" w:hAnsi="Franklin Gothic Book"/>
          <w:sz w:val="23"/>
          <w:szCs w:val="23"/>
        </w:rPr>
        <w:t>alike</w:t>
      </w:r>
      <w:r w:rsidR="003947F9" w:rsidRPr="00622F0E">
        <w:rPr>
          <w:rFonts w:ascii="Franklin Gothic Book" w:hAnsi="Franklin Gothic Book"/>
          <w:sz w:val="23"/>
          <w:szCs w:val="23"/>
        </w:rPr>
        <w:t>.</w:t>
      </w:r>
    </w:p>
    <w:p w14:paraId="03030648" w14:textId="497BC1D1" w:rsidR="00E11C5A" w:rsidRPr="00622F0E" w:rsidRDefault="00E11C5A" w:rsidP="00622F0E">
      <w:pPr>
        <w:pStyle w:val="Style4"/>
        <w:spacing w:line="276" w:lineRule="auto"/>
        <w:ind w:left="851" w:hanging="425"/>
        <w:rPr>
          <w:rFonts w:ascii="Franklin Gothic Book" w:hAnsi="Franklin Gothic Book"/>
          <w:sz w:val="23"/>
          <w:szCs w:val="23"/>
        </w:rPr>
      </w:pPr>
      <w:r w:rsidRPr="00622F0E">
        <w:rPr>
          <w:rFonts w:ascii="Franklin Gothic Book" w:hAnsi="Franklin Gothic Book"/>
          <w:sz w:val="23"/>
          <w:szCs w:val="23"/>
        </w:rPr>
        <w:t xml:space="preserve">Many landholding corporations, including RNTBCs, hold substantial </w:t>
      </w:r>
      <w:r w:rsidR="00716036" w:rsidRPr="00622F0E">
        <w:rPr>
          <w:rFonts w:ascii="Franklin Gothic Book" w:hAnsi="Franklin Gothic Book"/>
          <w:sz w:val="23"/>
          <w:szCs w:val="23"/>
        </w:rPr>
        <w:t xml:space="preserve">inalienable </w:t>
      </w:r>
      <w:r w:rsidRPr="00622F0E">
        <w:rPr>
          <w:rFonts w:ascii="Franklin Gothic Book" w:hAnsi="Franklin Gothic Book"/>
          <w:sz w:val="23"/>
          <w:szCs w:val="23"/>
        </w:rPr>
        <w:t xml:space="preserve">land assets but have no administrative capacity or </w:t>
      </w:r>
      <w:r w:rsidR="00716036" w:rsidRPr="00622F0E">
        <w:rPr>
          <w:rFonts w:ascii="Franklin Gothic Book" w:hAnsi="Franklin Gothic Book"/>
          <w:sz w:val="23"/>
          <w:szCs w:val="23"/>
        </w:rPr>
        <w:t xml:space="preserve">income. </w:t>
      </w:r>
      <w:r w:rsidR="003B78CC" w:rsidRPr="00622F0E">
        <w:rPr>
          <w:rFonts w:ascii="Franklin Gothic Book" w:hAnsi="Franklin Gothic Book"/>
          <w:sz w:val="23"/>
          <w:szCs w:val="23"/>
        </w:rPr>
        <w:t xml:space="preserve">Most do not even have a bank account </w:t>
      </w:r>
      <w:r w:rsidR="00C16271" w:rsidRPr="00622F0E">
        <w:rPr>
          <w:rFonts w:ascii="Franklin Gothic Book" w:hAnsi="Franklin Gothic Book"/>
          <w:sz w:val="23"/>
          <w:szCs w:val="23"/>
        </w:rPr>
        <w:t>from which to pay an infringement notice.</w:t>
      </w:r>
      <w:r w:rsidR="00C55475" w:rsidRPr="00622F0E">
        <w:rPr>
          <w:rFonts w:ascii="Franklin Gothic Book" w:hAnsi="Franklin Gothic Book"/>
          <w:sz w:val="23"/>
          <w:szCs w:val="23"/>
        </w:rPr>
        <w:t xml:space="preserve"> Even a small penalty would have a disproportionate administrative and financial impact on these corporations, with the risk of flow-on effects for </w:t>
      </w:r>
      <w:r w:rsidR="007C0C52" w:rsidRPr="00622F0E">
        <w:rPr>
          <w:rFonts w:ascii="Franklin Gothic Book" w:hAnsi="Franklin Gothic Book"/>
          <w:sz w:val="23"/>
          <w:szCs w:val="23"/>
        </w:rPr>
        <w:t>directors, the ultimate beneficial owners of the relevant land, and the Aboriginal estate as a whole.</w:t>
      </w:r>
    </w:p>
    <w:p w14:paraId="2BC7476B" w14:textId="38A6D0BC" w:rsidR="00141601" w:rsidRPr="00622F0E" w:rsidRDefault="00141601" w:rsidP="00622F0E">
      <w:pPr>
        <w:pStyle w:val="Style4"/>
        <w:spacing w:line="276" w:lineRule="auto"/>
        <w:ind w:left="851" w:hanging="425"/>
        <w:rPr>
          <w:rFonts w:ascii="Franklin Gothic Book" w:hAnsi="Franklin Gothic Book"/>
          <w:sz w:val="23"/>
          <w:szCs w:val="23"/>
        </w:rPr>
      </w:pPr>
      <w:r w:rsidRPr="00622F0E">
        <w:rPr>
          <w:rFonts w:ascii="Franklin Gothic Book" w:hAnsi="Franklin Gothic Book"/>
          <w:sz w:val="23"/>
          <w:szCs w:val="23"/>
        </w:rPr>
        <w:t xml:space="preserve">Similarly, the directors of most Aboriginal and Torres Strait Islander corporations </w:t>
      </w:r>
      <w:r w:rsidR="00B80687" w:rsidRPr="00622F0E">
        <w:rPr>
          <w:rFonts w:ascii="Franklin Gothic Book" w:hAnsi="Franklin Gothic Book"/>
          <w:sz w:val="23"/>
          <w:szCs w:val="23"/>
        </w:rPr>
        <w:t xml:space="preserve">in central Australia receive no remuneration for their service. Many live in deeply impoverished circumstances and </w:t>
      </w:r>
      <w:r w:rsidR="00AF3A0B" w:rsidRPr="00622F0E">
        <w:rPr>
          <w:rFonts w:ascii="Franklin Gothic Book" w:hAnsi="Franklin Gothic Book"/>
          <w:sz w:val="23"/>
          <w:szCs w:val="23"/>
        </w:rPr>
        <w:t xml:space="preserve">have significantly diminished access to basic public services including </w:t>
      </w:r>
      <w:r w:rsidR="009A67A3" w:rsidRPr="00622F0E">
        <w:rPr>
          <w:rFonts w:ascii="Franklin Gothic Book" w:hAnsi="Franklin Gothic Book"/>
          <w:sz w:val="23"/>
          <w:szCs w:val="23"/>
        </w:rPr>
        <w:t>tele</w:t>
      </w:r>
      <w:r w:rsidR="00AF3A0B" w:rsidRPr="00622F0E">
        <w:rPr>
          <w:rFonts w:ascii="Franklin Gothic Book" w:hAnsi="Franklin Gothic Book"/>
          <w:sz w:val="23"/>
          <w:szCs w:val="23"/>
        </w:rPr>
        <w:t>communications.</w:t>
      </w:r>
    </w:p>
    <w:p w14:paraId="27405499" w14:textId="0043FDF5" w:rsidR="00752BF3" w:rsidRPr="00622F0E" w:rsidRDefault="00B2192A" w:rsidP="00622F0E">
      <w:pPr>
        <w:pStyle w:val="Style4"/>
        <w:spacing w:line="276" w:lineRule="auto"/>
        <w:ind w:left="851" w:hanging="425"/>
        <w:rPr>
          <w:rFonts w:ascii="Franklin Gothic Book" w:hAnsi="Franklin Gothic Book"/>
          <w:sz w:val="23"/>
          <w:szCs w:val="23"/>
        </w:rPr>
      </w:pPr>
      <w:r w:rsidRPr="00622F0E">
        <w:rPr>
          <w:rFonts w:ascii="Franklin Gothic Book" w:hAnsi="Franklin Gothic Book"/>
          <w:sz w:val="23"/>
          <w:szCs w:val="23"/>
        </w:rPr>
        <w:t xml:space="preserve">The </w:t>
      </w:r>
      <w:r w:rsidR="00E20BEA" w:rsidRPr="00622F0E">
        <w:rPr>
          <w:rFonts w:ascii="Franklin Gothic Book" w:hAnsi="Franklin Gothic Book"/>
          <w:sz w:val="23"/>
          <w:szCs w:val="23"/>
        </w:rPr>
        <w:t xml:space="preserve">draft Bill’s </w:t>
      </w:r>
      <w:r w:rsidRPr="00622F0E">
        <w:rPr>
          <w:rFonts w:ascii="Franklin Gothic Book" w:hAnsi="Franklin Gothic Book"/>
          <w:sz w:val="23"/>
          <w:szCs w:val="23"/>
        </w:rPr>
        <w:t xml:space="preserve">infringement notices arrangements give very substantial discretion to the Registrar in </w:t>
      </w:r>
      <w:r w:rsidR="002A78C3" w:rsidRPr="00622F0E">
        <w:rPr>
          <w:rFonts w:ascii="Franklin Gothic Book" w:hAnsi="Franklin Gothic Book"/>
          <w:sz w:val="23"/>
          <w:szCs w:val="23"/>
        </w:rPr>
        <w:t xml:space="preserve">issuing notices, modifying payment arrangements, and withdrawing notices. </w:t>
      </w:r>
      <w:r w:rsidR="007F2E69" w:rsidRPr="00622F0E">
        <w:rPr>
          <w:rFonts w:ascii="Franklin Gothic Book" w:hAnsi="Franklin Gothic Book"/>
          <w:sz w:val="23"/>
          <w:szCs w:val="23"/>
        </w:rPr>
        <w:t>Given the above context, the Registrar’s</w:t>
      </w:r>
      <w:r w:rsidR="00E17BA6" w:rsidRPr="00622F0E">
        <w:rPr>
          <w:rFonts w:ascii="Franklin Gothic Book" w:hAnsi="Franklin Gothic Book"/>
          <w:sz w:val="23"/>
          <w:szCs w:val="23"/>
        </w:rPr>
        <w:t xml:space="preserve"> discretion should be guided by the specification of </w:t>
      </w:r>
      <w:r w:rsidR="006772C8" w:rsidRPr="00622F0E">
        <w:rPr>
          <w:rFonts w:ascii="Franklin Gothic Book" w:hAnsi="Franklin Gothic Book"/>
          <w:sz w:val="23"/>
          <w:szCs w:val="23"/>
        </w:rPr>
        <w:lastRenderedPageBreak/>
        <w:t xml:space="preserve">a </w:t>
      </w:r>
      <w:r w:rsidR="00F67172" w:rsidRPr="00622F0E">
        <w:rPr>
          <w:rFonts w:ascii="Franklin Gothic Book" w:hAnsi="Franklin Gothic Book"/>
          <w:sz w:val="23"/>
          <w:szCs w:val="23"/>
        </w:rPr>
        <w:t xml:space="preserve">non-exhaustive </w:t>
      </w:r>
      <w:r w:rsidR="006772C8" w:rsidRPr="00622F0E">
        <w:rPr>
          <w:rFonts w:ascii="Franklin Gothic Book" w:hAnsi="Franklin Gothic Book"/>
          <w:sz w:val="23"/>
          <w:szCs w:val="23"/>
        </w:rPr>
        <w:t>list of considerations which the Registrar must take into account when making decisions in relation to infringement notices.</w:t>
      </w:r>
    </w:p>
    <w:p w14:paraId="7019F570" w14:textId="6900A046" w:rsidR="006772C8" w:rsidRPr="00622F0E" w:rsidRDefault="006772C8" w:rsidP="00622F0E">
      <w:pPr>
        <w:pStyle w:val="Style4"/>
        <w:spacing w:line="276" w:lineRule="auto"/>
        <w:ind w:left="851" w:hanging="425"/>
        <w:rPr>
          <w:rFonts w:ascii="Franklin Gothic Book" w:hAnsi="Franklin Gothic Book"/>
          <w:sz w:val="23"/>
          <w:szCs w:val="23"/>
        </w:rPr>
      </w:pPr>
      <w:r w:rsidRPr="00622F0E">
        <w:rPr>
          <w:rFonts w:ascii="Franklin Gothic Book" w:hAnsi="Franklin Gothic Book"/>
          <w:sz w:val="23"/>
          <w:szCs w:val="23"/>
        </w:rPr>
        <w:t>Appropriate considerations would include, at least:</w:t>
      </w:r>
    </w:p>
    <w:p w14:paraId="30183BBA" w14:textId="37203E46" w:rsidR="006D59BA" w:rsidRPr="00622F0E" w:rsidRDefault="006D59BA" w:rsidP="00622F0E">
      <w:pPr>
        <w:pStyle w:val="Style4"/>
        <w:numPr>
          <w:ilvl w:val="1"/>
          <w:numId w:val="1"/>
        </w:numPr>
        <w:spacing w:line="276" w:lineRule="auto"/>
        <w:ind w:left="1276"/>
        <w:rPr>
          <w:rFonts w:ascii="Franklin Gothic Book" w:hAnsi="Franklin Gothic Book"/>
          <w:sz w:val="23"/>
          <w:szCs w:val="23"/>
        </w:rPr>
      </w:pPr>
      <w:r w:rsidRPr="00622F0E">
        <w:rPr>
          <w:rFonts w:ascii="Franklin Gothic Book" w:hAnsi="Franklin Gothic Book"/>
          <w:sz w:val="23"/>
          <w:szCs w:val="23"/>
        </w:rPr>
        <w:t>The gravity of the contravention</w:t>
      </w:r>
      <w:r w:rsidR="00FC4CCA" w:rsidRPr="00622F0E">
        <w:rPr>
          <w:rFonts w:ascii="Franklin Gothic Book" w:hAnsi="Franklin Gothic Book"/>
          <w:sz w:val="23"/>
          <w:szCs w:val="23"/>
        </w:rPr>
        <w:t xml:space="preserve"> of the Act</w:t>
      </w:r>
      <w:r w:rsidRPr="00622F0E">
        <w:rPr>
          <w:rFonts w:ascii="Franklin Gothic Book" w:hAnsi="Franklin Gothic Book"/>
          <w:sz w:val="23"/>
          <w:szCs w:val="23"/>
        </w:rPr>
        <w:t>;</w:t>
      </w:r>
    </w:p>
    <w:p w14:paraId="0BA3C6B3" w14:textId="25AB3EAF" w:rsidR="00602FC6" w:rsidRPr="00622F0E" w:rsidRDefault="00602FC6" w:rsidP="00622F0E">
      <w:pPr>
        <w:pStyle w:val="Style4"/>
        <w:numPr>
          <w:ilvl w:val="1"/>
          <w:numId w:val="1"/>
        </w:numPr>
        <w:spacing w:line="276" w:lineRule="auto"/>
        <w:ind w:left="1276"/>
        <w:rPr>
          <w:rFonts w:ascii="Franklin Gothic Book" w:hAnsi="Franklin Gothic Book"/>
          <w:sz w:val="23"/>
          <w:szCs w:val="23"/>
        </w:rPr>
      </w:pPr>
      <w:r w:rsidRPr="00622F0E">
        <w:rPr>
          <w:rFonts w:ascii="Franklin Gothic Book" w:hAnsi="Franklin Gothic Book"/>
          <w:sz w:val="23"/>
          <w:szCs w:val="23"/>
        </w:rPr>
        <w:t xml:space="preserve">The </w:t>
      </w:r>
      <w:r w:rsidR="00B4631C" w:rsidRPr="00622F0E">
        <w:rPr>
          <w:rFonts w:ascii="Franklin Gothic Book" w:hAnsi="Franklin Gothic Book"/>
          <w:sz w:val="23"/>
          <w:szCs w:val="23"/>
        </w:rPr>
        <w:t>person</w:t>
      </w:r>
      <w:r w:rsidR="00363349" w:rsidRPr="00622F0E">
        <w:rPr>
          <w:rFonts w:ascii="Franklin Gothic Book" w:hAnsi="Franklin Gothic Book"/>
          <w:sz w:val="23"/>
          <w:szCs w:val="23"/>
        </w:rPr>
        <w:t xml:space="preserve"> or corporation</w:t>
      </w:r>
      <w:r w:rsidR="00B4631C" w:rsidRPr="00622F0E">
        <w:rPr>
          <w:rFonts w:ascii="Franklin Gothic Book" w:hAnsi="Franklin Gothic Book"/>
          <w:sz w:val="23"/>
          <w:szCs w:val="23"/>
        </w:rPr>
        <w:t>’s</w:t>
      </w:r>
      <w:r w:rsidRPr="00622F0E">
        <w:rPr>
          <w:rFonts w:ascii="Franklin Gothic Book" w:hAnsi="Franklin Gothic Book"/>
          <w:sz w:val="23"/>
          <w:szCs w:val="23"/>
        </w:rPr>
        <w:t xml:space="preserve"> administrative and financial capacity</w:t>
      </w:r>
      <w:r w:rsidR="001673EF" w:rsidRPr="00622F0E">
        <w:rPr>
          <w:rFonts w:ascii="Franklin Gothic Book" w:hAnsi="Franklin Gothic Book"/>
          <w:sz w:val="23"/>
          <w:szCs w:val="23"/>
        </w:rPr>
        <w:t xml:space="preserve"> to pay or challenge the infringement notice</w:t>
      </w:r>
      <w:r w:rsidRPr="00622F0E">
        <w:rPr>
          <w:rFonts w:ascii="Franklin Gothic Book" w:hAnsi="Franklin Gothic Book"/>
          <w:sz w:val="23"/>
          <w:szCs w:val="23"/>
        </w:rPr>
        <w:t>;</w:t>
      </w:r>
    </w:p>
    <w:p w14:paraId="2BE09789" w14:textId="2FD489A4" w:rsidR="003A2DBC" w:rsidRPr="00622F0E" w:rsidRDefault="008C7A33" w:rsidP="00622F0E">
      <w:pPr>
        <w:pStyle w:val="Style4"/>
        <w:numPr>
          <w:ilvl w:val="1"/>
          <w:numId w:val="1"/>
        </w:numPr>
        <w:spacing w:line="276" w:lineRule="auto"/>
        <w:ind w:left="1276"/>
        <w:rPr>
          <w:rFonts w:ascii="Franklin Gothic Book" w:hAnsi="Franklin Gothic Book"/>
          <w:sz w:val="23"/>
          <w:szCs w:val="23"/>
        </w:rPr>
      </w:pPr>
      <w:r w:rsidRPr="00622F0E">
        <w:rPr>
          <w:rFonts w:ascii="Franklin Gothic Book" w:hAnsi="Franklin Gothic Book"/>
          <w:sz w:val="23"/>
          <w:szCs w:val="23"/>
        </w:rPr>
        <w:t>H</w:t>
      </w:r>
      <w:r w:rsidR="003A2DBC" w:rsidRPr="00622F0E">
        <w:rPr>
          <w:rFonts w:ascii="Franklin Gothic Book" w:hAnsi="Franklin Gothic Book"/>
          <w:sz w:val="23"/>
          <w:szCs w:val="23"/>
        </w:rPr>
        <w:t>ealth, educational, cultural</w:t>
      </w:r>
      <w:r w:rsidR="0045525E" w:rsidRPr="00622F0E">
        <w:rPr>
          <w:rFonts w:ascii="Franklin Gothic Book" w:hAnsi="Franklin Gothic Book"/>
          <w:sz w:val="23"/>
          <w:szCs w:val="23"/>
        </w:rPr>
        <w:t xml:space="preserve">, financial </w:t>
      </w:r>
      <w:r w:rsidR="003A2DBC" w:rsidRPr="00622F0E">
        <w:rPr>
          <w:rFonts w:ascii="Franklin Gothic Book" w:hAnsi="Franklin Gothic Book"/>
          <w:sz w:val="23"/>
          <w:szCs w:val="23"/>
        </w:rPr>
        <w:t xml:space="preserve">and </w:t>
      </w:r>
      <w:r w:rsidR="009B0660" w:rsidRPr="00622F0E">
        <w:rPr>
          <w:rFonts w:ascii="Franklin Gothic Book" w:hAnsi="Franklin Gothic Book"/>
          <w:sz w:val="23"/>
          <w:szCs w:val="23"/>
        </w:rPr>
        <w:t>geographical</w:t>
      </w:r>
      <w:r w:rsidR="003A2DBC" w:rsidRPr="00622F0E">
        <w:rPr>
          <w:rFonts w:ascii="Franklin Gothic Book" w:hAnsi="Franklin Gothic Book"/>
          <w:sz w:val="23"/>
          <w:szCs w:val="23"/>
        </w:rPr>
        <w:t xml:space="preserve"> constraints</w:t>
      </w:r>
      <w:r w:rsidRPr="00622F0E">
        <w:rPr>
          <w:rFonts w:ascii="Franklin Gothic Book" w:hAnsi="Franklin Gothic Book"/>
          <w:sz w:val="23"/>
          <w:szCs w:val="23"/>
        </w:rPr>
        <w:t xml:space="preserve"> which are relevant to the contravention of the Act</w:t>
      </w:r>
      <w:r w:rsidR="003A2DBC" w:rsidRPr="00622F0E">
        <w:rPr>
          <w:rFonts w:ascii="Franklin Gothic Book" w:hAnsi="Franklin Gothic Book"/>
          <w:sz w:val="23"/>
          <w:szCs w:val="23"/>
        </w:rPr>
        <w:t>;</w:t>
      </w:r>
    </w:p>
    <w:p w14:paraId="581194A4" w14:textId="5500A544" w:rsidR="006772C8" w:rsidRPr="00622F0E" w:rsidRDefault="00602FC6" w:rsidP="00622F0E">
      <w:pPr>
        <w:pStyle w:val="Style4"/>
        <w:numPr>
          <w:ilvl w:val="1"/>
          <w:numId w:val="1"/>
        </w:numPr>
        <w:spacing w:line="276" w:lineRule="auto"/>
        <w:ind w:left="1276"/>
        <w:rPr>
          <w:rFonts w:ascii="Franklin Gothic Book" w:hAnsi="Franklin Gothic Book"/>
          <w:sz w:val="23"/>
          <w:szCs w:val="23"/>
        </w:rPr>
      </w:pPr>
      <w:r w:rsidRPr="00622F0E">
        <w:rPr>
          <w:rFonts w:ascii="Franklin Gothic Book" w:hAnsi="Franklin Gothic Book"/>
          <w:sz w:val="23"/>
          <w:szCs w:val="23"/>
        </w:rPr>
        <w:t xml:space="preserve">The likely impact of the issuing of a notice on </w:t>
      </w:r>
      <w:r w:rsidR="00EE5C96" w:rsidRPr="00622F0E">
        <w:rPr>
          <w:rFonts w:ascii="Franklin Gothic Book" w:hAnsi="Franklin Gothic Book"/>
          <w:sz w:val="23"/>
          <w:szCs w:val="23"/>
        </w:rPr>
        <w:t>a</w:t>
      </w:r>
      <w:r w:rsidRPr="00622F0E">
        <w:rPr>
          <w:rFonts w:ascii="Franklin Gothic Book" w:hAnsi="Franklin Gothic Book"/>
          <w:sz w:val="23"/>
          <w:szCs w:val="23"/>
        </w:rPr>
        <w:t xml:space="preserve"> </w:t>
      </w:r>
      <w:r w:rsidR="00FE3512" w:rsidRPr="00622F0E">
        <w:rPr>
          <w:rFonts w:ascii="Franklin Gothic Book" w:hAnsi="Franklin Gothic Book"/>
          <w:sz w:val="23"/>
          <w:szCs w:val="23"/>
        </w:rPr>
        <w:t>person or corporation</w:t>
      </w:r>
      <w:r w:rsidRPr="00622F0E">
        <w:rPr>
          <w:rFonts w:ascii="Franklin Gothic Book" w:hAnsi="Franklin Gothic Book"/>
          <w:sz w:val="23"/>
          <w:szCs w:val="23"/>
        </w:rPr>
        <w:t xml:space="preserve">’s </w:t>
      </w:r>
      <w:r w:rsidR="00C55475" w:rsidRPr="00622F0E">
        <w:rPr>
          <w:rFonts w:ascii="Franklin Gothic Book" w:hAnsi="Franklin Gothic Book"/>
          <w:sz w:val="23"/>
          <w:szCs w:val="23"/>
        </w:rPr>
        <w:t xml:space="preserve">solvency </w:t>
      </w:r>
      <w:r w:rsidR="00FE3512" w:rsidRPr="00622F0E">
        <w:rPr>
          <w:rFonts w:ascii="Franklin Gothic Book" w:hAnsi="Franklin Gothic Book"/>
          <w:sz w:val="23"/>
          <w:szCs w:val="23"/>
        </w:rPr>
        <w:t>and</w:t>
      </w:r>
      <w:r w:rsidR="00C55475" w:rsidRPr="00622F0E">
        <w:rPr>
          <w:rFonts w:ascii="Franklin Gothic Book" w:hAnsi="Franklin Gothic Book"/>
          <w:sz w:val="23"/>
          <w:szCs w:val="23"/>
        </w:rPr>
        <w:t xml:space="preserve"> </w:t>
      </w:r>
      <w:r w:rsidR="00EA7C27" w:rsidRPr="00622F0E">
        <w:rPr>
          <w:rFonts w:ascii="Franklin Gothic Book" w:hAnsi="Franklin Gothic Book"/>
          <w:sz w:val="23"/>
          <w:szCs w:val="23"/>
        </w:rPr>
        <w:t xml:space="preserve">a corporation’s </w:t>
      </w:r>
      <w:r w:rsidRPr="00622F0E">
        <w:rPr>
          <w:rFonts w:ascii="Franklin Gothic Book" w:hAnsi="Franklin Gothic Book"/>
          <w:sz w:val="23"/>
          <w:szCs w:val="23"/>
        </w:rPr>
        <w:t>ability to continue to carry out its functions;</w:t>
      </w:r>
      <w:r w:rsidR="00D1336F" w:rsidRPr="00622F0E">
        <w:rPr>
          <w:rFonts w:ascii="Franklin Gothic Book" w:hAnsi="Franklin Gothic Book"/>
          <w:sz w:val="23"/>
          <w:szCs w:val="23"/>
        </w:rPr>
        <w:t xml:space="preserve"> and</w:t>
      </w:r>
    </w:p>
    <w:p w14:paraId="0037AE9A" w14:textId="59E136EC" w:rsidR="00A31F8B" w:rsidRPr="00622F0E" w:rsidRDefault="00A31F8B" w:rsidP="00622F0E">
      <w:pPr>
        <w:pStyle w:val="Style4"/>
        <w:numPr>
          <w:ilvl w:val="1"/>
          <w:numId w:val="1"/>
        </w:numPr>
        <w:spacing w:line="276" w:lineRule="auto"/>
        <w:ind w:left="1276"/>
        <w:rPr>
          <w:rFonts w:ascii="Franklin Gothic Book" w:hAnsi="Franklin Gothic Book"/>
          <w:sz w:val="23"/>
          <w:szCs w:val="23"/>
        </w:rPr>
      </w:pPr>
      <w:r w:rsidRPr="00622F0E">
        <w:rPr>
          <w:rFonts w:ascii="Franklin Gothic Book" w:hAnsi="Franklin Gothic Book"/>
          <w:sz w:val="23"/>
          <w:szCs w:val="23"/>
        </w:rPr>
        <w:t xml:space="preserve">Whether other interventions are more likely to promote the </w:t>
      </w:r>
      <w:r w:rsidR="00B44374" w:rsidRPr="00622F0E">
        <w:rPr>
          <w:rFonts w:ascii="Franklin Gothic Book" w:hAnsi="Franklin Gothic Book"/>
          <w:sz w:val="23"/>
          <w:szCs w:val="23"/>
        </w:rPr>
        <w:t xml:space="preserve">relevant </w:t>
      </w:r>
      <w:r w:rsidRPr="00622F0E">
        <w:rPr>
          <w:rFonts w:ascii="Franklin Gothic Book" w:hAnsi="Franklin Gothic Book"/>
          <w:sz w:val="23"/>
          <w:szCs w:val="23"/>
        </w:rPr>
        <w:t>corporation’s compliance with the CATSI Act.</w:t>
      </w:r>
    </w:p>
    <w:p w14:paraId="2BA738CE" w14:textId="4BF47550" w:rsidR="00B3337B" w:rsidRPr="00622F0E" w:rsidRDefault="00B3337B" w:rsidP="00622F0E">
      <w:pPr>
        <w:pStyle w:val="Style3"/>
        <w:ind w:left="851"/>
        <w:rPr>
          <w:rFonts w:ascii="Franklin Gothic Book" w:hAnsi="Franklin Gothic Book"/>
          <w:sz w:val="23"/>
          <w:szCs w:val="23"/>
        </w:rPr>
      </w:pPr>
      <w:r w:rsidRPr="00622F0E">
        <w:rPr>
          <w:rFonts w:ascii="Franklin Gothic Book" w:hAnsi="Franklin Gothic Book"/>
          <w:sz w:val="23"/>
          <w:szCs w:val="23"/>
        </w:rPr>
        <w:t xml:space="preserve">These requirements would entrench basic discretionary protections which </w:t>
      </w:r>
      <w:r w:rsidR="005F22A0" w:rsidRPr="00622F0E">
        <w:rPr>
          <w:rFonts w:ascii="Franklin Gothic Book" w:hAnsi="Franklin Gothic Book"/>
          <w:sz w:val="23"/>
          <w:szCs w:val="23"/>
        </w:rPr>
        <w:t>are applied</w:t>
      </w:r>
      <w:r w:rsidRPr="00622F0E">
        <w:rPr>
          <w:rFonts w:ascii="Franklin Gothic Book" w:hAnsi="Franklin Gothic Book"/>
          <w:sz w:val="23"/>
          <w:szCs w:val="23"/>
        </w:rPr>
        <w:t xml:space="preserve"> widely in Commonwealth, State and Territory criminal </w:t>
      </w:r>
      <w:r w:rsidR="005F22A0" w:rsidRPr="00622F0E">
        <w:rPr>
          <w:rFonts w:ascii="Franklin Gothic Book" w:hAnsi="Franklin Gothic Book"/>
          <w:sz w:val="23"/>
          <w:szCs w:val="23"/>
        </w:rPr>
        <w:t>justice systems</w:t>
      </w:r>
      <w:r w:rsidRPr="00622F0E">
        <w:rPr>
          <w:rFonts w:ascii="Franklin Gothic Book" w:hAnsi="Franklin Gothic Book"/>
          <w:sz w:val="23"/>
          <w:szCs w:val="23"/>
        </w:rPr>
        <w:t>.</w:t>
      </w:r>
    </w:p>
    <w:p w14:paraId="5C50FBA6" w14:textId="77777777" w:rsidR="00B3337B" w:rsidRPr="00622F0E" w:rsidRDefault="00B3337B" w:rsidP="00622F0E">
      <w:pPr>
        <w:pStyle w:val="Style3"/>
        <w:numPr>
          <w:ilvl w:val="0"/>
          <w:numId w:val="0"/>
        </w:numPr>
        <w:ind w:left="851"/>
        <w:rPr>
          <w:rFonts w:ascii="Franklin Gothic Book" w:hAnsi="Franklin Gothic Book"/>
          <w:sz w:val="23"/>
          <w:szCs w:val="23"/>
        </w:rPr>
      </w:pPr>
    </w:p>
    <w:p w14:paraId="0EEF6EFC" w14:textId="77777777" w:rsidR="006430D5" w:rsidRPr="00622F0E" w:rsidRDefault="006430D5" w:rsidP="00622F0E">
      <w:pPr>
        <w:pStyle w:val="Style3"/>
        <w:ind w:left="851"/>
        <w:rPr>
          <w:rFonts w:ascii="Franklin Gothic Book" w:hAnsi="Franklin Gothic Book"/>
          <w:sz w:val="23"/>
          <w:szCs w:val="23"/>
        </w:rPr>
      </w:pPr>
      <w:r w:rsidRPr="00622F0E">
        <w:rPr>
          <w:rFonts w:ascii="Franklin Gothic Book" w:hAnsi="Franklin Gothic Book"/>
          <w:sz w:val="23"/>
          <w:szCs w:val="23"/>
        </w:rPr>
        <w:t>In addition, the Registrar should be required to address his or her policy towards the issuing of infringement notices in a published policy (akin to current ORIC Policy Statement 26).</w:t>
      </w:r>
    </w:p>
    <w:p w14:paraId="16324A61" w14:textId="77777777" w:rsidR="006430D5" w:rsidRPr="00622F0E" w:rsidRDefault="006430D5" w:rsidP="00622F0E">
      <w:pPr>
        <w:pStyle w:val="Style3"/>
        <w:numPr>
          <w:ilvl w:val="0"/>
          <w:numId w:val="0"/>
        </w:numPr>
        <w:ind w:left="851"/>
        <w:rPr>
          <w:rFonts w:ascii="Franklin Gothic Book" w:hAnsi="Franklin Gothic Book"/>
          <w:sz w:val="23"/>
          <w:szCs w:val="23"/>
        </w:rPr>
      </w:pPr>
    </w:p>
    <w:p w14:paraId="1083D889" w14:textId="0A845F78" w:rsidR="00560F73" w:rsidRPr="00622F0E" w:rsidRDefault="00560F73" w:rsidP="00622F0E">
      <w:pPr>
        <w:pStyle w:val="Style3"/>
        <w:ind w:left="851"/>
        <w:rPr>
          <w:rFonts w:ascii="Franklin Gothic Book" w:hAnsi="Franklin Gothic Book"/>
          <w:sz w:val="23"/>
          <w:szCs w:val="23"/>
        </w:rPr>
      </w:pPr>
      <w:r w:rsidRPr="00622F0E">
        <w:rPr>
          <w:rFonts w:ascii="Franklin Gothic Book" w:hAnsi="Franklin Gothic Book"/>
          <w:sz w:val="23"/>
          <w:szCs w:val="23"/>
        </w:rPr>
        <w:t>The prescribe</w:t>
      </w:r>
      <w:r w:rsidR="00FD2B04" w:rsidRPr="00622F0E">
        <w:rPr>
          <w:rFonts w:ascii="Franklin Gothic Book" w:hAnsi="Franklin Gothic Book"/>
          <w:sz w:val="23"/>
          <w:szCs w:val="23"/>
        </w:rPr>
        <w:t>d</w:t>
      </w:r>
      <w:r w:rsidRPr="00622F0E">
        <w:rPr>
          <w:rFonts w:ascii="Franklin Gothic Book" w:hAnsi="Franklin Gothic Book"/>
          <w:sz w:val="23"/>
          <w:szCs w:val="23"/>
        </w:rPr>
        <w:t xml:space="preserve"> penalty amounts should be maximum penalties only, and the Registrar required to take the above considerations into account in fixing a </w:t>
      </w:r>
      <w:r w:rsidR="00A03B31" w:rsidRPr="00622F0E">
        <w:rPr>
          <w:rFonts w:ascii="Franklin Gothic Book" w:hAnsi="Franklin Gothic Book"/>
          <w:sz w:val="23"/>
          <w:szCs w:val="23"/>
        </w:rPr>
        <w:t xml:space="preserve">given </w:t>
      </w:r>
      <w:r w:rsidRPr="00622F0E">
        <w:rPr>
          <w:rFonts w:ascii="Franklin Gothic Book" w:hAnsi="Franklin Gothic Book"/>
          <w:sz w:val="23"/>
          <w:szCs w:val="23"/>
        </w:rPr>
        <w:t>penalty</w:t>
      </w:r>
      <w:r w:rsidR="00187E8B" w:rsidRPr="00622F0E">
        <w:rPr>
          <w:rFonts w:ascii="Franklin Gothic Book" w:hAnsi="Franklin Gothic Book"/>
          <w:sz w:val="23"/>
          <w:szCs w:val="23"/>
        </w:rPr>
        <w:t xml:space="preserve"> in the notice</w:t>
      </w:r>
      <w:r w:rsidRPr="00622F0E">
        <w:rPr>
          <w:rFonts w:ascii="Franklin Gothic Book" w:hAnsi="Franklin Gothic Book"/>
          <w:sz w:val="23"/>
          <w:szCs w:val="23"/>
        </w:rPr>
        <w:t>.</w:t>
      </w:r>
    </w:p>
    <w:p w14:paraId="0DDB976D" w14:textId="77777777" w:rsidR="00560F73" w:rsidRPr="00622F0E" w:rsidRDefault="00560F73" w:rsidP="00622F0E">
      <w:pPr>
        <w:pStyle w:val="ListParagraph"/>
        <w:ind w:left="851"/>
        <w:rPr>
          <w:rFonts w:ascii="Franklin Gothic Book" w:hAnsi="Franklin Gothic Book"/>
          <w:sz w:val="23"/>
          <w:szCs w:val="23"/>
        </w:rPr>
      </w:pPr>
    </w:p>
    <w:p w14:paraId="3979E8F6" w14:textId="0C2BF355" w:rsidR="006A7BEC" w:rsidRPr="00622F0E" w:rsidRDefault="00526BE4" w:rsidP="00622F0E">
      <w:pPr>
        <w:pStyle w:val="Style3"/>
        <w:ind w:left="851"/>
        <w:rPr>
          <w:rFonts w:ascii="Franklin Gothic Book" w:hAnsi="Franklin Gothic Book"/>
          <w:sz w:val="23"/>
          <w:szCs w:val="23"/>
        </w:rPr>
      </w:pPr>
      <w:r w:rsidRPr="00622F0E">
        <w:rPr>
          <w:rFonts w:ascii="Franklin Gothic Book" w:hAnsi="Franklin Gothic Book"/>
          <w:sz w:val="23"/>
          <w:szCs w:val="23"/>
        </w:rPr>
        <w:t xml:space="preserve">As a </w:t>
      </w:r>
      <w:r w:rsidR="00FD2B04" w:rsidRPr="00622F0E">
        <w:rPr>
          <w:rFonts w:ascii="Franklin Gothic Book" w:hAnsi="Franklin Gothic Book"/>
          <w:sz w:val="23"/>
          <w:szCs w:val="23"/>
        </w:rPr>
        <w:t xml:space="preserve">further </w:t>
      </w:r>
      <w:r w:rsidRPr="00622F0E">
        <w:rPr>
          <w:rFonts w:ascii="Franklin Gothic Book" w:hAnsi="Franklin Gothic Book"/>
          <w:sz w:val="23"/>
          <w:szCs w:val="23"/>
        </w:rPr>
        <w:t>protective measure</w:t>
      </w:r>
      <w:r w:rsidR="006A7BEC" w:rsidRPr="00622F0E">
        <w:rPr>
          <w:rFonts w:ascii="Franklin Gothic Book" w:hAnsi="Franklin Gothic Book"/>
          <w:sz w:val="23"/>
          <w:szCs w:val="23"/>
        </w:rPr>
        <w:t>, the legislation should provide flexibility in reducing the amount of an infringement notice</w:t>
      </w:r>
      <w:r w:rsidR="008427AF" w:rsidRPr="00622F0E">
        <w:rPr>
          <w:rFonts w:ascii="Franklin Gothic Book" w:hAnsi="Franklin Gothic Book"/>
          <w:sz w:val="23"/>
          <w:szCs w:val="23"/>
        </w:rPr>
        <w:t xml:space="preserve"> after it has been issued</w:t>
      </w:r>
      <w:r w:rsidR="006A7BEC" w:rsidRPr="00622F0E">
        <w:rPr>
          <w:rFonts w:ascii="Franklin Gothic Book" w:hAnsi="Franklin Gothic Book"/>
          <w:sz w:val="23"/>
          <w:szCs w:val="23"/>
        </w:rPr>
        <w:t xml:space="preserve">. The Registrar should have a discretion (again, subject to the above mandatory considerations) to reduce the amount </w:t>
      </w:r>
      <w:r w:rsidR="00761E46" w:rsidRPr="00622F0E">
        <w:rPr>
          <w:rFonts w:ascii="Franklin Gothic Book" w:hAnsi="Franklin Gothic Book"/>
          <w:sz w:val="23"/>
          <w:szCs w:val="23"/>
        </w:rPr>
        <w:t xml:space="preserve">required </w:t>
      </w:r>
      <w:r w:rsidR="006A7BEC" w:rsidRPr="00622F0E">
        <w:rPr>
          <w:rFonts w:ascii="Franklin Gothic Book" w:hAnsi="Franklin Gothic Book"/>
          <w:sz w:val="23"/>
          <w:szCs w:val="23"/>
        </w:rPr>
        <w:t>to be paid</w:t>
      </w:r>
      <w:r w:rsidR="00EC15EF" w:rsidRPr="00622F0E">
        <w:rPr>
          <w:rFonts w:ascii="Franklin Gothic Book" w:hAnsi="Franklin Gothic Book"/>
          <w:sz w:val="23"/>
          <w:szCs w:val="23"/>
        </w:rPr>
        <w:t xml:space="preserve">, including </w:t>
      </w:r>
      <w:r w:rsidR="00EC36E0" w:rsidRPr="00622F0E">
        <w:rPr>
          <w:rFonts w:ascii="Franklin Gothic Book" w:hAnsi="Franklin Gothic Book"/>
          <w:sz w:val="23"/>
          <w:szCs w:val="23"/>
        </w:rPr>
        <w:t xml:space="preserve">solely on </w:t>
      </w:r>
      <w:r w:rsidR="00EC15EF" w:rsidRPr="00622F0E">
        <w:rPr>
          <w:rFonts w:ascii="Franklin Gothic Book" w:hAnsi="Franklin Gothic Book"/>
          <w:sz w:val="23"/>
          <w:szCs w:val="23"/>
        </w:rPr>
        <w:t>compassionate grounds</w:t>
      </w:r>
      <w:r w:rsidR="006A7BEC" w:rsidRPr="00622F0E">
        <w:rPr>
          <w:rFonts w:ascii="Franklin Gothic Book" w:hAnsi="Franklin Gothic Book"/>
          <w:sz w:val="23"/>
          <w:szCs w:val="23"/>
        </w:rPr>
        <w:t>.</w:t>
      </w:r>
      <w:r w:rsidR="00727B33" w:rsidRPr="00622F0E">
        <w:rPr>
          <w:rFonts w:ascii="Franklin Gothic Book" w:hAnsi="Franklin Gothic Book"/>
          <w:sz w:val="23"/>
          <w:szCs w:val="23"/>
        </w:rPr>
        <w:t xml:space="preserve"> </w:t>
      </w:r>
    </w:p>
    <w:p w14:paraId="546BBB2B" w14:textId="77777777" w:rsidR="006A7BEC" w:rsidRPr="00F5725B" w:rsidRDefault="006A7BEC" w:rsidP="006A7BEC">
      <w:pPr>
        <w:pStyle w:val="Style3"/>
        <w:numPr>
          <w:ilvl w:val="0"/>
          <w:numId w:val="0"/>
        </w:numPr>
        <w:ind w:left="357"/>
        <w:rPr>
          <w:rFonts w:ascii="Franklin Gothic Book" w:hAnsi="Franklin Gothic Book"/>
        </w:rPr>
      </w:pPr>
    </w:p>
    <w:p w14:paraId="7C814603" w14:textId="77777777" w:rsidR="00803CF2" w:rsidRPr="00F5725B" w:rsidRDefault="00803CF2" w:rsidP="00803CF2">
      <w:pPr>
        <w:pStyle w:val="Style3"/>
        <w:numPr>
          <w:ilvl w:val="0"/>
          <w:numId w:val="0"/>
        </w:numPr>
        <w:rPr>
          <w:rFonts w:ascii="Franklin Gothic Book" w:hAnsi="Franklin Gothic Book"/>
        </w:rPr>
      </w:pPr>
    </w:p>
    <w:p w14:paraId="15F2FABE" w14:textId="4D479B42" w:rsidR="00FD6445" w:rsidRPr="00F5725B" w:rsidRDefault="00FD6445" w:rsidP="00FD6445">
      <w:pPr>
        <w:pStyle w:val="Style4"/>
        <w:numPr>
          <w:ilvl w:val="0"/>
          <w:numId w:val="0"/>
        </w:numPr>
        <w:spacing w:line="276" w:lineRule="auto"/>
        <w:rPr>
          <w:rFonts w:ascii="Franklin Gothic Book" w:hAnsi="Franklin Gothic Book"/>
          <w:b/>
          <w:bCs/>
        </w:rPr>
      </w:pPr>
      <w:r w:rsidRPr="00F5725B">
        <w:rPr>
          <w:rFonts w:ascii="Franklin Gothic Book" w:hAnsi="Franklin Gothic Book"/>
          <w:b/>
          <w:bCs/>
        </w:rPr>
        <w:t>Requirement to keep up to date records of all contact details including mobile phones (</w:t>
      </w:r>
      <w:r w:rsidR="008624FF" w:rsidRPr="00F5725B">
        <w:rPr>
          <w:rFonts w:ascii="Franklin Gothic Book" w:hAnsi="Franklin Gothic Book"/>
          <w:b/>
        </w:rPr>
        <w:t>draft Bill</w:t>
      </w:r>
      <w:r w:rsidR="007109DA" w:rsidRPr="00F5725B">
        <w:rPr>
          <w:rFonts w:ascii="Franklin Gothic Book" w:hAnsi="Franklin Gothic Book"/>
          <w:b/>
          <w:bCs/>
        </w:rPr>
        <w:t xml:space="preserve"> clauses </w:t>
      </w:r>
      <w:r w:rsidRPr="00F5725B">
        <w:rPr>
          <w:rFonts w:ascii="Franklin Gothic Book" w:hAnsi="Franklin Gothic Book"/>
          <w:b/>
          <w:bCs/>
        </w:rPr>
        <w:t>76 &amp; 78)</w:t>
      </w:r>
    </w:p>
    <w:p w14:paraId="1498D53C" w14:textId="14A318A7" w:rsidR="0079378B" w:rsidRPr="00622F0E" w:rsidRDefault="00F72EF3" w:rsidP="00622F0E">
      <w:pPr>
        <w:pStyle w:val="Style4"/>
        <w:spacing w:line="276" w:lineRule="auto"/>
        <w:ind w:left="851"/>
        <w:rPr>
          <w:rFonts w:ascii="Franklin Gothic Book" w:hAnsi="Franklin Gothic Book"/>
          <w:sz w:val="23"/>
          <w:szCs w:val="23"/>
        </w:rPr>
      </w:pPr>
      <w:r w:rsidRPr="00622F0E">
        <w:rPr>
          <w:rFonts w:ascii="Franklin Gothic Book" w:hAnsi="Franklin Gothic Book"/>
          <w:sz w:val="23"/>
          <w:szCs w:val="23"/>
        </w:rPr>
        <w:t>The</w:t>
      </w:r>
      <w:r w:rsidR="003F2F1F" w:rsidRPr="00622F0E">
        <w:rPr>
          <w:rFonts w:ascii="Franklin Gothic Book" w:hAnsi="Franklin Gothic Book"/>
          <w:sz w:val="23"/>
          <w:szCs w:val="23"/>
        </w:rPr>
        <w:t xml:space="preserve"> CLC’s concerns about the disproportionate </w:t>
      </w:r>
      <w:r w:rsidR="0036651F" w:rsidRPr="00622F0E">
        <w:rPr>
          <w:rFonts w:ascii="Franklin Gothic Book" w:hAnsi="Franklin Gothic Book"/>
          <w:sz w:val="23"/>
          <w:szCs w:val="23"/>
        </w:rPr>
        <w:t xml:space="preserve">administrative </w:t>
      </w:r>
      <w:r w:rsidR="00FC5E94" w:rsidRPr="00622F0E">
        <w:rPr>
          <w:rFonts w:ascii="Franklin Gothic Book" w:hAnsi="Franklin Gothic Book"/>
          <w:sz w:val="23"/>
          <w:szCs w:val="23"/>
        </w:rPr>
        <w:t xml:space="preserve">burden </w:t>
      </w:r>
      <w:r w:rsidR="003F2F1F" w:rsidRPr="00622F0E">
        <w:rPr>
          <w:rFonts w:ascii="Franklin Gothic Book" w:hAnsi="Franklin Gothic Book"/>
          <w:sz w:val="23"/>
          <w:szCs w:val="23"/>
        </w:rPr>
        <w:t xml:space="preserve">of mandatory recording of alternative contact details have been confirmed by the </w:t>
      </w:r>
      <w:r w:rsidR="008624FF" w:rsidRPr="00622F0E">
        <w:rPr>
          <w:rFonts w:ascii="Franklin Gothic Book" w:hAnsi="Franklin Gothic Book"/>
          <w:sz w:val="23"/>
          <w:szCs w:val="23"/>
        </w:rPr>
        <w:t>draft Bill</w:t>
      </w:r>
      <w:r w:rsidR="003F2F1F" w:rsidRPr="00622F0E">
        <w:rPr>
          <w:rFonts w:ascii="Franklin Gothic Book" w:hAnsi="Franklin Gothic Book"/>
          <w:sz w:val="23"/>
          <w:szCs w:val="23"/>
        </w:rPr>
        <w:t xml:space="preserve">. While most of the proposed amendments in Part 3 are benign, </w:t>
      </w:r>
      <w:r w:rsidR="00FC5E94" w:rsidRPr="00622F0E">
        <w:rPr>
          <w:rFonts w:ascii="Franklin Gothic Book" w:hAnsi="Franklin Gothic Book"/>
          <w:sz w:val="23"/>
          <w:szCs w:val="23"/>
        </w:rPr>
        <w:t>the</w:t>
      </w:r>
      <w:r w:rsidRPr="00622F0E">
        <w:rPr>
          <w:rFonts w:ascii="Franklin Gothic Book" w:hAnsi="Franklin Gothic Book"/>
          <w:sz w:val="23"/>
          <w:szCs w:val="23"/>
        </w:rPr>
        <w:t xml:space="preserve"> effect of </w:t>
      </w:r>
      <w:r w:rsidR="008624FF" w:rsidRPr="00622F0E">
        <w:rPr>
          <w:rFonts w:ascii="Franklin Gothic Book" w:hAnsi="Franklin Gothic Book"/>
          <w:sz w:val="23"/>
          <w:szCs w:val="23"/>
        </w:rPr>
        <w:t>draft Bill</w:t>
      </w:r>
      <w:r w:rsidR="001C35B8" w:rsidRPr="00622F0E">
        <w:rPr>
          <w:rFonts w:ascii="Franklin Gothic Book" w:hAnsi="Franklin Gothic Book"/>
          <w:sz w:val="23"/>
          <w:szCs w:val="23"/>
        </w:rPr>
        <w:t xml:space="preserve"> clauses 76 and 78, </w:t>
      </w:r>
      <w:r w:rsidR="00742431" w:rsidRPr="00622F0E">
        <w:rPr>
          <w:rFonts w:ascii="Franklin Gothic Book" w:hAnsi="Franklin Gothic Book"/>
          <w:sz w:val="23"/>
          <w:szCs w:val="23"/>
        </w:rPr>
        <w:t xml:space="preserve">combined with CATSI Act </w:t>
      </w:r>
      <w:proofErr w:type="spellStart"/>
      <w:r w:rsidR="00742431" w:rsidRPr="00622F0E">
        <w:rPr>
          <w:rFonts w:ascii="Franklin Gothic Book" w:hAnsi="Franklin Gothic Book"/>
          <w:sz w:val="23"/>
          <w:szCs w:val="23"/>
        </w:rPr>
        <w:t>ss</w:t>
      </w:r>
      <w:proofErr w:type="spellEnd"/>
      <w:r w:rsidR="00742431" w:rsidRPr="00622F0E">
        <w:rPr>
          <w:rFonts w:ascii="Franklin Gothic Book" w:hAnsi="Franklin Gothic Book"/>
          <w:sz w:val="23"/>
          <w:szCs w:val="23"/>
        </w:rPr>
        <w:t xml:space="preserve"> 304-5 and </w:t>
      </w:r>
      <w:r w:rsidR="001705C2" w:rsidRPr="00622F0E">
        <w:rPr>
          <w:rFonts w:ascii="Franklin Gothic Book" w:hAnsi="Franklin Gothic Book"/>
          <w:sz w:val="23"/>
          <w:szCs w:val="23"/>
        </w:rPr>
        <w:t xml:space="preserve">304-10 are to criminalise failure to keep mobile phone </w:t>
      </w:r>
      <w:r w:rsidR="006D5026" w:rsidRPr="00622F0E">
        <w:rPr>
          <w:rFonts w:ascii="Franklin Gothic Book" w:hAnsi="Franklin Gothic Book"/>
          <w:sz w:val="23"/>
          <w:szCs w:val="23"/>
        </w:rPr>
        <w:t xml:space="preserve">contact </w:t>
      </w:r>
      <w:r w:rsidR="001705C2" w:rsidRPr="00622F0E">
        <w:rPr>
          <w:rFonts w:ascii="Franklin Gothic Book" w:hAnsi="Franklin Gothic Book"/>
          <w:sz w:val="23"/>
          <w:szCs w:val="23"/>
        </w:rPr>
        <w:t>information up to date.</w:t>
      </w:r>
      <w:r w:rsidR="00B67183" w:rsidRPr="00622F0E">
        <w:rPr>
          <w:rFonts w:ascii="Franklin Gothic Book" w:hAnsi="Franklin Gothic Book"/>
          <w:sz w:val="23"/>
          <w:szCs w:val="23"/>
        </w:rPr>
        <w:t xml:space="preserve"> This is not a </w:t>
      </w:r>
      <w:r w:rsidR="00337377" w:rsidRPr="00622F0E">
        <w:rPr>
          <w:rFonts w:ascii="Franklin Gothic Book" w:hAnsi="Franklin Gothic Book"/>
          <w:sz w:val="23"/>
          <w:szCs w:val="23"/>
        </w:rPr>
        <w:t xml:space="preserve">fair </w:t>
      </w:r>
      <w:r w:rsidR="00A22A03" w:rsidRPr="00622F0E">
        <w:rPr>
          <w:rFonts w:ascii="Franklin Gothic Book" w:hAnsi="Franklin Gothic Book"/>
          <w:sz w:val="23"/>
          <w:szCs w:val="23"/>
        </w:rPr>
        <w:t xml:space="preserve">expectation </w:t>
      </w:r>
      <w:r w:rsidR="00B60A32" w:rsidRPr="00622F0E">
        <w:rPr>
          <w:rFonts w:ascii="Franklin Gothic Book" w:hAnsi="Franklin Gothic Book"/>
          <w:sz w:val="23"/>
          <w:szCs w:val="23"/>
        </w:rPr>
        <w:t xml:space="preserve">to impose on </w:t>
      </w:r>
      <w:r w:rsidR="003E6EEE" w:rsidRPr="00622F0E">
        <w:rPr>
          <w:rFonts w:ascii="Franklin Gothic Book" w:hAnsi="Franklin Gothic Book"/>
          <w:sz w:val="23"/>
          <w:szCs w:val="23"/>
        </w:rPr>
        <w:t>remote Aboriginal Australians.</w:t>
      </w:r>
      <w:r w:rsidR="00742431" w:rsidRPr="00622F0E">
        <w:rPr>
          <w:rFonts w:ascii="Franklin Gothic Book" w:hAnsi="Franklin Gothic Book"/>
          <w:sz w:val="23"/>
          <w:szCs w:val="23"/>
        </w:rPr>
        <w:t xml:space="preserve"> </w:t>
      </w:r>
      <w:r w:rsidR="00327ED4" w:rsidRPr="00622F0E">
        <w:rPr>
          <w:rFonts w:ascii="Franklin Gothic Book" w:hAnsi="Franklin Gothic Book"/>
          <w:sz w:val="23"/>
          <w:szCs w:val="23"/>
        </w:rPr>
        <w:t>As explained in the CLC’s previous submission, there is a high rate of turnover of mobile phones, which are often shared between family members. A single user can accrue up to 25 mobile numbers.</w:t>
      </w:r>
    </w:p>
    <w:p w14:paraId="1512033B" w14:textId="7E6E65AB" w:rsidR="002A6BB4" w:rsidRPr="00622F0E" w:rsidRDefault="00096519" w:rsidP="00622F0E">
      <w:pPr>
        <w:pStyle w:val="Style4"/>
        <w:spacing w:line="276" w:lineRule="auto"/>
        <w:ind w:left="851"/>
        <w:rPr>
          <w:rFonts w:ascii="Franklin Gothic Book" w:hAnsi="Franklin Gothic Book"/>
          <w:sz w:val="23"/>
          <w:szCs w:val="23"/>
        </w:rPr>
      </w:pPr>
      <w:r w:rsidRPr="00622F0E">
        <w:rPr>
          <w:rFonts w:ascii="Franklin Gothic Book" w:hAnsi="Franklin Gothic Book"/>
          <w:sz w:val="23"/>
          <w:szCs w:val="23"/>
        </w:rPr>
        <w:t>With these amendments, e</w:t>
      </w:r>
      <w:r w:rsidR="00FD6445" w:rsidRPr="00622F0E">
        <w:rPr>
          <w:rFonts w:ascii="Franklin Gothic Book" w:hAnsi="Franklin Gothic Book"/>
          <w:sz w:val="23"/>
          <w:szCs w:val="23"/>
        </w:rPr>
        <w:t>very time a director changes their mobile number, they commit an offence</w:t>
      </w:r>
      <w:r w:rsidR="00F2474B" w:rsidRPr="00622F0E">
        <w:rPr>
          <w:rFonts w:ascii="Franklin Gothic Book" w:hAnsi="Franklin Gothic Book"/>
          <w:sz w:val="23"/>
          <w:szCs w:val="23"/>
        </w:rPr>
        <w:t xml:space="preserve"> if they do not promptly advise every corporation they are a director of</w:t>
      </w:r>
      <w:r w:rsidR="00FD6445" w:rsidRPr="00622F0E">
        <w:rPr>
          <w:rFonts w:ascii="Franklin Gothic Book" w:hAnsi="Franklin Gothic Book"/>
          <w:sz w:val="23"/>
          <w:szCs w:val="23"/>
        </w:rPr>
        <w:t xml:space="preserve">. </w:t>
      </w:r>
      <w:r w:rsidR="00B56E13" w:rsidRPr="00622F0E">
        <w:rPr>
          <w:rFonts w:ascii="Franklin Gothic Book" w:hAnsi="Franklin Gothic Book"/>
          <w:sz w:val="23"/>
          <w:szCs w:val="23"/>
        </w:rPr>
        <w:t>T</w:t>
      </w:r>
      <w:r w:rsidR="00FD6445" w:rsidRPr="00622F0E">
        <w:rPr>
          <w:rFonts w:ascii="Franklin Gothic Book" w:hAnsi="Franklin Gothic Book"/>
          <w:sz w:val="23"/>
          <w:szCs w:val="23"/>
        </w:rPr>
        <w:t xml:space="preserve">he corporation </w:t>
      </w:r>
      <w:r w:rsidR="00820600" w:rsidRPr="00622F0E">
        <w:rPr>
          <w:rFonts w:ascii="Franklin Gothic Book" w:hAnsi="Franklin Gothic Book"/>
          <w:sz w:val="23"/>
          <w:szCs w:val="23"/>
        </w:rPr>
        <w:t xml:space="preserve">similarly </w:t>
      </w:r>
      <w:r w:rsidR="00FD6445" w:rsidRPr="00622F0E">
        <w:rPr>
          <w:rFonts w:ascii="Franklin Gothic Book" w:hAnsi="Franklin Gothic Book"/>
          <w:sz w:val="23"/>
          <w:szCs w:val="23"/>
        </w:rPr>
        <w:t xml:space="preserve">commits an offence </w:t>
      </w:r>
      <w:r w:rsidR="00B56E13" w:rsidRPr="00622F0E">
        <w:rPr>
          <w:rFonts w:ascii="Franklin Gothic Book" w:hAnsi="Franklin Gothic Book"/>
          <w:sz w:val="23"/>
          <w:szCs w:val="23"/>
        </w:rPr>
        <w:t>if it does not update</w:t>
      </w:r>
      <w:r w:rsidR="00FD6445" w:rsidRPr="00622F0E">
        <w:rPr>
          <w:rFonts w:ascii="Franklin Gothic Book" w:hAnsi="Franklin Gothic Book"/>
          <w:sz w:val="23"/>
          <w:szCs w:val="23"/>
        </w:rPr>
        <w:t xml:space="preserve"> the same to ORIC. </w:t>
      </w:r>
      <w:r w:rsidR="002A6BB4" w:rsidRPr="00622F0E">
        <w:rPr>
          <w:rFonts w:ascii="Franklin Gothic Book" w:hAnsi="Franklin Gothic Book"/>
          <w:sz w:val="23"/>
          <w:szCs w:val="23"/>
        </w:rPr>
        <w:t>This is simply not a reasonable requirement</w:t>
      </w:r>
      <w:r w:rsidR="00111A63" w:rsidRPr="00622F0E">
        <w:rPr>
          <w:rFonts w:ascii="Franklin Gothic Book" w:hAnsi="Franklin Gothic Book"/>
          <w:sz w:val="23"/>
          <w:szCs w:val="23"/>
        </w:rPr>
        <w:t>.</w:t>
      </w:r>
    </w:p>
    <w:p w14:paraId="77A8E99E" w14:textId="7D7EE4C2" w:rsidR="00111A63" w:rsidRPr="00622F0E" w:rsidRDefault="00111A63" w:rsidP="00622F0E">
      <w:pPr>
        <w:pStyle w:val="Style4"/>
        <w:spacing w:line="276" w:lineRule="auto"/>
        <w:ind w:left="851"/>
        <w:rPr>
          <w:rFonts w:ascii="Franklin Gothic Book" w:hAnsi="Franklin Gothic Book"/>
          <w:sz w:val="23"/>
          <w:szCs w:val="23"/>
        </w:rPr>
      </w:pPr>
      <w:r w:rsidRPr="00622F0E">
        <w:rPr>
          <w:rFonts w:ascii="Franklin Gothic Book" w:hAnsi="Franklin Gothic Book"/>
          <w:sz w:val="23"/>
          <w:szCs w:val="23"/>
        </w:rPr>
        <w:lastRenderedPageBreak/>
        <w:t xml:space="preserve">The </w:t>
      </w:r>
      <w:r w:rsidR="00C85BD1" w:rsidRPr="00622F0E">
        <w:rPr>
          <w:rFonts w:ascii="Franklin Gothic Book" w:hAnsi="Franklin Gothic Book"/>
          <w:sz w:val="23"/>
          <w:szCs w:val="23"/>
        </w:rPr>
        <w:t>draft Bill</w:t>
      </w:r>
      <w:r w:rsidRPr="00622F0E">
        <w:rPr>
          <w:rFonts w:ascii="Franklin Gothic Book" w:hAnsi="Franklin Gothic Book"/>
          <w:sz w:val="23"/>
          <w:szCs w:val="23"/>
        </w:rPr>
        <w:t xml:space="preserve"> should be </w:t>
      </w:r>
      <w:r w:rsidR="00CD69FC" w:rsidRPr="00622F0E">
        <w:rPr>
          <w:rFonts w:ascii="Franklin Gothic Book" w:hAnsi="Franklin Gothic Book"/>
          <w:sz w:val="23"/>
          <w:szCs w:val="23"/>
        </w:rPr>
        <w:t>amended</w:t>
      </w:r>
      <w:r w:rsidRPr="00622F0E">
        <w:rPr>
          <w:rFonts w:ascii="Franklin Gothic Book" w:hAnsi="Franklin Gothic Book"/>
          <w:sz w:val="23"/>
          <w:szCs w:val="23"/>
        </w:rPr>
        <w:t xml:space="preserve"> to </w:t>
      </w:r>
      <w:r w:rsidR="00DC064F" w:rsidRPr="00622F0E">
        <w:rPr>
          <w:rFonts w:ascii="Franklin Gothic Book" w:hAnsi="Franklin Gothic Book"/>
          <w:sz w:val="23"/>
          <w:szCs w:val="23"/>
        </w:rPr>
        <w:t xml:space="preserve">ensure </w:t>
      </w:r>
      <w:r w:rsidRPr="00622F0E">
        <w:rPr>
          <w:rFonts w:ascii="Franklin Gothic Book" w:hAnsi="Franklin Gothic Book"/>
          <w:sz w:val="23"/>
          <w:szCs w:val="23"/>
        </w:rPr>
        <w:t>that the corporation and its officers are not responsible for maintaining up to date mobile phone contact details.</w:t>
      </w:r>
      <w:r w:rsidR="00274A65" w:rsidRPr="00622F0E">
        <w:rPr>
          <w:rFonts w:ascii="Franklin Gothic Book" w:hAnsi="Franklin Gothic Book"/>
          <w:sz w:val="23"/>
          <w:szCs w:val="23"/>
        </w:rPr>
        <w:t xml:space="preserve"> It should be optional for a corporation to keep mobile phone details, and should not be required that they are kept up to date. If a corporation does opt to keep those records, it is reasonable for the corporation to be required to use the records to try to contact members.</w:t>
      </w:r>
    </w:p>
    <w:p w14:paraId="42620FD8" w14:textId="77777777" w:rsidR="00C35E8E" w:rsidRPr="00F5725B" w:rsidRDefault="00C35E8E" w:rsidP="00C35E8E">
      <w:pPr>
        <w:pStyle w:val="Style4"/>
        <w:numPr>
          <w:ilvl w:val="0"/>
          <w:numId w:val="0"/>
        </w:numPr>
        <w:spacing w:line="276" w:lineRule="auto"/>
        <w:rPr>
          <w:rFonts w:ascii="Franklin Gothic Book" w:hAnsi="Franklin Gothic Book"/>
          <w:b/>
          <w:bCs/>
        </w:rPr>
      </w:pPr>
      <w:r w:rsidRPr="00F5725B">
        <w:rPr>
          <w:rFonts w:ascii="Franklin Gothic Book" w:hAnsi="Franklin Gothic Book"/>
          <w:b/>
          <w:bCs/>
        </w:rPr>
        <w:t>Requirement to make a membership decision within 6 months (</w:t>
      </w:r>
      <w:r w:rsidRPr="00F5725B">
        <w:rPr>
          <w:rFonts w:ascii="Franklin Gothic Book" w:hAnsi="Franklin Gothic Book"/>
          <w:b/>
        </w:rPr>
        <w:t>draft Bill</w:t>
      </w:r>
      <w:r w:rsidRPr="00F5725B">
        <w:rPr>
          <w:rFonts w:ascii="Franklin Gothic Book" w:hAnsi="Franklin Gothic Book"/>
          <w:b/>
          <w:bCs/>
        </w:rPr>
        <w:t xml:space="preserve"> clause 56)</w:t>
      </w:r>
    </w:p>
    <w:p w14:paraId="4706A7DC" w14:textId="77777777" w:rsidR="00C35E8E" w:rsidRPr="00622F0E" w:rsidRDefault="00C35E8E" w:rsidP="00622F0E">
      <w:pPr>
        <w:pStyle w:val="Style4"/>
        <w:spacing w:line="276" w:lineRule="auto"/>
        <w:ind w:left="851"/>
        <w:rPr>
          <w:rFonts w:ascii="Franklin Gothic Book" w:hAnsi="Franklin Gothic Book"/>
          <w:sz w:val="23"/>
          <w:szCs w:val="23"/>
        </w:rPr>
      </w:pPr>
      <w:r w:rsidRPr="00622F0E">
        <w:rPr>
          <w:rFonts w:ascii="Franklin Gothic Book" w:hAnsi="Franklin Gothic Book"/>
          <w:sz w:val="23"/>
          <w:szCs w:val="23"/>
        </w:rPr>
        <w:t>The CLC has concerns that this requirement will not be practical for many corporations that are not being actively managed. This will include a large number of land-holding corporations and RNTBCs in Central Australia.</w:t>
      </w:r>
    </w:p>
    <w:p w14:paraId="65628D51" w14:textId="77777777" w:rsidR="00C35E8E" w:rsidRPr="00622F0E" w:rsidRDefault="00C35E8E" w:rsidP="00622F0E">
      <w:pPr>
        <w:pStyle w:val="Style4"/>
        <w:spacing w:line="276" w:lineRule="auto"/>
        <w:ind w:left="851"/>
        <w:rPr>
          <w:rFonts w:ascii="Franklin Gothic Book" w:hAnsi="Franklin Gothic Book"/>
          <w:sz w:val="23"/>
          <w:szCs w:val="23"/>
        </w:rPr>
      </w:pPr>
      <w:r w:rsidRPr="00622F0E">
        <w:rPr>
          <w:rFonts w:ascii="Franklin Gothic Book" w:hAnsi="Franklin Gothic Book"/>
          <w:sz w:val="23"/>
          <w:szCs w:val="23"/>
        </w:rPr>
        <w:t>Many such corporations only have a board meeting in conjunction with their annual general meetings. This means that there are often periods longer than 6 months when the directors do not meet at all. They will therefore also not be in a position to seek an extension/exemption under draft Bill</w:t>
      </w:r>
      <w:r w:rsidRPr="00622F0E">
        <w:rPr>
          <w:rFonts w:ascii="Franklin Gothic Book" w:hAnsi="Franklin Gothic Book"/>
          <w:b/>
          <w:bCs/>
          <w:sz w:val="23"/>
          <w:szCs w:val="23"/>
        </w:rPr>
        <w:t xml:space="preserve"> </w:t>
      </w:r>
      <w:r w:rsidRPr="00622F0E">
        <w:rPr>
          <w:rFonts w:ascii="Franklin Gothic Book" w:hAnsi="Franklin Gothic Book"/>
          <w:sz w:val="23"/>
          <w:szCs w:val="23"/>
        </w:rPr>
        <w:t>clause 58 either.</w:t>
      </w:r>
    </w:p>
    <w:p w14:paraId="10D459EF" w14:textId="77777777" w:rsidR="00C35E8E" w:rsidRPr="00622F0E" w:rsidRDefault="00C35E8E" w:rsidP="00622F0E">
      <w:pPr>
        <w:pStyle w:val="Style4"/>
        <w:spacing w:line="276" w:lineRule="auto"/>
        <w:ind w:left="851"/>
        <w:rPr>
          <w:rFonts w:ascii="Franklin Gothic Book" w:hAnsi="Franklin Gothic Book"/>
          <w:sz w:val="23"/>
          <w:szCs w:val="23"/>
        </w:rPr>
      </w:pPr>
      <w:r w:rsidRPr="00622F0E">
        <w:rPr>
          <w:rFonts w:ascii="Franklin Gothic Book" w:hAnsi="Franklin Gothic Book"/>
          <w:sz w:val="23"/>
          <w:szCs w:val="23"/>
        </w:rPr>
        <w:t>The intent of this amendment is not met by requiring membership decisions to be made during a period when the corporation is not making any other decisions or holding any other meetings. It would create an unnecessary, and significant, administrative burden to require directors to meet to either consider membership applications, or to seek an extension/exemption.</w:t>
      </w:r>
    </w:p>
    <w:p w14:paraId="3D8AE2D1" w14:textId="77777777" w:rsidR="00C35E8E" w:rsidRPr="00622F0E" w:rsidRDefault="00C35E8E" w:rsidP="00622F0E">
      <w:pPr>
        <w:pStyle w:val="Style4"/>
        <w:spacing w:line="276" w:lineRule="auto"/>
        <w:ind w:left="851"/>
        <w:rPr>
          <w:rFonts w:ascii="Franklin Gothic Book" w:hAnsi="Franklin Gothic Book"/>
          <w:sz w:val="23"/>
          <w:szCs w:val="23"/>
        </w:rPr>
      </w:pPr>
      <w:r w:rsidRPr="00622F0E">
        <w:rPr>
          <w:rFonts w:ascii="Franklin Gothic Book" w:hAnsi="Franklin Gothic Book"/>
          <w:sz w:val="23"/>
          <w:szCs w:val="23"/>
        </w:rPr>
        <w:t>To address this problem, draft Bill</w:t>
      </w:r>
      <w:r w:rsidRPr="00622F0E">
        <w:rPr>
          <w:rFonts w:ascii="Franklin Gothic Book" w:hAnsi="Franklin Gothic Book"/>
          <w:b/>
          <w:bCs/>
          <w:sz w:val="23"/>
          <w:szCs w:val="23"/>
        </w:rPr>
        <w:t xml:space="preserve"> </w:t>
      </w:r>
      <w:r w:rsidRPr="00622F0E">
        <w:rPr>
          <w:rFonts w:ascii="Franklin Gothic Book" w:hAnsi="Franklin Gothic Book"/>
          <w:sz w:val="23"/>
          <w:szCs w:val="23"/>
        </w:rPr>
        <w:t>clause 56 should be modified to require a membership decision to be made by the later day in the following two periods:</w:t>
      </w:r>
    </w:p>
    <w:p w14:paraId="142C4039" w14:textId="77777777" w:rsidR="00C35E8E" w:rsidRPr="00622F0E" w:rsidRDefault="00C35E8E" w:rsidP="00622F0E">
      <w:pPr>
        <w:pStyle w:val="Style4"/>
        <w:numPr>
          <w:ilvl w:val="1"/>
          <w:numId w:val="1"/>
        </w:numPr>
        <w:spacing w:line="276" w:lineRule="auto"/>
        <w:ind w:left="1276"/>
        <w:rPr>
          <w:rFonts w:ascii="Franklin Gothic Book" w:hAnsi="Franklin Gothic Book"/>
          <w:sz w:val="23"/>
          <w:szCs w:val="23"/>
        </w:rPr>
      </w:pPr>
      <w:r w:rsidRPr="00622F0E">
        <w:rPr>
          <w:rFonts w:ascii="Franklin Gothic Book" w:hAnsi="Franklin Gothic Book"/>
          <w:sz w:val="23"/>
          <w:szCs w:val="23"/>
        </w:rPr>
        <w:t>The period of 6 months beginning on the day the application is made; or</w:t>
      </w:r>
    </w:p>
    <w:p w14:paraId="00A88B73" w14:textId="77777777" w:rsidR="00C35E8E" w:rsidRPr="00622F0E" w:rsidRDefault="00C35E8E" w:rsidP="00622F0E">
      <w:pPr>
        <w:pStyle w:val="Style4"/>
        <w:numPr>
          <w:ilvl w:val="1"/>
          <w:numId w:val="1"/>
        </w:numPr>
        <w:spacing w:line="276" w:lineRule="auto"/>
        <w:ind w:left="1276"/>
        <w:rPr>
          <w:rFonts w:ascii="Franklin Gothic Book" w:hAnsi="Franklin Gothic Book"/>
          <w:sz w:val="23"/>
          <w:szCs w:val="23"/>
        </w:rPr>
      </w:pPr>
      <w:r w:rsidRPr="00622F0E">
        <w:rPr>
          <w:rFonts w:ascii="Franklin Gothic Book" w:hAnsi="Franklin Gothic Book"/>
          <w:sz w:val="23"/>
          <w:szCs w:val="23"/>
        </w:rPr>
        <w:t>The final day of the first directors meeting held after the day the application is made.</w:t>
      </w:r>
    </w:p>
    <w:p w14:paraId="6C9F28A4" w14:textId="447DE1A0" w:rsidR="00E3294E" w:rsidRPr="00F5725B" w:rsidRDefault="00E3294E" w:rsidP="00EE4E51">
      <w:pPr>
        <w:pStyle w:val="Style4"/>
        <w:numPr>
          <w:ilvl w:val="0"/>
          <w:numId w:val="0"/>
        </w:numPr>
        <w:spacing w:line="276" w:lineRule="auto"/>
        <w:rPr>
          <w:rFonts w:ascii="Franklin Gothic Book" w:hAnsi="Franklin Gothic Book"/>
        </w:rPr>
      </w:pPr>
      <w:r w:rsidRPr="00F5725B">
        <w:rPr>
          <w:rFonts w:ascii="Franklin Gothic Book" w:hAnsi="Franklin Gothic Book"/>
          <w:b/>
          <w:bCs/>
        </w:rPr>
        <w:t>Requirement to include replaceable rules in the rulebook (</w:t>
      </w:r>
      <w:r w:rsidR="008624FF" w:rsidRPr="00F5725B">
        <w:rPr>
          <w:rFonts w:ascii="Franklin Gothic Book" w:hAnsi="Franklin Gothic Book"/>
          <w:b/>
        </w:rPr>
        <w:t>draft Bill</w:t>
      </w:r>
      <w:r w:rsidR="00580B6E" w:rsidRPr="00F5725B">
        <w:rPr>
          <w:rFonts w:ascii="Franklin Gothic Book" w:hAnsi="Franklin Gothic Book"/>
          <w:b/>
          <w:bCs/>
        </w:rPr>
        <w:t xml:space="preserve"> clause</w:t>
      </w:r>
      <w:r w:rsidR="0091293C" w:rsidRPr="00F5725B">
        <w:rPr>
          <w:rFonts w:ascii="Franklin Gothic Book" w:hAnsi="Franklin Gothic Book"/>
          <w:b/>
          <w:bCs/>
        </w:rPr>
        <w:t xml:space="preserve"> </w:t>
      </w:r>
      <w:r w:rsidRPr="00F5725B">
        <w:rPr>
          <w:rFonts w:ascii="Franklin Gothic Book" w:hAnsi="Franklin Gothic Book"/>
          <w:b/>
          <w:bCs/>
        </w:rPr>
        <w:t xml:space="preserve">125) </w:t>
      </w:r>
    </w:p>
    <w:p w14:paraId="65225C10" w14:textId="2A174711" w:rsidR="00762BFC" w:rsidRPr="00622F0E" w:rsidRDefault="00762BFC" w:rsidP="00622F0E">
      <w:pPr>
        <w:pStyle w:val="Style4"/>
        <w:spacing w:line="276" w:lineRule="auto"/>
        <w:ind w:left="851"/>
        <w:rPr>
          <w:rFonts w:ascii="Franklin Gothic Book" w:hAnsi="Franklin Gothic Book"/>
          <w:sz w:val="23"/>
          <w:szCs w:val="23"/>
        </w:rPr>
      </w:pPr>
      <w:r w:rsidRPr="00622F0E">
        <w:rPr>
          <w:rFonts w:ascii="Franklin Gothic Book" w:hAnsi="Franklin Gothic Book"/>
          <w:sz w:val="23"/>
          <w:szCs w:val="23"/>
        </w:rPr>
        <w:t>The proposed clause requires a constitution to “identify” the applicable replaceable rules. This choice of words is unclear. It could mean “state/reproduce in full” or could simply mean “refer to”, for example by way of a list of relevant section numbers in the CATSI Act. This lack of clarity undermines the intent of this amendment</w:t>
      </w:r>
      <w:r w:rsidR="00663213" w:rsidRPr="00622F0E">
        <w:rPr>
          <w:rFonts w:ascii="Franklin Gothic Book" w:hAnsi="Franklin Gothic Book"/>
          <w:sz w:val="23"/>
          <w:szCs w:val="23"/>
        </w:rPr>
        <w:t xml:space="preserve"> and should be addressed</w:t>
      </w:r>
      <w:r w:rsidRPr="00622F0E">
        <w:rPr>
          <w:rFonts w:ascii="Franklin Gothic Book" w:hAnsi="Franklin Gothic Book"/>
          <w:sz w:val="23"/>
          <w:szCs w:val="23"/>
        </w:rPr>
        <w:t>.</w:t>
      </w:r>
      <w:r w:rsidR="00D35AA6" w:rsidRPr="00622F0E">
        <w:rPr>
          <w:rFonts w:ascii="Franklin Gothic Book" w:hAnsi="Franklin Gothic Book"/>
          <w:sz w:val="23"/>
          <w:szCs w:val="23"/>
        </w:rPr>
        <w:t xml:space="preserve"> In our view it would be preferable for the applicable replaceable rules to be required to be </w:t>
      </w:r>
      <w:r w:rsidR="00837A8F" w:rsidRPr="00622F0E">
        <w:rPr>
          <w:rFonts w:ascii="Franklin Gothic Book" w:hAnsi="Franklin Gothic Book"/>
          <w:sz w:val="23"/>
          <w:szCs w:val="23"/>
        </w:rPr>
        <w:t xml:space="preserve">reproduced </w:t>
      </w:r>
      <w:r w:rsidR="00D35AA6" w:rsidRPr="00622F0E">
        <w:rPr>
          <w:rFonts w:ascii="Franklin Gothic Book" w:hAnsi="Franklin Gothic Book"/>
          <w:sz w:val="23"/>
          <w:szCs w:val="23"/>
        </w:rPr>
        <w:t>in the constitution.</w:t>
      </w:r>
    </w:p>
    <w:p w14:paraId="6B43FDED" w14:textId="4BD3DAF1" w:rsidR="00F2121C" w:rsidRPr="00622F0E" w:rsidRDefault="007F1922" w:rsidP="00622F0E">
      <w:pPr>
        <w:pStyle w:val="Style4"/>
        <w:spacing w:line="276" w:lineRule="auto"/>
        <w:ind w:left="851"/>
        <w:rPr>
          <w:rFonts w:ascii="Franklin Gothic Book" w:hAnsi="Franklin Gothic Book"/>
          <w:sz w:val="23"/>
          <w:szCs w:val="23"/>
        </w:rPr>
      </w:pPr>
      <w:r w:rsidRPr="00622F0E">
        <w:rPr>
          <w:rFonts w:ascii="Franklin Gothic Book" w:hAnsi="Franklin Gothic Book"/>
          <w:sz w:val="23"/>
          <w:szCs w:val="23"/>
        </w:rPr>
        <w:t xml:space="preserve">The draft Bill does not address transitional arrangements, which the CLC submission identified as a significant issue. Particularly given that the </w:t>
      </w:r>
      <w:r w:rsidR="00792009" w:rsidRPr="00622F0E">
        <w:rPr>
          <w:rFonts w:ascii="Franklin Gothic Book" w:hAnsi="Franklin Gothic Book"/>
          <w:sz w:val="23"/>
          <w:szCs w:val="23"/>
        </w:rPr>
        <w:t xml:space="preserve">draft Bill involves amendments to </w:t>
      </w:r>
      <w:r w:rsidR="00E3294E" w:rsidRPr="00622F0E">
        <w:rPr>
          <w:rFonts w:ascii="Franklin Gothic Book" w:hAnsi="Franklin Gothic Book"/>
          <w:sz w:val="23"/>
          <w:szCs w:val="23"/>
        </w:rPr>
        <w:t xml:space="preserve">some of the replaceable rules, even corporations that have already </w:t>
      </w:r>
      <w:r w:rsidR="00675250" w:rsidRPr="00622F0E">
        <w:rPr>
          <w:rFonts w:ascii="Franklin Gothic Book" w:hAnsi="Franklin Gothic Book"/>
          <w:sz w:val="23"/>
          <w:szCs w:val="23"/>
        </w:rPr>
        <w:t>chosen to include</w:t>
      </w:r>
      <w:r w:rsidR="00E3294E" w:rsidRPr="00622F0E">
        <w:rPr>
          <w:rFonts w:ascii="Franklin Gothic Book" w:hAnsi="Franklin Gothic Book"/>
          <w:sz w:val="23"/>
          <w:szCs w:val="23"/>
        </w:rPr>
        <w:t xml:space="preserve"> </w:t>
      </w:r>
      <w:r w:rsidR="00DA48D0" w:rsidRPr="00622F0E">
        <w:rPr>
          <w:rFonts w:ascii="Franklin Gothic Book" w:hAnsi="Franklin Gothic Book"/>
          <w:sz w:val="23"/>
          <w:szCs w:val="23"/>
        </w:rPr>
        <w:t xml:space="preserve">relevant </w:t>
      </w:r>
      <w:r w:rsidR="002B61B4" w:rsidRPr="00622F0E">
        <w:rPr>
          <w:rFonts w:ascii="Franklin Gothic Book" w:hAnsi="Franklin Gothic Book"/>
          <w:sz w:val="23"/>
          <w:szCs w:val="23"/>
        </w:rPr>
        <w:t>replaceable rules</w:t>
      </w:r>
      <w:r w:rsidR="00E3294E" w:rsidRPr="00622F0E">
        <w:rPr>
          <w:rFonts w:ascii="Franklin Gothic Book" w:hAnsi="Franklin Gothic Book"/>
          <w:sz w:val="23"/>
          <w:szCs w:val="23"/>
        </w:rPr>
        <w:t xml:space="preserve"> in their constitution will </w:t>
      </w:r>
      <w:r w:rsidR="00070DEC" w:rsidRPr="00622F0E">
        <w:rPr>
          <w:rFonts w:ascii="Franklin Gothic Book" w:hAnsi="Franklin Gothic Book"/>
          <w:sz w:val="23"/>
          <w:szCs w:val="23"/>
        </w:rPr>
        <w:t>likely have to amend their constitution in response to this legislative change.</w:t>
      </w:r>
      <w:r w:rsidR="00E3294E" w:rsidRPr="00622F0E">
        <w:rPr>
          <w:rFonts w:ascii="Franklin Gothic Book" w:hAnsi="Franklin Gothic Book"/>
          <w:sz w:val="23"/>
          <w:szCs w:val="23"/>
        </w:rPr>
        <w:t xml:space="preserve"> </w:t>
      </w:r>
    </w:p>
    <w:p w14:paraId="30E7000F" w14:textId="46FA1EE1" w:rsidR="00E3294E" w:rsidRPr="00622F0E" w:rsidRDefault="00F2121C" w:rsidP="00622F0E">
      <w:pPr>
        <w:pStyle w:val="Style4"/>
        <w:spacing w:line="276" w:lineRule="auto"/>
        <w:ind w:left="851"/>
        <w:rPr>
          <w:rFonts w:ascii="Franklin Gothic Book" w:hAnsi="Franklin Gothic Book"/>
          <w:sz w:val="23"/>
          <w:szCs w:val="23"/>
        </w:rPr>
      </w:pPr>
      <w:r w:rsidRPr="00622F0E">
        <w:rPr>
          <w:rFonts w:ascii="Franklin Gothic Book" w:hAnsi="Franklin Gothic Book"/>
          <w:sz w:val="23"/>
          <w:szCs w:val="23"/>
        </w:rPr>
        <w:t>To be clear, this small amendment is likely to require every single Aboriginal and Torres Strait Islander corporation in the country to amend its rulebook</w:t>
      </w:r>
      <w:r w:rsidR="00DE0A6F" w:rsidRPr="00622F0E">
        <w:rPr>
          <w:rFonts w:ascii="Franklin Gothic Book" w:hAnsi="Franklin Gothic Book"/>
          <w:sz w:val="23"/>
          <w:szCs w:val="23"/>
        </w:rPr>
        <w:t xml:space="preserve">. </w:t>
      </w:r>
      <w:r w:rsidR="00E3294E" w:rsidRPr="00622F0E">
        <w:rPr>
          <w:rFonts w:ascii="Franklin Gothic Book" w:hAnsi="Franklin Gothic Book"/>
          <w:sz w:val="23"/>
          <w:szCs w:val="23"/>
        </w:rPr>
        <w:t>This is a</w:t>
      </w:r>
      <w:r w:rsidR="00DE0A6F" w:rsidRPr="00622F0E">
        <w:rPr>
          <w:rFonts w:ascii="Franklin Gothic Book" w:hAnsi="Franklin Gothic Book"/>
          <w:sz w:val="23"/>
          <w:szCs w:val="23"/>
        </w:rPr>
        <w:t>n enormous</w:t>
      </w:r>
      <w:r w:rsidR="00E3294E" w:rsidRPr="00622F0E">
        <w:rPr>
          <w:rFonts w:ascii="Franklin Gothic Book" w:hAnsi="Franklin Gothic Book"/>
          <w:sz w:val="23"/>
          <w:szCs w:val="23"/>
        </w:rPr>
        <w:t xml:space="preserve"> administrative impost</w:t>
      </w:r>
      <w:r w:rsidR="009E61A7" w:rsidRPr="00622F0E">
        <w:rPr>
          <w:rFonts w:ascii="Franklin Gothic Book" w:hAnsi="Franklin Gothic Book"/>
          <w:sz w:val="23"/>
          <w:szCs w:val="23"/>
        </w:rPr>
        <w:t xml:space="preserve"> for a modest gain in the accessibility of a corporation’s internal governance rules</w:t>
      </w:r>
      <w:r w:rsidR="00E3294E" w:rsidRPr="00622F0E">
        <w:rPr>
          <w:rFonts w:ascii="Franklin Gothic Book" w:hAnsi="Franklin Gothic Book"/>
          <w:sz w:val="23"/>
          <w:szCs w:val="23"/>
        </w:rPr>
        <w:t>.</w:t>
      </w:r>
    </w:p>
    <w:p w14:paraId="508D733B" w14:textId="77777777" w:rsidR="00271A08" w:rsidRPr="00622F0E" w:rsidRDefault="0040257F" w:rsidP="00622F0E">
      <w:pPr>
        <w:pStyle w:val="Style4"/>
        <w:spacing w:line="276" w:lineRule="auto"/>
        <w:ind w:left="851"/>
        <w:rPr>
          <w:rFonts w:ascii="Franklin Gothic Book" w:hAnsi="Franklin Gothic Book"/>
          <w:sz w:val="23"/>
          <w:szCs w:val="23"/>
        </w:rPr>
      </w:pPr>
      <w:r w:rsidRPr="00622F0E">
        <w:rPr>
          <w:rFonts w:ascii="Franklin Gothic Book" w:hAnsi="Franklin Gothic Book"/>
          <w:sz w:val="23"/>
          <w:szCs w:val="23"/>
        </w:rPr>
        <w:lastRenderedPageBreak/>
        <w:t>In our submission, t</w:t>
      </w:r>
      <w:r w:rsidR="00E3294E" w:rsidRPr="00622F0E">
        <w:rPr>
          <w:rFonts w:ascii="Franklin Gothic Book" w:hAnsi="Franklin Gothic Book"/>
          <w:sz w:val="23"/>
          <w:szCs w:val="23"/>
        </w:rPr>
        <w:t xml:space="preserve">ransitional provisions should specify that </w:t>
      </w:r>
      <w:r w:rsidR="00FE14F5" w:rsidRPr="00622F0E">
        <w:rPr>
          <w:rFonts w:ascii="Franklin Gothic Book" w:hAnsi="Franklin Gothic Book"/>
          <w:sz w:val="23"/>
          <w:szCs w:val="23"/>
        </w:rPr>
        <w:t xml:space="preserve">the requirement to reproduce replaceable rules applies </w:t>
      </w:r>
      <w:r w:rsidR="00AA7299" w:rsidRPr="00622F0E">
        <w:rPr>
          <w:rFonts w:ascii="Franklin Gothic Book" w:hAnsi="Franklin Gothic Book"/>
          <w:sz w:val="23"/>
          <w:szCs w:val="23"/>
        </w:rPr>
        <w:t xml:space="preserve">only to </w:t>
      </w:r>
      <w:r w:rsidR="00D7247A" w:rsidRPr="00622F0E">
        <w:rPr>
          <w:rFonts w:ascii="Franklin Gothic Book" w:hAnsi="Franklin Gothic Book"/>
          <w:sz w:val="23"/>
          <w:szCs w:val="23"/>
        </w:rPr>
        <w:t xml:space="preserve">new incorporated </w:t>
      </w:r>
      <w:r w:rsidR="00E3294E" w:rsidRPr="00622F0E">
        <w:rPr>
          <w:rFonts w:ascii="Franklin Gothic Book" w:hAnsi="Franklin Gothic Book"/>
          <w:sz w:val="23"/>
          <w:szCs w:val="23"/>
        </w:rPr>
        <w:t>corporations</w:t>
      </w:r>
      <w:r w:rsidR="00A652FB" w:rsidRPr="00622F0E">
        <w:rPr>
          <w:rFonts w:ascii="Franklin Gothic Book" w:hAnsi="Franklin Gothic Book"/>
          <w:sz w:val="23"/>
          <w:szCs w:val="23"/>
        </w:rPr>
        <w:t xml:space="preserve">, or </w:t>
      </w:r>
      <w:r w:rsidR="00D7247A" w:rsidRPr="00622F0E">
        <w:rPr>
          <w:rFonts w:ascii="Franklin Gothic Book" w:hAnsi="Franklin Gothic Book"/>
          <w:sz w:val="23"/>
          <w:szCs w:val="23"/>
        </w:rPr>
        <w:t xml:space="preserve">to a corporation that </w:t>
      </w:r>
      <w:r w:rsidR="00E3294E" w:rsidRPr="00622F0E">
        <w:rPr>
          <w:rFonts w:ascii="Franklin Gothic Book" w:hAnsi="Franklin Gothic Book"/>
          <w:sz w:val="23"/>
          <w:szCs w:val="23"/>
        </w:rPr>
        <w:t>amends its rulebook</w:t>
      </w:r>
      <w:r w:rsidR="00D7247A" w:rsidRPr="00622F0E">
        <w:rPr>
          <w:rFonts w:ascii="Franklin Gothic Book" w:hAnsi="Franklin Gothic Book"/>
          <w:sz w:val="23"/>
          <w:szCs w:val="23"/>
        </w:rPr>
        <w:t xml:space="preserve"> after the commencement of the amendment</w:t>
      </w:r>
      <w:r w:rsidR="00E3294E" w:rsidRPr="00622F0E">
        <w:rPr>
          <w:rFonts w:ascii="Franklin Gothic Book" w:hAnsi="Franklin Gothic Book"/>
          <w:sz w:val="23"/>
          <w:szCs w:val="23"/>
        </w:rPr>
        <w:t xml:space="preserve">. </w:t>
      </w:r>
    </w:p>
    <w:p w14:paraId="1B41D93C" w14:textId="5B8C8395" w:rsidR="00E3294E" w:rsidRPr="00622F0E" w:rsidRDefault="00271A08" w:rsidP="00622F0E">
      <w:pPr>
        <w:pStyle w:val="Style4"/>
        <w:spacing w:line="276" w:lineRule="auto"/>
        <w:ind w:left="851"/>
        <w:rPr>
          <w:rFonts w:ascii="Franklin Gothic Book" w:hAnsi="Franklin Gothic Book"/>
          <w:sz w:val="23"/>
          <w:szCs w:val="23"/>
        </w:rPr>
      </w:pPr>
      <w:r w:rsidRPr="00622F0E">
        <w:rPr>
          <w:rFonts w:ascii="Franklin Gothic Book" w:hAnsi="Franklin Gothic Book"/>
          <w:sz w:val="23"/>
          <w:szCs w:val="23"/>
        </w:rPr>
        <w:t xml:space="preserve">An alternative transitional arrangement could be to </w:t>
      </w:r>
      <w:r w:rsidR="00E3294E" w:rsidRPr="00622F0E">
        <w:rPr>
          <w:rFonts w:ascii="Franklin Gothic Book" w:hAnsi="Franklin Gothic Book"/>
          <w:sz w:val="23"/>
          <w:szCs w:val="23"/>
        </w:rPr>
        <w:t>provide a significant period – say 2 years</w:t>
      </w:r>
      <w:r w:rsidR="00637DC5" w:rsidRPr="00622F0E">
        <w:rPr>
          <w:rFonts w:ascii="Franklin Gothic Book" w:hAnsi="Franklin Gothic Book"/>
          <w:sz w:val="23"/>
          <w:szCs w:val="23"/>
        </w:rPr>
        <w:t xml:space="preserve"> – for corporations to amend their rulebooks,</w:t>
      </w:r>
      <w:r w:rsidR="00E3294E" w:rsidRPr="00622F0E">
        <w:rPr>
          <w:rFonts w:ascii="Franklin Gothic Book" w:hAnsi="Franklin Gothic Book"/>
          <w:sz w:val="23"/>
          <w:szCs w:val="23"/>
        </w:rPr>
        <w:t xml:space="preserve"> after which </w:t>
      </w:r>
      <w:r w:rsidR="00AF1924" w:rsidRPr="00622F0E">
        <w:rPr>
          <w:rFonts w:ascii="Franklin Gothic Book" w:hAnsi="Franklin Gothic Book"/>
          <w:sz w:val="23"/>
          <w:szCs w:val="23"/>
        </w:rPr>
        <w:t xml:space="preserve">time </w:t>
      </w:r>
      <w:r w:rsidR="00E3294E" w:rsidRPr="00622F0E">
        <w:rPr>
          <w:rFonts w:ascii="Franklin Gothic Book" w:hAnsi="Franklin Gothic Book"/>
          <w:sz w:val="23"/>
          <w:szCs w:val="23"/>
        </w:rPr>
        <w:t xml:space="preserve">the Registrar be required </w:t>
      </w:r>
      <w:r w:rsidR="00A42A2C" w:rsidRPr="00622F0E">
        <w:rPr>
          <w:rFonts w:ascii="Franklin Gothic Book" w:hAnsi="Franklin Gothic Book"/>
          <w:sz w:val="23"/>
          <w:szCs w:val="23"/>
        </w:rPr>
        <w:t xml:space="preserve">by the transitional provisions </w:t>
      </w:r>
      <w:r w:rsidR="00E3294E" w:rsidRPr="00622F0E">
        <w:rPr>
          <w:rFonts w:ascii="Franklin Gothic Book" w:hAnsi="Franklin Gothic Book"/>
          <w:sz w:val="23"/>
          <w:szCs w:val="23"/>
        </w:rPr>
        <w:t xml:space="preserve">to carry out a Registrar-initiated amendment to any rulebooks that remain uncompliant, by amending the rulebook only </w:t>
      </w:r>
      <w:r w:rsidR="00237F45" w:rsidRPr="00622F0E">
        <w:rPr>
          <w:rFonts w:ascii="Franklin Gothic Book" w:hAnsi="Franklin Gothic Book"/>
          <w:sz w:val="23"/>
          <w:szCs w:val="23"/>
        </w:rPr>
        <w:t>to the extent necessary to</w:t>
      </w:r>
      <w:r w:rsidR="00E3294E" w:rsidRPr="00622F0E">
        <w:rPr>
          <w:rFonts w:ascii="Franklin Gothic Book" w:hAnsi="Franklin Gothic Book"/>
          <w:sz w:val="23"/>
          <w:szCs w:val="23"/>
        </w:rPr>
        <w:t xml:space="preserve"> </w:t>
      </w:r>
      <w:r w:rsidR="00956CDE" w:rsidRPr="00622F0E">
        <w:rPr>
          <w:rFonts w:ascii="Franklin Gothic Book" w:hAnsi="Franklin Gothic Book"/>
          <w:sz w:val="23"/>
          <w:szCs w:val="23"/>
        </w:rPr>
        <w:t>reproduce</w:t>
      </w:r>
      <w:r w:rsidR="00E3294E" w:rsidRPr="00622F0E">
        <w:rPr>
          <w:rFonts w:ascii="Franklin Gothic Book" w:hAnsi="Franklin Gothic Book"/>
          <w:sz w:val="23"/>
          <w:szCs w:val="23"/>
        </w:rPr>
        <w:t xml:space="preserve"> all replaceable rules t</w:t>
      </w:r>
      <w:r w:rsidR="002B0B43" w:rsidRPr="00622F0E">
        <w:rPr>
          <w:rFonts w:ascii="Franklin Gothic Book" w:hAnsi="Franklin Gothic Book"/>
          <w:sz w:val="23"/>
          <w:szCs w:val="23"/>
        </w:rPr>
        <w:t>hat apply to that corporation.</w:t>
      </w:r>
    </w:p>
    <w:p w14:paraId="48378560" w14:textId="7305BA29" w:rsidR="00E3294E" w:rsidRPr="00622F0E" w:rsidRDefault="003E6AE1" w:rsidP="00622F0E">
      <w:pPr>
        <w:pStyle w:val="Style4"/>
        <w:numPr>
          <w:ilvl w:val="0"/>
          <w:numId w:val="0"/>
        </w:numPr>
        <w:spacing w:line="276" w:lineRule="auto"/>
        <w:rPr>
          <w:rFonts w:ascii="Franklin Gothic Book" w:hAnsi="Franklin Gothic Book"/>
          <w:b/>
          <w:bCs/>
        </w:rPr>
      </w:pPr>
      <w:r w:rsidRPr="00622F0E">
        <w:rPr>
          <w:rFonts w:ascii="Franklin Gothic Book" w:hAnsi="Franklin Gothic Book"/>
          <w:b/>
          <w:bCs/>
        </w:rPr>
        <w:t>Resolution not to hold upcoming AGMs (</w:t>
      </w:r>
      <w:r w:rsidR="008624FF" w:rsidRPr="00622F0E">
        <w:rPr>
          <w:rFonts w:ascii="Franklin Gothic Book" w:hAnsi="Franklin Gothic Book"/>
          <w:b/>
          <w:bCs/>
        </w:rPr>
        <w:t>draft Bill</w:t>
      </w:r>
      <w:r w:rsidRPr="00622F0E">
        <w:rPr>
          <w:rFonts w:ascii="Franklin Gothic Book" w:hAnsi="Franklin Gothic Book"/>
          <w:b/>
          <w:bCs/>
        </w:rPr>
        <w:t xml:space="preserve"> clause 110)</w:t>
      </w:r>
    </w:p>
    <w:p w14:paraId="69615CB6" w14:textId="55EACE82" w:rsidR="003E6AE1" w:rsidRPr="00622F0E" w:rsidRDefault="003E6AE1" w:rsidP="00622F0E">
      <w:pPr>
        <w:pStyle w:val="Style4"/>
        <w:spacing w:line="276" w:lineRule="auto"/>
        <w:ind w:left="851"/>
        <w:rPr>
          <w:rFonts w:ascii="Franklin Gothic Book" w:hAnsi="Franklin Gothic Book"/>
          <w:sz w:val="23"/>
          <w:szCs w:val="23"/>
        </w:rPr>
      </w:pPr>
      <w:r w:rsidRPr="00622F0E">
        <w:rPr>
          <w:rFonts w:ascii="Franklin Gothic Book" w:hAnsi="Franklin Gothic Book"/>
          <w:sz w:val="23"/>
          <w:szCs w:val="23"/>
        </w:rPr>
        <w:t xml:space="preserve">In proposed s 201-175(3), if there is a corporation which has director and non-director members, but the only members of the corporation who choose to attend an AGM are directors, then the members present will not be able to pass the resolution not to hold upcoming AGMs. This does not seem an appropriate outcome, given all members will have had ample notice of the AGM. We suggest that s 201-175(3) instead read: “if there are members of the corporation </w:t>
      </w:r>
      <w:r w:rsidRPr="00622F0E">
        <w:rPr>
          <w:rFonts w:ascii="Franklin Gothic Book" w:hAnsi="Franklin Gothic Book"/>
          <w:b/>
          <w:bCs/>
          <w:sz w:val="23"/>
          <w:szCs w:val="23"/>
          <w:u w:val="single"/>
        </w:rPr>
        <w:t>present at the AGM</w:t>
      </w:r>
      <w:r w:rsidRPr="00622F0E">
        <w:rPr>
          <w:rFonts w:ascii="Franklin Gothic Book" w:hAnsi="Franklin Gothic Book"/>
          <w:sz w:val="23"/>
          <w:szCs w:val="23"/>
        </w:rPr>
        <w:t xml:space="preserve"> who are not directors”.</w:t>
      </w:r>
    </w:p>
    <w:p w14:paraId="572EB1CB" w14:textId="1E9FAFA2" w:rsidR="003E6AE1" w:rsidRPr="00622F0E" w:rsidRDefault="008764F9" w:rsidP="00622F0E">
      <w:pPr>
        <w:pStyle w:val="Style4"/>
        <w:spacing w:line="276" w:lineRule="auto"/>
        <w:ind w:left="851"/>
        <w:rPr>
          <w:rFonts w:ascii="Franklin Gothic Book" w:hAnsi="Franklin Gothic Book"/>
          <w:sz w:val="23"/>
          <w:szCs w:val="23"/>
        </w:rPr>
      </w:pPr>
      <w:r w:rsidRPr="00622F0E">
        <w:rPr>
          <w:rFonts w:ascii="Franklin Gothic Book" w:hAnsi="Franklin Gothic Book"/>
          <w:sz w:val="23"/>
          <w:szCs w:val="23"/>
        </w:rPr>
        <w:t xml:space="preserve">Proposed s </w:t>
      </w:r>
      <w:r w:rsidR="003E6AE1" w:rsidRPr="00622F0E">
        <w:rPr>
          <w:rFonts w:ascii="Franklin Gothic Book" w:hAnsi="Franklin Gothic Book"/>
          <w:sz w:val="23"/>
          <w:szCs w:val="23"/>
        </w:rPr>
        <w:t xml:space="preserve">201-185 </w:t>
      </w:r>
      <w:r w:rsidRPr="00622F0E">
        <w:rPr>
          <w:rFonts w:ascii="Franklin Gothic Book" w:hAnsi="Franklin Gothic Book"/>
          <w:sz w:val="23"/>
          <w:szCs w:val="23"/>
        </w:rPr>
        <w:t xml:space="preserve">requires the Registrar to be notified of a material change in the corporation’s affairs. The purpose of the notice appears to be to allow the Registrar to consider directing the corporation to hold an AGM. Corporations may wish to simply hold an AGM in order to immediately engage with members about the material change in affairs. </w:t>
      </w:r>
      <w:r w:rsidR="000C3FDD" w:rsidRPr="00622F0E">
        <w:rPr>
          <w:rFonts w:ascii="Franklin Gothic Book" w:hAnsi="Franklin Gothic Book"/>
          <w:sz w:val="23"/>
          <w:szCs w:val="23"/>
        </w:rPr>
        <w:t xml:space="preserve">We therefore suggest that s 2018-185(1) be amended as follows: “the corporation must </w:t>
      </w:r>
      <w:r w:rsidR="003E6AE1" w:rsidRPr="00622F0E">
        <w:rPr>
          <w:rFonts w:ascii="Franklin Gothic Book" w:hAnsi="Franklin Gothic Book"/>
          <w:b/>
          <w:bCs/>
          <w:sz w:val="23"/>
          <w:szCs w:val="23"/>
          <w:u w:val="single"/>
        </w:rPr>
        <w:t>hold an AGM within 2 months</w:t>
      </w:r>
      <w:r w:rsidR="003E6AE1" w:rsidRPr="00622F0E">
        <w:rPr>
          <w:rFonts w:ascii="Franklin Gothic Book" w:hAnsi="Franklin Gothic Book"/>
          <w:b/>
          <w:sz w:val="23"/>
          <w:szCs w:val="23"/>
          <w:u w:val="single"/>
        </w:rPr>
        <w:t>, or</w:t>
      </w:r>
      <w:r w:rsidR="003E6AE1" w:rsidRPr="00622F0E">
        <w:rPr>
          <w:rFonts w:ascii="Franklin Gothic Book" w:hAnsi="Franklin Gothic Book"/>
          <w:sz w:val="23"/>
          <w:szCs w:val="23"/>
        </w:rPr>
        <w:t xml:space="preserve"> </w:t>
      </w:r>
      <w:r w:rsidR="000C3FDD" w:rsidRPr="00622F0E">
        <w:rPr>
          <w:rFonts w:ascii="Franklin Gothic Book" w:hAnsi="Franklin Gothic Book"/>
          <w:sz w:val="23"/>
          <w:szCs w:val="23"/>
        </w:rPr>
        <w:t>lodge written notice of the change with the Registrar no later than 28 days after the change occurs</w:t>
      </w:r>
      <w:r w:rsidR="00A0124C" w:rsidRPr="00622F0E">
        <w:rPr>
          <w:rFonts w:ascii="Franklin Gothic Book" w:hAnsi="Franklin Gothic Book"/>
          <w:sz w:val="23"/>
          <w:szCs w:val="23"/>
        </w:rPr>
        <w:t>.”</w:t>
      </w:r>
      <w:r w:rsidR="004C7531" w:rsidRPr="00622F0E">
        <w:rPr>
          <w:rFonts w:ascii="Franklin Gothic Book" w:hAnsi="Franklin Gothic Book"/>
          <w:sz w:val="23"/>
          <w:szCs w:val="23"/>
        </w:rPr>
        <w:t xml:space="preserve"> This would allow a short timeframe for an urgent AGM to be organised and notified, if the corporation considers it appropriate.</w:t>
      </w:r>
    </w:p>
    <w:p w14:paraId="25575410" w14:textId="79A599DE" w:rsidR="00EC3D32" w:rsidRPr="00622F0E" w:rsidRDefault="0049720C" w:rsidP="00622F0E">
      <w:pPr>
        <w:pStyle w:val="Style4"/>
        <w:spacing w:line="276" w:lineRule="auto"/>
        <w:ind w:left="851"/>
        <w:rPr>
          <w:rFonts w:ascii="Franklin Gothic Book" w:hAnsi="Franklin Gothic Book"/>
          <w:sz w:val="23"/>
          <w:szCs w:val="23"/>
        </w:rPr>
      </w:pPr>
      <w:r w:rsidRPr="00622F0E">
        <w:rPr>
          <w:rFonts w:ascii="Franklin Gothic Book" w:hAnsi="Franklin Gothic Book"/>
          <w:sz w:val="23"/>
          <w:szCs w:val="23"/>
        </w:rPr>
        <w:t xml:space="preserve">Finally, a special resolution pursuant to </w:t>
      </w:r>
      <w:proofErr w:type="spellStart"/>
      <w:r w:rsidRPr="00622F0E">
        <w:rPr>
          <w:rFonts w:ascii="Franklin Gothic Book" w:hAnsi="Franklin Gothic Book"/>
          <w:sz w:val="23"/>
          <w:szCs w:val="23"/>
        </w:rPr>
        <w:t>s</w:t>
      </w:r>
      <w:proofErr w:type="spellEnd"/>
      <w:r w:rsidRPr="00622F0E">
        <w:rPr>
          <w:rFonts w:ascii="Franklin Gothic Book" w:hAnsi="Franklin Gothic Book"/>
          <w:sz w:val="23"/>
          <w:szCs w:val="23"/>
        </w:rPr>
        <w:t xml:space="preserve"> 201-175 does not appear to operate to prevent the requirement to lodge annual reports for the corporation in the years where no AGM is required to be held. </w:t>
      </w:r>
      <w:r w:rsidR="00EC3D32" w:rsidRPr="00622F0E">
        <w:rPr>
          <w:rFonts w:ascii="Franklin Gothic Book" w:hAnsi="Franklin Gothic Book"/>
          <w:sz w:val="23"/>
          <w:szCs w:val="23"/>
        </w:rPr>
        <w:t xml:space="preserve">In our view would be preferable not to </w:t>
      </w:r>
      <w:r w:rsidR="00EE538B" w:rsidRPr="00622F0E">
        <w:rPr>
          <w:rFonts w:ascii="Franklin Gothic Book" w:hAnsi="Franklin Gothic Book"/>
          <w:sz w:val="23"/>
          <w:szCs w:val="23"/>
        </w:rPr>
        <w:t xml:space="preserve">have to file reports, given the incredibly low income of eligible corporations, and the standing </w:t>
      </w:r>
      <w:r w:rsidR="00EC3D32" w:rsidRPr="00622F0E">
        <w:rPr>
          <w:rFonts w:ascii="Franklin Gothic Book" w:hAnsi="Franklin Gothic Book"/>
          <w:sz w:val="23"/>
          <w:szCs w:val="23"/>
        </w:rPr>
        <w:t>requirement to notify a material change</w:t>
      </w:r>
      <w:r w:rsidR="00144F52" w:rsidRPr="00622F0E">
        <w:rPr>
          <w:rFonts w:ascii="Franklin Gothic Book" w:hAnsi="Franklin Gothic Book"/>
          <w:sz w:val="23"/>
          <w:szCs w:val="23"/>
        </w:rPr>
        <w:t xml:space="preserve"> in affairs</w:t>
      </w:r>
      <w:r w:rsidR="00EC3D32" w:rsidRPr="00622F0E">
        <w:rPr>
          <w:rFonts w:ascii="Franklin Gothic Book" w:hAnsi="Franklin Gothic Book"/>
          <w:sz w:val="23"/>
          <w:szCs w:val="23"/>
        </w:rPr>
        <w:t>.</w:t>
      </w:r>
    </w:p>
    <w:p w14:paraId="2240AF7F" w14:textId="5B26A3D4" w:rsidR="00EC3D32" w:rsidRPr="00622F0E" w:rsidRDefault="004A53EB" w:rsidP="00622F0E">
      <w:pPr>
        <w:pStyle w:val="Style4"/>
        <w:spacing w:line="276" w:lineRule="auto"/>
        <w:ind w:left="851"/>
        <w:rPr>
          <w:rFonts w:ascii="Franklin Gothic Book" w:hAnsi="Franklin Gothic Book"/>
          <w:sz w:val="23"/>
          <w:szCs w:val="23"/>
        </w:rPr>
      </w:pPr>
      <w:r w:rsidRPr="00622F0E">
        <w:rPr>
          <w:rFonts w:ascii="Franklin Gothic Book" w:hAnsi="Franklin Gothic Book"/>
          <w:sz w:val="23"/>
          <w:szCs w:val="23"/>
        </w:rPr>
        <w:t xml:space="preserve">The CLC notes our </w:t>
      </w:r>
      <w:r w:rsidR="00EC3D32" w:rsidRPr="00622F0E">
        <w:rPr>
          <w:rFonts w:ascii="Franklin Gothic Book" w:hAnsi="Franklin Gothic Book"/>
          <w:sz w:val="23"/>
          <w:szCs w:val="23"/>
        </w:rPr>
        <w:t>expectation that these changes will not disturb long-standing exemptions granted by the Registrar in relation to</w:t>
      </w:r>
      <w:r w:rsidR="00DB5F0C" w:rsidRPr="00622F0E">
        <w:rPr>
          <w:rFonts w:ascii="Franklin Gothic Book" w:hAnsi="Franklin Gothic Book"/>
          <w:sz w:val="23"/>
          <w:szCs w:val="23"/>
        </w:rPr>
        <w:t xml:space="preserve"> </w:t>
      </w:r>
      <w:r w:rsidR="00EC3D32" w:rsidRPr="00622F0E">
        <w:rPr>
          <w:rFonts w:ascii="Franklin Gothic Book" w:hAnsi="Franklin Gothic Book"/>
          <w:sz w:val="23"/>
          <w:szCs w:val="23"/>
        </w:rPr>
        <w:t>land-holding corporations</w:t>
      </w:r>
      <w:r w:rsidR="00DB5F0C" w:rsidRPr="00622F0E">
        <w:rPr>
          <w:rFonts w:ascii="Franklin Gothic Book" w:hAnsi="Franklin Gothic Book"/>
          <w:sz w:val="23"/>
          <w:szCs w:val="23"/>
        </w:rPr>
        <w:t xml:space="preserve"> in central Australia</w:t>
      </w:r>
      <w:r w:rsidR="00EC3D32" w:rsidRPr="00622F0E">
        <w:rPr>
          <w:rFonts w:ascii="Franklin Gothic Book" w:hAnsi="Franklin Gothic Book"/>
          <w:sz w:val="23"/>
          <w:szCs w:val="23"/>
        </w:rPr>
        <w:t>.</w:t>
      </w:r>
    </w:p>
    <w:p w14:paraId="15047EA8" w14:textId="2C7A0AE2" w:rsidR="00E3294E" w:rsidRPr="00F5725B" w:rsidRDefault="007A38B4" w:rsidP="008938BD">
      <w:pPr>
        <w:pStyle w:val="Style4"/>
        <w:numPr>
          <w:ilvl w:val="0"/>
          <w:numId w:val="0"/>
        </w:numPr>
        <w:spacing w:line="276" w:lineRule="auto"/>
        <w:rPr>
          <w:rFonts w:ascii="Franklin Gothic Book" w:hAnsi="Franklin Gothic Book"/>
          <w:b/>
          <w:bCs/>
        </w:rPr>
      </w:pPr>
      <w:bookmarkStart w:id="2" w:name="_GoBack"/>
      <w:bookmarkEnd w:id="2"/>
      <w:r w:rsidRPr="00F5725B">
        <w:rPr>
          <w:rFonts w:ascii="Franklin Gothic Book" w:hAnsi="Franklin Gothic Book"/>
          <w:b/>
          <w:bCs/>
        </w:rPr>
        <w:t xml:space="preserve">Other </w:t>
      </w:r>
      <w:r w:rsidR="008938BD" w:rsidRPr="00F5725B">
        <w:rPr>
          <w:rFonts w:ascii="Franklin Gothic Book" w:hAnsi="Franklin Gothic Book"/>
          <w:b/>
          <w:bCs/>
        </w:rPr>
        <w:t>issues</w:t>
      </w:r>
    </w:p>
    <w:p w14:paraId="687BB125" w14:textId="6ED388EC" w:rsidR="00E3294E" w:rsidRPr="00622F0E" w:rsidRDefault="008624FF" w:rsidP="00622F0E">
      <w:pPr>
        <w:pStyle w:val="Style4"/>
        <w:spacing w:line="276" w:lineRule="auto"/>
        <w:ind w:left="851"/>
        <w:rPr>
          <w:rFonts w:ascii="Franklin Gothic Book" w:hAnsi="Franklin Gothic Book"/>
          <w:sz w:val="23"/>
          <w:szCs w:val="23"/>
        </w:rPr>
      </w:pPr>
      <w:r w:rsidRPr="00622F0E">
        <w:rPr>
          <w:rFonts w:ascii="Franklin Gothic Book" w:hAnsi="Franklin Gothic Book"/>
          <w:sz w:val="23"/>
          <w:szCs w:val="23"/>
        </w:rPr>
        <w:t>Draft Bill</w:t>
      </w:r>
      <w:r w:rsidR="008938BD" w:rsidRPr="00622F0E">
        <w:rPr>
          <w:rFonts w:ascii="Franklin Gothic Book" w:hAnsi="Franklin Gothic Book"/>
          <w:bCs/>
          <w:sz w:val="23"/>
          <w:szCs w:val="23"/>
        </w:rPr>
        <w:t xml:space="preserve"> clause </w:t>
      </w:r>
      <w:r w:rsidR="00E3294E" w:rsidRPr="00622F0E">
        <w:rPr>
          <w:rFonts w:ascii="Franklin Gothic Book" w:hAnsi="Franklin Gothic Book"/>
          <w:sz w:val="23"/>
          <w:szCs w:val="23"/>
        </w:rPr>
        <w:t>53 seems to be a</w:t>
      </w:r>
      <w:r w:rsidR="003D6936" w:rsidRPr="00622F0E">
        <w:rPr>
          <w:rFonts w:ascii="Franklin Gothic Book" w:hAnsi="Franklin Gothic Book"/>
          <w:sz w:val="23"/>
          <w:szCs w:val="23"/>
        </w:rPr>
        <w:t>n</w:t>
      </w:r>
      <w:r w:rsidR="00E3294E" w:rsidRPr="00622F0E">
        <w:rPr>
          <w:rFonts w:ascii="Franklin Gothic Book" w:hAnsi="Franklin Gothic Book"/>
          <w:sz w:val="23"/>
          <w:szCs w:val="23"/>
        </w:rPr>
        <w:t xml:space="preserve"> error, given </w:t>
      </w:r>
      <w:proofErr w:type="spellStart"/>
      <w:r w:rsidR="00E3294E" w:rsidRPr="00622F0E">
        <w:rPr>
          <w:rFonts w:ascii="Franklin Gothic Book" w:hAnsi="Franklin Gothic Book"/>
          <w:sz w:val="23"/>
          <w:szCs w:val="23"/>
        </w:rPr>
        <w:t>ss</w:t>
      </w:r>
      <w:proofErr w:type="spellEnd"/>
      <w:r w:rsidR="00E3294E" w:rsidRPr="00622F0E">
        <w:rPr>
          <w:rFonts w:ascii="Franklin Gothic Book" w:hAnsi="Franklin Gothic Book"/>
          <w:sz w:val="23"/>
          <w:szCs w:val="23"/>
        </w:rPr>
        <w:t xml:space="preserve"> 12</w:t>
      </w:r>
      <w:r w:rsidR="001C0E98" w:rsidRPr="00622F0E">
        <w:rPr>
          <w:rFonts w:ascii="Franklin Gothic Book" w:hAnsi="Franklin Gothic Book"/>
          <w:sz w:val="23"/>
          <w:szCs w:val="23"/>
        </w:rPr>
        <w:t>0-1(2) and (3) are not repealed.</w:t>
      </w:r>
    </w:p>
    <w:p w14:paraId="24260457" w14:textId="33F1D558" w:rsidR="006E74FF" w:rsidRPr="00622F0E" w:rsidRDefault="008624FF" w:rsidP="00622F0E">
      <w:pPr>
        <w:pStyle w:val="Style4"/>
        <w:spacing w:line="276" w:lineRule="auto"/>
        <w:ind w:left="851"/>
        <w:rPr>
          <w:rFonts w:ascii="Franklin Gothic Book" w:hAnsi="Franklin Gothic Book"/>
          <w:sz w:val="23"/>
          <w:szCs w:val="23"/>
        </w:rPr>
      </w:pPr>
      <w:r w:rsidRPr="00622F0E">
        <w:rPr>
          <w:rFonts w:ascii="Franklin Gothic Book" w:hAnsi="Franklin Gothic Book"/>
          <w:sz w:val="23"/>
          <w:szCs w:val="23"/>
        </w:rPr>
        <w:t>Draft Bill</w:t>
      </w:r>
      <w:r w:rsidR="006E74FF" w:rsidRPr="00622F0E">
        <w:rPr>
          <w:rFonts w:ascii="Franklin Gothic Book" w:hAnsi="Franklin Gothic Book"/>
          <w:sz w:val="23"/>
          <w:szCs w:val="23"/>
        </w:rPr>
        <w:t xml:space="preserve"> clause 102 (</w:t>
      </w:r>
      <w:proofErr w:type="spellStart"/>
      <w:r w:rsidR="006E74FF" w:rsidRPr="00622F0E">
        <w:rPr>
          <w:rFonts w:ascii="Franklin Gothic Book" w:hAnsi="Franklin Gothic Book"/>
          <w:sz w:val="23"/>
          <w:szCs w:val="23"/>
        </w:rPr>
        <w:t>new s</w:t>
      </w:r>
      <w:proofErr w:type="spellEnd"/>
      <w:r w:rsidR="006E74FF" w:rsidRPr="00622F0E">
        <w:rPr>
          <w:rFonts w:ascii="Franklin Gothic Book" w:hAnsi="Franklin Gothic Book"/>
          <w:sz w:val="23"/>
          <w:szCs w:val="23"/>
        </w:rPr>
        <w:t xml:space="preserve"> 201-38) gives directors a power to cancel a general meeting. In our view this power should be conditioned by a specific obligation to exercise it </w:t>
      </w:r>
      <w:r w:rsidR="004F3855" w:rsidRPr="00622F0E">
        <w:rPr>
          <w:rFonts w:ascii="Franklin Gothic Book" w:hAnsi="Franklin Gothic Book"/>
          <w:sz w:val="23"/>
          <w:szCs w:val="23"/>
        </w:rPr>
        <w:t>on reasonable grounds</w:t>
      </w:r>
      <w:r w:rsidR="006E74FF" w:rsidRPr="00622F0E">
        <w:rPr>
          <w:rFonts w:ascii="Franklin Gothic Book" w:hAnsi="Franklin Gothic Book"/>
          <w:sz w:val="23"/>
          <w:szCs w:val="23"/>
        </w:rPr>
        <w:t xml:space="preserve">, </w:t>
      </w:r>
      <w:r w:rsidR="008B6D7E" w:rsidRPr="00622F0E">
        <w:rPr>
          <w:rFonts w:ascii="Franklin Gothic Book" w:hAnsi="Franklin Gothic Book"/>
          <w:sz w:val="23"/>
          <w:szCs w:val="23"/>
        </w:rPr>
        <w:t>in addition to</w:t>
      </w:r>
      <w:r w:rsidR="00B70192" w:rsidRPr="00622F0E">
        <w:rPr>
          <w:rFonts w:ascii="Franklin Gothic Book" w:hAnsi="Franklin Gothic Book"/>
          <w:sz w:val="23"/>
          <w:szCs w:val="23"/>
        </w:rPr>
        <w:t xml:space="preserve"> the</w:t>
      </w:r>
      <w:r w:rsidR="006E74FF" w:rsidRPr="00622F0E">
        <w:rPr>
          <w:rFonts w:ascii="Franklin Gothic Book" w:hAnsi="Franklin Gothic Book"/>
          <w:sz w:val="23"/>
          <w:szCs w:val="23"/>
        </w:rPr>
        <w:t xml:space="preserve"> directors’ </w:t>
      </w:r>
      <w:r w:rsidR="00F2341C" w:rsidRPr="00622F0E">
        <w:rPr>
          <w:rFonts w:ascii="Franklin Gothic Book" w:hAnsi="Franklin Gothic Book"/>
          <w:sz w:val="23"/>
          <w:szCs w:val="23"/>
        </w:rPr>
        <w:t xml:space="preserve">general </w:t>
      </w:r>
      <w:r w:rsidR="006E74FF" w:rsidRPr="00622F0E">
        <w:rPr>
          <w:rFonts w:ascii="Franklin Gothic Book" w:hAnsi="Franklin Gothic Book"/>
          <w:sz w:val="23"/>
          <w:szCs w:val="23"/>
        </w:rPr>
        <w:t>duties.</w:t>
      </w:r>
    </w:p>
    <w:p w14:paraId="5C9FBEE8" w14:textId="65CC8426" w:rsidR="00C42B53" w:rsidRPr="00622F0E" w:rsidRDefault="00047ACC" w:rsidP="00622F0E">
      <w:pPr>
        <w:pStyle w:val="Style4"/>
        <w:spacing w:line="276" w:lineRule="auto"/>
        <w:ind w:left="851"/>
        <w:rPr>
          <w:rFonts w:ascii="Franklin Gothic Book" w:hAnsi="Franklin Gothic Book"/>
          <w:sz w:val="23"/>
          <w:szCs w:val="23"/>
        </w:rPr>
      </w:pPr>
      <w:r w:rsidRPr="00622F0E">
        <w:rPr>
          <w:rFonts w:ascii="Franklin Gothic Book" w:hAnsi="Franklin Gothic Book"/>
          <w:sz w:val="23"/>
          <w:szCs w:val="23"/>
        </w:rPr>
        <w:t>The CLC continues to support the National Native Title Council’s proposal that there should be a separate division of the CATSI Act dealing specifically with RNTBCs. It is disappointing that this relatively simple improvement to the Act has not been taken up.</w:t>
      </w:r>
    </w:p>
    <w:sectPr w:rsidR="00C42B53" w:rsidRPr="00622F0E" w:rsidSect="00622F0E">
      <w:footerReference w:type="default" r:id="rId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BE476" w14:textId="77777777" w:rsidR="00094FDA" w:rsidRDefault="00094FDA" w:rsidP="00B46040">
      <w:pPr>
        <w:spacing w:after="0" w:line="240" w:lineRule="auto"/>
      </w:pPr>
      <w:r>
        <w:separator/>
      </w:r>
    </w:p>
  </w:endnote>
  <w:endnote w:type="continuationSeparator" w:id="0">
    <w:p w14:paraId="48DD0C72" w14:textId="77777777" w:rsidR="00094FDA" w:rsidRDefault="00094FDA" w:rsidP="00B46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497609"/>
      <w:docPartObj>
        <w:docPartGallery w:val="Page Numbers (Bottom of Page)"/>
        <w:docPartUnique/>
      </w:docPartObj>
    </w:sdtPr>
    <w:sdtEndPr>
      <w:rPr>
        <w:noProof/>
      </w:rPr>
    </w:sdtEndPr>
    <w:sdtContent>
      <w:p w14:paraId="5AB2FC83" w14:textId="3686DBFF" w:rsidR="00B46040" w:rsidRDefault="00B46040">
        <w:pPr>
          <w:pStyle w:val="Footer"/>
          <w:jc w:val="right"/>
        </w:pPr>
        <w:r>
          <w:fldChar w:fldCharType="begin"/>
        </w:r>
        <w:r>
          <w:instrText xml:space="preserve"> PAGE   \* MERGEFORMAT </w:instrText>
        </w:r>
        <w:r>
          <w:fldChar w:fldCharType="separate"/>
        </w:r>
        <w:r w:rsidR="00F500C1">
          <w:rPr>
            <w:noProof/>
          </w:rPr>
          <w:t>2</w:t>
        </w:r>
        <w:r>
          <w:rPr>
            <w:noProof/>
          </w:rPr>
          <w:fldChar w:fldCharType="end"/>
        </w:r>
      </w:p>
    </w:sdtContent>
  </w:sdt>
  <w:p w14:paraId="6269DA8B" w14:textId="77777777" w:rsidR="00B46040" w:rsidRDefault="00B46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79AC6" w14:textId="77777777" w:rsidR="00094FDA" w:rsidRDefault="00094FDA" w:rsidP="00B46040">
      <w:pPr>
        <w:spacing w:after="0" w:line="240" w:lineRule="auto"/>
      </w:pPr>
      <w:r>
        <w:separator/>
      </w:r>
    </w:p>
  </w:footnote>
  <w:footnote w:type="continuationSeparator" w:id="0">
    <w:p w14:paraId="1A6EB34B" w14:textId="77777777" w:rsidR="00094FDA" w:rsidRDefault="00094FDA" w:rsidP="00B46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A249D"/>
    <w:multiLevelType w:val="hybridMultilevel"/>
    <w:tmpl w:val="FAAE6E2E"/>
    <w:lvl w:ilvl="0" w:tplc="72801B06">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423F3C42"/>
    <w:multiLevelType w:val="hybridMultilevel"/>
    <w:tmpl w:val="6818DEAC"/>
    <w:lvl w:ilvl="0" w:tplc="11D2E57C">
      <w:start w:val="1"/>
      <w:numFmt w:val="decimal"/>
      <w:pStyle w:val="Style3"/>
      <w:lvlText w:val="%1."/>
      <w:lvlJc w:val="left"/>
      <w:pPr>
        <w:ind w:left="8015" w:hanging="360"/>
      </w:pPr>
      <w:rPr>
        <w:rFonts w:hint="default"/>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0A"/>
    <w:rsid w:val="000057BF"/>
    <w:rsid w:val="00021E56"/>
    <w:rsid w:val="00031AD7"/>
    <w:rsid w:val="00037D05"/>
    <w:rsid w:val="00045846"/>
    <w:rsid w:val="00047ACC"/>
    <w:rsid w:val="0005723C"/>
    <w:rsid w:val="00070DEC"/>
    <w:rsid w:val="00094FDA"/>
    <w:rsid w:val="00095464"/>
    <w:rsid w:val="00096519"/>
    <w:rsid w:val="000A7D49"/>
    <w:rsid w:val="000B3A40"/>
    <w:rsid w:val="000C37FE"/>
    <w:rsid w:val="000C3FDD"/>
    <w:rsid w:val="000D31AB"/>
    <w:rsid w:val="000E47EB"/>
    <w:rsid w:val="000F1CBA"/>
    <w:rsid w:val="000F2645"/>
    <w:rsid w:val="00111A63"/>
    <w:rsid w:val="0012097B"/>
    <w:rsid w:val="00136B13"/>
    <w:rsid w:val="00141601"/>
    <w:rsid w:val="00144F52"/>
    <w:rsid w:val="00152886"/>
    <w:rsid w:val="001673EF"/>
    <w:rsid w:val="001705C2"/>
    <w:rsid w:val="001857C9"/>
    <w:rsid w:val="00187E8B"/>
    <w:rsid w:val="001B231D"/>
    <w:rsid w:val="001C0E98"/>
    <w:rsid w:val="001C2BC4"/>
    <w:rsid w:val="001C35B8"/>
    <w:rsid w:val="001C36AF"/>
    <w:rsid w:val="001E1542"/>
    <w:rsid w:val="001F0D5B"/>
    <w:rsid w:val="001F2DBD"/>
    <w:rsid w:val="001F3AA0"/>
    <w:rsid w:val="002012B3"/>
    <w:rsid w:val="00216FB2"/>
    <w:rsid w:val="002306A6"/>
    <w:rsid w:val="00230827"/>
    <w:rsid w:val="002371DB"/>
    <w:rsid w:val="00237F45"/>
    <w:rsid w:val="00251AB4"/>
    <w:rsid w:val="00253569"/>
    <w:rsid w:val="00255EE2"/>
    <w:rsid w:val="00266285"/>
    <w:rsid w:val="00271A08"/>
    <w:rsid w:val="00274A65"/>
    <w:rsid w:val="002928D0"/>
    <w:rsid w:val="00296152"/>
    <w:rsid w:val="002A6BB4"/>
    <w:rsid w:val="002A78C3"/>
    <w:rsid w:val="002B0B43"/>
    <w:rsid w:val="002B61B4"/>
    <w:rsid w:val="002E4237"/>
    <w:rsid w:val="002F3A9E"/>
    <w:rsid w:val="002F4212"/>
    <w:rsid w:val="00303448"/>
    <w:rsid w:val="00311EF8"/>
    <w:rsid w:val="00316E32"/>
    <w:rsid w:val="00327ED4"/>
    <w:rsid w:val="00337377"/>
    <w:rsid w:val="00363349"/>
    <w:rsid w:val="0036651F"/>
    <w:rsid w:val="0037331A"/>
    <w:rsid w:val="003947F9"/>
    <w:rsid w:val="003A2DBC"/>
    <w:rsid w:val="003A4BC9"/>
    <w:rsid w:val="003B5F9B"/>
    <w:rsid w:val="003B7385"/>
    <w:rsid w:val="003B78CC"/>
    <w:rsid w:val="003D04AC"/>
    <w:rsid w:val="003D6936"/>
    <w:rsid w:val="003D7485"/>
    <w:rsid w:val="003E4210"/>
    <w:rsid w:val="003E5711"/>
    <w:rsid w:val="003E6AE1"/>
    <w:rsid w:val="003E6EEE"/>
    <w:rsid w:val="003F2F1F"/>
    <w:rsid w:val="0040257F"/>
    <w:rsid w:val="004050AC"/>
    <w:rsid w:val="0041791A"/>
    <w:rsid w:val="00424899"/>
    <w:rsid w:val="00442842"/>
    <w:rsid w:val="00453BC1"/>
    <w:rsid w:val="0045525E"/>
    <w:rsid w:val="00474784"/>
    <w:rsid w:val="00476F31"/>
    <w:rsid w:val="00482893"/>
    <w:rsid w:val="00485D65"/>
    <w:rsid w:val="00490BBF"/>
    <w:rsid w:val="00491FA3"/>
    <w:rsid w:val="0049263A"/>
    <w:rsid w:val="0049720C"/>
    <w:rsid w:val="004A53EB"/>
    <w:rsid w:val="004C7531"/>
    <w:rsid w:val="004E0EFF"/>
    <w:rsid w:val="004E4536"/>
    <w:rsid w:val="004E624B"/>
    <w:rsid w:val="004F3855"/>
    <w:rsid w:val="00503F50"/>
    <w:rsid w:val="005045F2"/>
    <w:rsid w:val="00526BE4"/>
    <w:rsid w:val="00560F73"/>
    <w:rsid w:val="005610F5"/>
    <w:rsid w:val="00576BE2"/>
    <w:rsid w:val="00580B6E"/>
    <w:rsid w:val="005A1D77"/>
    <w:rsid w:val="005A6A6C"/>
    <w:rsid w:val="005C073C"/>
    <w:rsid w:val="005C3C74"/>
    <w:rsid w:val="005F22A0"/>
    <w:rsid w:val="00602FC6"/>
    <w:rsid w:val="00622F0E"/>
    <w:rsid w:val="006243BF"/>
    <w:rsid w:val="00637DC5"/>
    <w:rsid w:val="00640627"/>
    <w:rsid w:val="006430D5"/>
    <w:rsid w:val="0064670B"/>
    <w:rsid w:val="00663213"/>
    <w:rsid w:val="0066471E"/>
    <w:rsid w:val="00675250"/>
    <w:rsid w:val="006772C8"/>
    <w:rsid w:val="006A5DE2"/>
    <w:rsid w:val="006A7BEC"/>
    <w:rsid w:val="006B6E05"/>
    <w:rsid w:val="006C6F42"/>
    <w:rsid w:val="006D5026"/>
    <w:rsid w:val="006D59BA"/>
    <w:rsid w:val="006E74FF"/>
    <w:rsid w:val="007109DA"/>
    <w:rsid w:val="00716036"/>
    <w:rsid w:val="0072594D"/>
    <w:rsid w:val="00727B33"/>
    <w:rsid w:val="00742431"/>
    <w:rsid w:val="00752BF3"/>
    <w:rsid w:val="00761E46"/>
    <w:rsid w:val="00762BFC"/>
    <w:rsid w:val="00763A4C"/>
    <w:rsid w:val="00792009"/>
    <w:rsid w:val="0079378B"/>
    <w:rsid w:val="007A38B4"/>
    <w:rsid w:val="007A3BB2"/>
    <w:rsid w:val="007C0C52"/>
    <w:rsid w:val="007C680A"/>
    <w:rsid w:val="007D3B56"/>
    <w:rsid w:val="007E43C1"/>
    <w:rsid w:val="007E75B8"/>
    <w:rsid w:val="007F1922"/>
    <w:rsid w:val="007F2E69"/>
    <w:rsid w:val="00803CF2"/>
    <w:rsid w:val="00804421"/>
    <w:rsid w:val="008057EB"/>
    <w:rsid w:val="00820600"/>
    <w:rsid w:val="00823FBA"/>
    <w:rsid w:val="008334A2"/>
    <w:rsid w:val="008379B1"/>
    <w:rsid w:val="00837A8F"/>
    <w:rsid w:val="0084039F"/>
    <w:rsid w:val="008427AF"/>
    <w:rsid w:val="008624FF"/>
    <w:rsid w:val="008764F9"/>
    <w:rsid w:val="00877432"/>
    <w:rsid w:val="00890014"/>
    <w:rsid w:val="008918BE"/>
    <w:rsid w:val="008938BD"/>
    <w:rsid w:val="00897568"/>
    <w:rsid w:val="008B6D7E"/>
    <w:rsid w:val="008C7A33"/>
    <w:rsid w:val="008D61E5"/>
    <w:rsid w:val="008E0F07"/>
    <w:rsid w:val="009062C9"/>
    <w:rsid w:val="0091293C"/>
    <w:rsid w:val="0093072F"/>
    <w:rsid w:val="00935936"/>
    <w:rsid w:val="00940F4B"/>
    <w:rsid w:val="00953959"/>
    <w:rsid w:val="00956CDE"/>
    <w:rsid w:val="00967142"/>
    <w:rsid w:val="00975D32"/>
    <w:rsid w:val="009A67A3"/>
    <w:rsid w:val="009B0660"/>
    <w:rsid w:val="009B1EDB"/>
    <w:rsid w:val="009B46E2"/>
    <w:rsid w:val="009D04DB"/>
    <w:rsid w:val="009E4BB5"/>
    <w:rsid w:val="009E61A7"/>
    <w:rsid w:val="00A0124C"/>
    <w:rsid w:val="00A03B31"/>
    <w:rsid w:val="00A16F5C"/>
    <w:rsid w:val="00A203BE"/>
    <w:rsid w:val="00A22A03"/>
    <w:rsid w:val="00A31F8B"/>
    <w:rsid w:val="00A42A2C"/>
    <w:rsid w:val="00A42F81"/>
    <w:rsid w:val="00A42F88"/>
    <w:rsid w:val="00A472DF"/>
    <w:rsid w:val="00A539DE"/>
    <w:rsid w:val="00A624C0"/>
    <w:rsid w:val="00A62EE2"/>
    <w:rsid w:val="00A652FB"/>
    <w:rsid w:val="00AA22D1"/>
    <w:rsid w:val="00AA7299"/>
    <w:rsid w:val="00AA729E"/>
    <w:rsid w:val="00AB317E"/>
    <w:rsid w:val="00AD6770"/>
    <w:rsid w:val="00AE286D"/>
    <w:rsid w:val="00AF1924"/>
    <w:rsid w:val="00AF3A0B"/>
    <w:rsid w:val="00B06BC7"/>
    <w:rsid w:val="00B2192A"/>
    <w:rsid w:val="00B3337B"/>
    <w:rsid w:val="00B44374"/>
    <w:rsid w:val="00B46040"/>
    <w:rsid w:val="00B4631C"/>
    <w:rsid w:val="00B520E7"/>
    <w:rsid w:val="00B56E13"/>
    <w:rsid w:val="00B60A32"/>
    <w:rsid w:val="00B67183"/>
    <w:rsid w:val="00B70192"/>
    <w:rsid w:val="00B80687"/>
    <w:rsid w:val="00BB0344"/>
    <w:rsid w:val="00BB05BB"/>
    <w:rsid w:val="00BC4CE5"/>
    <w:rsid w:val="00BD151C"/>
    <w:rsid w:val="00BE0191"/>
    <w:rsid w:val="00BF12BB"/>
    <w:rsid w:val="00C011B4"/>
    <w:rsid w:val="00C10967"/>
    <w:rsid w:val="00C16271"/>
    <w:rsid w:val="00C31039"/>
    <w:rsid w:val="00C35E8E"/>
    <w:rsid w:val="00C3644B"/>
    <w:rsid w:val="00C370C5"/>
    <w:rsid w:val="00C42B53"/>
    <w:rsid w:val="00C54E8E"/>
    <w:rsid w:val="00C55475"/>
    <w:rsid w:val="00C7271F"/>
    <w:rsid w:val="00C72D7B"/>
    <w:rsid w:val="00C76FFE"/>
    <w:rsid w:val="00C85BD1"/>
    <w:rsid w:val="00CA6AAA"/>
    <w:rsid w:val="00CD69FC"/>
    <w:rsid w:val="00CE2B81"/>
    <w:rsid w:val="00CF59AF"/>
    <w:rsid w:val="00D04108"/>
    <w:rsid w:val="00D1336F"/>
    <w:rsid w:val="00D3089A"/>
    <w:rsid w:val="00D35AA6"/>
    <w:rsid w:val="00D53B13"/>
    <w:rsid w:val="00D66702"/>
    <w:rsid w:val="00D7247A"/>
    <w:rsid w:val="00D763D3"/>
    <w:rsid w:val="00D844E1"/>
    <w:rsid w:val="00DA48D0"/>
    <w:rsid w:val="00DA5C31"/>
    <w:rsid w:val="00DB39C0"/>
    <w:rsid w:val="00DB5F0C"/>
    <w:rsid w:val="00DC064F"/>
    <w:rsid w:val="00DC2890"/>
    <w:rsid w:val="00DC4A1A"/>
    <w:rsid w:val="00DE0A6F"/>
    <w:rsid w:val="00E11C5A"/>
    <w:rsid w:val="00E11E28"/>
    <w:rsid w:val="00E1326C"/>
    <w:rsid w:val="00E156FA"/>
    <w:rsid w:val="00E17BA6"/>
    <w:rsid w:val="00E20BEA"/>
    <w:rsid w:val="00E24E44"/>
    <w:rsid w:val="00E24F7A"/>
    <w:rsid w:val="00E3294E"/>
    <w:rsid w:val="00E534F8"/>
    <w:rsid w:val="00E57290"/>
    <w:rsid w:val="00E719A5"/>
    <w:rsid w:val="00E72AEB"/>
    <w:rsid w:val="00E73420"/>
    <w:rsid w:val="00E73983"/>
    <w:rsid w:val="00EA7C27"/>
    <w:rsid w:val="00EC15EF"/>
    <w:rsid w:val="00EC36E0"/>
    <w:rsid w:val="00EC3D32"/>
    <w:rsid w:val="00EE0B87"/>
    <w:rsid w:val="00EE4E51"/>
    <w:rsid w:val="00EE538B"/>
    <w:rsid w:val="00EE5C96"/>
    <w:rsid w:val="00EF723E"/>
    <w:rsid w:val="00F00948"/>
    <w:rsid w:val="00F16513"/>
    <w:rsid w:val="00F2121C"/>
    <w:rsid w:val="00F21513"/>
    <w:rsid w:val="00F2341C"/>
    <w:rsid w:val="00F2474B"/>
    <w:rsid w:val="00F26AB6"/>
    <w:rsid w:val="00F31642"/>
    <w:rsid w:val="00F500C1"/>
    <w:rsid w:val="00F505BD"/>
    <w:rsid w:val="00F51144"/>
    <w:rsid w:val="00F5725B"/>
    <w:rsid w:val="00F61885"/>
    <w:rsid w:val="00F67172"/>
    <w:rsid w:val="00F72EF3"/>
    <w:rsid w:val="00F76C4D"/>
    <w:rsid w:val="00F90201"/>
    <w:rsid w:val="00F9326C"/>
    <w:rsid w:val="00FC4CCA"/>
    <w:rsid w:val="00FC5E94"/>
    <w:rsid w:val="00FD2B04"/>
    <w:rsid w:val="00FD637E"/>
    <w:rsid w:val="00FD6445"/>
    <w:rsid w:val="00FE14F5"/>
    <w:rsid w:val="00FE3512"/>
    <w:rsid w:val="00FE61DA"/>
    <w:rsid w:val="00FF08B1"/>
    <w:rsid w:val="00FF7A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303C9"/>
  <w15:chartTrackingRefBased/>
  <w15:docId w15:val="{005E6913-B90A-444F-97CD-CA33B651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04421"/>
    <w:pPr>
      <w:spacing w:before="100" w:beforeAutospacing="1" w:after="100" w:afterAutospacing="1" w:line="276" w:lineRule="auto"/>
      <w:outlineLvl w:val="0"/>
    </w:pPr>
    <w:rPr>
      <w:rFonts w:ascii="Franklin Gothic Book" w:eastAsia="Times New Roman" w:hAnsi="Franklin Gothic Book" w:cs="Times New Roman"/>
      <w:b/>
      <w:bCs/>
      <w:kern w:val="36"/>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680A"/>
    <w:rPr>
      <w:color w:val="0563C1"/>
      <w:u w:val="single"/>
    </w:rPr>
  </w:style>
  <w:style w:type="paragraph" w:styleId="ListParagraph">
    <w:name w:val="List Paragraph"/>
    <w:basedOn w:val="Normal"/>
    <w:uiPriority w:val="34"/>
    <w:qFormat/>
    <w:rsid w:val="007C680A"/>
    <w:pPr>
      <w:spacing w:after="0" w:line="240" w:lineRule="auto"/>
      <w:ind w:left="720"/>
    </w:pPr>
    <w:rPr>
      <w:rFonts w:ascii="Calibri" w:eastAsia="Times New Roman" w:hAnsi="Calibri" w:cs="Calibri"/>
    </w:rPr>
  </w:style>
  <w:style w:type="paragraph" w:customStyle="1" w:styleId="Default">
    <w:name w:val="Default"/>
    <w:rsid w:val="007C680A"/>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Heading1Char">
    <w:name w:val="Heading 1 Char"/>
    <w:basedOn w:val="DefaultParagraphFont"/>
    <w:link w:val="Heading1"/>
    <w:uiPriority w:val="9"/>
    <w:rsid w:val="00804421"/>
    <w:rPr>
      <w:rFonts w:ascii="Franklin Gothic Book" w:eastAsia="Times New Roman" w:hAnsi="Franklin Gothic Book" w:cs="Times New Roman"/>
      <w:b/>
      <w:bCs/>
      <w:kern w:val="36"/>
      <w:sz w:val="32"/>
      <w:szCs w:val="32"/>
      <w:lang w:eastAsia="en-AU"/>
    </w:rPr>
  </w:style>
  <w:style w:type="table" w:styleId="TableGrid">
    <w:name w:val="Table Grid"/>
    <w:basedOn w:val="TableNormal"/>
    <w:uiPriority w:val="39"/>
    <w:rsid w:val="00C37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rsid w:val="00C370C5"/>
    <w:pPr>
      <w:numPr>
        <w:numId w:val="1"/>
      </w:numPr>
      <w:spacing w:after="0" w:line="240" w:lineRule="auto"/>
      <w:ind w:left="357" w:hanging="357"/>
    </w:pPr>
    <w:rPr>
      <w:rFonts w:eastAsia="Times New Roman" w:cstheme="minorHAnsi"/>
      <w:sz w:val="24"/>
      <w:szCs w:val="24"/>
      <w:lang w:eastAsia="en-AU"/>
    </w:rPr>
  </w:style>
  <w:style w:type="paragraph" w:customStyle="1" w:styleId="Style4">
    <w:name w:val="Style4"/>
    <w:basedOn w:val="Style3"/>
    <w:link w:val="Style4Char"/>
    <w:qFormat/>
    <w:rsid w:val="00C370C5"/>
    <w:pPr>
      <w:spacing w:after="240"/>
      <w:ind w:left="8015" w:hanging="360"/>
    </w:pPr>
  </w:style>
  <w:style w:type="character" w:customStyle="1" w:styleId="Style4Char">
    <w:name w:val="Style4 Char"/>
    <w:basedOn w:val="DefaultParagraphFont"/>
    <w:link w:val="Style4"/>
    <w:rsid w:val="00C370C5"/>
    <w:rPr>
      <w:rFonts w:eastAsia="Times New Roman" w:cstheme="minorHAnsi"/>
      <w:sz w:val="24"/>
      <w:szCs w:val="24"/>
      <w:lang w:eastAsia="en-AU"/>
    </w:rPr>
  </w:style>
  <w:style w:type="character" w:styleId="CommentReference">
    <w:name w:val="annotation reference"/>
    <w:basedOn w:val="DefaultParagraphFont"/>
    <w:uiPriority w:val="99"/>
    <w:semiHidden/>
    <w:unhideWhenUsed/>
    <w:rsid w:val="001B231D"/>
    <w:rPr>
      <w:sz w:val="16"/>
      <w:szCs w:val="16"/>
    </w:rPr>
  </w:style>
  <w:style w:type="paragraph" w:styleId="CommentText">
    <w:name w:val="annotation text"/>
    <w:basedOn w:val="Normal"/>
    <w:link w:val="CommentTextChar"/>
    <w:uiPriority w:val="99"/>
    <w:semiHidden/>
    <w:unhideWhenUsed/>
    <w:rsid w:val="001B231D"/>
    <w:pPr>
      <w:spacing w:line="240" w:lineRule="auto"/>
    </w:pPr>
    <w:rPr>
      <w:sz w:val="20"/>
      <w:szCs w:val="20"/>
    </w:rPr>
  </w:style>
  <w:style w:type="character" w:customStyle="1" w:styleId="CommentTextChar">
    <w:name w:val="Comment Text Char"/>
    <w:basedOn w:val="DefaultParagraphFont"/>
    <w:link w:val="CommentText"/>
    <w:uiPriority w:val="99"/>
    <w:semiHidden/>
    <w:rsid w:val="001B231D"/>
    <w:rPr>
      <w:sz w:val="20"/>
      <w:szCs w:val="20"/>
    </w:rPr>
  </w:style>
  <w:style w:type="paragraph" w:styleId="CommentSubject">
    <w:name w:val="annotation subject"/>
    <w:basedOn w:val="CommentText"/>
    <w:next w:val="CommentText"/>
    <w:link w:val="CommentSubjectChar"/>
    <w:uiPriority w:val="99"/>
    <w:semiHidden/>
    <w:unhideWhenUsed/>
    <w:rsid w:val="001B231D"/>
    <w:rPr>
      <w:b/>
      <w:bCs/>
    </w:rPr>
  </w:style>
  <w:style w:type="character" w:customStyle="1" w:styleId="CommentSubjectChar">
    <w:name w:val="Comment Subject Char"/>
    <w:basedOn w:val="CommentTextChar"/>
    <w:link w:val="CommentSubject"/>
    <w:uiPriority w:val="99"/>
    <w:semiHidden/>
    <w:rsid w:val="001B231D"/>
    <w:rPr>
      <w:b/>
      <w:bCs/>
      <w:sz w:val="20"/>
      <w:szCs w:val="20"/>
    </w:rPr>
  </w:style>
  <w:style w:type="paragraph" w:styleId="BalloonText">
    <w:name w:val="Balloon Text"/>
    <w:basedOn w:val="Normal"/>
    <w:link w:val="BalloonTextChar"/>
    <w:uiPriority w:val="99"/>
    <w:semiHidden/>
    <w:unhideWhenUsed/>
    <w:rsid w:val="001B2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31D"/>
    <w:rPr>
      <w:rFonts w:ascii="Segoe UI" w:hAnsi="Segoe UI" w:cs="Segoe UI"/>
      <w:sz w:val="18"/>
      <w:szCs w:val="18"/>
    </w:rPr>
  </w:style>
  <w:style w:type="paragraph" w:styleId="Header">
    <w:name w:val="header"/>
    <w:basedOn w:val="Normal"/>
    <w:link w:val="HeaderChar"/>
    <w:uiPriority w:val="99"/>
    <w:unhideWhenUsed/>
    <w:rsid w:val="00B46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040"/>
  </w:style>
  <w:style w:type="paragraph" w:styleId="Footer">
    <w:name w:val="footer"/>
    <w:basedOn w:val="Normal"/>
    <w:link w:val="FooterChar"/>
    <w:uiPriority w:val="99"/>
    <w:unhideWhenUsed/>
    <w:rsid w:val="00B460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021369">
      <w:bodyDiv w:val="1"/>
      <w:marLeft w:val="0"/>
      <w:marRight w:val="0"/>
      <w:marTop w:val="0"/>
      <w:marBottom w:val="0"/>
      <w:divBdr>
        <w:top w:val="none" w:sz="0" w:space="0" w:color="auto"/>
        <w:left w:val="none" w:sz="0" w:space="0" w:color="auto"/>
        <w:bottom w:val="none" w:sz="0" w:space="0" w:color="auto"/>
        <w:right w:val="none" w:sz="0" w:space="0" w:color="auto"/>
      </w:divBdr>
    </w:div>
    <w:div w:id="638614085">
      <w:bodyDiv w:val="1"/>
      <w:marLeft w:val="0"/>
      <w:marRight w:val="0"/>
      <w:marTop w:val="0"/>
      <w:marBottom w:val="0"/>
      <w:divBdr>
        <w:top w:val="none" w:sz="0" w:space="0" w:color="auto"/>
        <w:left w:val="none" w:sz="0" w:space="0" w:color="auto"/>
        <w:bottom w:val="none" w:sz="0" w:space="0" w:color="auto"/>
        <w:right w:val="none" w:sz="0" w:space="0" w:color="auto"/>
      </w:divBdr>
    </w:div>
    <w:div w:id="1197428219">
      <w:bodyDiv w:val="1"/>
      <w:marLeft w:val="0"/>
      <w:marRight w:val="0"/>
      <w:marTop w:val="0"/>
      <w:marBottom w:val="0"/>
      <w:divBdr>
        <w:top w:val="none" w:sz="0" w:space="0" w:color="auto"/>
        <w:left w:val="none" w:sz="0" w:space="0" w:color="auto"/>
        <w:bottom w:val="none" w:sz="0" w:space="0" w:color="auto"/>
        <w:right w:val="none" w:sz="0" w:space="0" w:color="auto"/>
      </w:divBdr>
      <w:divsChild>
        <w:div w:id="1328049815">
          <w:marLeft w:val="0"/>
          <w:marRight w:val="0"/>
          <w:marTop w:val="0"/>
          <w:marBottom w:val="0"/>
          <w:divBdr>
            <w:top w:val="none" w:sz="0" w:space="0" w:color="auto"/>
            <w:left w:val="none" w:sz="0" w:space="0" w:color="auto"/>
            <w:bottom w:val="none" w:sz="0" w:space="0" w:color="auto"/>
            <w:right w:val="none" w:sz="0" w:space="0" w:color="auto"/>
          </w:divBdr>
        </w:div>
      </w:divsChild>
    </w:div>
    <w:div w:id="1496647031">
      <w:bodyDiv w:val="1"/>
      <w:marLeft w:val="0"/>
      <w:marRight w:val="0"/>
      <w:marTop w:val="0"/>
      <w:marBottom w:val="0"/>
      <w:divBdr>
        <w:top w:val="none" w:sz="0" w:space="0" w:color="auto"/>
        <w:left w:val="none" w:sz="0" w:space="0" w:color="auto"/>
        <w:bottom w:val="none" w:sz="0" w:space="0" w:color="auto"/>
        <w:right w:val="none" w:sz="0" w:space="0" w:color="auto"/>
      </w:divBdr>
    </w:div>
    <w:div w:id="200678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CD715-E1E6-44EB-8BDF-5FC3D231F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6</Pages>
  <Words>2049</Words>
  <Characters>11681</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Land Council</dc:title>
  <dc:subject/>
  <dc:creator>Central Land Council</dc:creator>
  <cp:keywords/>
  <dc:description/>
  <dcterms:created xsi:type="dcterms:W3CDTF">2021-07-28T05:40:00Z</dcterms:created>
  <dcterms:modified xsi:type="dcterms:W3CDTF">2021-08-04T06:55:00Z</dcterms:modified>
</cp:coreProperties>
</file>